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4F005" w14:textId="77777777" w:rsidR="003B2BDA" w:rsidRDefault="003B2BDA" w:rsidP="00781AF4">
      <w:pPr>
        <w:spacing w:after="0" w:line="276" w:lineRule="auto"/>
        <w:jc w:val="center"/>
        <w:rPr>
          <w:b/>
          <w:sz w:val="52"/>
          <w:szCs w:val="52"/>
          <w:u w:val="single"/>
        </w:rPr>
      </w:pPr>
    </w:p>
    <w:p w14:paraId="62EE7DB0" w14:textId="77777777" w:rsidR="003B2BDA" w:rsidRDefault="003B2BDA" w:rsidP="00781AF4">
      <w:pPr>
        <w:spacing w:after="0" w:line="276" w:lineRule="auto"/>
        <w:jc w:val="center"/>
        <w:rPr>
          <w:b/>
          <w:sz w:val="52"/>
          <w:szCs w:val="52"/>
          <w:u w:val="single"/>
        </w:rPr>
      </w:pPr>
    </w:p>
    <w:p w14:paraId="611180AE" w14:textId="77777777" w:rsidR="003B2BDA" w:rsidRDefault="003B2BDA" w:rsidP="003B2BDA">
      <w:pPr>
        <w:spacing w:after="0" w:line="276" w:lineRule="auto"/>
        <w:rPr>
          <w:b/>
          <w:sz w:val="52"/>
          <w:szCs w:val="52"/>
        </w:rPr>
      </w:pPr>
    </w:p>
    <w:p w14:paraId="4F4DAB9D" w14:textId="6D7701D8" w:rsidR="00FA301C" w:rsidRPr="000558C0" w:rsidRDefault="001B5A68" w:rsidP="00CE32DB">
      <w:pPr>
        <w:spacing w:after="0" w:line="276" w:lineRule="auto"/>
        <w:rPr>
          <w:b/>
        </w:rPr>
      </w:pPr>
      <w:r w:rsidRPr="000558C0">
        <w:rPr>
          <w:b/>
        </w:rPr>
        <w:t>Supplementary Material</w:t>
      </w:r>
    </w:p>
    <w:p w14:paraId="769C0AA2" w14:textId="77777777" w:rsidR="000558C0" w:rsidRPr="000558C0" w:rsidRDefault="000558C0" w:rsidP="000558C0">
      <w:pPr>
        <w:pStyle w:val="CM1"/>
        <w:spacing w:after="160"/>
        <w:rPr>
          <w:rFonts w:asciiTheme="minorHAnsi" w:eastAsiaTheme="minorHAnsi" w:hAnsiTheme="minorHAnsi" w:cstheme="minorHAnsi"/>
          <w:b/>
          <w:sz w:val="22"/>
          <w:szCs w:val="22"/>
        </w:rPr>
      </w:pPr>
      <w:r w:rsidRPr="000558C0">
        <w:rPr>
          <w:rFonts w:asciiTheme="minorHAnsi" w:eastAsiaTheme="minorHAnsi" w:hAnsiTheme="minorHAnsi" w:cstheme="minorHAnsi"/>
          <w:b/>
          <w:sz w:val="22"/>
          <w:szCs w:val="22"/>
        </w:rPr>
        <w:t>Addressing uncertainty and bias in land use, land use change, and forestry greenhouse gas inventories</w:t>
      </w:r>
    </w:p>
    <w:p w14:paraId="6FC9FE15" w14:textId="0C5366D1" w:rsidR="00CE32DB" w:rsidRPr="00AA0C72" w:rsidRDefault="00CE32DB" w:rsidP="00CE32DB">
      <w:pPr>
        <w:spacing w:after="0" w:line="276" w:lineRule="auto"/>
        <w:rPr>
          <w:b/>
          <w:sz w:val="40"/>
          <w:szCs w:val="40"/>
        </w:rPr>
      </w:pPr>
    </w:p>
    <w:p w14:paraId="73DF8557" w14:textId="77777777" w:rsidR="00C71678" w:rsidRDefault="00C71678" w:rsidP="00C71678">
      <w:pPr>
        <w:pStyle w:val="CM1"/>
        <w:rPr>
          <w:rFonts w:ascii="Arial" w:hAnsi="Arial" w:cs="Arial"/>
          <w:bCs/>
          <w:color w:val="000000"/>
          <w:sz w:val="20"/>
          <w:szCs w:val="20"/>
        </w:rPr>
      </w:pPr>
    </w:p>
    <w:p w14:paraId="4C63A24D" w14:textId="77777777" w:rsidR="00C71678" w:rsidRPr="00C71678" w:rsidRDefault="00C71678" w:rsidP="00C71678">
      <w:pPr>
        <w:pStyle w:val="CM1"/>
        <w:rPr>
          <w:rFonts w:asciiTheme="minorHAnsi" w:hAnsiTheme="minorHAnsi" w:cstheme="minorHAnsi"/>
          <w:bCs/>
          <w:color w:val="000000"/>
          <w:sz w:val="22"/>
          <w:szCs w:val="22"/>
        </w:rPr>
      </w:pPr>
      <w:r w:rsidRPr="00C71678">
        <w:rPr>
          <w:rFonts w:asciiTheme="minorHAnsi" w:hAnsiTheme="minorHAnsi" w:cstheme="minorHAnsi"/>
          <w:bCs/>
          <w:color w:val="000000"/>
          <w:sz w:val="22"/>
          <w:szCs w:val="22"/>
        </w:rPr>
        <w:t>Emily McGlynn*</w:t>
      </w:r>
      <w:r w:rsidRPr="00C71678">
        <w:rPr>
          <w:rFonts w:asciiTheme="minorHAnsi" w:hAnsiTheme="minorHAnsi" w:cstheme="minorHAnsi"/>
          <w:bCs/>
          <w:color w:val="000000"/>
          <w:sz w:val="22"/>
          <w:szCs w:val="22"/>
          <w:vertAlign w:val="superscript"/>
        </w:rPr>
        <w:t>a</w:t>
      </w:r>
    </w:p>
    <w:p w14:paraId="255648C1" w14:textId="77777777" w:rsidR="00C71678" w:rsidRPr="00C71678" w:rsidRDefault="00C71678" w:rsidP="00C71678">
      <w:pPr>
        <w:pStyle w:val="Default"/>
        <w:rPr>
          <w:rFonts w:asciiTheme="minorHAnsi" w:hAnsiTheme="minorHAnsi" w:cstheme="minorHAnsi"/>
          <w:bCs/>
          <w:sz w:val="22"/>
          <w:szCs w:val="22"/>
        </w:rPr>
      </w:pPr>
      <w:r w:rsidRPr="00C71678">
        <w:rPr>
          <w:rFonts w:asciiTheme="minorHAnsi" w:hAnsiTheme="minorHAnsi" w:cstheme="minorHAnsi"/>
          <w:bCs/>
          <w:sz w:val="22"/>
          <w:szCs w:val="22"/>
        </w:rPr>
        <w:t xml:space="preserve">Serena Li </w:t>
      </w:r>
      <w:r w:rsidRPr="00C71678">
        <w:rPr>
          <w:rFonts w:asciiTheme="minorHAnsi" w:hAnsiTheme="minorHAnsi" w:cstheme="minorHAnsi"/>
          <w:bCs/>
          <w:sz w:val="22"/>
          <w:szCs w:val="22"/>
          <w:vertAlign w:val="superscript"/>
        </w:rPr>
        <w:t>b</w:t>
      </w:r>
    </w:p>
    <w:p w14:paraId="7A31D359" w14:textId="77777777" w:rsidR="00C71678" w:rsidRPr="00C71678" w:rsidRDefault="00C71678" w:rsidP="00C71678">
      <w:pPr>
        <w:pStyle w:val="Default"/>
        <w:rPr>
          <w:rFonts w:asciiTheme="minorHAnsi" w:hAnsiTheme="minorHAnsi" w:cstheme="minorHAnsi"/>
          <w:bCs/>
          <w:sz w:val="22"/>
          <w:szCs w:val="22"/>
        </w:rPr>
      </w:pPr>
      <w:r w:rsidRPr="00C71678">
        <w:rPr>
          <w:rFonts w:asciiTheme="minorHAnsi" w:hAnsiTheme="minorHAnsi" w:cstheme="minorHAnsi"/>
          <w:bCs/>
          <w:sz w:val="22"/>
          <w:szCs w:val="22"/>
        </w:rPr>
        <w:t xml:space="preserve">Michael Berger </w:t>
      </w:r>
      <w:r w:rsidRPr="00C71678">
        <w:rPr>
          <w:rFonts w:asciiTheme="minorHAnsi" w:hAnsiTheme="minorHAnsi" w:cstheme="minorHAnsi"/>
          <w:bCs/>
          <w:sz w:val="22"/>
          <w:szCs w:val="22"/>
          <w:vertAlign w:val="superscript"/>
        </w:rPr>
        <w:t>c</w:t>
      </w:r>
      <w:r w:rsidRPr="00C71678">
        <w:rPr>
          <w:rFonts w:asciiTheme="minorHAnsi" w:hAnsiTheme="minorHAnsi" w:cstheme="minorHAnsi"/>
          <w:bCs/>
          <w:sz w:val="22"/>
          <w:szCs w:val="22"/>
        </w:rPr>
        <w:t xml:space="preserve"> </w:t>
      </w:r>
    </w:p>
    <w:p w14:paraId="64860939" w14:textId="77777777" w:rsidR="00C71678" w:rsidRPr="00C71678" w:rsidRDefault="00C71678" w:rsidP="00C71678">
      <w:pPr>
        <w:pStyle w:val="Default"/>
        <w:rPr>
          <w:rFonts w:asciiTheme="minorHAnsi" w:hAnsiTheme="minorHAnsi" w:cstheme="minorHAnsi"/>
          <w:bCs/>
          <w:sz w:val="22"/>
          <w:szCs w:val="22"/>
          <w:vertAlign w:val="superscript"/>
        </w:rPr>
      </w:pPr>
      <w:r w:rsidRPr="00C71678">
        <w:rPr>
          <w:rFonts w:asciiTheme="minorHAnsi" w:hAnsiTheme="minorHAnsi" w:cstheme="minorHAnsi"/>
          <w:bCs/>
          <w:sz w:val="22"/>
          <w:szCs w:val="22"/>
        </w:rPr>
        <w:t xml:space="preserve">Meredith Amend </w:t>
      </w:r>
      <w:r w:rsidRPr="00C71678">
        <w:rPr>
          <w:rFonts w:asciiTheme="minorHAnsi" w:hAnsiTheme="minorHAnsi" w:cstheme="minorHAnsi"/>
          <w:bCs/>
          <w:sz w:val="22"/>
          <w:szCs w:val="22"/>
          <w:vertAlign w:val="superscript"/>
        </w:rPr>
        <w:t>d</w:t>
      </w:r>
    </w:p>
    <w:p w14:paraId="051CAE58" w14:textId="77777777" w:rsidR="00C71678" w:rsidRPr="00C71678" w:rsidRDefault="00C71678" w:rsidP="00C71678">
      <w:pPr>
        <w:pStyle w:val="Default"/>
        <w:spacing w:after="160"/>
        <w:rPr>
          <w:rFonts w:asciiTheme="minorHAnsi" w:hAnsiTheme="minorHAnsi" w:cstheme="minorHAnsi"/>
          <w:bCs/>
          <w:sz w:val="22"/>
          <w:szCs w:val="22"/>
          <w:vertAlign w:val="superscript"/>
        </w:rPr>
      </w:pPr>
      <w:r w:rsidRPr="00C71678">
        <w:rPr>
          <w:rFonts w:asciiTheme="minorHAnsi" w:hAnsiTheme="minorHAnsi" w:cstheme="minorHAnsi"/>
          <w:bCs/>
          <w:sz w:val="22"/>
          <w:szCs w:val="22"/>
        </w:rPr>
        <w:t xml:space="preserve">Kandice Harper </w:t>
      </w:r>
      <w:r w:rsidRPr="00C71678">
        <w:rPr>
          <w:rFonts w:asciiTheme="minorHAnsi" w:hAnsiTheme="minorHAnsi" w:cstheme="minorHAnsi"/>
          <w:bCs/>
          <w:sz w:val="22"/>
          <w:szCs w:val="22"/>
          <w:vertAlign w:val="superscript"/>
        </w:rPr>
        <w:t>e</w:t>
      </w:r>
    </w:p>
    <w:p w14:paraId="38592941" w14:textId="77777777" w:rsidR="00C71678" w:rsidRPr="00C71678" w:rsidRDefault="00C71678" w:rsidP="0076408E">
      <w:pPr>
        <w:pStyle w:val="ListParagraph"/>
        <w:numPr>
          <w:ilvl w:val="0"/>
          <w:numId w:val="17"/>
        </w:numPr>
        <w:spacing w:after="0" w:line="240" w:lineRule="auto"/>
        <w:ind w:left="360"/>
        <w:contextualSpacing w:val="0"/>
        <w:rPr>
          <w:rFonts w:cstheme="minorHAnsi"/>
          <w:bCs/>
          <w:color w:val="000000"/>
        </w:rPr>
      </w:pPr>
      <w:r w:rsidRPr="00C71678">
        <w:rPr>
          <w:rFonts w:cstheme="minorHAnsi"/>
          <w:bCs/>
          <w:color w:val="000000"/>
        </w:rPr>
        <w:t>University of California, Davis; Agricultural and Resource Economics; Davis, CA</w:t>
      </w:r>
    </w:p>
    <w:p w14:paraId="4F9080CC" w14:textId="77777777" w:rsidR="00C71678" w:rsidRPr="00C71678" w:rsidRDefault="00C71678" w:rsidP="0076408E">
      <w:pPr>
        <w:pStyle w:val="ListParagraph"/>
        <w:numPr>
          <w:ilvl w:val="0"/>
          <w:numId w:val="17"/>
        </w:numPr>
        <w:spacing w:after="0" w:line="240" w:lineRule="auto"/>
        <w:ind w:left="360"/>
        <w:contextualSpacing w:val="0"/>
        <w:rPr>
          <w:rFonts w:cstheme="minorHAnsi"/>
        </w:rPr>
      </w:pPr>
      <w:r w:rsidRPr="00C71678">
        <w:rPr>
          <w:rFonts w:cstheme="minorHAnsi"/>
          <w:bCs/>
        </w:rPr>
        <w:t>World Resources Institute; Washington, D.C.</w:t>
      </w:r>
    </w:p>
    <w:p w14:paraId="75A9F84F" w14:textId="06F162E2" w:rsidR="00C71678" w:rsidRPr="00C71678" w:rsidRDefault="003B2A5D" w:rsidP="0076408E">
      <w:pPr>
        <w:pStyle w:val="ListParagraph"/>
        <w:numPr>
          <w:ilvl w:val="0"/>
          <w:numId w:val="17"/>
        </w:numPr>
        <w:spacing w:after="0" w:line="240" w:lineRule="auto"/>
        <w:ind w:left="360"/>
        <w:contextualSpacing w:val="0"/>
        <w:rPr>
          <w:rFonts w:cstheme="minorHAnsi"/>
        </w:rPr>
      </w:pPr>
      <w:r>
        <w:rPr>
          <w:rFonts w:cstheme="minorHAnsi"/>
        </w:rPr>
        <w:t>Yale University</w:t>
      </w:r>
      <w:r w:rsidR="00C71678" w:rsidRPr="00C71678">
        <w:rPr>
          <w:rFonts w:cstheme="minorHAnsi"/>
        </w:rPr>
        <w:t xml:space="preserve">; </w:t>
      </w:r>
      <w:r>
        <w:rPr>
          <w:rFonts w:cstheme="minorHAnsi"/>
        </w:rPr>
        <w:t>New Haven</w:t>
      </w:r>
      <w:r w:rsidR="00C71678" w:rsidRPr="00C71678">
        <w:rPr>
          <w:rFonts w:cstheme="minorHAnsi"/>
        </w:rPr>
        <w:t>, CA</w:t>
      </w:r>
    </w:p>
    <w:p w14:paraId="14A7E59D" w14:textId="77777777" w:rsidR="00C71678" w:rsidRPr="00C71678" w:rsidRDefault="00C71678" w:rsidP="0076408E">
      <w:pPr>
        <w:pStyle w:val="ListParagraph"/>
        <w:numPr>
          <w:ilvl w:val="0"/>
          <w:numId w:val="17"/>
        </w:numPr>
        <w:spacing w:after="0" w:line="240" w:lineRule="auto"/>
        <w:ind w:left="360"/>
        <w:contextualSpacing w:val="0"/>
        <w:rPr>
          <w:rFonts w:cstheme="minorHAnsi"/>
        </w:rPr>
      </w:pPr>
      <w:r w:rsidRPr="00C71678">
        <w:rPr>
          <w:rFonts w:cstheme="minorHAnsi"/>
        </w:rPr>
        <w:t>Industrial Economics, Incorporated; Cambridge, MA</w:t>
      </w:r>
    </w:p>
    <w:p w14:paraId="082075B4" w14:textId="77777777" w:rsidR="00C71678" w:rsidRPr="00C71678" w:rsidRDefault="00C71678" w:rsidP="0076408E">
      <w:pPr>
        <w:pStyle w:val="ListParagraph"/>
        <w:numPr>
          <w:ilvl w:val="0"/>
          <w:numId w:val="17"/>
        </w:numPr>
        <w:spacing w:line="240" w:lineRule="auto"/>
        <w:ind w:left="360"/>
        <w:contextualSpacing w:val="0"/>
        <w:rPr>
          <w:rFonts w:cstheme="minorHAnsi"/>
        </w:rPr>
      </w:pPr>
      <w:r w:rsidRPr="00C71678">
        <w:rPr>
          <w:rFonts w:cstheme="minorHAnsi"/>
        </w:rPr>
        <w:t>Yale University; New Haven, CT</w:t>
      </w:r>
    </w:p>
    <w:p w14:paraId="605040AC" w14:textId="77777777" w:rsidR="00C71678" w:rsidRDefault="00C71678" w:rsidP="00C71678">
      <w:pPr>
        <w:rPr>
          <w:rFonts w:cstheme="minorHAnsi"/>
        </w:rPr>
      </w:pPr>
      <w:r w:rsidRPr="00C71678">
        <w:rPr>
          <w:rFonts w:cstheme="minorHAnsi"/>
        </w:rPr>
        <w:t xml:space="preserve">* Corresponding author, email: </w:t>
      </w:r>
      <w:hyperlink r:id="rId8" w:history="1">
        <w:r w:rsidRPr="00C71678">
          <w:rPr>
            <w:rStyle w:val="Hyperlink"/>
            <w:rFonts w:cstheme="minorHAnsi"/>
            <w:bCs/>
          </w:rPr>
          <w:t>efmcglynn@ucdavis.edu</w:t>
        </w:r>
      </w:hyperlink>
      <w:r w:rsidRPr="00C71678">
        <w:rPr>
          <w:rFonts w:cstheme="minorHAnsi"/>
          <w:bCs/>
          <w:color w:val="000000"/>
        </w:rPr>
        <w:t xml:space="preserve">; ORCID: </w:t>
      </w:r>
      <w:r w:rsidRPr="00C71678">
        <w:rPr>
          <w:rFonts w:cstheme="minorHAnsi"/>
        </w:rPr>
        <w:t>0000-0003-1827-0087</w:t>
      </w:r>
    </w:p>
    <w:p w14:paraId="22F2DF39" w14:textId="77777777" w:rsidR="00C71678" w:rsidRDefault="00C71678" w:rsidP="00C71678">
      <w:pPr>
        <w:rPr>
          <w:rFonts w:cstheme="minorHAnsi"/>
        </w:rPr>
      </w:pPr>
    </w:p>
    <w:p w14:paraId="051CBA82" w14:textId="77777777" w:rsidR="00C71678" w:rsidRDefault="00C71678" w:rsidP="00C71678">
      <w:pPr>
        <w:rPr>
          <w:rFonts w:cstheme="minorHAnsi"/>
        </w:rPr>
      </w:pPr>
    </w:p>
    <w:p w14:paraId="3A2BD383" w14:textId="77777777" w:rsidR="00C71678" w:rsidRDefault="00C71678" w:rsidP="00C71678">
      <w:pPr>
        <w:rPr>
          <w:rFonts w:cstheme="minorHAnsi"/>
        </w:rPr>
      </w:pPr>
    </w:p>
    <w:p w14:paraId="3E5E0A9A" w14:textId="77777777" w:rsidR="00C71678" w:rsidRDefault="00C71678" w:rsidP="00C71678">
      <w:pPr>
        <w:rPr>
          <w:rFonts w:cstheme="minorHAnsi"/>
        </w:rPr>
      </w:pPr>
    </w:p>
    <w:p w14:paraId="38C990C2" w14:textId="77777777" w:rsidR="00C71678" w:rsidRDefault="00C71678" w:rsidP="00C71678">
      <w:pPr>
        <w:rPr>
          <w:rFonts w:cstheme="minorHAnsi"/>
        </w:rPr>
      </w:pPr>
    </w:p>
    <w:p w14:paraId="27C34203" w14:textId="77777777" w:rsidR="00C71678" w:rsidRDefault="00C71678" w:rsidP="00C71678">
      <w:pPr>
        <w:rPr>
          <w:rFonts w:cstheme="minorHAnsi"/>
        </w:rPr>
      </w:pPr>
    </w:p>
    <w:p w14:paraId="1BD024E3" w14:textId="77777777" w:rsidR="00C71678" w:rsidRDefault="00C71678" w:rsidP="00C71678">
      <w:pPr>
        <w:rPr>
          <w:rFonts w:cstheme="minorHAnsi"/>
        </w:rPr>
      </w:pPr>
    </w:p>
    <w:p w14:paraId="1B23C7E6" w14:textId="77777777" w:rsidR="00C71678" w:rsidRDefault="00C71678" w:rsidP="00C71678">
      <w:pPr>
        <w:rPr>
          <w:rFonts w:cstheme="minorHAnsi"/>
        </w:rPr>
      </w:pPr>
    </w:p>
    <w:p w14:paraId="46B87535" w14:textId="77777777" w:rsidR="00C71678" w:rsidRDefault="00C71678" w:rsidP="00C71678">
      <w:pPr>
        <w:rPr>
          <w:rFonts w:cstheme="minorHAnsi"/>
        </w:rPr>
      </w:pPr>
    </w:p>
    <w:p w14:paraId="71DA3A70" w14:textId="77777777" w:rsidR="00C71678" w:rsidRDefault="00C71678" w:rsidP="00C71678">
      <w:pPr>
        <w:rPr>
          <w:rFonts w:cstheme="minorHAnsi"/>
        </w:rPr>
      </w:pPr>
    </w:p>
    <w:p w14:paraId="5B50D738" w14:textId="77777777" w:rsidR="000558C0" w:rsidRPr="00C71678" w:rsidRDefault="000558C0" w:rsidP="00C71678">
      <w:pPr>
        <w:rPr>
          <w:rFonts w:cstheme="minorHAnsi"/>
        </w:rPr>
      </w:pPr>
    </w:p>
    <w:sdt>
      <w:sdtPr>
        <w:rPr>
          <w:rFonts w:asciiTheme="minorHAnsi" w:eastAsiaTheme="minorHAnsi" w:hAnsiTheme="minorHAnsi" w:cstheme="minorBidi"/>
          <w:color w:val="auto"/>
          <w:sz w:val="22"/>
          <w:szCs w:val="22"/>
        </w:rPr>
        <w:id w:val="-1989703824"/>
        <w:docPartObj>
          <w:docPartGallery w:val="Table of Contents"/>
          <w:docPartUnique/>
        </w:docPartObj>
      </w:sdtPr>
      <w:sdtEndPr>
        <w:rPr>
          <w:b/>
          <w:bCs/>
          <w:noProof/>
        </w:rPr>
      </w:sdtEndPr>
      <w:sdtContent>
        <w:p w14:paraId="4ED058A3" w14:textId="1EC9F475" w:rsidR="00264597" w:rsidRDefault="00264597">
          <w:pPr>
            <w:pStyle w:val="TOCHeading"/>
          </w:pPr>
          <w:r>
            <w:t>Contents</w:t>
          </w:r>
        </w:p>
        <w:p w14:paraId="703CE133" w14:textId="77777777" w:rsidR="0076408E" w:rsidRDefault="00264597">
          <w:pPr>
            <w:pStyle w:val="TOC1"/>
            <w:tabs>
              <w:tab w:val="right" w:leader="dot" w:pos="9350"/>
            </w:tabs>
            <w:rPr>
              <w:rFonts w:eastAsiaTheme="minorEastAsia"/>
              <w:noProof/>
            </w:rPr>
          </w:pPr>
          <w:r>
            <w:rPr>
              <w:b/>
              <w:bCs/>
              <w:noProof/>
            </w:rPr>
            <w:fldChar w:fldCharType="begin"/>
          </w:r>
          <w:r>
            <w:rPr>
              <w:b/>
              <w:bCs/>
              <w:noProof/>
            </w:rPr>
            <w:instrText xml:space="preserve"> TOC \o "1-1" \h \z \u </w:instrText>
          </w:r>
          <w:r>
            <w:rPr>
              <w:b/>
              <w:bCs/>
              <w:noProof/>
            </w:rPr>
            <w:fldChar w:fldCharType="separate"/>
          </w:r>
          <w:hyperlink w:anchor="_Toc84784375" w:history="1">
            <w:r w:rsidR="0076408E" w:rsidRPr="005274E9">
              <w:rPr>
                <w:rStyle w:val="Hyperlink"/>
                <w:noProof/>
              </w:rPr>
              <w:t>Section 1: International NGHGI and carbon market review</w:t>
            </w:r>
            <w:r w:rsidR="0076408E">
              <w:rPr>
                <w:noProof/>
                <w:webHidden/>
              </w:rPr>
              <w:tab/>
            </w:r>
            <w:r w:rsidR="0076408E">
              <w:rPr>
                <w:noProof/>
                <w:webHidden/>
              </w:rPr>
              <w:fldChar w:fldCharType="begin"/>
            </w:r>
            <w:r w:rsidR="0076408E">
              <w:rPr>
                <w:noProof/>
                <w:webHidden/>
              </w:rPr>
              <w:instrText xml:space="preserve"> PAGEREF _Toc84784375 \h </w:instrText>
            </w:r>
            <w:r w:rsidR="0076408E">
              <w:rPr>
                <w:noProof/>
                <w:webHidden/>
              </w:rPr>
            </w:r>
            <w:r w:rsidR="0076408E">
              <w:rPr>
                <w:noProof/>
                <w:webHidden/>
              </w:rPr>
              <w:fldChar w:fldCharType="separate"/>
            </w:r>
            <w:r w:rsidR="0076408E">
              <w:rPr>
                <w:noProof/>
                <w:webHidden/>
              </w:rPr>
              <w:t>3</w:t>
            </w:r>
            <w:r w:rsidR="0076408E">
              <w:rPr>
                <w:noProof/>
                <w:webHidden/>
              </w:rPr>
              <w:fldChar w:fldCharType="end"/>
            </w:r>
          </w:hyperlink>
        </w:p>
        <w:p w14:paraId="6A9857D6" w14:textId="77777777" w:rsidR="0076408E" w:rsidRDefault="0076408E">
          <w:pPr>
            <w:pStyle w:val="TOC1"/>
            <w:tabs>
              <w:tab w:val="left" w:pos="440"/>
              <w:tab w:val="right" w:leader="dot" w:pos="9350"/>
            </w:tabs>
            <w:rPr>
              <w:rFonts w:eastAsiaTheme="minorEastAsia"/>
              <w:noProof/>
            </w:rPr>
          </w:pPr>
          <w:hyperlink w:anchor="_Toc84784376" w:history="1">
            <w:r w:rsidRPr="005274E9">
              <w:rPr>
                <w:rStyle w:val="Hyperlink"/>
                <w:noProof/>
              </w:rPr>
              <w:t>1</w:t>
            </w:r>
            <w:r>
              <w:rPr>
                <w:rFonts w:eastAsiaTheme="minorEastAsia"/>
                <w:noProof/>
              </w:rPr>
              <w:tab/>
            </w:r>
            <w:r w:rsidRPr="005274E9">
              <w:rPr>
                <w:rStyle w:val="Hyperlink"/>
                <w:noProof/>
              </w:rPr>
              <w:t>International NGHGI review</w:t>
            </w:r>
            <w:r>
              <w:rPr>
                <w:noProof/>
                <w:webHidden/>
              </w:rPr>
              <w:tab/>
            </w:r>
            <w:r>
              <w:rPr>
                <w:noProof/>
                <w:webHidden/>
              </w:rPr>
              <w:fldChar w:fldCharType="begin"/>
            </w:r>
            <w:r>
              <w:rPr>
                <w:noProof/>
                <w:webHidden/>
              </w:rPr>
              <w:instrText xml:space="preserve"> PAGEREF _Toc84784376 \h </w:instrText>
            </w:r>
            <w:r>
              <w:rPr>
                <w:noProof/>
                <w:webHidden/>
              </w:rPr>
            </w:r>
            <w:r>
              <w:rPr>
                <w:noProof/>
                <w:webHidden/>
              </w:rPr>
              <w:fldChar w:fldCharType="separate"/>
            </w:r>
            <w:r>
              <w:rPr>
                <w:noProof/>
                <w:webHidden/>
              </w:rPr>
              <w:t>3</w:t>
            </w:r>
            <w:r>
              <w:rPr>
                <w:noProof/>
                <w:webHidden/>
              </w:rPr>
              <w:fldChar w:fldCharType="end"/>
            </w:r>
          </w:hyperlink>
        </w:p>
        <w:p w14:paraId="716EA5C0" w14:textId="77777777" w:rsidR="0076408E" w:rsidRDefault="0076408E">
          <w:pPr>
            <w:pStyle w:val="TOC1"/>
            <w:tabs>
              <w:tab w:val="left" w:pos="440"/>
              <w:tab w:val="right" w:leader="dot" w:pos="9350"/>
            </w:tabs>
            <w:rPr>
              <w:rFonts w:eastAsiaTheme="minorEastAsia"/>
              <w:noProof/>
            </w:rPr>
          </w:pPr>
          <w:hyperlink w:anchor="_Toc84784377" w:history="1">
            <w:r w:rsidRPr="005274E9">
              <w:rPr>
                <w:rStyle w:val="Hyperlink"/>
                <w:noProof/>
              </w:rPr>
              <w:t>2</w:t>
            </w:r>
            <w:r>
              <w:rPr>
                <w:rFonts w:eastAsiaTheme="minorEastAsia"/>
                <w:noProof/>
              </w:rPr>
              <w:tab/>
            </w:r>
            <w:r w:rsidRPr="005274E9">
              <w:rPr>
                <w:rStyle w:val="Hyperlink"/>
                <w:noProof/>
              </w:rPr>
              <w:t>LULUCF carbon credit issuance by country</w:t>
            </w:r>
            <w:r>
              <w:rPr>
                <w:noProof/>
                <w:webHidden/>
              </w:rPr>
              <w:tab/>
            </w:r>
            <w:r>
              <w:rPr>
                <w:noProof/>
                <w:webHidden/>
              </w:rPr>
              <w:fldChar w:fldCharType="begin"/>
            </w:r>
            <w:r>
              <w:rPr>
                <w:noProof/>
                <w:webHidden/>
              </w:rPr>
              <w:instrText xml:space="preserve"> PAGEREF _Toc84784377 \h </w:instrText>
            </w:r>
            <w:r>
              <w:rPr>
                <w:noProof/>
                <w:webHidden/>
              </w:rPr>
            </w:r>
            <w:r>
              <w:rPr>
                <w:noProof/>
                <w:webHidden/>
              </w:rPr>
              <w:fldChar w:fldCharType="separate"/>
            </w:r>
            <w:r>
              <w:rPr>
                <w:noProof/>
                <w:webHidden/>
              </w:rPr>
              <w:t>7</w:t>
            </w:r>
            <w:r>
              <w:rPr>
                <w:noProof/>
                <w:webHidden/>
              </w:rPr>
              <w:fldChar w:fldCharType="end"/>
            </w:r>
          </w:hyperlink>
        </w:p>
        <w:p w14:paraId="3CD99E00" w14:textId="77777777" w:rsidR="0076408E" w:rsidRDefault="0076408E">
          <w:pPr>
            <w:pStyle w:val="TOC1"/>
            <w:tabs>
              <w:tab w:val="right" w:leader="dot" w:pos="9350"/>
            </w:tabs>
            <w:rPr>
              <w:rFonts w:eastAsiaTheme="minorEastAsia"/>
              <w:noProof/>
            </w:rPr>
          </w:pPr>
          <w:hyperlink w:anchor="_Toc84784378" w:history="1">
            <w:r w:rsidRPr="005274E9">
              <w:rPr>
                <w:rStyle w:val="Hyperlink"/>
                <w:noProof/>
              </w:rPr>
              <w:t>Section 2: Uncertainty attribution and omitted flux methods</w:t>
            </w:r>
            <w:r>
              <w:rPr>
                <w:noProof/>
                <w:webHidden/>
              </w:rPr>
              <w:tab/>
            </w:r>
            <w:r>
              <w:rPr>
                <w:noProof/>
                <w:webHidden/>
              </w:rPr>
              <w:fldChar w:fldCharType="begin"/>
            </w:r>
            <w:r>
              <w:rPr>
                <w:noProof/>
                <w:webHidden/>
              </w:rPr>
              <w:instrText xml:space="preserve"> PAGEREF _Toc84784378 \h </w:instrText>
            </w:r>
            <w:r>
              <w:rPr>
                <w:noProof/>
                <w:webHidden/>
              </w:rPr>
            </w:r>
            <w:r>
              <w:rPr>
                <w:noProof/>
                <w:webHidden/>
              </w:rPr>
              <w:fldChar w:fldCharType="separate"/>
            </w:r>
            <w:r>
              <w:rPr>
                <w:noProof/>
                <w:webHidden/>
              </w:rPr>
              <w:t>11</w:t>
            </w:r>
            <w:r>
              <w:rPr>
                <w:noProof/>
                <w:webHidden/>
              </w:rPr>
              <w:fldChar w:fldCharType="end"/>
            </w:r>
          </w:hyperlink>
        </w:p>
        <w:p w14:paraId="038F4B88" w14:textId="77777777" w:rsidR="0076408E" w:rsidRDefault="0076408E">
          <w:pPr>
            <w:pStyle w:val="TOC1"/>
            <w:tabs>
              <w:tab w:val="left" w:pos="440"/>
              <w:tab w:val="right" w:leader="dot" w:pos="9350"/>
            </w:tabs>
            <w:rPr>
              <w:rFonts w:eastAsiaTheme="minorEastAsia"/>
              <w:noProof/>
            </w:rPr>
          </w:pPr>
          <w:hyperlink w:anchor="_Toc84784379" w:history="1">
            <w:r w:rsidRPr="005274E9">
              <w:rPr>
                <w:rStyle w:val="Hyperlink"/>
                <w:noProof/>
              </w:rPr>
              <w:t>1</w:t>
            </w:r>
            <w:r>
              <w:rPr>
                <w:rFonts w:eastAsiaTheme="minorEastAsia"/>
                <w:noProof/>
              </w:rPr>
              <w:tab/>
            </w:r>
            <w:r w:rsidRPr="005274E9">
              <w:rPr>
                <w:rStyle w:val="Hyperlink"/>
                <w:noProof/>
              </w:rPr>
              <w:t>Introduction</w:t>
            </w:r>
            <w:r>
              <w:rPr>
                <w:noProof/>
                <w:webHidden/>
              </w:rPr>
              <w:tab/>
            </w:r>
            <w:r>
              <w:rPr>
                <w:noProof/>
                <w:webHidden/>
              </w:rPr>
              <w:fldChar w:fldCharType="begin"/>
            </w:r>
            <w:r>
              <w:rPr>
                <w:noProof/>
                <w:webHidden/>
              </w:rPr>
              <w:instrText xml:space="preserve"> PAGEREF _Toc84784379 \h </w:instrText>
            </w:r>
            <w:r>
              <w:rPr>
                <w:noProof/>
                <w:webHidden/>
              </w:rPr>
            </w:r>
            <w:r>
              <w:rPr>
                <w:noProof/>
                <w:webHidden/>
              </w:rPr>
              <w:fldChar w:fldCharType="separate"/>
            </w:r>
            <w:r>
              <w:rPr>
                <w:noProof/>
                <w:webHidden/>
              </w:rPr>
              <w:t>11</w:t>
            </w:r>
            <w:r>
              <w:rPr>
                <w:noProof/>
                <w:webHidden/>
              </w:rPr>
              <w:fldChar w:fldCharType="end"/>
            </w:r>
          </w:hyperlink>
        </w:p>
        <w:p w14:paraId="2B51589B" w14:textId="77777777" w:rsidR="0076408E" w:rsidRDefault="0076408E">
          <w:pPr>
            <w:pStyle w:val="TOC1"/>
            <w:tabs>
              <w:tab w:val="left" w:pos="440"/>
              <w:tab w:val="right" w:leader="dot" w:pos="9350"/>
            </w:tabs>
            <w:rPr>
              <w:rFonts w:eastAsiaTheme="minorEastAsia"/>
              <w:noProof/>
            </w:rPr>
          </w:pPr>
          <w:hyperlink w:anchor="_Toc84784380" w:history="1">
            <w:r w:rsidRPr="005274E9">
              <w:rPr>
                <w:rStyle w:val="Hyperlink"/>
                <w:noProof/>
              </w:rPr>
              <w:t>2</w:t>
            </w:r>
            <w:r>
              <w:rPr>
                <w:rFonts w:eastAsiaTheme="minorEastAsia"/>
                <w:noProof/>
              </w:rPr>
              <w:tab/>
            </w:r>
            <w:r w:rsidRPr="005274E9">
              <w:rPr>
                <w:rStyle w:val="Hyperlink"/>
                <w:noProof/>
              </w:rPr>
              <w:t>Forests</w:t>
            </w:r>
            <w:r>
              <w:rPr>
                <w:noProof/>
                <w:webHidden/>
              </w:rPr>
              <w:tab/>
            </w:r>
            <w:r>
              <w:rPr>
                <w:noProof/>
                <w:webHidden/>
              </w:rPr>
              <w:fldChar w:fldCharType="begin"/>
            </w:r>
            <w:r>
              <w:rPr>
                <w:noProof/>
                <w:webHidden/>
              </w:rPr>
              <w:instrText xml:space="preserve"> PAGEREF _Toc84784380 \h </w:instrText>
            </w:r>
            <w:r>
              <w:rPr>
                <w:noProof/>
                <w:webHidden/>
              </w:rPr>
            </w:r>
            <w:r>
              <w:rPr>
                <w:noProof/>
                <w:webHidden/>
              </w:rPr>
              <w:fldChar w:fldCharType="separate"/>
            </w:r>
            <w:r>
              <w:rPr>
                <w:noProof/>
                <w:webHidden/>
              </w:rPr>
              <w:t>14</w:t>
            </w:r>
            <w:r>
              <w:rPr>
                <w:noProof/>
                <w:webHidden/>
              </w:rPr>
              <w:fldChar w:fldCharType="end"/>
            </w:r>
          </w:hyperlink>
        </w:p>
        <w:p w14:paraId="6AC0EEA0" w14:textId="77777777" w:rsidR="0076408E" w:rsidRDefault="0076408E">
          <w:pPr>
            <w:pStyle w:val="TOC1"/>
            <w:tabs>
              <w:tab w:val="left" w:pos="440"/>
              <w:tab w:val="right" w:leader="dot" w:pos="9350"/>
            </w:tabs>
            <w:rPr>
              <w:rFonts w:eastAsiaTheme="minorEastAsia"/>
              <w:noProof/>
            </w:rPr>
          </w:pPr>
          <w:hyperlink w:anchor="_Toc84784381" w:history="1">
            <w:r w:rsidRPr="005274E9">
              <w:rPr>
                <w:rStyle w:val="Hyperlink"/>
                <w:noProof/>
              </w:rPr>
              <w:t>3</w:t>
            </w:r>
            <w:r>
              <w:rPr>
                <w:rFonts w:eastAsiaTheme="minorEastAsia"/>
                <w:noProof/>
              </w:rPr>
              <w:tab/>
            </w:r>
            <w:r w:rsidRPr="005274E9">
              <w:rPr>
                <w:rStyle w:val="Hyperlink"/>
                <w:noProof/>
              </w:rPr>
              <w:t>Croplands and Grasslands</w:t>
            </w:r>
            <w:r>
              <w:rPr>
                <w:noProof/>
                <w:webHidden/>
              </w:rPr>
              <w:tab/>
            </w:r>
            <w:r>
              <w:rPr>
                <w:noProof/>
                <w:webHidden/>
              </w:rPr>
              <w:fldChar w:fldCharType="begin"/>
            </w:r>
            <w:r>
              <w:rPr>
                <w:noProof/>
                <w:webHidden/>
              </w:rPr>
              <w:instrText xml:space="preserve"> PAGEREF _Toc84784381 \h </w:instrText>
            </w:r>
            <w:r>
              <w:rPr>
                <w:noProof/>
                <w:webHidden/>
              </w:rPr>
            </w:r>
            <w:r>
              <w:rPr>
                <w:noProof/>
                <w:webHidden/>
              </w:rPr>
              <w:fldChar w:fldCharType="separate"/>
            </w:r>
            <w:r>
              <w:rPr>
                <w:noProof/>
                <w:webHidden/>
              </w:rPr>
              <w:t>40</w:t>
            </w:r>
            <w:r>
              <w:rPr>
                <w:noProof/>
                <w:webHidden/>
              </w:rPr>
              <w:fldChar w:fldCharType="end"/>
            </w:r>
          </w:hyperlink>
        </w:p>
        <w:p w14:paraId="068F526F" w14:textId="77777777" w:rsidR="0076408E" w:rsidRDefault="0076408E">
          <w:pPr>
            <w:pStyle w:val="TOC1"/>
            <w:tabs>
              <w:tab w:val="left" w:pos="440"/>
              <w:tab w:val="right" w:leader="dot" w:pos="9350"/>
            </w:tabs>
            <w:rPr>
              <w:rFonts w:eastAsiaTheme="minorEastAsia"/>
              <w:noProof/>
            </w:rPr>
          </w:pPr>
          <w:hyperlink w:anchor="_Toc84784385" w:history="1">
            <w:r w:rsidRPr="005274E9">
              <w:rPr>
                <w:rStyle w:val="Hyperlink"/>
                <w:noProof/>
              </w:rPr>
              <w:t>4</w:t>
            </w:r>
            <w:r>
              <w:rPr>
                <w:rFonts w:eastAsiaTheme="minorEastAsia"/>
                <w:noProof/>
              </w:rPr>
              <w:tab/>
            </w:r>
            <w:r w:rsidRPr="005274E9">
              <w:rPr>
                <w:rStyle w:val="Hyperlink"/>
                <w:noProof/>
              </w:rPr>
              <w:t>Settlements</w:t>
            </w:r>
            <w:r>
              <w:rPr>
                <w:noProof/>
                <w:webHidden/>
              </w:rPr>
              <w:tab/>
            </w:r>
            <w:r>
              <w:rPr>
                <w:noProof/>
                <w:webHidden/>
              </w:rPr>
              <w:fldChar w:fldCharType="begin"/>
            </w:r>
            <w:r>
              <w:rPr>
                <w:noProof/>
                <w:webHidden/>
              </w:rPr>
              <w:instrText xml:space="preserve"> PAGEREF _Toc84784385 \h </w:instrText>
            </w:r>
            <w:r>
              <w:rPr>
                <w:noProof/>
                <w:webHidden/>
              </w:rPr>
            </w:r>
            <w:r>
              <w:rPr>
                <w:noProof/>
                <w:webHidden/>
              </w:rPr>
              <w:fldChar w:fldCharType="separate"/>
            </w:r>
            <w:r>
              <w:rPr>
                <w:noProof/>
                <w:webHidden/>
              </w:rPr>
              <w:t>62</w:t>
            </w:r>
            <w:r>
              <w:rPr>
                <w:noProof/>
                <w:webHidden/>
              </w:rPr>
              <w:fldChar w:fldCharType="end"/>
            </w:r>
          </w:hyperlink>
        </w:p>
        <w:p w14:paraId="435A2BCA" w14:textId="77777777" w:rsidR="0076408E" w:rsidRDefault="0076408E">
          <w:pPr>
            <w:pStyle w:val="TOC1"/>
            <w:tabs>
              <w:tab w:val="left" w:pos="440"/>
              <w:tab w:val="right" w:leader="dot" w:pos="9350"/>
            </w:tabs>
            <w:rPr>
              <w:rFonts w:eastAsiaTheme="minorEastAsia"/>
              <w:noProof/>
            </w:rPr>
          </w:pPr>
          <w:hyperlink w:anchor="_Toc84784387" w:history="1">
            <w:r w:rsidRPr="005274E9">
              <w:rPr>
                <w:rStyle w:val="Hyperlink"/>
                <w:noProof/>
              </w:rPr>
              <w:t>5</w:t>
            </w:r>
            <w:r>
              <w:rPr>
                <w:rFonts w:eastAsiaTheme="minorEastAsia"/>
                <w:noProof/>
              </w:rPr>
              <w:tab/>
            </w:r>
            <w:r w:rsidRPr="005274E9">
              <w:rPr>
                <w:rStyle w:val="Hyperlink"/>
                <w:noProof/>
              </w:rPr>
              <w:t>Wetlands</w:t>
            </w:r>
            <w:r>
              <w:rPr>
                <w:noProof/>
                <w:webHidden/>
              </w:rPr>
              <w:tab/>
            </w:r>
            <w:r>
              <w:rPr>
                <w:noProof/>
                <w:webHidden/>
              </w:rPr>
              <w:fldChar w:fldCharType="begin"/>
            </w:r>
            <w:r>
              <w:rPr>
                <w:noProof/>
                <w:webHidden/>
              </w:rPr>
              <w:instrText xml:space="preserve"> PAGEREF _Toc84784387 \h </w:instrText>
            </w:r>
            <w:r>
              <w:rPr>
                <w:noProof/>
                <w:webHidden/>
              </w:rPr>
            </w:r>
            <w:r>
              <w:rPr>
                <w:noProof/>
                <w:webHidden/>
              </w:rPr>
              <w:fldChar w:fldCharType="separate"/>
            </w:r>
            <w:r>
              <w:rPr>
                <w:noProof/>
                <w:webHidden/>
              </w:rPr>
              <w:t>70</w:t>
            </w:r>
            <w:r>
              <w:rPr>
                <w:noProof/>
                <w:webHidden/>
              </w:rPr>
              <w:fldChar w:fldCharType="end"/>
            </w:r>
          </w:hyperlink>
        </w:p>
        <w:p w14:paraId="754EB873" w14:textId="77777777" w:rsidR="0076408E" w:rsidRDefault="0076408E">
          <w:pPr>
            <w:pStyle w:val="TOC1"/>
            <w:tabs>
              <w:tab w:val="left" w:pos="440"/>
              <w:tab w:val="right" w:leader="dot" w:pos="9350"/>
            </w:tabs>
            <w:rPr>
              <w:rFonts w:eastAsiaTheme="minorEastAsia"/>
              <w:noProof/>
            </w:rPr>
          </w:pPr>
          <w:hyperlink w:anchor="_Toc84784389" w:history="1">
            <w:r w:rsidRPr="005274E9">
              <w:rPr>
                <w:rStyle w:val="Hyperlink"/>
                <w:noProof/>
              </w:rPr>
              <w:t>6</w:t>
            </w:r>
            <w:r>
              <w:rPr>
                <w:rFonts w:eastAsiaTheme="minorEastAsia"/>
                <w:noProof/>
              </w:rPr>
              <w:tab/>
            </w:r>
            <w:r w:rsidRPr="005274E9">
              <w:rPr>
                <w:rStyle w:val="Hyperlink"/>
                <w:noProof/>
              </w:rPr>
              <w:t>Alaska, Hawaii, and Territories</w:t>
            </w:r>
            <w:r>
              <w:rPr>
                <w:noProof/>
                <w:webHidden/>
              </w:rPr>
              <w:tab/>
            </w:r>
            <w:r>
              <w:rPr>
                <w:noProof/>
                <w:webHidden/>
              </w:rPr>
              <w:fldChar w:fldCharType="begin"/>
            </w:r>
            <w:r>
              <w:rPr>
                <w:noProof/>
                <w:webHidden/>
              </w:rPr>
              <w:instrText xml:space="preserve"> PAGEREF _Toc84784389 \h </w:instrText>
            </w:r>
            <w:r>
              <w:rPr>
                <w:noProof/>
                <w:webHidden/>
              </w:rPr>
            </w:r>
            <w:r>
              <w:rPr>
                <w:noProof/>
                <w:webHidden/>
              </w:rPr>
              <w:fldChar w:fldCharType="separate"/>
            </w:r>
            <w:r>
              <w:rPr>
                <w:noProof/>
                <w:webHidden/>
              </w:rPr>
              <w:t>73</w:t>
            </w:r>
            <w:r>
              <w:rPr>
                <w:noProof/>
                <w:webHidden/>
              </w:rPr>
              <w:fldChar w:fldCharType="end"/>
            </w:r>
          </w:hyperlink>
        </w:p>
        <w:p w14:paraId="68070C56" w14:textId="77777777" w:rsidR="0076408E" w:rsidRDefault="0076408E">
          <w:pPr>
            <w:pStyle w:val="TOC1"/>
            <w:tabs>
              <w:tab w:val="right" w:leader="dot" w:pos="9350"/>
            </w:tabs>
            <w:rPr>
              <w:rFonts w:eastAsiaTheme="minorEastAsia"/>
              <w:noProof/>
            </w:rPr>
          </w:pPr>
          <w:hyperlink w:anchor="_Toc84784390" w:history="1">
            <w:r w:rsidRPr="005274E9">
              <w:rPr>
                <w:rStyle w:val="Hyperlink"/>
                <w:noProof/>
              </w:rPr>
              <w:t>Section 3: Tier 3 Cropland and Grassland Expert Elicitation Survey</w:t>
            </w:r>
            <w:r>
              <w:rPr>
                <w:noProof/>
                <w:webHidden/>
              </w:rPr>
              <w:tab/>
            </w:r>
            <w:r>
              <w:rPr>
                <w:noProof/>
                <w:webHidden/>
              </w:rPr>
              <w:fldChar w:fldCharType="begin"/>
            </w:r>
            <w:r>
              <w:rPr>
                <w:noProof/>
                <w:webHidden/>
              </w:rPr>
              <w:instrText xml:space="preserve"> PAGEREF _Toc84784390 \h </w:instrText>
            </w:r>
            <w:r>
              <w:rPr>
                <w:noProof/>
                <w:webHidden/>
              </w:rPr>
            </w:r>
            <w:r>
              <w:rPr>
                <w:noProof/>
                <w:webHidden/>
              </w:rPr>
              <w:fldChar w:fldCharType="separate"/>
            </w:r>
            <w:r>
              <w:rPr>
                <w:noProof/>
                <w:webHidden/>
              </w:rPr>
              <w:t>77</w:t>
            </w:r>
            <w:r>
              <w:rPr>
                <w:noProof/>
                <w:webHidden/>
              </w:rPr>
              <w:fldChar w:fldCharType="end"/>
            </w:r>
          </w:hyperlink>
        </w:p>
        <w:p w14:paraId="7171231E" w14:textId="77777777" w:rsidR="0076408E" w:rsidRDefault="0076408E">
          <w:pPr>
            <w:pStyle w:val="TOC1"/>
            <w:tabs>
              <w:tab w:val="right" w:leader="dot" w:pos="9350"/>
            </w:tabs>
            <w:rPr>
              <w:rFonts w:eastAsiaTheme="minorEastAsia"/>
              <w:noProof/>
            </w:rPr>
          </w:pPr>
          <w:hyperlink w:anchor="_Toc84784391" w:history="1">
            <w:r w:rsidRPr="005274E9">
              <w:rPr>
                <w:rStyle w:val="Hyperlink"/>
                <w:noProof/>
              </w:rPr>
              <w:t>Supplementary Material References</w:t>
            </w:r>
            <w:r>
              <w:rPr>
                <w:noProof/>
                <w:webHidden/>
              </w:rPr>
              <w:tab/>
            </w:r>
            <w:r>
              <w:rPr>
                <w:noProof/>
                <w:webHidden/>
              </w:rPr>
              <w:fldChar w:fldCharType="begin"/>
            </w:r>
            <w:r>
              <w:rPr>
                <w:noProof/>
                <w:webHidden/>
              </w:rPr>
              <w:instrText xml:space="preserve"> PAGEREF _Toc84784391 \h </w:instrText>
            </w:r>
            <w:r>
              <w:rPr>
                <w:noProof/>
                <w:webHidden/>
              </w:rPr>
            </w:r>
            <w:r>
              <w:rPr>
                <w:noProof/>
                <w:webHidden/>
              </w:rPr>
              <w:fldChar w:fldCharType="separate"/>
            </w:r>
            <w:r>
              <w:rPr>
                <w:noProof/>
                <w:webHidden/>
              </w:rPr>
              <w:t>110</w:t>
            </w:r>
            <w:r>
              <w:rPr>
                <w:noProof/>
                <w:webHidden/>
              </w:rPr>
              <w:fldChar w:fldCharType="end"/>
            </w:r>
          </w:hyperlink>
        </w:p>
        <w:p w14:paraId="29E54D84" w14:textId="143038B2" w:rsidR="00264597" w:rsidRDefault="00264597">
          <w:r>
            <w:rPr>
              <w:b/>
              <w:bCs/>
              <w:noProof/>
            </w:rPr>
            <w:fldChar w:fldCharType="end"/>
          </w:r>
        </w:p>
      </w:sdtContent>
    </w:sdt>
    <w:p w14:paraId="7135CF6A" w14:textId="77777777" w:rsidR="004C0E81" w:rsidRDefault="004C0E81"/>
    <w:p w14:paraId="1073F774" w14:textId="77777777" w:rsidR="008E77A4" w:rsidRDefault="008E77A4">
      <w:pPr>
        <w:rPr>
          <w:i/>
        </w:rPr>
        <w:sectPr w:rsidR="008E77A4">
          <w:headerReference w:type="default" r:id="rId9"/>
          <w:footerReference w:type="default" r:id="rId10"/>
          <w:pgSz w:w="12240" w:h="15840"/>
          <w:pgMar w:top="1440" w:right="1440" w:bottom="1440" w:left="1440" w:header="720" w:footer="720" w:gutter="0"/>
          <w:cols w:space="720"/>
          <w:docGrid w:linePitch="360"/>
        </w:sectPr>
      </w:pPr>
    </w:p>
    <w:p w14:paraId="5D326A9A" w14:textId="2CD42774" w:rsidR="00E4385F" w:rsidRDefault="00E4385F" w:rsidP="00083485">
      <w:pPr>
        <w:pStyle w:val="1-Header"/>
      </w:pPr>
      <w:bookmarkStart w:id="0" w:name="_Toc84784375"/>
      <w:r>
        <w:lastRenderedPageBreak/>
        <w:t xml:space="preserve">Section 1: </w:t>
      </w:r>
      <w:r w:rsidR="003443E2">
        <w:t>International NGHGI and carbon market review</w:t>
      </w:r>
      <w:bookmarkEnd w:id="0"/>
      <w:r w:rsidR="003443E2">
        <w:t xml:space="preserve"> </w:t>
      </w:r>
    </w:p>
    <w:p w14:paraId="1723BFAB" w14:textId="77777777" w:rsidR="00E4385F" w:rsidRDefault="00E4385F" w:rsidP="00E4385F"/>
    <w:p w14:paraId="5B212185" w14:textId="3DD206D7" w:rsidR="003443E2" w:rsidRDefault="003443E2" w:rsidP="0076408E">
      <w:pPr>
        <w:pStyle w:val="Heading1"/>
      </w:pPr>
      <w:bookmarkStart w:id="1" w:name="_Toc84784376"/>
      <w:r w:rsidRPr="0076408E">
        <w:t>International NGHGI review</w:t>
      </w:r>
      <w:bookmarkEnd w:id="1"/>
    </w:p>
    <w:p w14:paraId="621DC6A6" w14:textId="0606606B" w:rsidR="00AA1F20" w:rsidRDefault="003443E2" w:rsidP="0076408E">
      <w:pPr>
        <w:spacing w:line="254" w:lineRule="auto"/>
      </w:pPr>
      <w:r w:rsidRPr="0076408E">
        <w:t>We re</w:t>
      </w:r>
      <w:r>
        <w:t xml:space="preserve">viewed the </w:t>
      </w:r>
      <w:r w:rsidR="00696A7B">
        <w:t xml:space="preserve">land use, land use change, and forestry (LULUCF) </w:t>
      </w:r>
      <w:r>
        <w:t>uncertainty v</w:t>
      </w:r>
      <w:r w:rsidR="00696A7B">
        <w:t>alues and methods reported in the</w:t>
      </w:r>
      <w:r>
        <w:t xml:space="preserve"> NGHGIs</w:t>
      </w:r>
      <w:r w:rsidR="00034E69">
        <w:t xml:space="preserve"> </w:t>
      </w:r>
      <w:r w:rsidR="00E80D45">
        <w:t xml:space="preserve">of </w:t>
      </w:r>
      <w:r w:rsidR="00696A7B">
        <w:t xml:space="preserve">20 </w:t>
      </w:r>
      <w:r w:rsidR="00E80D45">
        <w:t>major GHG-emitting countries</w:t>
      </w:r>
      <w:r w:rsidR="00034E69">
        <w:t xml:space="preserve">. These NGHGIs cover </w:t>
      </w:r>
      <w:r w:rsidR="00AA1F20">
        <w:t xml:space="preserve">40% </w:t>
      </w:r>
      <w:r w:rsidR="00034E69">
        <w:t xml:space="preserve">of </w:t>
      </w:r>
      <w:r w:rsidR="00C826B3">
        <w:t xml:space="preserve">the global sum of </w:t>
      </w:r>
      <w:r w:rsidR="00034E69">
        <w:t>absolute values of national LULUCF fluxes</w:t>
      </w:r>
      <w:r w:rsidR="00E80D45">
        <w:t xml:space="preserve"> </w:t>
      </w:r>
      <w:r w:rsidR="00AA1F20">
        <w:t xml:space="preserve">(65% when only considering NGHGIs for which </w:t>
      </w:r>
      <w:r w:rsidR="00C826B3">
        <w:t>the most recent inventory year is 2010 or later</w:t>
      </w:r>
      <w:r w:rsidR="00AA1F20">
        <w:t>)</w:t>
      </w:r>
      <w:r w:rsidR="006D077B">
        <w:t xml:space="preserve"> (Mooney et al. in press, CAIT 2021)</w:t>
      </w:r>
      <w:r>
        <w:t>.</w:t>
      </w:r>
      <w:r w:rsidR="00E80D45">
        <w:t xml:space="preserve"> We focus</w:t>
      </w:r>
      <w:r w:rsidR="00AA1F20">
        <w:t xml:space="preserve"> our review</w:t>
      </w:r>
      <w:r w:rsidR="00E80D45">
        <w:t xml:space="preserve"> on </w:t>
      </w:r>
      <w:r w:rsidR="00CF2751">
        <w:t>more recently reported data</w:t>
      </w:r>
      <w:r w:rsidR="00696A7B">
        <w:t xml:space="preserve"> (2010 or later)</w:t>
      </w:r>
      <w:r w:rsidR="00CF2751">
        <w:t xml:space="preserve"> in countries with large economy-wide emissions because</w:t>
      </w:r>
      <w:r w:rsidR="00696A7B">
        <w:t xml:space="preserve"> there is large interannual variation in LULUCF fluxes and because</w:t>
      </w:r>
      <w:r w:rsidR="00CF2751">
        <w:t xml:space="preserve"> without these filters the top ranked countries </w:t>
      </w:r>
      <w:r w:rsidR="00DF015A">
        <w:t>by LULUCF flux</w:t>
      </w:r>
      <w:r w:rsidR="00C826B3">
        <w:t xml:space="preserve"> (in absolute value)</w:t>
      </w:r>
      <w:r w:rsidR="00DF015A">
        <w:t xml:space="preserve"> </w:t>
      </w:r>
      <w:r w:rsidR="00CF2751">
        <w:t>would be dominated by least developed countries</w:t>
      </w:r>
      <w:r w:rsidR="006D077B">
        <w:t xml:space="preserve"> (Sierra Leone, Central African Republic, Tanzania, Guinea, Mali, Democratic Republic of Congo)</w:t>
      </w:r>
      <w:r w:rsidR="00696A7B">
        <w:t xml:space="preserve"> (CAIT 2021).</w:t>
      </w:r>
      <w:r w:rsidR="00DF015A">
        <w:t xml:space="preserve"> </w:t>
      </w:r>
      <w:r w:rsidR="00696A7B">
        <w:t>W</w:t>
      </w:r>
      <w:r w:rsidR="00DF015A">
        <w:t xml:space="preserve">e wanted to </w:t>
      </w:r>
      <w:r w:rsidR="00C826B3">
        <w:t xml:space="preserve">reduce </w:t>
      </w:r>
      <w:r w:rsidR="00DF015A">
        <w:t>scrutiny of countries with fewer resources</w:t>
      </w:r>
      <w:r w:rsidR="00C6557D">
        <w:t xml:space="preserve"> for NGHGI </w:t>
      </w:r>
      <w:r w:rsidR="00C826B3">
        <w:t>improvements</w:t>
      </w:r>
      <w:r w:rsidR="00E80D45">
        <w:t>.</w:t>
      </w:r>
      <w:r>
        <w:t xml:space="preserve"> </w:t>
      </w:r>
      <w:r w:rsidR="00696A7B">
        <w:t xml:space="preserve">To determine which countries to include in our review, we </w:t>
      </w:r>
      <w:r w:rsidR="00E80D45">
        <w:t xml:space="preserve">used the </w:t>
      </w:r>
      <w:r>
        <w:t>Mooney et al. (in press)</w:t>
      </w:r>
      <w:r w:rsidR="00E80D45">
        <w:t xml:space="preserve"> dataset on the most recent</w:t>
      </w:r>
      <w:r w:rsidR="00C826B3">
        <w:t>ly reported</w:t>
      </w:r>
      <w:r w:rsidR="00E80D45">
        <w:t xml:space="preserve"> NGHGI </w:t>
      </w:r>
      <w:r w:rsidR="00CF2751">
        <w:t>values</w:t>
      </w:r>
      <w:r w:rsidR="00E80D45">
        <w:t xml:space="preserve"> for 63 countries </w:t>
      </w:r>
      <w:r w:rsidR="00CF2751">
        <w:t xml:space="preserve">with the largest </w:t>
      </w:r>
      <w:r w:rsidR="00E80D45">
        <w:t>economy-wide GHG emissions</w:t>
      </w:r>
      <w:r w:rsidR="00C826B3">
        <w:t>. Out of these 63 countries, we</w:t>
      </w:r>
      <w:r w:rsidR="00696A7B">
        <w:t xml:space="preserve"> </w:t>
      </w:r>
      <w:r w:rsidR="00C826B3">
        <w:t xml:space="preserve">focus on the </w:t>
      </w:r>
      <w:r w:rsidR="00696A7B">
        <w:t>20 with the largest reported LULUCF fluxes in absolute value</w:t>
      </w:r>
      <w:r w:rsidR="00E80D45">
        <w:t>.</w:t>
      </w:r>
      <w:r>
        <w:t xml:space="preserve"> For countries not included in the Mooney et al.</w:t>
      </w:r>
      <w:r w:rsidR="00CE6EB0">
        <w:t xml:space="preserve"> (in press)</w:t>
      </w:r>
      <w:r>
        <w:t xml:space="preserve"> dataset, </w:t>
      </w:r>
      <w:r w:rsidR="00034E69">
        <w:t xml:space="preserve">we </w:t>
      </w:r>
      <w:r w:rsidR="00CE6EB0">
        <w:t>use</w:t>
      </w:r>
      <w:r w:rsidR="00034E69">
        <w:t xml:space="preserve"> the </w:t>
      </w:r>
      <w:r w:rsidR="00CE6EB0">
        <w:t>Climate Analysis Indicators Tool (CAIT 2021)</w:t>
      </w:r>
      <w:r w:rsidR="006D077B">
        <w:t xml:space="preserve"> to find NGHGI LULUCF fluxes</w:t>
      </w:r>
      <w:r w:rsidR="00DF015A">
        <w:t xml:space="preserve"> for the rest of the world</w:t>
      </w:r>
      <w:r w:rsidR="00696A7B">
        <w:t>, which allowed us to calculate the percentage of global LULUCF fluxes (where the most recent inventory year is 2010 or later) included in Table 1 (65%)</w:t>
      </w:r>
      <w:r w:rsidR="00CE6EB0">
        <w:t xml:space="preserve">. </w:t>
      </w:r>
      <w:r w:rsidR="00AA1F20">
        <w:t>European Union Member States are treated individually in this analysis because NGHGI methodological tiers and uncertainty methods are determined at national level.</w:t>
      </w:r>
    </w:p>
    <w:p w14:paraId="52CB8443" w14:textId="6C4FCFD1" w:rsidR="00AA1F20" w:rsidRDefault="00AA1F20" w:rsidP="0076408E">
      <w:pPr>
        <w:spacing w:line="254" w:lineRule="auto"/>
      </w:pPr>
      <w:r>
        <w:t>Note that CAIT and NGHGI data aggregated by the U.N. Framework Convention on Climate Change (UNFCCC)</w:t>
      </w:r>
      <w:r>
        <w:rPr>
          <w:rStyle w:val="FootnoteReference"/>
        </w:rPr>
        <w:footnoteReference w:id="1"/>
      </w:r>
      <w:r>
        <w:t xml:space="preserve"> do not have the most recent NGHGI data for all countries, which is why we used the Mooney et al. (in press) dataset for the largest emitting countries (CAIT 2021, UNFCCC 2021</w:t>
      </w:r>
      <w:r w:rsidR="00D03670">
        <w:t>a</w:t>
      </w:r>
      <w:r>
        <w:t xml:space="preserve">). </w:t>
      </w:r>
    </w:p>
    <w:p w14:paraId="1BB388DF" w14:textId="21E969E0" w:rsidR="003443E2" w:rsidRDefault="00EE42B7" w:rsidP="0076408E">
      <w:pPr>
        <w:spacing w:line="254" w:lineRule="auto"/>
      </w:pPr>
      <w:r>
        <w:t>The results of the NGHGI re</w:t>
      </w:r>
      <w:r w:rsidR="00C33944">
        <w:t>view are summarized in Table 1 in the main text (described as columns (1)-(8))</w:t>
      </w:r>
      <w:r>
        <w:t>.</w:t>
      </w:r>
      <w:r w:rsidR="00C33944">
        <w:t xml:space="preserve"> We provide additional detail on sources of information in Table 1-1 below (described as columns (9)-(</w:t>
      </w:r>
      <w:r w:rsidR="00696A7B">
        <w:t>14</w:t>
      </w:r>
      <w:r w:rsidR="00C33944">
        <w:t>)).</w:t>
      </w:r>
    </w:p>
    <w:p w14:paraId="690FEAB9" w14:textId="706ECF87" w:rsidR="00696A7B" w:rsidRPr="0076408E" w:rsidRDefault="00696A7B" w:rsidP="0076408E">
      <w:pPr>
        <w:spacing w:line="254" w:lineRule="auto"/>
        <w:rPr>
          <w:rFonts w:ascii="Calibri" w:eastAsia="Calibri" w:hAnsi="Calibri" w:cs="Calibri"/>
        </w:rPr>
      </w:pPr>
      <w:r w:rsidRPr="00E13482">
        <w:rPr>
          <w:rFonts w:ascii="Calibri" w:eastAsia="Calibri" w:hAnsi="Calibri" w:cs="Calibri"/>
        </w:rPr>
        <w:t>Column (9) specifies the official data sources reviewed</w:t>
      </w:r>
      <w:r>
        <w:rPr>
          <w:rFonts w:ascii="Calibri" w:eastAsia="Calibri" w:hAnsi="Calibri" w:cs="Calibri"/>
        </w:rPr>
        <w:t xml:space="preserve"> for each country</w:t>
      </w:r>
      <w:r w:rsidRPr="00E13482">
        <w:rPr>
          <w:rFonts w:ascii="Calibri" w:eastAsia="Calibri" w:hAnsi="Calibri" w:cs="Calibri"/>
        </w:rPr>
        <w:t>, limited to national reports submitted to the UNFCCC, including Biennial Update Reports (BUR), National Communications (NC), and National Inventory Reports (NIR).</w:t>
      </w:r>
      <w:r w:rsidR="00D03670">
        <w:rPr>
          <w:rFonts w:ascii="Calibri" w:eastAsia="Calibri" w:hAnsi="Calibri" w:cs="Calibri"/>
        </w:rPr>
        <w:t xml:space="preserve"> These reports are retrieved from the UNFCCC website (2021b, 2021c, 2021d).</w:t>
      </w:r>
      <w:r>
        <w:rPr>
          <w:rFonts w:ascii="Calibri" w:eastAsia="Calibri" w:hAnsi="Calibri" w:cs="Calibri"/>
        </w:rPr>
        <w:t xml:space="preserve"> </w:t>
      </w:r>
      <w:r>
        <w:t>All values in Tables 1 and 1-1 correspond to the most recent inventory year provided, shown in column (10)</w:t>
      </w:r>
      <w:r w:rsidR="000A553A">
        <w:t>, except where noted otherwise</w:t>
      </w:r>
      <w:r>
        <w:t>.</w:t>
      </w:r>
      <w:r w:rsidR="00D03670">
        <w:t xml:space="preserve"> </w:t>
      </w:r>
    </w:p>
    <w:p w14:paraId="2A261F02" w14:textId="1CA1FB2B" w:rsidR="006D077B" w:rsidRPr="00D477BB" w:rsidRDefault="006D077B" w:rsidP="0076408E">
      <w:pPr>
        <w:spacing w:line="254" w:lineRule="auto"/>
      </w:pPr>
      <w:r>
        <w:t>All GHG flux values in columns (</w:t>
      </w:r>
      <w:r w:rsidR="00C33944">
        <w:t>2</w:t>
      </w:r>
      <w:r>
        <w:t>) and (</w:t>
      </w:r>
      <w:r w:rsidR="00C33944">
        <w:t>3</w:t>
      </w:r>
      <w:r>
        <w:t>) of Table 1 use IPCC Assessment Report 5 Global Warming Potentials (AR5 GWP) for CH</w:t>
      </w:r>
      <w:r w:rsidRPr="0076408E">
        <w:rPr>
          <w:vertAlign w:val="subscript"/>
        </w:rPr>
        <w:t>4</w:t>
      </w:r>
      <w:r>
        <w:t xml:space="preserve"> and N</w:t>
      </w:r>
      <w:r w:rsidRPr="0076408E">
        <w:rPr>
          <w:vertAlign w:val="subscript"/>
        </w:rPr>
        <w:t>2</w:t>
      </w:r>
      <w:r>
        <w:t>O emissions, consistent with Mooney et al. (in press). F-</w:t>
      </w:r>
      <w:r w:rsidR="00EE42B7">
        <w:t>gases</w:t>
      </w:r>
      <w:r>
        <w:t xml:space="preserve"> are included in column (</w:t>
      </w:r>
      <w:r w:rsidR="00C33944">
        <w:t>3</w:t>
      </w:r>
      <w:r>
        <w:t xml:space="preserve">) using </w:t>
      </w:r>
      <w:r w:rsidR="00EE42B7">
        <w:t xml:space="preserve">originally-reported </w:t>
      </w:r>
      <w:r>
        <w:t xml:space="preserve">GWPs </w:t>
      </w:r>
      <w:r w:rsidR="00EE42B7">
        <w:t xml:space="preserve">(either IPCC Fourth Assessment Report or Second Assessment Report) due to insufficient reporting </w:t>
      </w:r>
      <w:r w:rsidR="00DF015A">
        <w:t xml:space="preserve">detail </w:t>
      </w:r>
      <w:r w:rsidR="00EE42B7">
        <w:t>by gas</w:t>
      </w:r>
      <w:r>
        <w:t>.</w:t>
      </w:r>
      <w:r w:rsidR="00696A7B">
        <w:t xml:space="preserve"> </w:t>
      </w:r>
      <w:r>
        <w:t xml:space="preserve">To find the percentage of LULUCF fluxes calculated using Tier 3 methods (column </w:t>
      </w:r>
      <w:r w:rsidR="00C33944">
        <w:t>(4</w:t>
      </w:r>
      <w:r>
        <w:t>)), we assume any LULUCF inventory category that includes the Tier 3 label, as reported in column (11)</w:t>
      </w:r>
      <w:r w:rsidR="00C33944">
        <w:t xml:space="preserve"> in Table 1-1</w:t>
      </w:r>
      <w:r>
        <w:t xml:space="preserve">, is entirely estimated using Tier 3. We must specify this assumption since inventory categories may be labeled with multiple Tiers. We calculate </w:t>
      </w:r>
      <w:r>
        <w:lastRenderedPageBreak/>
        <w:t>percentage Tier 3 b</w:t>
      </w:r>
      <w:r w:rsidR="00AA1F20">
        <w:t>y taking the absolute value of each LULUCF inventory category flux</w:t>
      </w:r>
      <w:r>
        <w:t xml:space="preserve"> as reported in column (12) and finding the proportion of </w:t>
      </w:r>
      <w:r w:rsidR="00DF015A">
        <w:t xml:space="preserve">flux </w:t>
      </w:r>
      <w:r>
        <w:t>absolute values labeled Tier 3.</w:t>
      </w:r>
    </w:p>
    <w:p w14:paraId="1A66A6DA" w14:textId="1D78D861" w:rsidR="00EE42B7" w:rsidRDefault="006D077B" w:rsidP="0076408E">
      <w:pPr>
        <w:spacing w:line="254" w:lineRule="auto"/>
        <w:rPr>
          <w:rFonts w:ascii="Calibri" w:eastAsia="Calibri" w:hAnsi="Calibri" w:cs="Calibri"/>
        </w:rPr>
      </w:pPr>
      <w:r>
        <w:rPr>
          <w:rFonts w:ascii="Calibri" w:eastAsia="Calibri" w:hAnsi="Calibri" w:cs="Calibri"/>
        </w:rPr>
        <w:t xml:space="preserve">For NGHGIs that only provide uncertainty estimates </w:t>
      </w:r>
      <w:r w:rsidR="00EE42B7">
        <w:rPr>
          <w:rFonts w:ascii="Calibri" w:eastAsia="Calibri" w:hAnsi="Calibri" w:cs="Calibri"/>
        </w:rPr>
        <w:t xml:space="preserve">by </w:t>
      </w:r>
      <w:r>
        <w:rPr>
          <w:rFonts w:ascii="Calibri" w:eastAsia="Calibri" w:hAnsi="Calibri" w:cs="Calibri"/>
        </w:rPr>
        <w:t>in</w:t>
      </w:r>
      <w:r w:rsidR="00EE42B7">
        <w:rPr>
          <w:rFonts w:ascii="Calibri" w:eastAsia="Calibri" w:hAnsi="Calibri" w:cs="Calibri"/>
        </w:rPr>
        <w:t>ventory category</w:t>
      </w:r>
      <w:r>
        <w:rPr>
          <w:rFonts w:ascii="Calibri" w:eastAsia="Calibri" w:hAnsi="Calibri" w:cs="Calibri"/>
        </w:rPr>
        <w:t xml:space="preserve">, we calculate sector-wide uncertainty </w:t>
      </w:r>
      <w:r w:rsidR="00696A7B">
        <w:rPr>
          <w:rFonts w:ascii="Calibri" w:eastAsia="Calibri" w:hAnsi="Calibri" w:cs="Calibri"/>
        </w:rPr>
        <w:t xml:space="preserve">(column (6)) </w:t>
      </w:r>
      <w:r>
        <w:rPr>
          <w:rFonts w:ascii="Calibri" w:eastAsia="Calibri" w:hAnsi="Calibri" w:cs="Calibri"/>
        </w:rPr>
        <w:t>using error propagation</w:t>
      </w:r>
      <w:r w:rsidR="00696A7B">
        <w:rPr>
          <w:rFonts w:ascii="Calibri" w:eastAsia="Calibri" w:hAnsi="Calibri" w:cs="Calibri"/>
        </w:rPr>
        <w:t xml:space="preserve"> and </w:t>
      </w:r>
      <w:r w:rsidR="00AA1F20">
        <w:rPr>
          <w:rFonts w:ascii="Calibri" w:eastAsia="Calibri" w:hAnsi="Calibri" w:cs="Calibri"/>
        </w:rPr>
        <w:t xml:space="preserve">inventory category uncertainty data </w:t>
      </w:r>
      <w:r w:rsidR="00696A7B">
        <w:rPr>
          <w:rFonts w:ascii="Calibri" w:eastAsia="Calibri" w:hAnsi="Calibri" w:cs="Calibri"/>
        </w:rPr>
        <w:t>provided by the source in column (14)</w:t>
      </w:r>
      <w:r>
        <w:rPr>
          <w:rFonts w:ascii="Calibri" w:eastAsia="Calibri" w:hAnsi="Calibri" w:cs="Calibri"/>
        </w:rPr>
        <w:t>.</w:t>
      </w:r>
      <w:r w:rsidR="00EE42B7">
        <w:rPr>
          <w:rFonts w:ascii="Calibri" w:eastAsia="Calibri" w:hAnsi="Calibri" w:cs="Calibri"/>
        </w:rPr>
        <w:t xml:space="preserve"> </w:t>
      </w:r>
    </w:p>
    <w:p w14:paraId="4318546C" w14:textId="79DF0804" w:rsidR="00EE42B7" w:rsidRDefault="00EE42B7" w:rsidP="0076408E">
      <w:pPr>
        <w:spacing w:line="254" w:lineRule="auto"/>
        <w:rPr>
          <w:rFonts w:ascii="Calibri" w:eastAsia="Calibri" w:hAnsi="Calibri" w:cs="Calibri"/>
        </w:rPr>
      </w:pPr>
      <w:r>
        <w:rPr>
          <w:rFonts w:ascii="Calibri" w:eastAsia="Calibri" w:hAnsi="Calibri" w:cs="Calibri"/>
        </w:rPr>
        <w:t>Column (</w:t>
      </w:r>
      <w:r w:rsidR="00696A7B">
        <w:rPr>
          <w:rFonts w:ascii="Calibri" w:eastAsia="Calibri" w:hAnsi="Calibri" w:cs="Calibri"/>
        </w:rPr>
        <w:t>8</w:t>
      </w:r>
      <w:r>
        <w:rPr>
          <w:rFonts w:ascii="Calibri" w:eastAsia="Calibri" w:hAnsi="Calibri" w:cs="Calibri"/>
        </w:rPr>
        <w:t>) shows the reduction in LULUCF GHG emissions between 2010 and 2030 as indicated in each country’s first nationally determined contribution (NDC). These values are taken directly from Grassi et al. (2017), Supplementary Table 5. By comparing column</w:t>
      </w:r>
      <w:r w:rsidR="00696A7B">
        <w:rPr>
          <w:rFonts w:ascii="Calibri" w:eastAsia="Calibri" w:hAnsi="Calibri" w:cs="Calibri"/>
        </w:rPr>
        <w:t>s (7</w:t>
      </w:r>
      <w:r>
        <w:rPr>
          <w:rFonts w:ascii="Calibri" w:eastAsia="Calibri" w:hAnsi="Calibri" w:cs="Calibri"/>
        </w:rPr>
        <w:t>) and (</w:t>
      </w:r>
      <w:r w:rsidR="00696A7B">
        <w:rPr>
          <w:rFonts w:ascii="Calibri" w:eastAsia="Calibri" w:hAnsi="Calibri" w:cs="Calibri"/>
        </w:rPr>
        <w:t>8</w:t>
      </w:r>
      <w:r>
        <w:rPr>
          <w:rFonts w:ascii="Calibri" w:eastAsia="Calibri" w:hAnsi="Calibri" w:cs="Calibri"/>
        </w:rPr>
        <w:t xml:space="preserve">), we find that four </w:t>
      </w:r>
      <w:r w:rsidR="007643A7">
        <w:rPr>
          <w:rFonts w:ascii="Calibri" w:eastAsia="Calibri" w:hAnsi="Calibri" w:cs="Calibri"/>
        </w:rPr>
        <w:t xml:space="preserve">(China, United States, Russia, India) </w:t>
      </w:r>
      <w:r>
        <w:rPr>
          <w:rFonts w:ascii="Calibri" w:eastAsia="Calibri" w:hAnsi="Calibri" w:cs="Calibri"/>
        </w:rPr>
        <w:t xml:space="preserve">of the </w:t>
      </w:r>
      <w:r w:rsidR="00DF015A">
        <w:rPr>
          <w:rFonts w:ascii="Calibri" w:eastAsia="Calibri" w:hAnsi="Calibri" w:cs="Calibri"/>
        </w:rPr>
        <w:t>five largest</w:t>
      </w:r>
      <w:r>
        <w:rPr>
          <w:rFonts w:ascii="Calibri" w:eastAsia="Calibri" w:hAnsi="Calibri" w:cs="Calibri"/>
        </w:rPr>
        <w:t xml:space="preserve"> countries</w:t>
      </w:r>
      <w:r w:rsidR="00DF015A">
        <w:rPr>
          <w:rFonts w:ascii="Calibri" w:eastAsia="Calibri" w:hAnsi="Calibri" w:cs="Calibri"/>
        </w:rPr>
        <w:t xml:space="preserve"> </w:t>
      </w:r>
      <w:r w:rsidR="00696A7B">
        <w:rPr>
          <w:rFonts w:ascii="Calibri" w:eastAsia="Calibri" w:hAnsi="Calibri" w:cs="Calibri"/>
        </w:rPr>
        <w:t>reviewed</w:t>
      </w:r>
      <w:r>
        <w:rPr>
          <w:rFonts w:ascii="Calibri" w:eastAsia="Calibri" w:hAnsi="Calibri" w:cs="Calibri"/>
        </w:rPr>
        <w:t xml:space="preserve"> indicated </w:t>
      </w:r>
      <w:r w:rsidR="00DF015A">
        <w:rPr>
          <w:rFonts w:ascii="Calibri" w:eastAsia="Calibri" w:hAnsi="Calibri" w:cs="Calibri"/>
        </w:rPr>
        <w:t xml:space="preserve">NDC </w:t>
      </w:r>
      <w:r>
        <w:rPr>
          <w:rFonts w:ascii="Calibri" w:eastAsia="Calibri" w:hAnsi="Calibri" w:cs="Calibri"/>
        </w:rPr>
        <w:t>LULUCF emissions reductions that are smaller than the estimation error indicated by the 95% confidence interval.</w:t>
      </w:r>
      <w:r w:rsidR="007643A7">
        <w:rPr>
          <w:rFonts w:ascii="Calibri" w:eastAsia="Calibri" w:hAnsi="Calibri" w:cs="Calibri"/>
        </w:rPr>
        <w:t xml:space="preserve"> We include India in this group because they do not provide LULUCF uncertainty estimates</w:t>
      </w:r>
      <w:r w:rsidR="00DF015A">
        <w:rPr>
          <w:rFonts w:ascii="Calibri" w:eastAsia="Calibri" w:hAnsi="Calibri" w:cs="Calibri"/>
        </w:rPr>
        <w:t>,</w:t>
      </w:r>
      <w:r w:rsidR="007643A7">
        <w:rPr>
          <w:rFonts w:ascii="Calibri" w:eastAsia="Calibri" w:hAnsi="Calibri" w:cs="Calibri"/>
        </w:rPr>
        <w:t xml:space="preserve"> so we have no way to </w:t>
      </w:r>
      <w:proofErr w:type="gramStart"/>
      <w:r w:rsidR="007643A7">
        <w:rPr>
          <w:rFonts w:ascii="Calibri" w:eastAsia="Calibri" w:hAnsi="Calibri" w:cs="Calibri"/>
        </w:rPr>
        <w:t>bound</w:t>
      </w:r>
      <w:proofErr w:type="gramEnd"/>
      <w:r w:rsidR="007643A7">
        <w:rPr>
          <w:rFonts w:ascii="Calibri" w:eastAsia="Calibri" w:hAnsi="Calibri" w:cs="Calibri"/>
        </w:rPr>
        <w:t xml:space="preserve"> their estimation error. In their discussion of “critical relative uncertainty,” </w:t>
      </w:r>
      <w:r>
        <w:rPr>
          <w:rFonts w:ascii="Calibri" w:eastAsia="Calibri" w:hAnsi="Calibri" w:cs="Calibri"/>
        </w:rPr>
        <w:t>Jonas et al.</w:t>
      </w:r>
      <w:r w:rsidR="007643A7">
        <w:rPr>
          <w:rFonts w:ascii="Calibri" w:eastAsia="Calibri" w:hAnsi="Calibri" w:cs="Calibri"/>
        </w:rPr>
        <w:t xml:space="preserve"> (2010) suggest that the fundamental criterion for signal detection, or the ability to claim emissions reductions</w:t>
      </w:r>
      <w:r w:rsidR="00DF015A">
        <w:rPr>
          <w:rFonts w:ascii="Calibri" w:eastAsia="Calibri" w:hAnsi="Calibri" w:cs="Calibri"/>
        </w:rPr>
        <w:t xml:space="preserve"> at some level of statistical significance</w:t>
      </w:r>
      <w:r w:rsidR="007643A7">
        <w:rPr>
          <w:rFonts w:ascii="Calibri" w:eastAsia="Calibri" w:hAnsi="Calibri" w:cs="Calibri"/>
        </w:rPr>
        <w:t xml:space="preserve">, is that the absolute value of the change in emissions </w:t>
      </w:r>
      <w:r w:rsidR="0033172E">
        <w:rPr>
          <w:rFonts w:ascii="Calibri" w:eastAsia="Calibri" w:hAnsi="Calibri" w:cs="Calibri"/>
        </w:rPr>
        <w:t xml:space="preserve">must </w:t>
      </w:r>
      <w:r w:rsidR="00857936">
        <w:rPr>
          <w:rFonts w:ascii="Calibri" w:eastAsia="Calibri" w:hAnsi="Calibri" w:cs="Calibri"/>
        </w:rPr>
        <w:t>be less than</w:t>
      </w:r>
      <w:r w:rsidR="007643A7">
        <w:rPr>
          <w:rFonts w:ascii="Calibri" w:eastAsia="Calibri" w:hAnsi="Calibri" w:cs="Calibri"/>
        </w:rPr>
        <w:t xml:space="preserve"> the estimation error in the commitment year (in this case, 2030). Assuming </w:t>
      </w:r>
      <w:r w:rsidR="00DF015A">
        <w:rPr>
          <w:rFonts w:ascii="Calibri" w:eastAsia="Calibri" w:hAnsi="Calibri" w:cs="Calibri"/>
        </w:rPr>
        <w:t xml:space="preserve">negligible change in LULUCF uncertainty between the most recent inventory year and 2030, China, the United States, Russia, and India </w:t>
      </w:r>
      <w:r w:rsidR="00AA1F20">
        <w:rPr>
          <w:rFonts w:ascii="Calibri" w:eastAsia="Calibri" w:hAnsi="Calibri" w:cs="Calibri"/>
        </w:rPr>
        <w:t xml:space="preserve">are at risk of </w:t>
      </w:r>
      <w:r w:rsidR="00DF015A">
        <w:rPr>
          <w:rFonts w:ascii="Calibri" w:eastAsia="Calibri" w:hAnsi="Calibri" w:cs="Calibri"/>
        </w:rPr>
        <w:t>fail</w:t>
      </w:r>
      <w:r w:rsidR="00AA1F20">
        <w:rPr>
          <w:rFonts w:ascii="Calibri" w:eastAsia="Calibri" w:hAnsi="Calibri" w:cs="Calibri"/>
        </w:rPr>
        <w:t>ing</w:t>
      </w:r>
      <w:r w:rsidR="00DF015A">
        <w:rPr>
          <w:rFonts w:ascii="Calibri" w:eastAsia="Calibri" w:hAnsi="Calibri" w:cs="Calibri"/>
        </w:rPr>
        <w:t xml:space="preserve"> this criterion at the 95% confidence level.  </w:t>
      </w:r>
      <w:r w:rsidR="007643A7">
        <w:rPr>
          <w:rFonts w:ascii="Calibri" w:eastAsia="Calibri" w:hAnsi="Calibri" w:cs="Calibri"/>
        </w:rPr>
        <w:t xml:space="preserve"> </w:t>
      </w:r>
      <w:r>
        <w:rPr>
          <w:rFonts w:ascii="Calibri" w:eastAsia="Calibri" w:hAnsi="Calibri" w:cs="Calibri"/>
        </w:rPr>
        <w:t xml:space="preserve"> </w:t>
      </w:r>
    </w:p>
    <w:p w14:paraId="71C583D9" w14:textId="702BCB7F" w:rsidR="00DF015A" w:rsidRDefault="00DF015A" w:rsidP="0076408E">
      <w:pPr>
        <w:spacing w:line="254" w:lineRule="auto"/>
        <w:rPr>
          <w:rFonts w:ascii="Calibri" w:eastAsia="Calibri" w:hAnsi="Calibri" w:cs="Calibri"/>
        </w:rPr>
      </w:pPr>
      <w:r>
        <w:rPr>
          <w:rFonts w:ascii="Calibri" w:eastAsia="Calibri" w:hAnsi="Calibri" w:cs="Calibri"/>
        </w:rPr>
        <w:t>We also reviewed NGHGIs for qualitative description of their uncertainty estimation methods. For Tier 3 inventory categories, we sought to determine whether uncertainty methods were transparently described or cited in published material, and whether the uncertainty method describe clarified which sources of uncertainty were included. For Tier 1 and 2 inventory categories, we looked for descriptions of underlying data, estimates of standard errors or other uncertainty measures for key inputs, and descriptions of methods for estimating standard errors or other uncertainty measures. We found that the level of transparency of uncertainty methods</w:t>
      </w:r>
      <w:r w:rsidR="00696A7B">
        <w:rPr>
          <w:rFonts w:ascii="Calibri" w:eastAsia="Calibri" w:hAnsi="Calibri" w:cs="Calibri"/>
        </w:rPr>
        <w:t xml:space="preserve"> could vary</w:t>
      </w:r>
      <w:r>
        <w:rPr>
          <w:rFonts w:ascii="Calibri" w:eastAsia="Calibri" w:hAnsi="Calibri" w:cs="Calibri"/>
        </w:rPr>
        <w:t xml:space="preserve"> across inventory categories even within a NGHGI, and so it was difficult to indicate </w:t>
      </w:r>
      <w:r w:rsidR="00696A7B">
        <w:rPr>
          <w:rFonts w:ascii="Calibri" w:eastAsia="Calibri" w:hAnsi="Calibri" w:cs="Calibri"/>
        </w:rPr>
        <w:t>the extent to which</w:t>
      </w:r>
      <w:r>
        <w:rPr>
          <w:rFonts w:ascii="Calibri" w:eastAsia="Calibri" w:hAnsi="Calibri" w:cs="Calibri"/>
        </w:rPr>
        <w:t xml:space="preserve"> </w:t>
      </w:r>
      <w:r w:rsidR="00696A7B">
        <w:rPr>
          <w:rFonts w:ascii="Calibri" w:eastAsia="Calibri" w:hAnsi="Calibri" w:cs="Calibri"/>
        </w:rPr>
        <w:t>each criterion was</w:t>
      </w:r>
      <w:r>
        <w:rPr>
          <w:rFonts w:ascii="Calibri" w:eastAsia="Calibri" w:hAnsi="Calibri" w:cs="Calibri"/>
        </w:rPr>
        <w:t xml:space="preserve"> met </w:t>
      </w:r>
      <w:r w:rsidR="00696A7B">
        <w:rPr>
          <w:rFonts w:ascii="Calibri" w:eastAsia="Calibri" w:hAnsi="Calibri" w:cs="Calibri"/>
        </w:rPr>
        <w:t>by a given country</w:t>
      </w:r>
      <w:r>
        <w:rPr>
          <w:rFonts w:ascii="Calibri" w:eastAsia="Calibri" w:hAnsi="Calibri" w:cs="Calibri"/>
        </w:rPr>
        <w:t xml:space="preserve">. We therefore summarize general qualitative findings in the main text.   </w:t>
      </w:r>
    </w:p>
    <w:p w14:paraId="6EBEC6F8" w14:textId="2CB6864F" w:rsidR="00DF015A" w:rsidRDefault="00612E79" w:rsidP="0076408E">
      <w:pPr>
        <w:spacing w:line="254" w:lineRule="auto"/>
        <w:rPr>
          <w:rFonts w:ascii="Calibri" w:eastAsia="Calibri" w:hAnsi="Calibri" w:cs="Calibri"/>
        </w:rPr>
      </w:pPr>
      <w:r w:rsidRPr="00D477BB">
        <w:rPr>
          <w:rFonts w:ascii="Calibri" w:eastAsia="Calibri" w:hAnsi="Calibri" w:cs="Calibri"/>
        </w:rPr>
        <w:t>There are two en</w:t>
      </w:r>
      <w:r>
        <w:rPr>
          <w:rFonts w:ascii="Calibri" w:eastAsia="Calibri" w:hAnsi="Calibri" w:cs="Calibri"/>
        </w:rPr>
        <w:t xml:space="preserve">tries for </w:t>
      </w:r>
      <w:r w:rsidRPr="0076408E">
        <w:rPr>
          <w:rFonts w:ascii="Calibri" w:eastAsia="Calibri" w:hAnsi="Calibri" w:cs="Calibri"/>
        </w:rPr>
        <w:t xml:space="preserve">Brazil </w:t>
      </w:r>
      <w:r>
        <w:rPr>
          <w:rFonts w:ascii="Calibri" w:eastAsia="Calibri" w:hAnsi="Calibri" w:cs="Calibri"/>
        </w:rPr>
        <w:t xml:space="preserve">in Table 1-1, due to the unusual circumstance that Brazil </w:t>
      </w:r>
      <w:r w:rsidRPr="0076408E">
        <w:rPr>
          <w:rFonts w:ascii="Calibri" w:eastAsia="Calibri" w:hAnsi="Calibri" w:cs="Calibri"/>
        </w:rPr>
        <w:t xml:space="preserve">reports different values for columns </w:t>
      </w:r>
      <w:r w:rsidRPr="00D477BB">
        <w:rPr>
          <w:rFonts w:ascii="Calibri" w:eastAsia="Calibri" w:hAnsi="Calibri" w:cs="Calibri"/>
        </w:rPr>
        <w:t>(2</w:t>
      </w:r>
      <w:r w:rsidRPr="0076408E">
        <w:rPr>
          <w:rFonts w:ascii="Calibri" w:eastAsia="Calibri" w:hAnsi="Calibri" w:cs="Calibri"/>
        </w:rPr>
        <w:t>), (</w:t>
      </w:r>
      <w:r>
        <w:rPr>
          <w:rFonts w:ascii="Calibri" w:eastAsia="Calibri" w:hAnsi="Calibri" w:cs="Calibri"/>
        </w:rPr>
        <w:t>3</w:t>
      </w:r>
      <w:r w:rsidRPr="0076408E">
        <w:rPr>
          <w:rFonts w:ascii="Calibri" w:eastAsia="Calibri" w:hAnsi="Calibri" w:cs="Calibri"/>
        </w:rPr>
        <w:t xml:space="preserve">), </w:t>
      </w:r>
      <w:r>
        <w:rPr>
          <w:rFonts w:ascii="Calibri" w:eastAsia="Calibri" w:hAnsi="Calibri" w:cs="Calibri"/>
        </w:rPr>
        <w:t xml:space="preserve">(4), </w:t>
      </w:r>
      <w:r w:rsidRPr="0076408E">
        <w:rPr>
          <w:rFonts w:ascii="Calibri" w:eastAsia="Calibri" w:hAnsi="Calibri" w:cs="Calibri"/>
        </w:rPr>
        <w:t>and (</w:t>
      </w:r>
      <w:r>
        <w:rPr>
          <w:rFonts w:ascii="Calibri" w:eastAsia="Calibri" w:hAnsi="Calibri" w:cs="Calibri"/>
        </w:rPr>
        <w:t>6</w:t>
      </w:r>
      <w:r w:rsidRPr="0076408E">
        <w:rPr>
          <w:rFonts w:ascii="Calibri" w:eastAsia="Calibri" w:hAnsi="Calibri" w:cs="Calibri"/>
        </w:rPr>
        <w:t xml:space="preserve">) </w:t>
      </w:r>
      <w:r>
        <w:rPr>
          <w:rFonts w:ascii="Calibri" w:eastAsia="Calibri" w:hAnsi="Calibri" w:cs="Calibri"/>
        </w:rPr>
        <w:t xml:space="preserve">in the NGHGIs included in </w:t>
      </w:r>
      <w:r w:rsidRPr="0076408E">
        <w:rPr>
          <w:rFonts w:ascii="Calibri" w:eastAsia="Calibri" w:hAnsi="Calibri" w:cs="Calibri"/>
        </w:rPr>
        <w:t xml:space="preserve">its </w:t>
      </w:r>
      <w:r>
        <w:rPr>
          <w:rFonts w:ascii="Calibri" w:eastAsia="Calibri" w:hAnsi="Calibri" w:cs="Calibri"/>
        </w:rPr>
        <w:t>Fourth Biennial Report (</w:t>
      </w:r>
      <w:r w:rsidRPr="0076408E">
        <w:rPr>
          <w:rFonts w:ascii="Calibri" w:eastAsia="Calibri" w:hAnsi="Calibri" w:cs="Calibri"/>
        </w:rPr>
        <w:t>BUR4</w:t>
      </w:r>
      <w:r>
        <w:rPr>
          <w:rFonts w:ascii="Calibri" w:eastAsia="Calibri" w:hAnsi="Calibri" w:cs="Calibri"/>
        </w:rPr>
        <w:t>)</w:t>
      </w:r>
      <w:r w:rsidRPr="0076408E">
        <w:rPr>
          <w:rFonts w:ascii="Calibri" w:eastAsia="Calibri" w:hAnsi="Calibri" w:cs="Calibri"/>
        </w:rPr>
        <w:t xml:space="preserve"> and </w:t>
      </w:r>
      <w:r>
        <w:rPr>
          <w:rFonts w:ascii="Calibri" w:eastAsia="Calibri" w:hAnsi="Calibri" w:cs="Calibri"/>
        </w:rPr>
        <w:t>its Fourth National Communication (</w:t>
      </w:r>
      <w:r w:rsidRPr="0076408E">
        <w:rPr>
          <w:rFonts w:ascii="Calibri" w:eastAsia="Calibri" w:hAnsi="Calibri" w:cs="Calibri"/>
        </w:rPr>
        <w:t>NC4</w:t>
      </w:r>
      <w:r>
        <w:rPr>
          <w:rFonts w:ascii="Calibri" w:eastAsia="Calibri" w:hAnsi="Calibri" w:cs="Calibri"/>
        </w:rPr>
        <w:t>)</w:t>
      </w:r>
      <w:r w:rsidRPr="0076408E">
        <w:rPr>
          <w:rFonts w:ascii="Calibri" w:eastAsia="Calibri" w:hAnsi="Calibri" w:cs="Calibri"/>
        </w:rPr>
        <w:t>.</w:t>
      </w:r>
      <w:r>
        <w:rPr>
          <w:rFonts w:ascii="Calibri" w:eastAsia="Calibri" w:hAnsi="Calibri" w:cs="Calibri"/>
        </w:rPr>
        <w:t xml:space="preserve"> Values from</w:t>
      </w:r>
      <w:r w:rsidR="00AA1F20">
        <w:rPr>
          <w:rFonts w:ascii="Calibri" w:eastAsia="Calibri" w:hAnsi="Calibri" w:cs="Calibri"/>
        </w:rPr>
        <w:t xml:space="preserve"> Brazil’s</w:t>
      </w:r>
      <w:r>
        <w:rPr>
          <w:rFonts w:ascii="Calibri" w:eastAsia="Calibri" w:hAnsi="Calibri" w:cs="Calibri"/>
        </w:rPr>
        <w:t xml:space="preserve"> NC4 are reflected in Table 1.</w:t>
      </w:r>
      <w:r w:rsidRPr="0076408E">
        <w:rPr>
          <w:rFonts w:ascii="Calibri" w:eastAsia="Calibri" w:hAnsi="Calibri" w:cs="Calibri"/>
        </w:rPr>
        <w:t xml:space="preserve"> </w:t>
      </w:r>
      <w:r>
        <w:rPr>
          <w:rFonts w:ascii="Calibri" w:eastAsia="Calibri" w:hAnsi="Calibri" w:cs="Calibri"/>
        </w:rPr>
        <w:t xml:space="preserve">The differences between reports are large, so we list them in Table 1-2. </w:t>
      </w:r>
    </w:p>
    <w:p w14:paraId="68641087" w14:textId="77777777" w:rsidR="00D477BB" w:rsidRDefault="00D477BB" w:rsidP="0076408E">
      <w:pPr>
        <w:spacing w:line="254" w:lineRule="auto"/>
        <w:rPr>
          <w:b/>
          <w:i/>
          <w:sz w:val="20"/>
          <w:szCs w:val="20"/>
        </w:rPr>
      </w:pPr>
    </w:p>
    <w:p w14:paraId="2C09D28A" w14:textId="77777777" w:rsidR="00D477BB" w:rsidRDefault="00D477BB" w:rsidP="0076408E">
      <w:pPr>
        <w:spacing w:line="254" w:lineRule="auto"/>
        <w:rPr>
          <w:b/>
          <w:i/>
          <w:iCs/>
          <w:color w:val="44546A" w:themeColor="text2"/>
        </w:rPr>
      </w:pPr>
    </w:p>
    <w:p w14:paraId="0FDEBC19" w14:textId="77777777" w:rsidR="00D477BB" w:rsidRDefault="00D477BB" w:rsidP="0076408E">
      <w:pPr>
        <w:spacing w:line="254" w:lineRule="auto"/>
        <w:rPr>
          <w:b/>
          <w:i/>
          <w:iCs/>
          <w:color w:val="44546A" w:themeColor="text2"/>
        </w:rPr>
      </w:pPr>
    </w:p>
    <w:p w14:paraId="6EE2B4E4" w14:textId="77777777" w:rsidR="00D477BB" w:rsidRDefault="00D477BB" w:rsidP="0076408E">
      <w:pPr>
        <w:spacing w:line="254" w:lineRule="auto"/>
        <w:rPr>
          <w:b/>
          <w:i/>
          <w:iCs/>
          <w:color w:val="44546A" w:themeColor="text2"/>
        </w:rPr>
      </w:pPr>
    </w:p>
    <w:p w14:paraId="0A42764F" w14:textId="77777777" w:rsidR="00D477BB" w:rsidRDefault="00D477BB" w:rsidP="0076408E">
      <w:pPr>
        <w:spacing w:line="254" w:lineRule="auto"/>
        <w:rPr>
          <w:b/>
          <w:i/>
          <w:iCs/>
          <w:color w:val="44546A" w:themeColor="text2"/>
        </w:rPr>
      </w:pPr>
    </w:p>
    <w:p w14:paraId="32C16255" w14:textId="77777777" w:rsidR="00D477BB" w:rsidRDefault="00D477BB" w:rsidP="0076408E">
      <w:pPr>
        <w:spacing w:line="254" w:lineRule="auto"/>
        <w:rPr>
          <w:b/>
          <w:i/>
          <w:iCs/>
          <w:color w:val="44546A" w:themeColor="text2"/>
        </w:rPr>
      </w:pPr>
    </w:p>
    <w:p w14:paraId="3FE6221B" w14:textId="77777777" w:rsidR="00D477BB" w:rsidRDefault="00D477BB" w:rsidP="0076408E">
      <w:pPr>
        <w:spacing w:line="254" w:lineRule="auto"/>
        <w:rPr>
          <w:b/>
          <w:i/>
          <w:iCs/>
          <w:color w:val="44546A" w:themeColor="text2"/>
        </w:rPr>
      </w:pPr>
    </w:p>
    <w:p w14:paraId="7AB74DBB" w14:textId="77777777" w:rsidR="00D477BB" w:rsidRDefault="00D477BB" w:rsidP="0076408E">
      <w:pPr>
        <w:spacing w:line="254" w:lineRule="auto"/>
        <w:rPr>
          <w:b/>
          <w:i/>
          <w:iCs/>
          <w:color w:val="44546A" w:themeColor="text2"/>
        </w:rPr>
      </w:pPr>
    </w:p>
    <w:p w14:paraId="597922E6" w14:textId="6FB0D141" w:rsidR="00612E79" w:rsidRPr="0076408E" w:rsidRDefault="00612E79" w:rsidP="0076408E">
      <w:pPr>
        <w:spacing w:line="254" w:lineRule="auto"/>
        <w:rPr>
          <w:b/>
          <w:i/>
          <w:iCs/>
          <w:color w:val="44546A" w:themeColor="text2"/>
        </w:rPr>
      </w:pPr>
      <w:r w:rsidRPr="0076408E">
        <w:rPr>
          <w:b/>
          <w:i/>
          <w:iCs/>
          <w:color w:val="44546A" w:themeColor="text2"/>
        </w:rPr>
        <w:lastRenderedPageBreak/>
        <w:t>Table 1-1. Data sources for Table 1, LULUCF NGHGI uncertainty for 20 major emitting countries.</w:t>
      </w:r>
    </w:p>
    <w:tbl>
      <w:tblPr>
        <w:tblW w:w="9000" w:type="dxa"/>
        <w:tblLayout w:type="fixed"/>
        <w:tblLook w:val="04A0" w:firstRow="1" w:lastRow="0" w:firstColumn="1" w:lastColumn="0" w:noHBand="0" w:noVBand="1"/>
      </w:tblPr>
      <w:tblGrid>
        <w:gridCol w:w="1225"/>
        <w:gridCol w:w="1295"/>
        <w:gridCol w:w="1296"/>
        <w:gridCol w:w="1296"/>
        <w:gridCol w:w="1296"/>
        <w:gridCol w:w="1296"/>
        <w:gridCol w:w="1296"/>
      </w:tblGrid>
      <w:tr w:rsidR="00C33944" w:rsidRPr="00A2464B" w14:paraId="4F626F60" w14:textId="77777777" w:rsidTr="000B2554">
        <w:trPr>
          <w:trHeight w:val="290"/>
        </w:trPr>
        <w:tc>
          <w:tcPr>
            <w:tcW w:w="1225" w:type="dxa"/>
            <w:tcBorders>
              <w:top w:val="nil"/>
              <w:left w:val="nil"/>
              <w:bottom w:val="nil"/>
              <w:right w:val="nil"/>
            </w:tcBorders>
            <w:shd w:val="clear" w:color="auto" w:fill="auto"/>
            <w:noWrap/>
            <w:vAlign w:val="center"/>
            <w:hideMark/>
          </w:tcPr>
          <w:p w14:paraId="29C737F3" w14:textId="2018E6AD" w:rsidR="00C33944" w:rsidRPr="00A2464B" w:rsidRDefault="00C33944" w:rsidP="00D477BB">
            <w:pPr>
              <w:spacing w:after="0" w:line="240" w:lineRule="auto"/>
              <w:jc w:val="center"/>
              <w:rPr>
                <w:rFonts w:eastAsia="Times New Roman" w:cstheme="minorHAnsi"/>
                <w:b/>
                <w:sz w:val="18"/>
                <w:szCs w:val="18"/>
              </w:rPr>
            </w:pPr>
            <w:r w:rsidRPr="00A2464B">
              <w:rPr>
                <w:rFonts w:eastAsia="Times New Roman" w:cstheme="minorHAnsi"/>
                <w:b/>
                <w:sz w:val="18"/>
                <w:szCs w:val="18"/>
              </w:rPr>
              <w:t>(1)</w:t>
            </w:r>
          </w:p>
        </w:tc>
        <w:tc>
          <w:tcPr>
            <w:tcW w:w="1295" w:type="dxa"/>
            <w:tcBorders>
              <w:top w:val="nil"/>
              <w:left w:val="nil"/>
              <w:bottom w:val="nil"/>
              <w:right w:val="nil"/>
            </w:tcBorders>
            <w:vAlign w:val="center"/>
          </w:tcPr>
          <w:p w14:paraId="5EE7B034" w14:textId="645C667A" w:rsidR="00C33944" w:rsidRPr="00A2464B" w:rsidRDefault="00C33944">
            <w:pPr>
              <w:spacing w:after="0" w:line="240" w:lineRule="auto"/>
              <w:jc w:val="center"/>
              <w:rPr>
                <w:rFonts w:eastAsia="Times New Roman" w:cstheme="minorHAnsi"/>
                <w:b/>
                <w:sz w:val="18"/>
                <w:szCs w:val="18"/>
              </w:rPr>
            </w:pPr>
            <w:r w:rsidRPr="00A2464B">
              <w:rPr>
                <w:rFonts w:eastAsia="Times New Roman" w:cstheme="minorHAnsi"/>
                <w:b/>
                <w:sz w:val="18"/>
                <w:szCs w:val="18"/>
              </w:rPr>
              <w:t>(9)</w:t>
            </w:r>
          </w:p>
        </w:tc>
        <w:tc>
          <w:tcPr>
            <w:tcW w:w="1296" w:type="dxa"/>
            <w:tcBorders>
              <w:top w:val="nil"/>
              <w:left w:val="nil"/>
              <w:bottom w:val="nil"/>
              <w:right w:val="nil"/>
            </w:tcBorders>
            <w:shd w:val="clear" w:color="auto" w:fill="auto"/>
            <w:vAlign w:val="center"/>
          </w:tcPr>
          <w:p w14:paraId="5ABA3AD8" w14:textId="69CF0000" w:rsidR="00C33944" w:rsidRPr="00A2464B" w:rsidRDefault="00C33944">
            <w:pPr>
              <w:spacing w:after="0" w:line="240" w:lineRule="auto"/>
              <w:jc w:val="center"/>
              <w:rPr>
                <w:rFonts w:eastAsia="Times New Roman" w:cstheme="minorHAnsi"/>
                <w:b/>
                <w:sz w:val="18"/>
                <w:szCs w:val="18"/>
              </w:rPr>
            </w:pPr>
            <w:r w:rsidRPr="00A2464B">
              <w:rPr>
                <w:rFonts w:eastAsia="Times New Roman" w:cstheme="minorHAnsi"/>
                <w:b/>
                <w:sz w:val="18"/>
                <w:szCs w:val="18"/>
              </w:rPr>
              <w:t>(10)</w:t>
            </w:r>
          </w:p>
        </w:tc>
        <w:tc>
          <w:tcPr>
            <w:tcW w:w="1296" w:type="dxa"/>
            <w:tcBorders>
              <w:top w:val="nil"/>
              <w:left w:val="nil"/>
              <w:bottom w:val="nil"/>
              <w:right w:val="nil"/>
            </w:tcBorders>
            <w:shd w:val="clear" w:color="auto" w:fill="auto"/>
            <w:vAlign w:val="center"/>
          </w:tcPr>
          <w:p w14:paraId="35705AF1" w14:textId="3E101D34" w:rsidR="00C33944" w:rsidRPr="00A2464B" w:rsidRDefault="00C33944">
            <w:pPr>
              <w:spacing w:after="0" w:line="240" w:lineRule="auto"/>
              <w:jc w:val="center"/>
              <w:rPr>
                <w:rFonts w:eastAsia="Times New Roman" w:cstheme="minorHAnsi"/>
                <w:b/>
                <w:sz w:val="18"/>
                <w:szCs w:val="18"/>
              </w:rPr>
            </w:pPr>
            <w:r w:rsidRPr="00A2464B">
              <w:rPr>
                <w:rFonts w:eastAsia="Times New Roman" w:cstheme="minorHAnsi"/>
                <w:b/>
                <w:sz w:val="18"/>
                <w:szCs w:val="18"/>
              </w:rPr>
              <w:t>(11)</w:t>
            </w:r>
          </w:p>
        </w:tc>
        <w:tc>
          <w:tcPr>
            <w:tcW w:w="1296" w:type="dxa"/>
            <w:tcBorders>
              <w:top w:val="nil"/>
              <w:left w:val="nil"/>
              <w:bottom w:val="nil"/>
              <w:right w:val="nil"/>
            </w:tcBorders>
            <w:shd w:val="clear" w:color="auto" w:fill="auto"/>
            <w:noWrap/>
            <w:vAlign w:val="center"/>
            <w:hideMark/>
          </w:tcPr>
          <w:p w14:paraId="6D251254" w14:textId="77777777" w:rsidR="00C33944" w:rsidRPr="00A2464B" w:rsidRDefault="00C33944">
            <w:pPr>
              <w:spacing w:after="0" w:line="240" w:lineRule="auto"/>
              <w:jc w:val="center"/>
              <w:rPr>
                <w:rFonts w:eastAsia="Times New Roman" w:cstheme="minorHAnsi"/>
                <w:b/>
                <w:sz w:val="18"/>
                <w:szCs w:val="18"/>
              </w:rPr>
            </w:pPr>
            <w:r w:rsidRPr="00A2464B">
              <w:rPr>
                <w:rFonts w:eastAsia="Times New Roman" w:cstheme="minorHAnsi"/>
                <w:b/>
                <w:sz w:val="18"/>
                <w:szCs w:val="18"/>
              </w:rPr>
              <w:t>(12)</w:t>
            </w:r>
          </w:p>
        </w:tc>
        <w:tc>
          <w:tcPr>
            <w:tcW w:w="1296" w:type="dxa"/>
            <w:tcBorders>
              <w:top w:val="nil"/>
              <w:left w:val="nil"/>
              <w:bottom w:val="nil"/>
              <w:right w:val="nil"/>
            </w:tcBorders>
            <w:shd w:val="clear" w:color="auto" w:fill="auto"/>
            <w:vAlign w:val="center"/>
          </w:tcPr>
          <w:p w14:paraId="423D1BC6" w14:textId="1B16CFBB" w:rsidR="00C33944" w:rsidRPr="00A2464B" w:rsidRDefault="00C33944">
            <w:pPr>
              <w:spacing w:after="0" w:line="240" w:lineRule="auto"/>
              <w:jc w:val="center"/>
              <w:rPr>
                <w:rFonts w:eastAsia="Times New Roman" w:cstheme="minorHAnsi"/>
                <w:b/>
                <w:sz w:val="18"/>
                <w:szCs w:val="18"/>
              </w:rPr>
            </w:pPr>
            <w:r w:rsidRPr="00A2464B">
              <w:rPr>
                <w:rFonts w:eastAsia="Times New Roman" w:cstheme="minorHAnsi"/>
                <w:b/>
                <w:sz w:val="18"/>
                <w:szCs w:val="18"/>
              </w:rPr>
              <w:t>(13)</w:t>
            </w:r>
          </w:p>
        </w:tc>
        <w:tc>
          <w:tcPr>
            <w:tcW w:w="1296" w:type="dxa"/>
            <w:tcBorders>
              <w:top w:val="nil"/>
              <w:left w:val="nil"/>
              <w:bottom w:val="nil"/>
              <w:right w:val="nil"/>
            </w:tcBorders>
            <w:shd w:val="clear" w:color="auto" w:fill="auto"/>
            <w:vAlign w:val="center"/>
          </w:tcPr>
          <w:p w14:paraId="6AB6F428" w14:textId="552C067C" w:rsidR="00C33944" w:rsidRPr="00A2464B" w:rsidRDefault="00C33944">
            <w:pPr>
              <w:spacing w:after="0" w:line="240" w:lineRule="auto"/>
              <w:jc w:val="center"/>
              <w:rPr>
                <w:rFonts w:eastAsia="Times New Roman" w:cstheme="minorHAnsi"/>
                <w:b/>
                <w:sz w:val="18"/>
                <w:szCs w:val="18"/>
              </w:rPr>
            </w:pPr>
            <w:r w:rsidRPr="00A2464B">
              <w:rPr>
                <w:rFonts w:eastAsia="Times New Roman" w:cstheme="minorHAnsi"/>
                <w:b/>
                <w:sz w:val="18"/>
                <w:szCs w:val="18"/>
              </w:rPr>
              <w:t>(14)</w:t>
            </w:r>
          </w:p>
        </w:tc>
      </w:tr>
      <w:tr w:rsidR="00C33944" w:rsidRPr="00A2464B" w14:paraId="52381B3F" w14:textId="77777777" w:rsidTr="000B2554">
        <w:trPr>
          <w:trHeight w:val="290"/>
        </w:trPr>
        <w:tc>
          <w:tcPr>
            <w:tcW w:w="1225" w:type="dxa"/>
            <w:tcBorders>
              <w:top w:val="nil"/>
              <w:left w:val="nil"/>
              <w:bottom w:val="nil"/>
              <w:right w:val="nil"/>
            </w:tcBorders>
            <w:shd w:val="clear" w:color="auto" w:fill="auto"/>
            <w:noWrap/>
            <w:vAlign w:val="bottom"/>
            <w:hideMark/>
          </w:tcPr>
          <w:p w14:paraId="0E579689" w14:textId="77777777" w:rsidR="00C33944" w:rsidRPr="000B2554" w:rsidRDefault="00C33944" w:rsidP="00695E16">
            <w:pPr>
              <w:spacing w:after="0" w:line="240" w:lineRule="auto"/>
              <w:rPr>
                <w:rFonts w:eastAsia="Times New Roman" w:cstheme="minorHAnsi"/>
                <w:b/>
                <w:color w:val="000000"/>
                <w:sz w:val="18"/>
                <w:szCs w:val="18"/>
              </w:rPr>
            </w:pPr>
            <w:r w:rsidRPr="000B2554">
              <w:rPr>
                <w:rFonts w:eastAsia="Times New Roman" w:cstheme="minorHAnsi"/>
                <w:b/>
                <w:color w:val="000000"/>
                <w:sz w:val="18"/>
                <w:szCs w:val="18"/>
              </w:rPr>
              <w:t>Country</w:t>
            </w:r>
          </w:p>
        </w:tc>
        <w:tc>
          <w:tcPr>
            <w:tcW w:w="1295" w:type="dxa"/>
            <w:tcBorders>
              <w:top w:val="nil"/>
              <w:left w:val="nil"/>
              <w:bottom w:val="nil"/>
              <w:right w:val="nil"/>
            </w:tcBorders>
            <w:vAlign w:val="bottom"/>
          </w:tcPr>
          <w:p w14:paraId="62BCDCE6" w14:textId="025EAEC9" w:rsidR="00C33944" w:rsidRPr="000B2554" w:rsidRDefault="00C33944" w:rsidP="00D477BB">
            <w:pPr>
              <w:spacing w:after="0" w:line="240" w:lineRule="auto"/>
              <w:rPr>
                <w:rFonts w:eastAsia="Times New Roman" w:cstheme="minorHAnsi"/>
                <w:b/>
                <w:color w:val="000000"/>
                <w:sz w:val="18"/>
                <w:szCs w:val="18"/>
              </w:rPr>
            </w:pPr>
            <w:r w:rsidRPr="000B2554">
              <w:rPr>
                <w:rFonts w:eastAsia="Times New Roman" w:cstheme="minorHAnsi"/>
                <w:b/>
                <w:color w:val="000000"/>
                <w:sz w:val="18"/>
                <w:szCs w:val="18"/>
              </w:rPr>
              <w:t>Sources reviewed</w:t>
            </w:r>
          </w:p>
        </w:tc>
        <w:tc>
          <w:tcPr>
            <w:tcW w:w="1296" w:type="dxa"/>
            <w:tcBorders>
              <w:top w:val="nil"/>
              <w:left w:val="nil"/>
              <w:bottom w:val="nil"/>
              <w:right w:val="nil"/>
            </w:tcBorders>
            <w:shd w:val="clear" w:color="auto" w:fill="auto"/>
            <w:noWrap/>
            <w:vAlign w:val="bottom"/>
            <w:hideMark/>
          </w:tcPr>
          <w:p w14:paraId="5136C562" w14:textId="795F93FA" w:rsidR="00C33944" w:rsidRPr="000B2554" w:rsidRDefault="00C33944">
            <w:pPr>
              <w:spacing w:after="0" w:line="240" w:lineRule="auto"/>
              <w:rPr>
                <w:rFonts w:eastAsia="Times New Roman" w:cstheme="minorHAnsi"/>
                <w:b/>
                <w:color w:val="000000"/>
                <w:sz w:val="18"/>
                <w:szCs w:val="18"/>
              </w:rPr>
            </w:pPr>
            <w:r w:rsidRPr="000B2554">
              <w:rPr>
                <w:rFonts w:eastAsia="Times New Roman" w:cstheme="minorHAnsi"/>
                <w:b/>
                <w:color w:val="000000"/>
                <w:sz w:val="18"/>
                <w:szCs w:val="18"/>
              </w:rPr>
              <w:t>Most recent inventory year</w:t>
            </w:r>
          </w:p>
        </w:tc>
        <w:tc>
          <w:tcPr>
            <w:tcW w:w="1296" w:type="dxa"/>
            <w:tcBorders>
              <w:top w:val="nil"/>
              <w:left w:val="nil"/>
              <w:bottom w:val="nil"/>
              <w:right w:val="nil"/>
            </w:tcBorders>
            <w:shd w:val="clear" w:color="auto" w:fill="auto"/>
            <w:noWrap/>
            <w:vAlign w:val="bottom"/>
            <w:hideMark/>
          </w:tcPr>
          <w:p w14:paraId="3D3F229C" w14:textId="4B0192EF" w:rsidR="00C33944" w:rsidRPr="000B2554" w:rsidRDefault="00C33944">
            <w:pPr>
              <w:spacing w:after="0" w:line="240" w:lineRule="auto"/>
              <w:rPr>
                <w:rFonts w:eastAsia="Times New Roman" w:cstheme="minorHAnsi"/>
                <w:b/>
                <w:color w:val="000000"/>
                <w:sz w:val="18"/>
                <w:szCs w:val="18"/>
              </w:rPr>
            </w:pPr>
            <w:r w:rsidRPr="000B2554">
              <w:rPr>
                <w:rFonts w:eastAsia="Times New Roman" w:cstheme="minorHAnsi"/>
                <w:b/>
                <w:color w:val="000000"/>
                <w:sz w:val="18"/>
                <w:szCs w:val="18"/>
              </w:rPr>
              <w:t>Source of Tier methodology</w:t>
            </w:r>
          </w:p>
        </w:tc>
        <w:tc>
          <w:tcPr>
            <w:tcW w:w="1296" w:type="dxa"/>
            <w:tcBorders>
              <w:top w:val="nil"/>
              <w:left w:val="nil"/>
              <w:bottom w:val="nil"/>
              <w:right w:val="nil"/>
            </w:tcBorders>
            <w:shd w:val="clear" w:color="auto" w:fill="auto"/>
            <w:noWrap/>
            <w:vAlign w:val="bottom"/>
            <w:hideMark/>
          </w:tcPr>
          <w:p w14:paraId="53B22DE8" w14:textId="3A0F8C6F" w:rsidR="00C33944" w:rsidRPr="000B2554" w:rsidRDefault="00C33944" w:rsidP="00695E16">
            <w:pPr>
              <w:spacing w:after="0" w:line="240" w:lineRule="auto"/>
              <w:rPr>
                <w:rFonts w:eastAsia="Times New Roman" w:cstheme="minorHAnsi"/>
                <w:b/>
                <w:color w:val="000000"/>
                <w:sz w:val="18"/>
                <w:szCs w:val="18"/>
              </w:rPr>
            </w:pPr>
            <w:r w:rsidRPr="000B2554">
              <w:rPr>
                <w:rFonts w:eastAsia="Times New Roman" w:cstheme="minorHAnsi"/>
                <w:b/>
                <w:color w:val="000000"/>
                <w:sz w:val="18"/>
                <w:szCs w:val="18"/>
              </w:rPr>
              <w:t>Source of LULUCF inventory category fluxes</w:t>
            </w:r>
          </w:p>
        </w:tc>
        <w:tc>
          <w:tcPr>
            <w:tcW w:w="1296" w:type="dxa"/>
            <w:tcBorders>
              <w:top w:val="nil"/>
              <w:left w:val="nil"/>
              <w:bottom w:val="nil"/>
              <w:right w:val="nil"/>
            </w:tcBorders>
            <w:shd w:val="clear" w:color="auto" w:fill="auto"/>
            <w:noWrap/>
            <w:vAlign w:val="bottom"/>
            <w:hideMark/>
          </w:tcPr>
          <w:p w14:paraId="75980F2B" w14:textId="4640DFB6" w:rsidR="00C33944" w:rsidRPr="000B2554" w:rsidRDefault="00C33944" w:rsidP="00695E16">
            <w:pPr>
              <w:spacing w:after="0" w:line="240" w:lineRule="auto"/>
              <w:rPr>
                <w:rFonts w:eastAsia="Times New Roman" w:cstheme="minorHAnsi"/>
                <w:b/>
                <w:color w:val="000000"/>
                <w:sz w:val="18"/>
                <w:szCs w:val="18"/>
              </w:rPr>
            </w:pPr>
            <w:r w:rsidRPr="000B2554">
              <w:rPr>
                <w:rFonts w:eastAsia="Times New Roman" w:cstheme="minorHAnsi"/>
                <w:b/>
                <w:color w:val="000000"/>
                <w:sz w:val="18"/>
                <w:szCs w:val="18"/>
              </w:rPr>
              <w:t>Source of sector uncertainty</w:t>
            </w:r>
          </w:p>
        </w:tc>
        <w:tc>
          <w:tcPr>
            <w:tcW w:w="1296" w:type="dxa"/>
            <w:tcBorders>
              <w:top w:val="nil"/>
              <w:left w:val="nil"/>
              <w:bottom w:val="nil"/>
              <w:right w:val="nil"/>
            </w:tcBorders>
            <w:shd w:val="clear" w:color="auto" w:fill="auto"/>
            <w:noWrap/>
            <w:vAlign w:val="bottom"/>
            <w:hideMark/>
          </w:tcPr>
          <w:p w14:paraId="658AE86B" w14:textId="64BA0428" w:rsidR="00C33944" w:rsidRPr="000B2554" w:rsidRDefault="00C33944" w:rsidP="00695E16">
            <w:pPr>
              <w:spacing w:after="0" w:line="240" w:lineRule="auto"/>
              <w:rPr>
                <w:rFonts w:eastAsia="Times New Roman" w:cstheme="minorHAnsi"/>
                <w:b/>
                <w:color w:val="000000"/>
                <w:sz w:val="18"/>
                <w:szCs w:val="18"/>
              </w:rPr>
            </w:pPr>
            <w:r w:rsidRPr="000B2554">
              <w:rPr>
                <w:rFonts w:eastAsia="Times New Roman" w:cstheme="minorHAnsi"/>
                <w:b/>
                <w:color w:val="000000"/>
                <w:sz w:val="18"/>
                <w:szCs w:val="18"/>
              </w:rPr>
              <w:t>Source of inventory category uncertainty</w:t>
            </w:r>
          </w:p>
        </w:tc>
      </w:tr>
      <w:tr w:rsidR="00A10F39" w:rsidRPr="00A2464B" w14:paraId="3B059441" w14:textId="77777777" w:rsidTr="000B2554">
        <w:trPr>
          <w:trHeight w:val="290"/>
        </w:trPr>
        <w:tc>
          <w:tcPr>
            <w:tcW w:w="1225" w:type="dxa"/>
            <w:tcBorders>
              <w:top w:val="nil"/>
              <w:left w:val="nil"/>
              <w:bottom w:val="nil"/>
              <w:right w:val="nil"/>
            </w:tcBorders>
            <w:shd w:val="clear" w:color="auto" w:fill="auto"/>
            <w:noWrap/>
            <w:vAlign w:val="bottom"/>
            <w:hideMark/>
          </w:tcPr>
          <w:p w14:paraId="4D7A1C0C" w14:textId="77777777"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China</w:t>
            </w:r>
          </w:p>
        </w:tc>
        <w:tc>
          <w:tcPr>
            <w:tcW w:w="1295" w:type="dxa"/>
            <w:tcBorders>
              <w:top w:val="nil"/>
              <w:left w:val="nil"/>
              <w:bottom w:val="nil"/>
              <w:right w:val="nil"/>
            </w:tcBorders>
            <w:vAlign w:val="bottom"/>
          </w:tcPr>
          <w:p w14:paraId="1A63193A" w14:textId="26BAFC78"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BUR2 (2019), NC3 (2019)</w:t>
            </w:r>
          </w:p>
        </w:tc>
        <w:tc>
          <w:tcPr>
            <w:tcW w:w="1296" w:type="dxa"/>
            <w:tcBorders>
              <w:top w:val="nil"/>
              <w:left w:val="nil"/>
              <w:bottom w:val="nil"/>
              <w:right w:val="nil"/>
            </w:tcBorders>
            <w:shd w:val="clear" w:color="auto" w:fill="auto"/>
            <w:noWrap/>
            <w:vAlign w:val="bottom"/>
            <w:hideMark/>
          </w:tcPr>
          <w:p w14:paraId="6092E23B" w14:textId="02733FCC"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2014</w:t>
            </w:r>
          </w:p>
        </w:tc>
        <w:tc>
          <w:tcPr>
            <w:tcW w:w="1296" w:type="dxa"/>
            <w:tcBorders>
              <w:top w:val="nil"/>
              <w:left w:val="nil"/>
              <w:bottom w:val="nil"/>
              <w:right w:val="nil"/>
            </w:tcBorders>
            <w:shd w:val="clear" w:color="auto" w:fill="auto"/>
            <w:noWrap/>
            <w:vAlign w:val="bottom"/>
            <w:hideMark/>
          </w:tcPr>
          <w:p w14:paraId="7DFDE485" w14:textId="1FE36619" w:rsidR="00A10F39" w:rsidRPr="000B2554" w:rsidRDefault="00D03670"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Table 2-1, BUR2</w:t>
            </w:r>
          </w:p>
        </w:tc>
        <w:tc>
          <w:tcPr>
            <w:tcW w:w="1296" w:type="dxa"/>
            <w:tcBorders>
              <w:top w:val="nil"/>
              <w:left w:val="nil"/>
              <w:bottom w:val="nil"/>
              <w:right w:val="nil"/>
            </w:tcBorders>
            <w:shd w:val="clear" w:color="auto" w:fill="auto"/>
            <w:noWrap/>
            <w:vAlign w:val="bottom"/>
            <w:hideMark/>
          </w:tcPr>
          <w:p w14:paraId="3D1B582C" w14:textId="612AD344" w:rsidR="00A10F39" w:rsidRPr="000B2554" w:rsidRDefault="00D03670"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Table 2-10, BUR2</w:t>
            </w:r>
          </w:p>
        </w:tc>
        <w:tc>
          <w:tcPr>
            <w:tcW w:w="1296" w:type="dxa"/>
            <w:tcBorders>
              <w:top w:val="nil"/>
              <w:left w:val="nil"/>
              <w:bottom w:val="nil"/>
              <w:right w:val="nil"/>
            </w:tcBorders>
            <w:shd w:val="clear" w:color="auto" w:fill="auto"/>
            <w:noWrap/>
            <w:vAlign w:val="bottom"/>
            <w:hideMark/>
          </w:tcPr>
          <w:p w14:paraId="5D125A16" w14:textId="30FFE65C" w:rsidR="00A10F39" w:rsidRPr="000B2554" w:rsidRDefault="00D03670"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Table 2-12, BUR2</w:t>
            </w:r>
          </w:p>
        </w:tc>
        <w:tc>
          <w:tcPr>
            <w:tcW w:w="1296" w:type="dxa"/>
            <w:tcBorders>
              <w:top w:val="nil"/>
              <w:left w:val="nil"/>
              <w:bottom w:val="nil"/>
              <w:right w:val="nil"/>
            </w:tcBorders>
            <w:shd w:val="clear" w:color="auto" w:fill="auto"/>
            <w:noWrap/>
            <w:vAlign w:val="bottom"/>
            <w:hideMark/>
          </w:tcPr>
          <w:p w14:paraId="2416F07C" w14:textId="42F7D535" w:rsidR="00A10F39" w:rsidRPr="000B2554" w:rsidRDefault="00D03670" w:rsidP="00A10F39">
            <w:pPr>
              <w:spacing w:after="0" w:line="240" w:lineRule="auto"/>
              <w:jc w:val="center"/>
              <w:rPr>
                <w:rFonts w:eastAsia="Times New Roman" w:cstheme="minorHAnsi"/>
                <w:sz w:val="18"/>
                <w:szCs w:val="18"/>
              </w:rPr>
            </w:pPr>
            <w:r w:rsidRPr="000B2554">
              <w:rPr>
                <w:rFonts w:eastAsia="Times New Roman" w:cstheme="minorHAnsi"/>
                <w:sz w:val="18"/>
                <w:szCs w:val="18"/>
              </w:rPr>
              <w:t>NR</w:t>
            </w:r>
          </w:p>
        </w:tc>
      </w:tr>
      <w:tr w:rsidR="00A10F39" w:rsidRPr="00A2464B" w14:paraId="2DB56819" w14:textId="77777777" w:rsidTr="000B2554">
        <w:trPr>
          <w:trHeight w:val="290"/>
        </w:trPr>
        <w:tc>
          <w:tcPr>
            <w:tcW w:w="1225" w:type="dxa"/>
            <w:tcBorders>
              <w:top w:val="nil"/>
              <w:left w:val="nil"/>
              <w:bottom w:val="nil"/>
              <w:right w:val="nil"/>
            </w:tcBorders>
            <w:shd w:val="clear" w:color="auto" w:fill="auto"/>
            <w:noWrap/>
            <w:vAlign w:val="bottom"/>
            <w:hideMark/>
          </w:tcPr>
          <w:p w14:paraId="601564F7" w14:textId="77777777"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United States</w:t>
            </w:r>
          </w:p>
        </w:tc>
        <w:tc>
          <w:tcPr>
            <w:tcW w:w="1295" w:type="dxa"/>
            <w:tcBorders>
              <w:top w:val="nil"/>
              <w:left w:val="nil"/>
              <w:bottom w:val="nil"/>
              <w:right w:val="nil"/>
            </w:tcBorders>
            <w:vAlign w:val="bottom"/>
          </w:tcPr>
          <w:p w14:paraId="2A2D7411" w14:textId="6E745DC2"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NIR (2021)</w:t>
            </w:r>
          </w:p>
        </w:tc>
        <w:tc>
          <w:tcPr>
            <w:tcW w:w="1296" w:type="dxa"/>
            <w:tcBorders>
              <w:top w:val="nil"/>
              <w:left w:val="nil"/>
              <w:bottom w:val="nil"/>
              <w:right w:val="nil"/>
            </w:tcBorders>
            <w:shd w:val="clear" w:color="auto" w:fill="auto"/>
            <w:noWrap/>
            <w:vAlign w:val="bottom"/>
            <w:hideMark/>
          </w:tcPr>
          <w:p w14:paraId="2FCF5264" w14:textId="66CB8EAD"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2019</w:t>
            </w:r>
          </w:p>
        </w:tc>
        <w:tc>
          <w:tcPr>
            <w:tcW w:w="1296" w:type="dxa"/>
            <w:tcBorders>
              <w:top w:val="nil"/>
              <w:left w:val="nil"/>
              <w:bottom w:val="nil"/>
              <w:right w:val="nil"/>
            </w:tcBorders>
            <w:shd w:val="clear" w:color="auto" w:fill="auto"/>
            <w:noWrap/>
            <w:vAlign w:val="bottom"/>
            <w:hideMark/>
          </w:tcPr>
          <w:p w14:paraId="3F988711" w14:textId="7252F9C1" w:rsidR="00A10F39" w:rsidRPr="000B2554" w:rsidRDefault="00D03670"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CRF Table Summary 3</w:t>
            </w:r>
          </w:p>
        </w:tc>
        <w:tc>
          <w:tcPr>
            <w:tcW w:w="1296" w:type="dxa"/>
            <w:tcBorders>
              <w:top w:val="nil"/>
              <w:left w:val="nil"/>
              <w:bottom w:val="nil"/>
              <w:right w:val="nil"/>
            </w:tcBorders>
            <w:shd w:val="clear" w:color="auto" w:fill="auto"/>
            <w:noWrap/>
            <w:vAlign w:val="bottom"/>
            <w:hideMark/>
          </w:tcPr>
          <w:p w14:paraId="07DE0084" w14:textId="06D02E0C" w:rsidR="00A10F39" w:rsidRPr="000B2554" w:rsidRDefault="00D03670"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CRF Table 4</w:t>
            </w:r>
          </w:p>
        </w:tc>
        <w:tc>
          <w:tcPr>
            <w:tcW w:w="1296" w:type="dxa"/>
            <w:tcBorders>
              <w:top w:val="nil"/>
              <w:left w:val="nil"/>
              <w:bottom w:val="nil"/>
              <w:right w:val="nil"/>
            </w:tcBorders>
            <w:shd w:val="clear" w:color="auto" w:fill="auto"/>
            <w:noWrap/>
            <w:vAlign w:val="bottom"/>
            <w:hideMark/>
          </w:tcPr>
          <w:p w14:paraId="6AC68A43" w14:textId="3195416A" w:rsidR="00A10F39" w:rsidRPr="000B2554" w:rsidRDefault="00D03670"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Table 1-5</w:t>
            </w:r>
          </w:p>
        </w:tc>
        <w:tc>
          <w:tcPr>
            <w:tcW w:w="1296" w:type="dxa"/>
            <w:tcBorders>
              <w:top w:val="nil"/>
              <w:left w:val="nil"/>
              <w:bottom w:val="nil"/>
              <w:right w:val="nil"/>
            </w:tcBorders>
            <w:shd w:val="clear" w:color="auto" w:fill="auto"/>
            <w:noWrap/>
            <w:vAlign w:val="bottom"/>
            <w:hideMark/>
          </w:tcPr>
          <w:p w14:paraId="5DB32306" w14:textId="4A086E8B" w:rsidR="00A10F39" w:rsidRPr="000B2554" w:rsidRDefault="00D03670">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Many tables, Ch. 6</w:t>
            </w:r>
          </w:p>
        </w:tc>
      </w:tr>
      <w:tr w:rsidR="00A10F39" w:rsidRPr="00A2464B" w14:paraId="307B655D" w14:textId="77777777" w:rsidTr="000B2554">
        <w:trPr>
          <w:trHeight w:val="290"/>
        </w:trPr>
        <w:tc>
          <w:tcPr>
            <w:tcW w:w="1225" w:type="dxa"/>
            <w:tcBorders>
              <w:top w:val="nil"/>
              <w:left w:val="nil"/>
              <w:bottom w:val="nil"/>
              <w:right w:val="nil"/>
            </w:tcBorders>
            <w:shd w:val="clear" w:color="auto" w:fill="auto"/>
            <w:noWrap/>
            <w:vAlign w:val="bottom"/>
            <w:hideMark/>
          </w:tcPr>
          <w:p w14:paraId="236740C7" w14:textId="0D1EB1D2"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Indonesia</w:t>
            </w:r>
          </w:p>
        </w:tc>
        <w:tc>
          <w:tcPr>
            <w:tcW w:w="1295" w:type="dxa"/>
            <w:tcBorders>
              <w:top w:val="nil"/>
              <w:left w:val="nil"/>
              <w:bottom w:val="nil"/>
              <w:right w:val="nil"/>
            </w:tcBorders>
            <w:vAlign w:val="bottom"/>
          </w:tcPr>
          <w:p w14:paraId="6E0150F2" w14:textId="013DD756"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BUR2 (2018), NC3 (2018)</w:t>
            </w:r>
          </w:p>
        </w:tc>
        <w:tc>
          <w:tcPr>
            <w:tcW w:w="1296" w:type="dxa"/>
            <w:tcBorders>
              <w:top w:val="nil"/>
              <w:left w:val="nil"/>
              <w:bottom w:val="nil"/>
              <w:right w:val="nil"/>
            </w:tcBorders>
            <w:shd w:val="clear" w:color="auto" w:fill="auto"/>
            <w:noWrap/>
            <w:vAlign w:val="bottom"/>
            <w:hideMark/>
          </w:tcPr>
          <w:p w14:paraId="4B2CE6E3" w14:textId="2CCA7543"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2016</w:t>
            </w:r>
          </w:p>
        </w:tc>
        <w:tc>
          <w:tcPr>
            <w:tcW w:w="1296" w:type="dxa"/>
            <w:tcBorders>
              <w:top w:val="nil"/>
              <w:left w:val="nil"/>
              <w:bottom w:val="nil"/>
              <w:right w:val="nil"/>
            </w:tcBorders>
            <w:shd w:val="clear" w:color="auto" w:fill="auto"/>
            <w:noWrap/>
            <w:vAlign w:val="bottom"/>
            <w:hideMark/>
          </w:tcPr>
          <w:p w14:paraId="14A26F14" w14:textId="1C8CA6FC" w:rsidR="00A10F39" w:rsidRPr="000B2554" w:rsidRDefault="003543C4"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Pg</w:t>
            </w:r>
            <w:r w:rsidR="00D1193C">
              <w:rPr>
                <w:rFonts w:eastAsia="Times New Roman" w:cstheme="minorHAnsi"/>
                <w:color w:val="000000"/>
                <w:sz w:val="18"/>
                <w:szCs w:val="18"/>
              </w:rPr>
              <w:t>.</w:t>
            </w:r>
            <w:r w:rsidRPr="000B2554">
              <w:rPr>
                <w:rFonts w:eastAsia="Times New Roman" w:cstheme="minorHAnsi"/>
                <w:color w:val="000000"/>
                <w:sz w:val="18"/>
                <w:szCs w:val="18"/>
              </w:rPr>
              <w:t xml:space="preserve"> </w:t>
            </w:r>
            <w:r w:rsidR="00DA24C6" w:rsidRPr="000B2554">
              <w:rPr>
                <w:rFonts w:eastAsia="Times New Roman" w:cstheme="minorHAnsi"/>
                <w:color w:val="000000"/>
                <w:sz w:val="18"/>
                <w:szCs w:val="18"/>
              </w:rPr>
              <w:t>1</w:t>
            </w:r>
            <w:r w:rsidRPr="000B2554">
              <w:rPr>
                <w:rFonts w:eastAsia="Times New Roman" w:cstheme="minorHAnsi"/>
                <w:color w:val="000000"/>
                <w:sz w:val="18"/>
                <w:szCs w:val="18"/>
              </w:rPr>
              <w:t>-4, BUR2</w:t>
            </w:r>
          </w:p>
        </w:tc>
        <w:tc>
          <w:tcPr>
            <w:tcW w:w="1296" w:type="dxa"/>
            <w:tcBorders>
              <w:top w:val="nil"/>
              <w:left w:val="nil"/>
              <w:bottom w:val="nil"/>
              <w:right w:val="nil"/>
            </w:tcBorders>
            <w:shd w:val="clear" w:color="auto" w:fill="auto"/>
            <w:noWrap/>
            <w:vAlign w:val="bottom"/>
            <w:hideMark/>
          </w:tcPr>
          <w:p w14:paraId="0847E0A1" w14:textId="3E3FE1F6" w:rsidR="00A10F39" w:rsidRPr="000B2554" w:rsidRDefault="003543C4"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Table 2-3, BUR2</w:t>
            </w:r>
          </w:p>
        </w:tc>
        <w:tc>
          <w:tcPr>
            <w:tcW w:w="1296" w:type="dxa"/>
            <w:tcBorders>
              <w:top w:val="nil"/>
              <w:left w:val="nil"/>
              <w:bottom w:val="nil"/>
              <w:right w:val="nil"/>
            </w:tcBorders>
            <w:shd w:val="clear" w:color="auto" w:fill="auto"/>
            <w:noWrap/>
            <w:vAlign w:val="bottom"/>
            <w:hideMark/>
          </w:tcPr>
          <w:p w14:paraId="48813D08" w14:textId="4964692C" w:rsidR="00A10F39" w:rsidRPr="000B2554" w:rsidRDefault="003543C4" w:rsidP="00A10F39">
            <w:pPr>
              <w:spacing w:after="0" w:line="240" w:lineRule="auto"/>
              <w:jc w:val="center"/>
              <w:rPr>
                <w:rFonts w:eastAsia="Times New Roman" w:cstheme="minorHAnsi"/>
                <w:sz w:val="18"/>
                <w:szCs w:val="18"/>
              </w:rPr>
            </w:pPr>
            <w:r w:rsidRPr="000B2554">
              <w:rPr>
                <w:rFonts w:eastAsia="Times New Roman" w:cstheme="minorHAnsi"/>
                <w:sz w:val="18"/>
                <w:szCs w:val="18"/>
              </w:rPr>
              <w:t>NR*</w:t>
            </w:r>
          </w:p>
        </w:tc>
        <w:tc>
          <w:tcPr>
            <w:tcW w:w="1296" w:type="dxa"/>
            <w:tcBorders>
              <w:top w:val="nil"/>
              <w:left w:val="nil"/>
              <w:bottom w:val="nil"/>
              <w:right w:val="nil"/>
            </w:tcBorders>
            <w:shd w:val="clear" w:color="auto" w:fill="auto"/>
            <w:noWrap/>
            <w:vAlign w:val="bottom"/>
            <w:hideMark/>
          </w:tcPr>
          <w:p w14:paraId="210F2CC2" w14:textId="132EC508" w:rsidR="00A10F39" w:rsidRPr="000B2554" w:rsidRDefault="000A553A"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Table 3.30, NC3**</w:t>
            </w:r>
          </w:p>
        </w:tc>
      </w:tr>
      <w:tr w:rsidR="00A10F39" w:rsidRPr="00A2464B" w14:paraId="380FB0DA" w14:textId="77777777" w:rsidTr="000B2554">
        <w:trPr>
          <w:trHeight w:val="290"/>
        </w:trPr>
        <w:tc>
          <w:tcPr>
            <w:tcW w:w="1225" w:type="dxa"/>
            <w:tcBorders>
              <w:top w:val="nil"/>
              <w:left w:val="nil"/>
              <w:bottom w:val="nil"/>
              <w:right w:val="nil"/>
            </w:tcBorders>
            <w:shd w:val="clear" w:color="auto" w:fill="auto"/>
            <w:noWrap/>
            <w:vAlign w:val="bottom"/>
            <w:hideMark/>
          </w:tcPr>
          <w:p w14:paraId="08EC784E" w14:textId="77777777"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Russia</w:t>
            </w:r>
          </w:p>
        </w:tc>
        <w:tc>
          <w:tcPr>
            <w:tcW w:w="1295" w:type="dxa"/>
            <w:tcBorders>
              <w:top w:val="nil"/>
              <w:left w:val="nil"/>
              <w:bottom w:val="nil"/>
              <w:right w:val="nil"/>
            </w:tcBorders>
            <w:vAlign w:val="bottom"/>
          </w:tcPr>
          <w:p w14:paraId="51AE4583" w14:textId="3C7ABB76"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NIR (2021)</w:t>
            </w:r>
          </w:p>
        </w:tc>
        <w:tc>
          <w:tcPr>
            <w:tcW w:w="1296" w:type="dxa"/>
            <w:tcBorders>
              <w:top w:val="nil"/>
              <w:left w:val="nil"/>
              <w:bottom w:val="nil"/>
              <w:right w:val="nil"/>
            </w:tcBorders>
            <w:shd w:val="clear" w:color="auto" w:fill="auto"/>
            <w:noWrap/>
            <w:vAlign w:val="bottom"/>
            <w:hideMark/>
          </w:tcPr>
          <w:p w14:paraId="72D001CE" w14:textId="438B4A4D"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2019</w:t>
            </w:r>
          </w:p>
        </w:tc>
        <w:tc>
          <w:tcPr>
            <w:tcW w:w="1296" w:type="dxa"/>
            <w:tcBorders>
              <w:top w:val="nil"/>
              <w:left w:val="nil"/>
              <w:bottom w:val="nil"/>
              <w:right w:val="nil"/>
            </w:tcBorders>
            <w:shd w:val="clear" w:color="auto" w:fill="auto"/>
            <w:noWrap/>
            <w:vAlign w:val="bottom"/>
            <w:hideMark/>
          </w:tcPr>
          <w:p w14:paraId="30E221E4" w14:textId="4064E9EF" w:rsidR="00A10F39" w:rsidRPr="000B2554" w:rsidRDefault="000A553A"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CRF Table Summary 3</w:t>
            </w:r>
          </w:p>
        </w:tc>
        <w:tc>
          <w:tcPr>
            <w:tcW w:w="1296" w:type="dxa"/>
            <w:tcBorders>
              <w:top w:val="nil"/>
              <w:left w:val="nil"/>
              <w:bottom w:val="nil"/>
              <w:right w:val="nil"/>
            </w:tcBorders>
            <w:shd w:val="clear" w:color="auto" w:fill="auto"/>
            <w:noWrap/>
            <w:vAlign w:val="bottom"/>
            <w:hideMark/>
          </w:tcPr>
          <w:p w14:paraId="5B41B4F6" w14:textId="4B3DD1D6" w:rsidR="00A10F39" w:rsidRPr="000B2554" w:rsidRDefault="000A553A"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Table 6.1</w:t>
            </w:r>
          </w:p>
        </w:tc>
        <w:tc>
          <w:tcPr>
            <w:tcW w:w="1296" w:type="dxa"/>
            <w:tcBorders>
              <w:top w:val="nil"/>
              <w:left w:val="nil"/>
              <w:bottom w:val="nil"/>
              <w:right w:val="nil"/>
            </w:tcBorders>
            <w:shd w:val="clear" w:color="auto" w:fill="auto"/>
            <w:noWrap/>
            <w:vAlign w:val="bottom"/>
            <w:hideMark/>
          </w:tcPr>
          <w:p w14:paraId="02C81D3C" w14:textId="51CB248A" w:rsidR="00A10F39" w:rsidRPr="000B2554" w:rsidRDefault="00A12DB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Table 6.79</w:t>
            </w:r>
          </w:p>
        </w:tc>
        <w:tc>
          <w:tcPr>
            <w:tcW w:w="1296" w:type="dxa"/>
            <w:tcBorders>
              <w:top w:val="nil"/>
              <w:left w:val="nil"/>
              <w:bottom w:val="nil"/>
              <w:right w:val="nil"/>
            </w:tcBorders>
            <w:shd w:val="clear" w:color="auto" w:fill="auto"/>
            <w:noWrap/>
            <w:vAlign w:val="bottom"/>
            <w:hideMark/>
          </w:tcPr>
          <w:p w14:paraId="52162E6F" w14:textId="0E20C5F7" w:rsidR="00A10F39" w:rsidRPr="000B2554" w:rsidRDefault="002B2D5A"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Table 6.79</w:t>
            </w:r>
          </w:p>
        </w:tc>
      </w:tr>
      <w:tr w:rsidR="00A10F39" w:rsidRPr="00A2464B" w14:paraId="2BD80BB0" w14:textId="77777777" w:rsidTr="000B2554">
        <w:trPr>
          <w:trHeight w:val="290"/>
        </w:trPr>
        <w:tc>
          <w:tcPr>
            <w:tcW w:w="1225" w:type="dxa"/>
            <w:tcBorders>
              <w:top w:val="nil"/>
              <w:left w:val="nil"/>
              <w:bottom w:val="nil"/>
              <w:right w:val="nil"/>
            </w:tcBorders>
            <w:shd w:val="clear" w:color="auto" w:fill="auto"/>
            <w:noWrap/>
            <w:vAlign w:val="bottom"/>
            <w:hideMark/>
          </w:tcPr>
          <w:p w14:paraId="4D0061C7" w14:textId="77777777"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India</w:t>
            </w:r>
          </w:p>
        </w:tc>
        <w:tc>
          <w:tcPr>
            <w:tcW w:w="1295" w:type="dxa"/>
            <w:tcBorders>
              <w:top w:val="nil"/>
              <w:left w:val="nil"/>
              <w:bottom w:val="nil"/>
              <w:right w:val="nil"/>
            </w:tcBorders>
            <w:vAlign w:val="bottom"/>
          </w:tcPr>
          <w:p w14:paraId="0E4A45A1" w14:textId="48BA879E"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BUR3 (2021)</w:t>
            </w:r>
            <w:r w:rsidR="00392467" w:rsidRPr="000B2554">
              <w:rPr>
                <w:rFonts w:eastAsia="Times New Roman" w:cstheme="minorHAnsi"/>
                <w:color w:val="000000"/>
                <w:sz w:val="18"/>
                <w:szCs w:val="18"/>
              </w:rPr>
              <w:t>, NC2 (2012)</w:t>
            </w:r>
          </w:p>
        </w:tc>
        <w:tc>
          <w:tcPr>
            <w:tcW w:w="1296" w:type="dxa"/>
            <w:tcBorders>
              <w:top w:val="nil"/>
              <w:left w:val="nil"/>
              <w:bottom w:val="nil"/>
              <w:right w:val="nil"/>
            </w:tcBorders>
            <w:shd w:val="clear" w:color="auto" w:fill="auto"/>
            <w:noWrap/>
            <w:vAlign w:val="bottom"/>
            <w:hideMark/>
          </w:tcPr>
          <w:p w14:paraId="22B3ED2E" w14:textId="25AD8EC1"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2016</w:t>
            </w:r>
          </w:p>
        </w:tc>
        <w:tc>
          <w:tcPr>
            <w:tcW w:w="1296" w:type="dxa"/>
            <w:tcBorders>
              <w:top w:val="nil"/>
              <w:left w:val="nil"/>
              <w:bottom w:val="nil"/>
              <w:right w:val="nil"/>
            </w:tcBorders>
            <w:shd w:val="clear" w:color="auto" w:fill="auto"/>
            <w:noWrap/>
            <w:vAlign w:val="bottom"/>
            <w:hideMark/>
          </w:tcPr>
          <w:p w14:paraId="6B9EC80A" w14:textId="10F495CE" w:rsidR="00A10F39" w:rsidRPr="000B2554" w:rsidRDefault="00157AF0"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Table 2.1, BUR3</w:t>
            </w:r>
          </w:p>
        </w:tc>
        <w:tc>
          <w:tcPr>
            <w:tcW w:w="1296" w:type="dxa"/>
            <w:tcBorders>
              <w:top w:val="nil"/>
              <w:left w:val="nil"/>
              <w:bottom w:val="nil"/>
              <w:right w:val="nil"/>
            </w:tcBorders>
            <w:shd w:val="clear" w:color="auto" w:fill="auto"/>
            <w:noWrap/>
            <w:vAlign w:val="bottom"/>
            <w:hideMark/>
          </w:tcPr>
          <w:p w14:paraId="23329F41" w14:textId="7DD6BEEA" w:rsidR="00A10F39" w:rsidRPr="000B2554" w:rsidRDefault="00157AF0"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Table 2.25, BUR3</w:t>
            </w:r>
          </w:p>
        </w:tc>
        <w:tc>
          <w:tcPr>
            <w:tcW w:w="1296" w:type="dxa"/>
            <w:tcBorders>
              <w:top w:val="nil"/>
              <w:left w:val="nil"/>
              <w:bottom w:val="nil"/>
              <w:right w:val="nil"/>
            </w:tcBorders>
            <w:shd w:val="clear" w:color="auto" w:fill="auto"/>
            <w:noWrap/>
            <w:vAlign w:val="bottom"/>
            <w:hideMark/>
          </w:tcPr>
          <w:p w14:paraId="68144852" w14:textId="1060561E" w:rsidR="00A10F39" w:rsidRPr="000B2554" w:rsidRDefault="00157AF0" w:rsidP="00A10F39">
            <w:pPr>
              <w:spacing w:after="0" w:line="240" w:lineRule="auto"/>
              <w:jc w:val="center"/>
              <w:rPr>
                <w:rFonts w:eastAsia="Times New Roman" w:cstheme="minorHAnsi"/>
                <w:sz w:val="18"/>
                <w:szCs w:val="18"/>
              </w:rPr>
            </w:pPr>
            <w:r w:rsidRPr="000B2554">
              <w:rPr>
                <w:rFonts w:eastAsia="Times New Roman" w:cstheme="minorHAnsi"/>
                <w:sz w:val="18"/>
                <w:szCs w:val="18"/>
              </w:rPr>
              <w:t>NR</w:t>
            </w:r>
            <w:r w:rsidR="00392467" w:rsidRPr="000B2554">
              <w:rPr>
                <w:rFonts w:eastAsia="Times New Roman" w:cstheme="minorHAnsi"/>
                <w:sz w:val="18"/>
                <w:szCs w:val="18"/>
              </w:rPr>
              <w:t>***</w:t>
            </w:r>
          </w:p>
        </w:tc>
        <w:tc>
          <w:tcPr>
            <w:tcW w:w="1296" w:type="dxa"/>
            <w:tcBorders>
              <w:top w:val="nil"/>
              <w:left w:val="nil"/>
              <w:bottom w:val="nil"/>
              <w:right w:val="nil"/>
            </w:tcBorders>
            <w:shd w:val="clear" w:color="auto" w:fill="auto"/>
            <w:noWrap/>
            <w:vAlign w:val="bottom"/>
            <w:hideMark/>
          </w:tcPr>
          <w:p w14:paraId="6D275C1C" w14:textId="5AD46F40" w:rsidR="00A10F39" w:rsidRPr="000B2554" w:rsidRDefault="00157AF0" w:rsidP="00A10F39">
            <w:pPr>
              <w:spacing w:after="0" w:line="240" w:lineRule="auto"/>
              <w:jc w:val="center"/>
              <w:rPr>
                <w:rFonts w:eastAsia="Times New Roman" w:cstheme="minorHAnsi"/>
                <w:sz w:val="18"/>
                <w:szCs w:val="18"/>
              </w:rPr>
            </w:pPr>
            <w:r w:rsidRPr="000B2554">
              <w:rPr>
                <w:rFonts w:eastAsia="Times New Roman" w:cstheme="minorHAnsi"/>
                <w:sz w:val="18"/>
                <w:szCs w:val="18"/>
              </w:rPr>
              <w:t>NR</w:t>
            </w:r>
            <w:r w:rsidR="00392467" w:rsidRPr="000B2554">
              <w:rPr>
                <w:rFonts w:eastAsia="Times New Roman" w:cstheme="minorHAnsi"/>
                <w:sz w:val="18"/>
                <w:szCs w:val="18"/>
              </w:rPr>
              <w:t>***</w:t>
            </w:r>
          </w:p>
        </w:tc>
      </w:tr>
      <w:tr w:rsidR="00A10F39" w:rsidRPr="00A2464B" w14:paraId="6AB5806D" w14:textId="77777777" w:rsidTr="000B2554">
        <w:trPr>
          <w:trHeight w:val="290"/>
        </w:trPr>
        <w:tc>
          <w:tcPr>
            <w:tcW w:w="1225" w:type="dxa"/>
            <w:tcBorders>
              <w:top w:val="nil"/>
              <w:left w:val="nil"/>
              <w:bottom w:val="nil"/>
              <w:right w:val="nil"/>
            </w:tcBorders>
            <w:shd w:val="clear" w:color="auto" w:fill="auto"/>
            <w:noWrap/>
            <w:vAlign w:val="bottom"/>
            <w:hideMark/>
          </w:tcPr>
          <w:p w14:paraId="1A453183" w14:textId="2265F0A4"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Nigeria</w:t>
            </w:r>
          </w:p>
        </w:tc>
        <w:tc>
          <w:tcPr>
            <w:tcW w:w="1295" w:type="dxa"/>
            <w:tcBorders>
              <w:top w:val="nil"/>
              <w:left w:val="nil"/>
              <w:bottom w:val="nil"/>
              <w:right w:val="nil"/>
            </w:tcBorders>
            <w:vAlign w:val="bottom"/>
          </w:tcPr>
          <w:p w14:paraId="752EA008" w14:textId="1768BF98"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BUR1 (2018), NC3 (2020)</w:t>
            </w:r>
          </w:p>
        </w:tc>
        <w:tc>
          <w:tcPr>
            <w:tcW w:w="1296" w:type="dxa"/>
            <w:tcBorders>
              <w:top w:val="nil"/>
              <w:left w:val="nil"/>
              <w:bottom w:val="nil"/>
              <w:right w:val="nil"/>
            </w:tcBorders>
            <w:shd w:val="clear" w:color="auto" w:fill="auto"/>
            <w:noWrap/>
            <w:vAlign w:val="bottom"/>
            <w:hideMark/>
          </w:tcPr>
          <w:p w14:paraId="6B892882" w14:textId="525DD7DA"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2016</w:t>
            </w:r>
          </w:p>
        </w:tc>
        <w:tc>
          <w:tcPr>
            <w:tcW w:w="1296" w:type="dxa"/>
            <w:tcBorders>
              <w:top w:val="nil"/>
              <w:left w:val="nil"/>
              <w:bottom w:val="nil"/>
              <w:right w:val="nil"/>
            </w:tcBorders>
            <w:shd w:val="clear" w:color="auto" w:fill="auto"/>
            <w:noWrap/>
            <w:vAlign w:val="bottom"/>
            <w:hideMark/>
          </w:tcPr>
          <w:p w14:paraId="07E3ECBB" w14:textId="19FF1B96" w:rsidR="00A10F39" w:rsidRPr="000B2554" w:rsidRDefault="000B6B96"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Pg. 100, NC3</w:t>
            </w:r>
          </w:p>
        </w:tc>
        <w:tc>
          <w:tcPr>
            <w:tcW w:w="1296" w:type="dxa"/>
            <w:tcBorders>
              <w:top w:val="nil"/>
              <w:left w:val="nil"/>
              <w:bottom w:val="nil"/>
              <w:right w:val="nil"/>
            </w:tcBorders>
            <w:shd w:val="clear" w:color="auto" w:fill="auto"/>
            <w:noWrap/>
            <w:vAlign w:val="bottom"/>
            <w:hideMark/>
          </w:tcPr>
          <w:p w14:paraId="34A64F50" w14:textId="44CBF0D2" w:rsidR="00A10F39" w:rsidRPr="000B2554" w:rsidRDefault="000B6B96"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Table 2.82, NC3</w:t>
            </w:r>
          </w:p>
        </w:tc>
        <w:tc>
          <w:tcPr>
            <w:tcW w:w="1296" w:type="dxa"/>
            <w:tcBorders>
              <w:top w:val="nil"/>
              <w:left w:val="nil"/>
              <w:bottom w:val="nil"/>
              <w:right w:val="nil"/>
            </w:tcBorders>
            <w:shd w:val="clear" w:color="auto" w:fill="auto"/>
            <w:noWrap/>
            <w:vAlign w:val="bottom"/>
            <w:hideMark/>
          </w:tcPr>
          <w:p w14:paraId="6B3D74B2" w14:textId="365D8EDD" w:rsidR="00A10F39" w:rsidRPr="000B2554" w:rsidRDefault="00D03670" w:rsidP="00A10F39">
            <w:pPr>
              <w:spacing w:after="0" w:line="240" w:lineRule="auto"/>
              <w:jc w:val="center"/>
              <w:rPr>
                <w:rFonts w:eastAsia="Times New Roman" w:cstheme="minorHAnsi"/>
                <w:sz w:val="18"/>
                <w:szCs w:val="18"/>
              </w:rPr>
            </w:pPr>
            <w:r w:rsidRPr="000B2554">
              <w:rPr>
                <w:rFonts w:eastAsia="Times New Roman" w:cstheme="minorHAnsi"/>
                <w:color w:val="000000"/>
                <w:sz w:val="18"/>
                <w:szCs w:val="18"/>
              </w:rPr>
              <w:t>Table 2.82, NC3</w:t>
            </w:r>
          </w:p>
        </w:tc>
        <w:tc>
          <w:tcPr>
            <w:tcW w:w="1296" w:type="dxa"/>
            <w:tcBorders>
              <w:top w:val="nil"/>
              <w:left w:val="nil"/>
              <w:bottom w:val="nil"/>
              <w:right w:val="nil"/>
            </w:tcBorders>
            <w:shd w:val="clear" w:color="auto" w:fill="auto"/>
            <w:noWrap/>
            <w:vAlign w:val="bottom"/>
            <w:hideMark/>
          </w:tcPr>
          <w:p w14:paraId="2FB2B931" w14:textId="198E0E8A" w:rsidR="00A10F39" w:rsidRPr="000B2554" w:rsidRDefault="000B6B96">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Table 2.82, NC3</w:t>
            </w:r>
            <w:r w:rsidR="00392467" w:rsidRPr="000B2554">
              <w:rPr>
                <w:rFonts w:eastAsia="Times New Roman" w:cstheme="minorHAnsi"/>
                <w:color w:val="000000"/>
                <w:sz w:val="18"/>
                <w:szCs w:val="18"/>
                <w:vertAlign w:val="superscript"/>
              </w:rPr>
              <w:t>§</w:t>
            </w:r>
          </w:p>
        </w:tc>
      </w:tr>
      <w:tr w:rsidR="00A10F39" w:rsidRPr="00A2464B" w14:paraId="6407931B" w14:textId="77777777" w:rsidTr="000B2554">
        <w:trPr>
          <w:trHeight w:val="290"/>
        </w:trPr>
        <w:tc>
          <w:tcPr>
            <w:tcW w:w="1225" w:type="dxa"/>
            <w:tcBorders>
              <w:top w:val="nil"/>
              <w:left w:val="nil"/>
              <w:bottom w:val="nil"/>
              <w:right w:val="nil"/>
            </w:tcBorders>
            <w:shd w:val="clear" w:color="auto" w:fill="auto"/>
            <w:noWrap/>
            <w:vAlign w:val="bottom"/>
            <w:hideMark/>
          </w:tcPr>
          <w:p w14:paraId="500CCCCF" w14:textId="77777777"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Brazil</w:t>
            </w:r>
          </w:p>
        </w:tc>
        <w:tc>
          <w:tcPr>
            <w:tcW w:w="1295" w:type="dxa"/>
            <w:tcBorders>
              <w:top w:val="nil"/>
              <w:left w:val="nil"/>
              <w:bottom w:val="nil"/>
              <w:right w:val="nil"/>
            </w:tcBorders>
            <w:vAlign w:val="bottom"/>
          </w:tcPr>
          <w:p w14:paraId="574DD917" w14:textId="288AFAC5"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NC4 (2020)</w:t>
            </w:r>
          </w:p>
        </w:tc>
        <w:tc>
          <w:tcPr>
            <w:tcW w:w="1296" w:type="dxa"/>
            <w:tcBorders>
              <w:top w:val="nil"/>
              <w:left w:val="nil"/>
              <w:bottom w:val="nil"/>
              <w:right w:val="nil"/>
            </w:tcBorders>
            <w:shd w:val="clear" w:color="auto" w:fill="auto"/>
            <w:noWrap/>
            <w:vAlign w:val="bottom"/>
            <w:hideMark/>
          </w:tcPr>
          <w:p w14:paraId="1619FAAB" w14:textId="18BE4AF2"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2016</w:t>
            </w:r>
          </w:p>
        </w:tc>
        <w:tc>
          <w:tcPr>
            <w:tcW w:w="1296" w:type="dxa"/>
            <w:tcBorders>
              <w:top w:val="nil"/>
              <w:left w:val="nil"/>
              <w:bottom w:val="nil"/>
              <w:right w:val="nil"/>
            </w:tcBorders>
            <w:shd w:val="clear" w:color="auto" w:fill="auto"/>
            <w:noWrap/>
            <w:vAlign w:val="bottom"/>
            <w:hideMark/>
          </w:tcPr>
          <w:p w14:paraId="7DB220F3" w14:textId="6407A15E" w:rsidR="00A10F39" w:rsidRPr="000B2554" w:rsidRDefault="002838AC"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Panel 2.9</w:t>
            </w:r>
          </w:p>
        </w:tc>
        <w:tc>
          <w:tcPr>
            <w:tcW w:w="1296" w:type="dxa"/>
            <w:tcBorders>
              <w:top w:val="nil"/>
              <w:left w:val="nil"/>
              <w:bottom w:val="nil"/>
              <w:right w:val="nil"/>
            </w:tcBorders>
            <w:shd w:val="clear" w:color="auto" w:fill="auto"/>
            <w:noWrap/>
            <w:vAlign w:val="bottom"/>
            <w:hideMark/>
          </w:tcPr>
          <w:p w14:paraId="54A71304" w14:textId="0EF3D177" w:rsidR="00A10F39" w:rsidRPr="000B2554" w:rsidRDefault="00A2464B"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Figure 2.34</w:t>
            </w:r>
          </w:p>
        </w:tc>
        <w:tc>
          <w:tcPr>
            <w:tcW w:w="1296" w:type="dxa"/>
            <w:tcBorders>
              <w:top w:val="nil"/>
              <w:left w:val="nil"/>
              <w:bottom w:val="nil"/>
              <w:right w:val="nil"/>
            </w:tcBorders>
            <w:shd w:val="clear" w:color="auto" w:fill="auto"/>
            <w:noWrap/>
            <w:vAlign w:val="bottom"/>
            <w:hideMark/>
          </w:tcPr>
          <w:p w14:paraId="289166BB" w14:textId="01DAA0EE" w:rsidR="00A10F39" w:rsidRPr="000B2554" w:rsidRDefault="002838AC"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Table 2.1†</w:t>
            </w:r>
          </w:p>
        </w:tc>
        <w:tc>
          <w:tcPr>
            <w:tcW w:w="1296" w:type="dxa"/>
            <w:tcBorders>
              <w:top w:val="nil"/>
              <w:left w:val="nil"/>
              <w:bottom w:val="nil"/>
              <w:right w:val="nil"/>
            </w:tcBorders>
            <w:shd w:val="clear" w:color="auto" w:fill="auto"/>
            <w:noWrap/>
            <w:vAlign w:val="bottom"/>
            <w:hideMark/>
          </w:tcPr>
          <w:p w14:paraId="6D1EEB73" w14:textId="3AB76F1D" w:rsidR="00A10F39" w:rsidRPr="000B2554" w:rsidRDefault="00A2464B"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NR</w:t>
            </w:r>
          </w:p>
        </w:tc>
      </w:tr>
      <w:tr w:rsidR="00A10F39" w:rsidRPr="00A2464B" w14:paraId="27A26660" w14:textId="77777777" w:rsidTr="000B2554">
        <w:trPr>
          <w:trHeight w:val="290"/>
        </w:trPr>
        <w:tc>
          <w:tcPr>
            <w:tcW w:w="1225" w:type="dxa"/>
            <w:tcBorders>
              <w:top w:val="nil"/>
              <w:left w:val="nil"/>
              <w:bottom w:val="nil"/>
              <w:right w:val="nil"/>
            </w:tcBorders>
            <w:shd w:val="clear" w:color="auto" w:fill="auto"/>
            <w:noWrap/>
            <w:vAlign w:val="bottom"/>
            <w:hideMark/>
          </w:tcPr>
          <w:p w14:paraId="11A364B4" w14:textId="3BCD8477"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Brazil</w:t>
            </w:r>
          </w:p>
        </w:tc>
        <w:tc>
          <w:tcPr>
            <w:tcW w:w="1295" w:type="dxa"/>
            <w:tcBorders>
              <w:top w:val="nil"/>
              <w:left w:val="nil"/>
              <w:bottom w:val="nil"/>
              <w:right w:val="nil"/>
            </w:tcBorders>
            <w:vAlign w:val="bottom"/>
          </w:tcPr>
          <w:p w14:paraId="47F568D4" w14:textId="76C31528"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BUR4 (2020)</w:t>
            </w:r>
          </w:p>
        </w:tc>
        <w:tc>
          <w:tcPr>
            <w:tcW w:w="1296" w:type="dxa"/>
            <w:tcBorders>
              <w:top w:val="nil"/>
              <w:left w:val="nil"/>
              <w:bottom w:val="nil"/>
              <w:right w:val="nil"/>
            </w:tcBorders>
            <w:shd w:val="clear" w:color="auto" w:fill="auto"/>
            <w:noWrap/>
            <w:vAlign w:val="bottom"/>
            <w:hideMark/>
          </w:tcPr>
          <w:p w14:paraId="445B0477" w14:textId="608E2384"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2016</w:t>
            </w:r>
          </w:p>
        </w:tc>
        <w:tc>
          <w:tcPr>
            <w:tcW w:w="1296" w:type="dxa"/>
            <w:tcBorders>
              <w:top w:val="nil"/>
              <w:left w:val="nil"/>
              <w:bottom w:val="nil"/>
              <w:right w:val="nil"/>
            </w:tcBorders>
            <w:shd w:val="clear" w:color="auto" w:fill="auto"/>
            <w:noWrap/>
            <w:vAlign w:val="bottom"/>
            <w:hideMark/>
          </w:tcPr>
          <w:p w14:paraId="72C7101C" w14:textId="3E205E8C" w:rsidR="00A10F39" w:rsidRPr="000B2554" w:rsidRDefault="00FA261C">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 xml:space="preserve">Box 4, </w:t>
            </w:r>
            <w:r w:rsidR="002838AC" w:rsidRPr="000B2554">
              <w:rPr>
                <w:rFonts w:eastAsia="Times New Roman" w:cstheme="minorHAnsi"/>
                <w:color w:val="000000"/>
                <w:sz w:val="18"/>
                <w:szCs w:val="18"/>
              </w:rPr>
              <w:t>Pg. 10</w:t>
            </w:r>
            <w:r w:rsidRPr="000B2554">
              <w:rPr>
                <w:rFonts w:eastAsia="Times New Roman" w:cstheme="minorHAnsi"/>
                <w:color w:val="000000"/>
                <w:sz w:val="18"/>
                <w:szCs w:val="18"/>
              </w:rPr>
              <w:t>6</w:t>
            </w:r>
          </w:p>
        </w:tc>
        <w:tc>
          <w:tcPr>
            <w:tcW w:w="1296" w:type="dxa"/>
            <w:tcBorders>
              <w:top w:val="nil"/>
              <w:left w:val="nil"/>
              <w:bottom w:val="nil"/>
              <w:right w:val="nil"/>
            </w:tcBorders>
            <w:shd w:val="clear" w:color="auto" w:fill="auto"/>
            <w:noWrap/>
            <w:vAlign w:val="bottom"/>
            <w:hideMark/>
          </w:tcPr>
          <w:p w14:paraId="24E49786" w14:textId="3CC16B9A" w:rsidR="00A10F39" w:rsidRPr="000B2554" w:rsidRDefault="002838AC"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NR</w:t>
            </w:r>
          </w:p>
        </w:tc>
        <w:tc>
          <w:tcPr>
            <w:tcW w:w="1296" w:type="dxa"/>
            <w:tcBorders>
              <w:top w:val="nil"/>
              <w:left w:val="nil"/>
              <w:bottom w:val="nil"/>
              <w:right w:val="nil"/>
            </w:tcBorders>
            <w:shd w:val="clear" w:color="auto" w:fill="auto"/>
            <w:noWrap/>
            <w:vAlign w:val="bottom"/>
            <w:hideMark/>
          </w:tcPr>
          <w:p w14:paraId="7095BFED" w14:textId="2F7C1270" w:rsidR="00A10F39" w:rsidRPr="000B2554" w:rsidRDefault="002838AC"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Table IV†</w:t>
            </w:r>
          </w:p>
        </w:tc>
        <w:tc>
          <w:tcPr>
            <w:tcW w:w="1296" w:type="dxa"/>
            <w:tcBorders>
              <w:top w:val="nil"/>
              <w:left w:val="nil"/>
              <w:bottom w:val="nil"/>
              <w:right w:val="nil"/>
            </w:tcBorders>
            <w:shd w:val="clear" w:color="auto" w:fill="auto"/>
            <w:noWrap/>
            <w:vAlign w:val="bottom"/>
            <w:hideMark/>
          </w:tcPr>
          <w:p w14:paraId="3BF0EC8C" w14:textId="2229DE0B" w:rsidR="00A10F39" w:rsidRPr="000B2554" w:rsidRDefault="002838AC"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NR</w:t>
            </w:r>
          </w:p>
        </w:tc>
      </w:tr>
      <w:tr w:rsidR="00A10F39" w:rsidRPr="00A2464B" w14:paraId="1869A440" w14:textId="77777777" w:rsidTr="000B2554">
        <w:trPr>
          <w:trHeight w:val="290"/>
        </w:trPr>
        <w:tc>
          <w:tcPr>
            <w:tcW w:w="1225" w:type="dxa"/>
            <w:tcBorders>
              <w:top w:val="nil"/>
              <w:left w:val="nil"/>
              <w:bottom w:val="nil"/>
              <w:right w:val="nil"/>
            </w:tcBorders>
            <w:shd w:val="clear" w:color="auto" w:fill="auto"/>
            <w:noWrap/>
            <w:vAlign w:val="bottom"/>
            <w:hideMark/>
          </w:tcPr>
          <w:p w14:paraId="1C3E42B3" w14:textId="77777777"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Malaysia</w:t>
            </w:r>
          </w:p>
        </w:tc>
        <w:tc>
          <w:tcPr>
            <w:tcW w:w="1295" w:type="dxa"/>
            <w:tcBorders>
              <w:top w:val="nil"/>
              <w:left w:val="nil"/>
              <w:bottom w:val="nil"/>
              <w:right w:val="nil"/>
            </w:tcBorders>
            <w:vAlign w:val="bottom"/>
          </w:tcPr>
          <w:p w14:paraId="5D56A7DC" w14:textId="4E80FCFB"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BUR3 (2020)</w:t>
            </w:r>
            <w:r w:rsidR="006878CA">
              <w:rPr>
                <w:rFonts w:eastAsia="Times New Roman" w:cstheme="minorHAnsi"/>
                <w:color w:val="000000"/>
                <w:sz w:val="18"/>
                <w:szCs w:val="18"/>
              </w:rPr>
              <w:t>, NC3 (2018)</w:t>
            </w:r>
          </w:p>
        </w:tc>
        <w:tc>
          <w:tcPr>
            <w:tcW w:w="1296" w:type="dxa"/>
            <w:tcBorders>
              <w:top w:val="nil"/>
              <w:left w:val="nil"/>
              <w:bottom w:val="nil"/>
              <w:right w:val="nil"/>
            </w:tcBorders>
            <w:shd w:val="clear" w:color="auto" w:fill="auto"/>
            <w:noWrap/>
            <w:vAlign w:val="bottom"/>
            <w:hideMark/>
          </w:tcPr>
          <w:p w14:paraId="1B918DFE" w14:textId="2CC359BE"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2016</w:t>
            </w:r>
          </w:p>
        </w:tc>
        <w:tc>
          <w:tcPr>
            <w:tcW w:w="1296" w:type="dxa"/>
            <w:tcBorders>
              <w:top w:val="nil"/>
              <w:left w:val="nil"/>
              <w:bottom w:val="nil"/>
              <w:right w:val="nil"/>
            </w:tcBorders>
            <w:shd w:val="clear" w:color="auto" w:fill="auto"/>
            <w:noWrap/>
            <w:vAlign w:val="bottom"/>
            <w:hideMark/>
          </w:tcPr>
          <w:p w14:paraId="3A010F42" w14:textId="16C48933" w:rsidR="00A10F39" w:rsidRPr="000B2554" w:rsidRDefault="006878CA"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A1, BUR3</w:t>
            </w:r>
          </w:p>
        </w:tc>
        <w:tc>
          <w:tcPr>
            <w:tcW w:w="1296" w:type="dxa"/>
            <w:tcBorders>
              <w:top w:val="nil"/>
              <w:left w:val="nil"/>
              <w:bottom w:val="nil"/>
              <w:right w:val="nil"/>
            </w:tcBorders>
            <w:shd w:val="clear" w:color="auto" w:fill="auto"/>
            <w:noWrap/>
            <w:vAlign w:val="bottom"/>
            <w:hideMark/>
          </w:tcPr>
          <w:p w14:paraId="3E898D6F" w14:textId="0CD02F4A" w:rsidR="00A10F39" w:rsidRPr="000B2554" w:rsidRDefault="006878CA"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B5, BUR3</w:t>
            </w:r>
          </w:p>
        </w:tc>
        <w:tc>
          <w:tcPr>
            <w:tcW w:w="1296" w:type="dxa"/>
            <w:tcBorders>
              <w:top w:val="nil"/>
              <w:left w:val="nil"/>
              <w:bottom w:val="nil"/>
              <w:right w:val="nil"/>
            </w:tcBorders>
            <w:shd w:val="clear" w:color="auto" w:fill="auto"/>
            <w:noWrap/>
            <w:vAlign w:val="bottom"/>
            <w:hideMark/>
          </w:tcPr>
          <w:p w14:paraId="3E03B397" w14:textId="7A2657DA" w:rsidR="00A10F39" w:rsidRPr="000B2554" w:rsidRDefault="006878CA"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2.8, NC3</w:t>
            </w:r>
            <w:r w:rsidRPr="000B2554">
              <w:rPr>
                <w:rFonts w:eastAsia="Times New Roman" w:cstheme="minorHAnsi"/>
                <w:color w:val="000000"/>
                <w:sz w:val="18"/>
                <w:szCs w:val="18"/>
                <w:vertAlign w:val="superscript"/>
              </w:rPr>
              <w:t>‡</w:t>
            </w:r>
          </w:p>
        </w:tc>
        <w:tc>
          <w:tcPr>
            <w:tcW w:w="1296" w:type="dxa"/>
            <w:tcBorders>
              <w:top w:val="nil"/>
              <w:left w:val="nil"/>
              <w:bottom w:val="nil"/>
              <w:right w:val="nil"/>
            </w:tcBorders>
            <w:shd w:val="clear" w:color="auto" w:fill="auto"/>
            <w:noWrap/>
            <w:vAlign w:val="bottom"/>
            <w:hideMark/>
          </w:tcPr>
          <w:p w14:paraId="2F0D80A6" w14:textId="45760618" w:rsidR="00A10F39" w:rsidRPr="000B2554" w:rsidRDefault="006878CA"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B21b, BUR3</w:t>
            </w:r>
          </w:p>
        </w:tc>
      </w:tr>
      <w:tr w:rsidR="00A10F39" w:rsidRPr="00A2464B" w14:paraId="595F3721" w14:textId="77777777" w:rsidTr="000B2554">
        <w:trPr>
          <w:trHeight w:val="290"/>
        </w:trPr>
        <w:tc>
          <w:tcPr>
            <w:tcW w:w="1225" w:type="dxa"/>
            <w:tcBorders>
              <w:top w:val="nil"/>
              <w:left w:val="nil"/>
              <w:bottom w:val="nil"/>
              <w:right w:val="nil"/>
            </w:tcBorders>
            <w:shd w:val="clear" w:color="auto" w:fill="auto"/>
            <w:noWrap/>
            <w:vAlign w:val="bottom"/>
            <w:hideMark/>
          </w:tcPr>
          <w:p w14:paraId="27CEEA7E" w14:textId="77777777"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Mexico</w:t>
            </w:r>
          </w:p>
        </w:tc>
        <w:tc>
          <w:tcPr>
            <w:tcW w:w="1295" w:type="dxa"/>
            <w:tcBorders>
              <w:top w:val="nil"/>
              <w:left w:val="nil"/>
              <w:bottom w:val="nil"/>
              <w:right w:val="nil"/>
            </w:tcBorders>
            <w:vAlign w:val="bottom"/>
          </w:tcPr>
          <w:p w14:paraId="27AF8265" w14:textId="2F762ED4"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NIR (2018)</w:t>
            </w:r>
          </w:p>
        </w:tc>
        <w:tc>
          <w:tcPr>
            <w:tcW w:w="1296" w:type="dxa"/>
            <w:tcBorders>
              <w:top w:val="nil"/>
              <w:left w:val="nil"/>
              <w:bottom w:val="nil"/>
              <w:right w:val="nil"/>
            </w:tcBorders>
            <w:shd w:val="clear" w:color="auto" w:fill="auto"/>
            <w:noWrap/>
            <w:vAlign w:val="bottom"/>
            <w:hideMark/>
          </w:tcPr>
          <w:p w14:paraId="4806A2F0" w14:textId="60729AF5"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2015</w:t>
            </w:r>
          </w:p>
        </w:tc>
        <w:tc>
          <w:tcPr>
            <w:tcW w:w="1296" w:type="dxa"/>
            <w:tcBorders>
              <w:top w:val="nil"/>
              <w:left w:val="nil"/>
              <w:bottom w:val="nil"/>
              <w:right w:val="nil"/>
            </w:tcBorders>
            <w:shd w:val="clear" w:color="auto" w:fill="auto"/>
            <w:noWrap/>
            <w:vAlign w:val="bottom"/>
            <w:hideMark/>
          </w:tcPr>
          <w:p w14:paraId="41A5AFBF" w14:textId="164E1A3E" w:rsidR="00A10F39" w:rsidRPr="000B2554" w:rsidRDefault="009612DE"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w:t>
            </w:r>
            <w:r w:rsidR="00D1193C">
              <w:rPr>
                <w:rFonts w:eastAsia="Times New Roman" w:cstheme="minorHAnsi"/>
                <w:color w:val="000000"/>
                <w:sz w:val="18"/>
                <w:szCs w:val="18"/>
              </w:rPr>
              <w:t>le 2.4</w:t>
            </w:r>
          </w:p>
        </w:tc>
        <w:tc>
          <w:tcPr>
            <w:tcW w:w="1296" w:type="dxa"/>
            <w:tcBorders>
              <w:top w:val="nil"/>
              <w:left w:val="nil"/>
              <w:bottom w:val="nil"/>
              <w:right w:val="nil"/>
            </w:tcBorders>
            <w:shd w:val="clear" w:color="auto" w:fill="auto"/>
            <w:noWrap/>
            <w:vAlign w:val="bottom"/>
            <w:hideMark/>
          </w:tcPr>
          <w:p w14:paraId="2693C783" w14:textId="3B933228" w:rsidR="00A10F39" w:rsidRPr="000B2554" w:rsidRDefault="00D1193C"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2.3</w:t>
            </w:r>
          </w:p>
        </w:tc>
        <w:tc>
          <w:tcPr>
            <w:tcW w:w="1296" w:type="dxa"/>
            <w:tcBorders>
              <w:top w:val="nil"/>
              <w:left w:val="nil"/>
              <w:bottom w:val="nil"/>
              <w:right w:val="nil"/>
            </w:tcBorders>
            <w:shd w:val="clear" w:color="auto" w:fill="auto"/>
            <w:noWrap/>
            <w:vAlign w:val="bottom"/>
            <w:hideMark/>
          </w:tcPr>
          <w:p w14:paraId="0E59C0AA" w14:textId="18F7E9B9" w:rsidR="00A10F39" w:rsidRPr="000B2554" w:rsidRDefault="00D1193C"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2.2</w:t>
            </w:r>
          </w:p>
        </w:tc>
        <w:tc>
          <w:tcPr>
            <w:tcW w:w="1296" w:type="dxa"/>
            <w:tcBorders>
              <w:top w:val="nil"/>
              <w:left w:val="nil"/>
              <w:bottom w:val="nil"/>
              <w:right w:val="nil"/>
            </w:tcBorders>
            <w:shd w:val="clear" w:color="auto" w:fill="auto"/>
            <w:noWrap/>
            <w:vAlign w:val="bottom"/>
            <w:hideMark/>
          </w:tcPr>
          <w:p w14:paraId="2440E598" w14:textId="4CDCCE9B" w:rsidR="00A10F39" w:rsidRPr="000B2554" w:rsidRDefault="00D1193C"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6</w:t>
            </w:r>
          </w:p>
        </w:tc>
      </w:tr>
      <w:tr w:rsidR="00A10F39" w:rsidRPr="00A2464B" w14:paraId="4A73A550" w14:textId="77777777" w:rsidTr="000B2554">
        <w:trPr>
          <w:trHeight w:val="290"/>
        </w:trPr>
        <w:tc>
          <w:tcPr>
            <w:tcW w:w="1225" w:type="dxa"/>
            <w:tcBorders>
              <w:top w:val="nil"/>
              <w:left w:val="nil"/>
              <w:bottom w:val="nil"/>
              <w:right w:val="nil"/>
            </w:tcBorders>
            <w:shd w:val="clear" w:color="auto" w:fill="auto"/>
            <w:noWrap/>
            <w:vAlign w:val="bottom"/>
            <w:hideMark/>
          </w:tcPr>
          <w:p w14:paraId="34D2E194" w14:textId="77777777"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Cambodia</w:t>
            </w:r>
          </w:p>
        </w:tc>
        <w:tc>
          <w:tcPr>
            <w:tcW w:w="1295" w:type="dxa"/>
            <w:tcBorders>
              <w:top w:val="nil"/>
              <w:left w:val="nil"/>
              <w:bottom w:val="nil"/>
              <w:right w:val="nil"/>
            </w:tcBorders>
            <w:vAlign w:val="bottom"/>
          </w:tcPr>
          <w:p w14:paraId="53BD451F" w14:textId="63EF360F"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NIR (2020)</w:t>
            </w:r>
          </w:p>
        </w:tc>
        <w:tc>
          <w:tcPr>
            <w:tcW w:w="1296" w:type="dxa"/>
            <w:tcBorders>
              <w:top w:val="nil"/>
              <w:left w:val="nil"/>
              <w:bottom w:val="nil"/>
              <w:right w:val="nil"/>
            </w:tcBorders>
            <w:shd w:val="clear" w:color="auto" w:fill="auto"/>
            <w:noWrap/>
            <w:vAlign w:val="bottom"/>
            <w:hideMark/>
          </w:tcPr>
          <w:p w14:paraId="1924B685" w14:textId="132A2AEB"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2016</w:t>
            </w:r>
          </w:p>
        </w:tc>
        <w:tc>
          <w:tcPr>
            <w:tcW w:w="1296" w:type="dxa"/>
            <w:tcBorders>
              <w:top w:val="nil"/>
              <w:left w:val="nil"/>
              <w:bottom w:val="nil"/>
              <w:right w:val="nil"/>
            </w:tcBorders>
            <w:shd w:val="clear" w:color="auto" w:fill="auto"/>
            <w:noWrap/>
            <w:vAlign w:val="bottom"/>
            <w:hideMark/>
          </w:tcPr>
          <w:p w14:paraId="307AD84C" w14:textId="4DEEEA99" w:rsidR="00A10F39" w:rsidRPr="000B2554" w:rsidRDefault="00D1193C"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Pg. 4</w:t>
            </w:r>
          </w:p>
        </w:tc>
        <w:tc>
          <w:tcPr>
            <w:tcW w:w="1296" w:type="dxa"/>
            <w:tcBorders>
              <w:top w:val="nil"/>
              <w:left w:val="nil"/>
              <w:bottom w:val="nil"/>
              <w:right w:val="nil"/>
            </w:tcBorders>
            <w:shd w:val="clear" w:color="auto" w:fill="auto"/>
            <w:noWrap/>
            <w:vAlign w:val="bottom"/>
            <w:hideMark/>
          </w:tcPr>
          <w:p w14:paraId="7D3504DE" w14:textId="5BE15F8F" w:rsidR="00A10F39" w:rsidRPr="000B2554" w:rsidRDefault="00D1193C"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116</w:t>
            </w:r>
          </w:p>
        </w:tc>
        <w:tc>
          <w:tcPr>
            <w:tcW w:w="1296" w:type="dxa"/>
            <w:tcBorders>
              <w:top w:val="nil"/>
              <w:left w:val="nil"/>
              <w:bottom w:val="nil"/>
              <w:right w:val="nil"/>
            </w:tcBorders>
            <w:shd w:val="clear" w:color="auto" w:fill="auto"/>
            <w:noWrap/>
            <w:vAlign w:val="bottom"/>
            <w:hideMark/>
          </w:tcPr>
          <w:p w14:paraId="7608AA29" w14:textId="701BCE15" w:rsidR="00A10F39" w:rsidRPr="000B2554" w:rsidRDefault="00D1193C"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111</w:t>
            </w:r>
          </w:p>
        </w:tc>
        <w:tc>
          <w:tcPr>
            <w:tcW w:w="1296" w:type="dxa"/>
            <w:tcBorders>
              <w:top w:val="nil"/>
              <w:left w:val="nil"/>
              <w:bottom w:val="nil"/>
              <w:right w:val="nil"/>
            </w:tcBorders>
            <w:shd w:val="clear" w:color="auto" w:fill="auto"/>
            <w:noWrap/>
            <w:vAlign w:val="bottom"/>
            <w:hideMark/>
          </w:tcPr>
          <w:p w14:paraId="4574EE4A" w14:textId="373D71D6" w:rsidR="00A10F39" w:rsidRPr="000B2554" w:rsidRDefault="00D1193C"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111</w:t>
            </w:r>
            <w:r w:rsidR="00A058CF" w:rsidRPr="00CF5188">
              <w:rPr>
                <w:rFonts w:eastAsia="Times New Roman" w:cstheme="minorHAnsi"/>
                <w:color w:val="000000"/>
                <w:sz w:val="18"/>
                <w:szCs w:val="18"/>
                <w:vertAlign w:val="superscript"/>
              </w:rPr>
              <w:t>§</w:t>
            </w:r>
          </w:p>
        </w:tc>
      </w:tr>
      <w:tr w:rsidR="00A10F39" w:rsidRPr="00A2464B" w14:paraId="6BC16C42" w14:textId="77777777" w:rsidTr="000B2554">
        <w:trPr>
          <w:trHeight w:val="290"/>
        </w:trPr>
        <w:tc>
          <w:tcPr>
            <w:tcW w:w="1225" w:type="dxa"/>
            <w:tcBorders>
              <w:top w:val="nil"/>
              <w:left w:val="nil"/>
              <w:bottom w:val="nil"/>
              <w:right w:val="nil"/>
            </w:tcBorders>
            <w:shd w:val="clear" w:color="auto" w:fill="auto"/>
            <w:noWrap/>
            <w:vAlign w:val="bottom"/>
            <w:hideMark/>
          </w:tcPr>
          <w:p w14:paraId="5199C26E" w14:textId="565FAE9B"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Thailand</w:t>
            </w:r>
          </w:p>
        </w:tc>
        <w:tc>
          <w:tcPr>
            <w:tcW w:w="1295" w:type="dxa"/>
            <w:tcBorders>
              <w:top w:val="nil"/>
              <w:left w:val="nil"/>
              <w:bottom w:val="nil"/>
              <w:right w:val="nil"/>
            </w:tcBorders>
            <w:vAlign w:val="bottom"/>
          </w:tcPr>
          <w:p w14:paraId="037DFCD5" w14:textId="6AF9BC62"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BUR3 (2020), NC3 (2018)</w:t>
            </w:r>
          </w:p>
        </w:tc>
        <w:tc>
          <w:tcPr>
            <w:tcW w:w="1296" w:type="dxa"/>
            <w:tcBorders>
              <w:top w:val="nil"/>
              <w:left w:val="nil"/>
              <w:bottom w:val="nil"/>
              <w:right w:val="nil"/>
            </w:tcBorders>
            <w:shd w:val="clear" w:color="auto" w:fill="auto"/>
            <w:noWrap/>
            <w:vAlign w:val="bottom"/>
            <w:hideMark/>
          </w:tcPr>
          <w:p w14:paraId="12C4E409" w14:textId="1F11A89B"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2016</w:t>
            </w:r>
          </w:p>
        </w:tc>
        <w:tc>
          <w:tcPr>
            <w:tcW w:w="1296" w:type="dxa"/>
            <w:tcBorders>
              <w:top w:val="nil"/>
              <w:left w:val="nil"/>
              <w:bottom w:val="nil"/>
              <w:right w:val="nil"/>
            </w:tcBorders>
            <w:shd w:val="clear" w:color="auto" w:fill="auto"/>
            <w:noWrap/>
            <w:vAlign w:val="bottom"/>
            <w:hideMark/>
          </w:tcPr>
          <w:p w14:paraId="266CDA3A" w14:textId="480C1022" w:rsidR="00A10F39" w:rsidRPr="000B2554" w:rsidRDefault="003877AF"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2-1, BUR3</w:t>
            </w:r>
          </w:p>
        </w:tc>
        <w:tc>
          <w:tcPr>
            <w:tcW w:w="1296" w:type="dxa"/>
            <w:tcBorders>
              <w:top w:val="nil"/>
              <w:left w:val="nil"/>
              <w:bottom w:val="nil"/>
              <w:right w:val="nil"/>
            </w:tcBorders>
            <w:shd w:val="clear" w:color="auto" w:fill="auto"/>
            <w:noWrap/>
            <w:vAlign w:val="bottom"/>
            <w:hideMark/>
          </w:tcPr>
          <w:p w14:paraId="386095B1" w14:textId="11D3BA67" w:rsidR="00A10F39" w:rsidRPr="000B2554" w:rsidRDefault="003877AF"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2-4, BUR3</w:t>
            </w:r>
          </w:p>
        </w:tc>
        <w:tc>
          <w:tcPr>
            <w:tcW w:w="1296" w:type="dxa"/>
            <w:tcBorders>
              <w:top w:val="nil"/>
              <w:left w:val="nil"/>
              <w:bottom w:val="nil"/>
              <w:right w:val="nil"/>
            </w:tcBorders>
            <w:shd w:val="clear" w:color="auto" w:fill="auto"/>
            <w:noWrap/>
            <w:vAlign w:val="bottom"/>
            <w:hideMark/>
          </w:tcPr>
          <w:p w14:paraId="6C5B7287" w14:textId="26E852B4" w:rsidR="00A10F39" w:rsidRPr="000B2554" w:rsidRDefault="003877AF" w:rsidP="00A10F39">
            <w:pPr>
              <w:spacing w:after="0" w:line="240" w:lineRule="auto"/>
              <w:jc w:val="center"/>
              <w:rPr>
                <w:rFonts w:eastAsia="Times New Roman" w:cstheme="minorHAnsi"/>
                <w:sz w:val="18"/>
                <w:szCs w:val="18"/>
              </w:rPr>
            </w:pPr>
            <w:r>
              <w:rPr>
                <w:rFonts w:eastAsia="Times New Roman" w:cstheme="minorHAnsi"/>
                <w:sz w:val="18"/>
                <w:szCs w:val="18"/>
              </w:rPr>
              <w:t>Pg. 42, BUR3</w:t>
            </w:r>
            <w:r w:rsidR="00A058CF" w:rsidRPr="000B2554">
              <w:rPr>
                <w:sz w:val="18"/>
                <w:szCs w:val="18"/>
                <w:vertAlign w:val="superscript"/>
              </w:rPr>
              <w:t>††</w:t>
            </w:r>
          </w:p>
        </w:tc>
        <w:tc>
          <w:tcPr>
            <w:tcW w:w="1296" w:type="dxa"/>
            <w:tcBorders>
              <w:top w:val="nil"/>
              <w:left w:val="nil"/>
              <w:bottom w:val="nil"/>
              <w:right w:val="nil"/>
            </w:tcBorders>
            <w:shd w:val="clear" w:color="auto" w:fill="auto"/>
            <w:noWrap/>
            <w:vAlign w:val="bottom"/>
            <w:hideMark/>
          </w:tcPr>
          <w:p w14:paraId="0B458CF9" w14:textId="24C0BB67" w:rsidR="00A10F39" w:rsidRPr="000B2554" w:rsidRDefault="003877AF" w:rsidP="00A10F39">
            <w:pPr>
              <w:spacing w:after="0" w:line="240" w:lineRule="auto"/>
              <w:jc w:val="center"/>
              <w:rPr>
                <w:rFonts w:eastAsia="Times New Roman" w:cstheme="minorHAnsi"/>
                <w:sz w:val="18"/>
                <w:szCs w:val="18"/>
              </w:rPr>
            </w:pPr>
            <w:r>
              <w:rPr>
                <w:rFonts w:eastAsia="Times New Roman" w:cstheme="minorHAnsi"/>
                <w:sz w:val="18"/>
                <w:szCs w:val="18"/>
              </w:rPr>
              <w:t>NR</w:t>
            </w:r>
          </w:p>
        </w:tc>
      </w:tr>
      <w:tr w:rsidR="00A10F39" w:rsidRPr="00A2464B" w14:paraId="4F8957CE" w14:textId="77777777" w:rsidTr="000B2554">
        <w:trPr>
          <w:trHeight w:val="290"/>
        </w:trPr>
        <w:tc>
          <w:tcPr>
            <w:tcW w:w="1225" w:type="dxa"/>
            <w:tcBorders>
              <w:top w:val="nil"/>
              <w:left w:val="nil"/>
              <w:bottom w:val="nil"/>
              <w:right w:val="nil"/>
            </w:tcBorders>
            <w:shd w:val="clear" w:color="auto" w:fill="auto"/>
            <w:noWrap/>
            <w:vAlign w:val="bottom"/>
            <w:hideMark/>
          </w:tcPr>
          <w:p w14:paraId="766311A4" w14:textId="2FBA674C"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Peru</w:t>
            </w:r>
          </w:p>
        </w:tc>
        <w:tc>
          <w:tcPr>
            <w:tcW w:w="1295" w:type="dxa"/>
            <w:tcBorders>
              <w:top w:val="nil"/>
              <w:left w:val="nil"/>
              <w:bottom w:val="nil"/>
              <w:right w:val="nil"/>
            </w:tcBorders>
            <w:vAlign w:val="bottom"/>
          </w:tcPr>
          <w:p w14:paraId="5E01CE69" w14:textId="09BCDAC4"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NIR (2019)</w:t>
            </w:r>
          </w:p>
        </w:tc>
        <w:tc>
          <w:tcPr>
            <w:tcW w:w="1296" w:type="dxa"/>
            <w:tcBorders>
              <w:top w:val="nil"/>
              <w:left w:val="nil"/>
              <w:bottom w:val="nil"/>
              <w:right w:val="nil"/>
            </w:tcBorders>
            <w:shd w:val="clear" w:color="auto" w:fill="auto"/>
            <w:noWrap/>
            <w:vAlign w:val="bottom"/>
            <w:hideMark/>
          </w:tcPr>
          <w:p w14:paraId="51A8AF8C" w14:textId="1359258A"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2014</w:t>
            </w:r>
          </w:p>
        </w:tc>
        <w:tc>
          <w:tcPr>
            <w:tcW w:w="1296" w:type="dxa"/>
            <w:tcBorders>
              <w:top w:val="nil"/>
              <w:left w:val="nil"/>
              <w:bottom w:val="nil"/>
              <w:right w:val="nil"/>
            </w:tcBorders>
            <w:shd w:val="clear" w:color="auto" w:fill="auto"/>
            <w:noWrap/>
            <w:vAlign w:val="bottom"/>
            <w:hideMark/>
          </w:tcPr>
          <w:p w14:paraId="4F636826" w14:textId="3BDB34D3"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3</w:t>
            </w:r>
          </w:p>
        </w:tc>
        <w:tc>
          <w:tcPr>
            <w:tcW w:w="1296" w:type="dxa"/>
            <w:tcBorders>
              <w:top w:val="nil"/>
              <w:left w:val="nil"/>
              <w:bottom w:val="nil"/>
              <w:right w:val="nil"/>
            </w:tcBorders>
            <w:shd w:val="clear" w:color="auto" w:fill="auto"/>
            <w:noWrap/>
            <w:vAlign w:val="bottom"/>
            <w:hideMark/>
          </w:tcPr>
          <w:p w14:paraId="7C74FB4F" w14:textId="63865AFE"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4, Annex III</w:t>
            </w:r>
          </w:p>
        </w:tc>
        <w:tc>
          <w:tcPr>
            <w:tcW w:w="1296" w:type="dxa"/>
            <w:tcBorders>
              <w:top w:val="nil"/>
              <w:left w:val="nil"/>
              <w:bottom w:val="nil"/>
              <w:right w:val="nil"/>
            </w:tcBorders>
            <w:shd w:val="clear" w:color="auto" w:fill="auto"/>
            <w:noWrap/>
            <w:vAlign w:val="bottom"/>
            <w:hideMark/>
          </w:tcPr>
          <w:p w14:paraId="2EDA090D" w14:textId="071DEBFE" w:rsidR="00A10F39" w:rsidRPr="000B2554" w:rsidRDefault="00266F18" w:rsidP="00A10F39">
            <w:pPr>
              <w:spacing w:after="0" w:line="240" w:lineRule="auto"/>
              <w:jc w:val="center"/>
              <w:rPr>
                <w:rFonts w:eastAsia="Times New Roman" w:cstheme="minorHAnsi"/>
                <w:sz w:val="18"/>
                <w:szCs w:val="18"/>
              </w:rPr>
            </w:pPr>
            <w:r>
              <w:rPr>
                <w:rFonts w:eastAsia="Times New Roman" w:cstheme="minorHAnsi"/>
                <w:sz w:val="18"/>
                <w:szCs w:val="18"/>
              </w:rPr>
              <w:t>NR</w:t>
            </w:r>
          </w:p>
        </w:tc>
        <w:tc>
          <w:tcPr>
            <w:tcW w:w="1296" w:type="dxa"/>
            <w:tcBorders>
              <w:top w:val="nil"/>
              <w:left w:val="nil"/>
              <w:bottom w:val="nil"/>
              <w:right w:val="nil"/>
            </w:tcBorders>
            <w:shd w:val="clear" w:color="auto" w:fill="auto"/>
            <w:noWrap/>
            <w:vAlign w:val="bottom"/>
            <w:hideMark/>
          </w:tcPr>
          <w:p w14:paraId="7D9A06C5" w14:textId="345DA208"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Annex III</w:t>
            </w:r>
          </w:p>
        </w:tc>
      </w:tr>
      <w:tr w:rsidR="00A10F39" w:rsidRPr="00A2464B" w14:paraId="70534C36" w14:textId="77777777" w:rsidTr="000B2554">
        <w:trPr>
          <w:trHeight w:val="290"/>
        </w:trPr>
        <w:tc>
          <w:tcPr>
            <w:tcW w:w="1225" w:type="dxa"/>
            <w:tcBorders>
              <w:top w:val="nil"/>
              <w:left w:val="nil"/>
              <w:bottom w:val="nil"/>
              <w:right w:val="nil"/>
            </w:tcBorders>
            <w:shd w:val="clear" w:color="auto" w:fill="auto"/>
            <w:noWrap/>
            <w:vAlign w:val="bottom"/>
            <w:hideMark/>
          </w:tcPr>
          <w:p w14:paraId="62FA4F1A" w14:textId="77777777"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Turkey</w:t>
            </w:r>
          </w:p>
        </w:tc>
        <w:tc>
          <w:tcPr>
            <w:tcW w:w="1295" w:type="dxa"/>
            <w:tcBorders>
              <w:top w:val="nil"/>
              <w:left w:val="nil"/>
              <w:bottom w:val="nil"/>
              <w:right w:val="nil"/>
            </w:tcBorders>
            <w:vAlign w:val="bottom"/>
          </w:tcPr>
          <w:p w14:paraId="0CBCEB7C" w14:textId="2D2138B1"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NIR (2021)</w:t>
            </w:r>
          </w:p>
        </w:tc>
        <w:tc>
          <w:tcPr>
            <w:tcW w:w="1296" w:type="dxa"/>
            <w:tcBorders>
              <w:top w:val="nil"/>
              <w:left w:val="nil"/>
              <w:bottom w:val="nil"/>
              <w:right w:val="nil"/>
            </w:tcBorders>
            <w:shd w:val="clear" w:color="auto" w:fill="auto"/>
            <w:noWrap/>
            <w:vAlign w:val="bottom"/>
            <w:hideMark/>
          </w:tcPr>
          <w:p w14:paraId="37B98D69" w14:textId="06588397"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2019</w:t>
            </w:r>
          </w:p>
        </w:tc>
        <w:tc>
          <w:tcPr>
            <w:tcW w:w="1296" w:type="dxa"/>
            <w:tcBorders>
              <w:top w:val="nil"/>
              <w:left w:val="nil"/>
              <w:bottom w:val="nil"/>
              <w:right w:val="nil"/>
            </w:tcBorders>
            <w:shd w:val="clear" w:color="auto" w:fill="auto"/>
            <w:noWrap/>
            <w:vAlign w:val="bottom"/>
            <w:hideMark/>
          </w:tcPr>
          <w:p w14:paraId="6472BD60" w14:textId="6052E386"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CRF Table Summary 3</w:t>
            </w:r>
          </w:p>
        </w:tc>
        <w:tc>
          <w:tcPr>
            <w:tcW w:w="1296" w:type="dxa"/>
            <w:tcBorders>
              <w:top w:val="nil"/>
              <w:left w:val="nil"/>
              <w:bottom w:val="nil"/>
              <w:right w:val="nil"/>
            </w:tcBorders>
            <w:shd w:val="clear" w:color="auto" w:fill="auto"/>
            <w:noWrap/>
            <w:vAlign w:val="bottom"/>
            <w:hideMark/>
          </w:tcPr>
          <w:p w14:paraId="60C686DF" w14:textId="66214BB5"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CRF Table 4</w:t>
            </w:r>
          </w:p>
        </w:tc>
        <w:tc>
          <w:tcPr>
            <w:tcW w:w="1296" w:type="dxa"/>
            <w:tcBorders>
              <w:top w:val="nil"/>
              <w:left w:val="nil"/>
              <w:bottom w:val="nil"/>
              <w:right w:val="nil"/>
            </w:tcBorders>
            <w:shd w:val="clear" w:color="auto" w:fill="auto"/>
            <w:noWrap/>
            <w:vAlign w:val="bottom"/>
            <w:hideMark/>
          </w:tcPr>
          <w:p w14:paraId="3B30FAB8" w14:textId="266254B1"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6.17</w:t>
            </w:r>
          </w:p>
        </w:tc>
        <w:tc>
          <w:tcPr>
            <w:tcW w:w="1296" w:type="dxa"/>
            <w:tcBorders>
              <w:top w:val="nil"/>
              <w:left w:val="nil"/>
              <w:bottom w:val="nil"/>
              <w:right w:val="nil"/>
            </w:tcBorders>
            <w:shd w:val="clear" w:color="auto" w:fill="auto"/>
            <w:noWrap/>
            <w:vAlign w:val="bottom"/>
            <w:hideMark/>
          </w:tcPr>
          <w:p w14:paraId="610F3949" w14:textId="37485138"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6.17</w:t>
            </w:r>
          </w:p>
        </w:tc>
      </w:tr>
      <w:tr w:rsidR="00A10F39" w:rsidRPr="00A2464B" w14:paraId="4B3FBA7A" w14:textId="77777777" w:rsidTr="000B2554">
        <w:trPr>
          <w:trHeight w:val="290"/>
        </w:trPr>
        <w:tc>
          <w:tcPr>
            <w:tcW w:w="1225" w:type="dxa"/>
            <w:tcBorders>
              <w:top w:val="nil"/>
              <w:left w:val="nil"/>
              <w:bottom w:val="nil"/>
              <w:right w:val="nil"/>
            </w:tcBorders>
            <w:shd w:val="clear" w:color="auto" w:fill="auto"/>
            <w:noWrap/>
            <w:vAlign w:val="bottom"/>
            <w:hideMark/>
          </w:tcPr>
          <w:p w14:paraId="469FB04C" w14:textId="77777777"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Chile</w:t>
            </w:r>
          </w:p>
        </w:tc>
        <w:tc>
          <w:tcPr>
            <w:tcW w:w="1295" w:type="dxa"/>
            <w:tcBorders>
              <w:top w:val="nil"/>
              <w:left w:val="nil"/>
              <w:bottom w:val="nil"/>
              <w:right w:val="nil"/>
            </w:tcBorders>
            <w:vAlign w:val="bottom"/>
          </w:tcPr>
          <w:p w14:paraId="69DEE764" w14:textId="6E88AD93"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NIR (2021)</w:t>
            </w:r>
          </w:p>
        </w:tc>
        <w:tc>
          <w:tcPr>
            <w:tcW w:w="1296" w:type="dxa"/>
            <w:tcBorders>
              <w:top w:val="nil"/>
              <w:left w:val="nil"/>
              <w:bottom w:val="nil"/>
              <w:right w:val="nil"/>
            </w:tcBorders>
            <w:shd w:val="clear" w:color="auto" w:fill="auto"/>
            <w:noWrap/>
            <w:vAlign w:val="bottom"/>
            <w:hideMark/>
          </w:tcPr>
          <w:p w14:paraId="773B3709" w14:textId="46A2AD4B"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2018</w:t>
            </w:r>
          </w:p>
        </w:tc>
        <w:tc>
          <w:tcPr>
            <w:tcW w:w="1296" w:type="dxa"/>
            <w:tcBorders>
              <w:top w:val="nil"/>
              <w:left w:val="nil"/>
              <w:bottom w:val="nil"/>
              <w:right w:val="nil"/>
            </w:tcBorders>
            <w:shd w:val="clear" w:color="auto" w:fill="auto"/>
            <w:noWrap/>
            <w:vAlign w:val="bottom"/>
            <w:hideMark/>
          </w:tcPr>
          <w:p w14:paraId="35BB55E5" w14:textId="6C60929B"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9</w:t>
            </w:r>
          </w:p>
        </w:tc>
        <w:tc>
          <w:tcPr>
            <w:tcW w:w="1296" w:type="dxa"/>
            <w:tcBorders>
              <w:top w:val="nil"/>
              <w:left w:val="nil"/>
              <w:bottom w:val="nil"/>
              <w:right w:val="nil"/>
            </w:tcBorders>
            <w:shd w:val="clear" w:color="auto" w:fill="auto"/>
            <w:noWrap/>
            <w:vAlign w:val="bottom"/>
            <w:hideMark/>
          </w:tcPr>
          <w:p w14:paraId="23C631C0" w14:textId="24F5FBCA"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12</w:t>
            </w:r>
          </w:p>
        </w:tc>
        <w:tc>
          <w:tcPr>
            <w:tcW w:w="1296" w:type="dxa"/>
            <w:tcBorders>
              <w:top w:val="nil"/>
              <w:left w:val="nil"/>
              <w:bottom w:val="nil"/>
              <w:right w:val="nil"/>
            </w:tcBorders>
            <w:shd w:val="clear" w:color="auto" w:fill="auto"/>
            <w:noWrap/>
            <w:vAlign w:val="bottom"/>
            <w:hideMark/>
          </w:tcPr>
          <w:p w14:paraId="056F50A5" w14:textId="43F8DBD2"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Pg. 57</w:t>
            </w:r>
          </w:p>
        </w:tc>
        <w:tc>
          <w:tcPr>
            <w:tcW w:w="1296" w:type="dxa"/>
            <w:tcBorders>
              <w:top w:val="nil"/>
              <w:left w:val="nil"/>
              <w:bottom w:val="nil"/>
              <w:right w:val="nil"/>
            </w:tcBorders>
            <w:shd w:val="clear" w:color="auto" w:fill="auto"/>
            <w:noWrap/>
            <w:vAlign w:val="bottom"/>
            <w:hideMark/>
          </w:tcPr>
          <w:p w14:paraId="1A757EC5" w14:textId="0BC948C1"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Many tables, Ch. 6</w:t>
            </w:r>
          </w:p>
        </w:tc>
      </w:tr>
      <w:tr w:rsidR="00A10F39" w:rsidRPr="00A2464B" w14:paraId="3F336C6F" w14:textId="77777777" w:rsidTr="000B2554">
        <w:trPr>
          <w:trHeight w:val="290"/>
        </w:trPr>
        <w:tc>
          <w:tcPr>
            <w:tcW w:w="1225" w:type="dxa"/>
            <w:tcBorders>
              <w:top w:val="nil"/>
              <w:left w:val="nil"/>
              <w:bottom w:val="nil"/>
              <w:right w:val="nil"/>
            </w:tcBorders>
            <w:shd w:val="clear" w:color="auto" w:fill="auto"/>
            <w:noWrap/>
            <w:vAlign w:val="bottom"/>
            <w:hideMark/>
          </w:tcPr>
          <w:p w14:paraId="66E1A4CC" w14:textId="1D19932C"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Colombia</w:t>
            </w:r>
          </w:p>
        </w:tc>
        <w:tc>
          <w:tcPr>
            <w:tcW w:w="1295" w:type="dxa"/>
            <w:tcBorders>
              <w:top w:val="nil"/>
              <w:left w:val="nil"/>
              <w:bottom w:val="nil"/>
              <w:right w:val="nil"/>
            </w:tcBorders>
            <w:vAlign w:val="bottom"/>
          </w:tcPr>
          <w:p w14:paraId="23A150D5" w14:textId="0C77C0FD"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NIR (2019)</w:t>
            </w:r>
          </w:p>
        </w:tc>
        <w:tc>
          <w:tcPr>
            <w:tcW w:w="1296" w:type="dxa"/>
            <w:tcBorders>
              <w:top w:val="nil"/>
              <w:left w:val="nil"/>
              <w:bottom w:val="nil"/>
              <w:right w:val="nil"/>
            </w:tcBorders>
            <w:shd w:val="clear" w:color="auto" w:fill="auto"/>
            <w:noWrap/>
            <w:vAlign w:val="bottom"/>
            <w:hideMark/>
          </w:tcPr>
          <w:p w14:paraId="797C1513" w14:textId="275FDCAB"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2014</w:t>
            </w:r>
          </w:p>
        </w:tc>
        <w:tc>
          <w:tcPr>
            <w:tcW w:w="1296" w:type="dxa"/>
            <w:tcBorders>
              <w:top w:val="nil"/>
              <w:left w:val="nil"/>
              <w:bottom w:val="nil"/>
              <w:right w:val="nil"/>
            </w:tcBorders>
            <w:shd w:val="clear" w:color="auto" w:fill="auto"/>
            <w:noWrap/>
            <w:vAlign w:val="bottom"/>
            <w:hideMark/>
          </w:tcPr>
          <w:p w14:paraId="28417A7B" w14:textId="3D15DA9C"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1.6</w:t>
            </w:r>
          </w:p>
        </w:tc>
        <w:tc>
          <w:tcPr>
            <w:tcW w:w="1296" w:type="dxa"/>
            <w:tcBorders>
              <w:top w:val="nil"/>
              <w:left w:val="nil"/>
              <w:bottom w:val="nil"/>
              <w:right w:val="nil"/>
            </w:tcBorders>
            <w:shd w:val="clear" w:color="auto" w:fill="auto"/>
            <w:noWrap/>
            <w:vAlign w:val="bottom"/>
            <w:hideMark/>
          </w:tcPr>
          <w:p w14:paraId="3F98474B" w14:textId="58BC3089"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5.3</w:t>
            </w:r>
          </w:p>
        </w:tc>
        <w:tc>
          <w:tcPr>
            <w:tcW w:w="1296" w:type="dxa"/>
            <w:tcBorders>
              <w:top w:val="nil"/>
              <w:left w:val="nil"/>
              <w:bottom w:val="nil"/>
              <w:right w:val="nil"/>
            </w:tcBorders>
            <w:shd w:val="clear" w:color="auto" w:fill="auto"/>
            <w:noWrap/>
            <w:vAlign w:val="bottom"/>
            <w:hideMark/>
          </w:tcPr>
          <w:p w14:paraId="4FF3D054" w14:textId="1AC0279B" w:rsidR="00A10F39" w:rsidRPr="000B2554" w:rsidRDefault="00266F18" w:rsidP="00A10F39">
            <w:pPr>
              <w:spacing w:after="0" w:line="240" w:lineRule="auto"/>
              <w:jc w:val="center"/>
              <w:rPr>
                <w:rFonts w:eastAsia="Times New Roman" w:cstheme="minorHAnsi"/>
                <w:sz w:val="18"/>
                <w:szCs w:val="18"/>
              </w:rPr>
            </w:pPr>
            <w:r>
              <w:rPr>
                <w:rFonts w:eastAsia="Times New Roman" w:cstheme="minorHAnsi"/>
                <w:sz w:val="18"/>
                <w:szCs w:val="18"/>
              </w:rPr>
              <w:t>NR</w:t>
            </w:r>
          </w:p>
        </w:tc>
        <w:tc>
          <w:tcPr>
            <w:tcW w:w="1296" w:type="dxa"/>
            <w:tcBorders>
              <w:top w:val="nil"/>
              <w:left w:val="nil"/>
              <w:bottom w:val="nil"/>
              <w:right w:val="nil"/>
            </w:tcBorders>
            <w:shd w:val="clear" w:color="auto" w:fill="auto"/>
            <w:noWrap/>
            <w:vAlign w:val="bottom"/>
            <w:hideMark/>
          </w:tcPr>
          <w:p w14:paraId="578BF650" w14:textId="15E8B04D"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1.13</w:t>
            </w:r>
          </w:p>
        </w:tc>
      </w:tr>
      <w:tr w:rsidR="00A10F39" w:rsidRPr="00A2464B" w14:paraId="34C7DBA9" w14:textId="77777777" w:rsidTr="000B2554">
        <w:trPr>
          <w:trHeight w:val="290"/>
        </w:trPr>
        <w:tc>
          <w:tcPr>
            <w:tcW w:w="1225" w:type="dxa"/>
            <w:tcBorders>
              <w:top w:val="nil"/>
              <w:left w:val="nil"/>
              <w:bottom w:val="nil"/>
              <w:right w:val="nil"/>
            </w:tcBorders>
            <w:shd w:val="clear" w:color="auto" w:fill="auto"/>
            <w:noWrap/>
            <w:vAlign w:val="bottom"/>
            <w:hideMark/>
          </w:tcPr>
          <w:p w14:paraId="32D3C62D" w14:textId="77777777"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Japan</w:t>
            </w:r>
          </w:p>
        </w:tc>
        <w:tc>
          <w:tcPr>
            <w:tcW w:w="1295" w:type="dxa"/>
            <w:tcBorders>
              <w:top w:val="nil"/>
              <w:left w:val="nil"/>
              <w:bottom w:val="nil"/>
              <w:right w:val="nil"/>
            </w:tcBorders>
            <w:vAlign w:val="bottom"/>
          </w:tcPr>
          <w:p w14:paraId="5ECD93DB" w14:textId="693362A1"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NIR (2021)</w:t>
            </w:r>
          </w:p>
        </w:tc>
        <w:tc>
          <w:tcPr>
            <w:tcW w:w="1296" w:type="dxa"/>
            <w:tcBorders>
              <w:top w:val="nil"/>
              <w:left w:val="nil"/>
              <w:bottom w:val="nil"/>
              <w:right w:val="nil"/>
            </w:tcBorders>
            <w:shd w:val="clear" w:color="auto" w:fill="auto"/>
            <w:noWrap/>
            <w:vAlign w:val="bottom"/>
            <w:hideMark/>
          </w:tcPr>
          <w:p w14:paraId="01667CC0" w14:textId="7EA6C481"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2019</w:t>
            </w:r>
          </w:p>
        </w:tc>
        <w:tc>
          <w:tcPr>
            <w:tcW w:w="1296" w:type="dxa"/>
            <w:tcBorders>
              <w:top w:val="nil"/>
              <w:left w:val="nil"/>
              <w:bottom w:val="nil"/>
              <w:right w:val="nil"/>
            </w:tcBorders>
            <w:shd w:val="clear" w:color="auto" w:fill="auto"/>
            <w:noWrap/>
            <w:vAlign w:val="bottom"/>
            <w:hideMark/>
          </w:tcPr>
          <w:p w14:paraId="53CC8167" w14:textId="74610FCD"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CRF Table Summary 3</w:t>
            </w:r>
          </w:p>
        </w:tc>
        <w:tc>
          <w:tcPr>
            <w:tcW w:w="1296" w:type="dxa"/>
            <w:tcBorders>
              <w:top w:val="nil"/>
              <w:left w:val="nil"/>
              <w:bottom w:val="nil"/>
              <w:right w:val="nil"/>
            </w:tcBorders>
            <w:shd w:val="clear" w:color="auto" w:fill="auto"/>
            <w:noWrap/>
            <w:vAlign w:val="bottom"/>
            <w:hideMark/>
          </w:tcPr>
          <w:p w14:paraId="2192F79B" w14:textId="4AA819C4"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CRF Table 4</w:t>
            </w:r>
          </w:p>
        </w:tc>
        <w:tc>
          <w:tcPr>
            <w:tcW w:w="1296" w:type="dxa"/>
            <w:tcBorders>
              <w:top w:val="nil"/>
              <w:left w:val="nil"/>
              <w:bottom w:val="nil"/>
              <w:right w:val="nil"/>
            </w:tcBorders>
            <w:shd w:val="clear" w:color="auto" w:fill="auto"/>
            <w:noWrap/>
            <w:vAlign w:val="bottom"/>
            <w:hideMark/>
          </w:tcPr>
          <w:p w14:paraId="1E31CA81" w14:textId="1F73B4D7"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1-7</w:t>
            </w:r>
          </w:p>
        </w:tc>
        <w:tc>
          <w:tcPr>
            <w:tcW w:w="1296" w:type="dxa"/>
            <w:tcBorders>
              <w:top w:val="nil"/>
              <w:left w:val="nil"/>
              <w:bottom w:val="nil"/>
              <w:right w:val="nil"/>
            </w:tcBorders>
            <w:shd w:val="clear" w:color="auto" w:fill="auto"/>
            <w:noWrap/>
            <w:vAlign w:val="bottom"/>
            <w:hideMark/>
          </w:tcPr>
          <w:p w14:paraId="77327E7E" w14:textId="112980C0"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Many tables, Ch. 6</w:t>
            </w:r>
          </w:p>
        </w:tc>
      </w:tr>
      <w:tr w:rsidR="00A10F39" w:rsidRPr="00A2464B" w14:paraId="1109B75C" w14:textId="77777777" w:rsidTr="000B2554">
        <w:trPr>
          <w:trHeight w:val="290"/>
        </w:trPr>
        <w:tc>
          <w:tcPr>
            <w:tcW w:w="1225" w:type="dxa"/>
            <w:tcBorders>
              <w:top w:val="nil"/>
              <w:left w:val="nil"/>
              <w:bottom w:val="nil"/>
              <w:right w:val="nil"/>
            </w:tcBorders>
            <w:shd w:val="clear" w:color="auto" w:fill="auto"/>
            <w:noWrap/>
            <w:vAlign w:val="bottom"/>
            <w:hideMark/>
          </w:tcPr>
          <w:p w14:paraId="7242B6C3" w14:textId="77777777"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South Korea</w:t>
            </w:r>
          </w:p>
        </w:tc>
        <w:tc>
          <w:tcPr>
            <w:tcW w:w="1295" w:type="dxa"/>
            <w:tcBorders>
              <w:top w:val="nil"/>
              <w:left w:val="nil"/>
              <w:bottom w:val="nil"/>
              <w:right w:val="nil"/>
            </w:tcBorders>
            <w:vAlign w:val="bottom"/>
          </w:tcPr>
          <w:p w14:paraId="23B4285A" w14:textId="735BA795"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NC4 (2019), BUR3 (2019)</w:t>
            </w:r>
          </w:p>
        </w:tc>
        <w:tc>
          <w:tcPr>
            <w:tcW w:w="1296" w:type="dxa"/>
            <w:tcBorders>
              <w:top w:val="nil"/>
              <w:left w:val="nil"/>
              <w:bottom w:val="nil"/>
              <w:right w:val="nil"/>
            </w:tcBorders>
            <w:shd w:val="clear" w:color="auto" w:fill="auto"/>
            <w:noWrap/>
            <w:vAlign w:val="bottom"/>
            <w:hideMark/>
          </w:tcPr>
          <w:p w14:paraId="046A44EA" w14:textId="0FAE104E"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2016</w:t>
            </w:r>
          </w:p>
        </w:tc>
        <w:tc>
          <w:tcPr>
            <w:tcW w:w="1296" w:type="dxa"/>
            <w:tcBorders>
              <w:top w:val="nil"/>
              <w:left w:val="nil"/>
              <w:bottom w:val="nil"/>
              <w:right w:val="nil"/>
            </w:tcBorders>
            <w:shd w:val="clear" w:color="auto" w:fill="auto"/>
            <w:noWrap/>
            <w:vAlign w:val="bottom"/>
            <w:hideMark/>
          </w:tcPr>
          <w:p w14:paraId="7BE27209" w14:textId="3E3D773A"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1-4, BUR3</w:t>
            </w:r>
          </w:p>
        </w:tc>
        <w:tc>
          <w:tcPr>
            <w:tcW w:w="1296" w:type="dxa"/>
            <w:tcBorders>
              <w:top w:val="nil"/>
              <w:left w:val="nil"/>
              <w:bottom w:val="nil"/>
              <w:right w:val="nil"/>
            </w:tcBorders>
            <w:shd w:val="clear" w:color="auto" w:fill="auto"/>
            <w:noWrap/>
            <w:vAlign w:val="bottom"/>
            <w:hideMark/>
          </w:tcPr>
          <w:p w14:paraId="324B8496" w14:textId="2B4D61B2"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2-7, NC4</w:t>
            </w:r>
          </w:p>
        </w:tc>
        <w:tc>
          <w:tcPr>
            <w:tcW w:w="1296" w:type="dxa"/>
            <w:tcBorders>
              <w:top w:val="nil"/>
              <w:left w:val="nil"/>
              <w:bottom w:val="nil"/>
              <w:right w:val="nil"/>
            </w:tcBorders>
            <w:shd w:val="clear" w:color="auto" w:fill="auto"/>
            <w:noWrap/>
            <w:vAlign w:val="bottom"/>
            <w:hideMark/>
          </w:tcPr>
          <w:p w14:paraId="162A3634" w14:textId="52A9BE55" w:rsidR="00A10F39" w:rsidRPr="000B2554" w:rsidRDefault="00266F18" w:rsidP="00A10F39">
            <w:pPr>
              <w:spacing w:after="0" w:line="240" w:lineRule="auto"/>
              <w:jc w:val="center"/>
              <w:rPr>
                <w:rFonts w:eastAsia="Times New Roman" w:cstheme="minorHAnsi"/>
                <w:sz w:val="18"/>
                <w:szCs w:val="18"/>
              </w:rPr>
            </w:pPr>
            <w:r>
              <w:rPr>
                <w:rFonts w:eastAsia="Times New Roman" w:cstheme="minorHAnsi"/>
                <w:sz w:val="18"/>
                <w:szCs w:val="18"/>
              </w:rPr>
              <w:t>NR</w:t>
            </w:r>
          </w:p>
        </w:tc>
        <w:tc>
          <w:tcPr>
            <w:tcW w:w="1296" w:type="dxa"/>
            <w:tcBorders>
              <w:top w:val="nil"/>
              <w:left w:val="nil"/>
              <w:bottom w:val="nil"/>
              <w:right w:val="nil"/>
            </w:tcBorders>
            <w:shd w:val="clear" w:color="auto" w:fill="auto"/>
            <w:noWrap/>
            <w:vAlign w:val="bottom"/>
            <w:hideMark/>
          </w:tcPr>
          <w:p w14:paraId="6C6E15D8" w14:textId="54F7A675" w:rsidR="00A10F39" w:rsidRPr="000B2554" w:rsidRDefault="00266F18" w:rsidP="00A10F39">
            <w:pPr>
              <w:spacing w:after="0" w:line="240" w:lineRule="auto"/>
              <w:jc w:val="center"/>
              <w:rPr>
                <w:rFonts w:eastAsia="Times New Roman" w:cstheme="minorHAnsi"/>
                <w:sz w:val="18"/>
                <w:szCs w:val="18"/>
              </w:rPr>
            </w:pPr>
            <w:r>
              <w:rPr>
                <w:rFonts w:eastAsia="Times New Roman" w:cstheme="minorHAnsi"/>
                <w:sz w:val="18"/>
                <w:szCs w:val="18"/>
              </w:rPr>
              <w:t>NR</w:t>
            </w:r>
          </w:p>
        </w:tc>
      </w:tr>
      <w:tr w:rsidR="00A10F39" w:rsidRPr="00A2464B" w14:paraId="105D4FBF" w14:textId="77777777" w:rsidTr="000B2554">
        <w:trPr>
          <w:trHeight w:val="290"/>
        </w:trPr>
        <w:tc>
          <w:tcPr>
            <w:tcW w:w="1225" w:type="dxa"/>
            <w:tcBorders>
              <w:top w:val="nil"/>
              <w:left w:val="nil"/>
              <w:bottom w:val="nil"/>
              <w:right w:val="nil"/>
            </w:tcBorders>
            <w:shd w:val="clear" w:color="auto" w:fill="auto"/>
            <w:noWrap/>
            <w:vAlign w:val="bottom"/>
            <w:hideMark/>
          </w:tcPr>
          <w:p w14:paraId="3CCC01B7" w14:textId="792FBA2D"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Italy</w:t>
            </w:r>
          </w:p>
        </w:tc>
        <w:tc>
          <w:tcPr>
            <w:tcW w:w="1295" w:type="dxa"/>
            <w:tcBorders>
              <w:top w:val="nil"/>
              <w:left w:val="nil"/>
              <w:bottom w:val="nil"/>
              <w:right w:val="nil"/>
            </w:tcBorders>
            <w:vAlign w:val="bottom"/>
          </w:tcPr>
          <w:p w14:paraId="38AC81EA" w14:textId="1E38EAF4"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NIR (2021)</w:t>
            </w:r>
          </w:p>
        </w:tc>
        <w:tc>
          <w:tcPr>
            <w:tcW w:w="1296" w:type="dxa"/>
            <w:tcBorders>
              <w:top w:val="nil"/>
              <w:left w:val="nil"/>
              <w:bottom w:val="nil"/>
              <w:right w:val="nil"/>
            </w:tcBorders>
            <w:shd w:val="clear" w:color="auto" w:fill="auto"/>
            <w:noWrap/>
            <w:vAlign w:val="bottom"/>
            <w:hideMark/>
          </w:tcPr>
          <w:p w14:paraId="796A9348" w14:textId="517CB805"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2019</w:t>
            </w:r>
          </w:p>
        </w:tc>
        <w:tc>
          <w:tcPr>
            <w:tcW w:w="1296" w:type="dxa"/>
            <w:tcBorders>
              <w:top w:val="nil"/>
              <w:left w:val="nil"/>
              <w:bottom w:val="nil"/>
              <w:right w:val="nil"/>
            </w:tcBorders>
            <w:shd w:val="clear" w:color="auto" w:fill="auto"/>
            <w:noWrap/>
            <w:vAlign w:val="bottom"/>
            <w:hideMark/>
          </w:tcPr>
          <w:p w14:paraId="08A12E24" w14:textId="5FFC3721"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CRF Table Summary 3</w:t>
            </w:r>
          </w:p>
        </w:tc>
        <w:tc>
          <w:tcPr>
            <w:tcW w:w="1296" w:type="dxa"/>
            <w:tcBorders>
              <w:top w:val="nil"/>
              <w:left w:val="nil"/>
              <w:bottom w:val="nil"/>
              <w:right w:val="nil"/>
            </w:tcBorders>
            <w:shd w:val="clear" w:color="auto" w:fill="auto"/>
            <w:noWrap/>
            <w:vAlign w:val="bottom"/>
            <w:hideMark/>
          </w:tcPr>
          <w:p w14:paraId="60E599AD" w14:textId="2F36A6E3"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CRF Table 4</w:t>
            </w:r>
          </w:p>
        </w:tc>
        <w:tc>
          <w:tcPr>
            <w:tcW w:w="1296" w:type="dxa"/>
            <w:tcBorders>
              <w:top w:val="nil"/>
              <w:left w:val="nil"/>
              <w:bottom w:val="nil"/>
              <w:right w:val="nil"/>
            </w:tcBorders>
            <w:shd w:val="clear" w:color="auto" w:fill="auto"/>
            <w:noWrap/>
            <w:vAlign w:val="bottom"/>
            <w:hideMark/>
          </w:tcPr>
          <w:p w14:paraId="634571F0" w14:textId="5EAD252F" w:rsidR="00A10F39" w:rsidRPr="000B2554" w:rsidRDefault="00266F18" w:rsidP="00A10F39">
            <w:pPr>
              <w:spacing w:after="0" w:line="240" w:lineRule="auto"/>
              <w:jc w:val="center"/>
              <w:rPr>
                <w:rFonts w:eastAsia="Times New Roman" w:cstheme="minorHAnsi"/>
                <w:sz w:val="18"/>
                <w:szCs w:val="18"/>
              </w:rPr>
            </w:pPr>
            <w:r>
              <w:rPr>
                <w:rFonts w:eastAsia="Times New Roman" w:cstheme="minorHAnsi"/>
                <w:sz w:val="18"/>
                <w:szCs w:val="18"/>
              </w:rPr>
              <w:t>NR</w:t>
            </w:r>
          </w:p>
        </w:tc>
        <w:tc>
          <w:tcPr>
            <w:tcW w:w="1296" w:type="dxa"/>
            <w:tcBorders>
              <w:top w:val="nil"/>
              <w:left w:val="nil"/>
              <w:bottom w:val="nil"/>
              <w:right w:val="nil"/>
            </w:tcBorders>
            <w:shd w:val="clear" w:color="auto" w:fill="auto"/>
            <w:noWrap/>
            <w:vAlign w:val="bottom"/>
            <w:hideMark/>
          </w:tcPr>
          <w:p w14:paraId="7A30FA32" w14:textId="2D92A081"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A1.8</w:t>
            </w:r>
          </w:p>
        </w:tc>
      </w:tr>
      <w:tr w:rsidR="00A10F39" w:rsidRPr="00A2464B" w14:paraId="7F2ABAB7" w14:textId="77777777" w:rsidTr="000B2554">
        <w:trPr>
          <w:trHeight w:val="290"/>
        </w:trPr>
        <w:tc>
          <w:tcPr>
            <w:tcW w:w="1225" w:type="dxa"/>
            <w:tcBorders>
              <w:top w:val="nil"/>
              <w:left w:val="nil"/>
              <w:bottom w:val="nil"/>
              <w:right w:val="nil"/>
            </w:tcBorders>
            <w:shd w:val="clear" w:color="auto" w:fill="auto"/>
            <w:noWrap/>
            <w:vAlign w:val="bottom"/>
            <w:hideMark/>
          </w:tcPr>
          <w:p w14:paraId="66C90DF4" w14:textId="77777777"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Spain</w:t>
            </w:r>
          </w:p>
        </w:tc>
        <w:tc>
          <w:tcPr>
            <w:tcW w:w="1295" w:type="dxa"/>
            <w:tcBorders>
              <w:top w:val="nil"/>
              <w:left w:val="nil"/>
              <w:bottom w:val="nil"/>
              <w:right w:val="nil"/>
            </w:tcBorders>
            <w:vAlign w:val="bottom"/>
          </w:tcPr>
          <w:p w14:paraId="332A940E" w14:textId="089A54CE"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NIR (2021)</w:t>
            </w:r>
          </w:p>
        </w:tc>
        <w:tc>
          <w:tcPr>
            <w:tcW w:w="1296" w:type="dxa"/>
            <w:tcBorders>
              <w:top w:val="nil"/>
              <w:left w:val="nil"/>
              <w:bottom w:val="nil"/>
              <w:right w:val="nil"/>
            </w:tcBorders>
            <w:shd w:val="clear" w:color="auto" w:fill="auto"/>
            <w:noWrap/>
            <w:vAlign w:val="bottom"/>
            <w:hideMark/>
          </w:tcPr>
          <w:p w14:paraId="4A2932FD" w14:textId="4D00CFA4"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2019</w:t>
            </w:r>
          </w:p>
        </w:tc>
        <w:tc>
          <w:tcPr>
            <w:tcW w:w="1296" w:type="dxa"/>
            <w:tcBorders>
              <w:top w:val="nil"/>
              <w:left w:val="nil"/>
              <w:bottom w:val="nil"/>
              <w:right w:val="nil"/>
            </w:tcBorders>
            <w:shd w:val="clear" w:color="auto" w:fill="auto"/>
            <w:noWrap/>
            <w:vAlign w:val="bottom"/>
            <w:hideMark/>
          </w:tcPr>
          <w:p w14:paraId="2995FC96" w14:textId="2398F053"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CRF Table Summary 3</w:t>
            </w:r>
          </w:p>
        </w:tc>
        <w:tc>
          <w:tcPr>
            <w:tcW w:w="1296" w:type="dxa"/>
            <w:tcBorders>
              <w:top w:val="nil"/>
              <w:left w:val="nil"/>
              <w:bottom w:val="nil"/>
              <w:right w:val="nil"/>
            </w:tcBorders>
            <w:shd w:val="clear" w:color="auto" w:fill="auto"/>
            <w:noWrap/>
            <w:vAlign w:val="bottom"/>
            <w:hideMark/>
          </w:tcPr>
          <w:p w14:paraId="4A1EE893" w14:textId="3D486D1B" w:rsidR="00A10F39" w:rsidRPr="000B2554" w:rsidRDefault="00266F18"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CRF Table 4</w:t>
            </w:r>
          </w:p>
        </w:tc>
        <w:tc>
          <w:tcPr>
            <w:tcW w:w="1296" w:type="dxa"/>
            <w:tcBorders>
              <w:top w:val="nil"/>
              <w:left w:val="nil"/>
              <w:bottom w:val="nil"/>
              <w:right w:val="nil"/>
            </w:tcBorders>
            <w:shd w:val="clear" w:color="auto" w:fill="auto"/>
            <w:noWrap/>
            <w:vAlign w:val="bottom"/>
            <w:hideMark/>
          </w:tcPr>
          <w:p w14:paraId="1ECD1B62" w14:textId="6C446598" w:rsidR="00A10F39" w:rsidRPr="000B2554" w:rsidRDefault="008E58FF"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6.1.13</w:t>
            </w:r>
          </w:p>
        </w:tc>
        <w:tc>
          <w:tcPr>
            <w:tcW w:w="1296" w:type="dxa"/>
            <w:tcBorders>
              <w:top w:val="nil"/>
              <w:left w:val="nil"/>
              <w:bottom w:val="nil"/>
              <w:right w:val="nil"/>
            </w:tcBorders>
            <w:shd w:val="clear" w:color="auto" w:fill="auto"/>
            <w:noWrap/>
            <w:vAlign w:val="bottom"/>
            <w:hideMark/>
          </w:tcPr>
          <w:p w14:paraId="3DA0391F" w14:textId="220A37A3" w:rsidR="00A10F39" w:rsidRPr="000B2554" w:rsidRDefault="008E58FF"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6.1.13</w:t>
            </w:r>
          </w:p>
        </w:tc>
      </w:tr>
      <w:tr w:rsidR="00A10F39" w:rsidRPr="00A2464B" w14:paraId="1A2D3476" w14:textId="77777777" w:rsidTr="000B2554">
        <w:trPr>
          <w:trHeight w:val="290"/>
        </w:trPr>
        <w:tc>
          <w:tcPr>
            <w:tcW w:w="1225" w:type="dxa"/>
            <w:tcBorders>
              <w:top w:val="nil"/>
              <w:left w:val="nil"/>
              <w:bottom w:val="nil"/>
              <w:right w:val="nil"/>
            </w:tcBorders>
            <w:shd w:val="clear" w:color="auto" w:fill="auto"/>
            <w:noWrap/>
            <w:vAlign w:val="bottom"/>
            <w:hideMark/>
          </w:tcPr>
          <w:p w14:paraId="2549F3D2" w14:textId="37063D38" w:rsidR="00A10F39" w:rsidRPr="000B2554" w:rsidRDefault="00A10F39" w:rsidP="00A10F39">
            <w:pPr>
              <w:spacing w:after="0" w:line="240" w:lineRule="auto"/>
              <w:rPr>
                <w:rFonts w:eastAsia="Times New Roman" w:cstheme="minorHAnsi"/>
                <w:color w:val="000000"/>
                <w:sz w:val="18"/>
                <w:szCs w:val="18"/>
              </w:rPr>
            </w:pPr>
            <w:r w:rsidRPr="000B2554">
              <w:rPr>
                <w:rFonts w:eastAsia="Times New Roman" w:cstheme="minorHAnsi"/>
                <w:color w:val="000000"/>
                <w:sz w:val="18"/>
                <w:szCs w:val="18"/>
              </w:rPr>
              <w:t>Vietnam</w:t>
            </w:r>
          </w:p>
        </w:tc>
        <w:tc>
          <w:tcPr>
            <w:tcW w:w="1295" w:type="dxa"/>
            <w:tcBorders>
              <w:top w:val="nil"/>
              <w:left w:val="nil"/>
              <w:bottom w:val="nil"/>
              <w:right w:val="nil"/>
            </w:tcBorders>
            <w:vAlign w:val="bottom"/>
          </w:tcPr>
          <w:p w14:paraId="2E2E3FED" w14:textId="23B42539"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NIR (2021)</w:t>
            </w:r>
          </w:p>
        </w:tc>
        <w:tc>
          <w:tcPr>
            <w:tcW w:w="1296" w:type="dxa"/>
            <w:tcBorders>
              <w:top w:val="nil"/>
              <w:left w:val="nil"/>
              <w:bottom w:val="nil"/>
              <w:right w:val="nil"/>
            </w:tcBorders>
            <w:shd w:val="clear" w:color="auto" w:fill="auto"/>
            <w:noWrap/>
            <w:vAlign w:val="bottom"/>
            <w:hideMark/>
          </w:tcPr>
          <w:p w14:paraId="211B8426" w14:textId="037EAFE3" w:rsidR="00A10F39" w:rsidRPr="000B2554" w:rsidRDefault="00A10F39" w:rsidP="00A10F39">
            <w:pPr>
              <w:spacing w:after="0" w:line="240" w:lineRule="auto"/>
              <w:jc w:val="center"/>
              <w:rPr>
                <w:rFonts w:eastAsia="Times New Roman" w:cstheme="minorHAnsi"/>
                <w:color w:val="000000"/>
                <w:sz w:val="18"/>
                <w:szCs w:val="18"/>
              </w:rPr>
            </w:pPr>
            <w:r w:rsidRPr="000B2554">
              <w:rPr>
                <w:rFonts w:eastAsia="Times New Roman" w:cstheme="minorHAnsi"/>
                <w:color w:val="000000"/>
                <w:sz w:val="18"/>
                <w:szCs w:val="18"/>
              </w:rPr>
              <w:t>2016</w:t>
            </w:r>
          </w:p>
        </w:tc>
        <w:tc>
          <w:tcPr>
            <w:tcW w:w="1296" w:type="dxa"/>
            <w:tcBorders>
              <w:top w:val="nil"/>
              <w:left w:val="nil"/>
              <w:bottom w:val="nil"/>
              <w:right w:val="nil"/>
            </w:tcBorders>
            <w:shd w:val="clear" w:color="auto" w:fill="auto"/>
            <w:noWrap/>
            <w:vAlign w:val="bottom"/>
            <w:hideMark/>
          </w:tcPr>
          <w:p w14:paraId="37A97CDF" w14:textId="2E939171" w:rsidR="00A10F39" w:rsidRPr="000B2554" w:rsidRDefault="008E58FF"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Table 1.1</w:t>
            </w:r>
          </w:p>
        </w:tc>
        <w:tc>
          <w:tcPr>
            <w:tcW w:w="1296" w:type="dxa"/>
            <w:tcBorders>
              <w:top w:val="nil"/>
              <w:left w:val="nil"/>
              <w:bottom w:val="nil"/>
              <w:right w:val="nil"/>
            </w:tcBorders>
            <w:shd w:val="clear" w:color="auto" w:fill="auto"/>
            <w:noWrap/>
            <w:vAlign w:val="bottom"/>
            <w:hideMark/>
          </w:tcPr>
          <w:p w14:paraId="4F2D0A52" w14:textId="6E3F5BBD" w:rsidR="00A10F39" w:rsidRPr="000B2554" w:rsidRDefault="008E58FF"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Annex 4</w:t>
            </w:r>
          </w:p>
        </w:tc>
        <w:tc>
          <w:tcPr>
            <w:tcW w:w="1296" w:type="dxa"/>
            <w:tcBorders>
              <w:top w:val="nil"/>
              <w:left w:val="nil"/>
              <w:bottom w:val="nil"/>
              <w:right w:val="nil"/>
            </w:tcBorders>
            <w:shd w:val="clear" w:color="auto" w:fill="auto"/>
            <w:noWrap/>
            <w:vAlign w:val="bottom"/>
            <w:hideMark/>
          </w:tcPr>
          <w:p w14:paraId="0DF1C6C1" w14:textId="02BE2F93" w:rsidR="00A10F39" w:rsidRPr="000B2554" w:rsidRDefault="008E58FF" w:rsidP="00A10F39">
            <w:pPr>
              <w:spacing w:after="0" w:line="240" w:lineRule="auto"/>
              <w:jc w:val="center"/>
              <w:rPr>
                <w:rFonts w:eastAsia="Times New Roman" w:cstheme="minorHAnsi"/>
                <w:sz w:val="18"/>
                <w:szCs w:val="18"/>
              </w:rPr>
            </w:pPr>
            <w:r>
              <w:rPr>
                <w:rFonts w:eastAsia="Times New Roman" w:cstheme="minorHAnsi"/>
                <w:sz w:val="18"/>
                <w:szCs w:val="18"/>
              </w:rPr>
              <w:t>NR*</w:t>
            </w:r>
          </w:p>
        </w:tc>
        <w:tc>
          <w:tcPr>
            <w:tcW w:w="1296" w:type="dxa"/>
            <w:tcBorders>
              <w:top w:val="nil"/>
              <w:left w:val="nil"/>
              <w:bottom w:val="nil"/>
              <w:right w:val="nil"/>
            </w:tcBorders>
            <w:shd w:val="clear" w:color="auto" w:fill="auto"/>
            <w:noWrap/>
            <w:vAlign w:val="bottom"/>
            <w:hideMark/>
          </w:tcPr>
          <w:p w14:paraId="0F62A139" w14:textId="48FE3BB9" w:rsidR="00A10F39" w:rsidRPr="000B2554" w:rsidRDefault="008E58FF" w:rsidP="00A10F39">
            <w:pPr>
              <w:spacing w:after="0" w:line="240" w:lineRule="auto"/>
              <w:jc w:val="center"/>
              <w:rPr>
                <w:rFonts w:eastAsia="Times New Roman" w:cstheme="minorHAnsi"/>
                <w:color w:val="000000"/>
                <w:sz w:val="18"/>
                <w:szCs w:val="18"/>
              </w:rPr>
            </w:pPr>
            <w:r>
              <w:rPr>
                <w:rFonts w:eastAsia="Times New Roman" w:cstheme="minorHAnsi"/>
                <w:color w:val="000000"/>
                <w:sz w:val="18"/>
                <w:szCs w:val="18"/>
              </w:rPr>
              <w:t>Annex 4</w:t>
            </w:r>
          </w:p>
        </w:tc>
      </w:tr>
    </w:tbl>
    <w:p w14:paraId="53425DA5" w14:textId="4B7CD3C2" w:rsidR="00DF015A" w:rsidRDefault="00A2464B" w:rsidP="00DF015A">
      <w:pPr>
        <w:rPr>
          <w:i/>
          <w:sz w:val="18"/>
          <w:szCs w:val="18"/>
        </w:rPr>
      </w:pPr>
      <w:r w:rsidRPr="000B2554">
        <w:rPr>
          <w:i/>
          <w:sz w:val="18"/>
          <w:szCs w:val="18"/>
        </w:rPr>
        <w:t xml:space="preserve">NR = Not Reported. </w:t>
      </w:r>
      <w:r w:rsidR="003543C4" w:rsidRPr="000B2554">
        <w:rPr>
          <w:i/>
          <w:sz w:val="18"/>
          <w:szCs w:val="18"/>
        </w:rPr>
        <w:t xml:space="preserve">*Indonesia </w:t>
      </w:r>
      <w:r w:rsidR="008E58FF" w:rsidRPr="000B2554">
        <w:rPr>
          <w:i/>
          <w:sz w:val="18"/>
          <w:szCs w:val="18"/>
        </w:rPr>
        <w:t>and Vietnam provide</w:t>
      </w:r>
      <w:r w:rsidR="003543C4" w:rsidRPr="000B2554">
        <w:rPr>
          <w:i/>
          <w:sz w:val="18"/>
          <w:szCs w:val="18"/>
        </w:rPr>
        <w:t xml:space="preserve"> sector uncertainty estimates for agriculture, forestry, and other land use (AFOLU) but not for LULUCF</w:t>
      </w:r>
      <w:r w:rsidR="00DA24C6" w:rsidRPr="000B2554">
        <w:rPr>
          <w:i/>
          <w:sz w:val="18"/>
          <w:szCs w:val="18"/>
        </w:rPr>
        <w:t xml:space="preserve"> (a subset of AFOLU)</w:t>
      </w:r>
      <w:r w:rsidR="003543C4" w:rsidRPr="000B2554">
        <w:rPr>
          <w:i/>
          <w:sz w:val="18"/>
          <w:szCs w:val="18"/>
        </w:rPr>
        <w:t>.</w:t>
      </w:r>
      <w:r w:rsidR="000A553A" w:rsidRPr="000B2554">
        <w:rPr>
          <w:i/>
          <w:sz w:val="18"/>
          <w:szCs w:val="18"/>
        </w:rPr>
        <w:t xml:space="preserve"> **Uncertainties correspond to inventory year 2014. </w:t>
      </w:r>
      <w:r w:rsidR="003543C4" w:rsidRPr="000B2554">
        <w:rPr>
          <w:i/>
          <w:sz w:val="18"/>
          <w:szCs w:val="18"/>
        </w:rPr>
        <w:t>*</w:t>
      </w:r>
      <w:r w:rsidR="00D03670" w:rsidRPr="000B2554">
        <w:rPr>
          <w:i/>
          <w:sz w:val="18"/>
          <w:szCs w:val="18"/>
        </w:rPr>
        <w:t>*</w:t>
      </w:r>
      <w:r w:rsidR="000A553A" w:rsidRPr="000B2554">
        <w:rPr>
          <w:i/>
          <w:sz w:val="18"/>
          <w:szCs w:val="18"/>
        </w:rPr>
        <w:t>*</w:t>
      </w:r>
      <w:r w:rsidR="00392467" w:rsidRPr="000B2554">
        <w:rPr>
          <w:i/>
          <w:sz w:val="18"/>
          <w:szCs w:val="18"/>
        </w:rPr>
        <w:t xml:space="preserve">India reports uncertainties for agriculture inventory categories but not for LULUCF (BUR3 2021). </w:t>
      </w:r>
      <w:r w:rsidR="00392467" w:rsidRPr="0076408E">
        <w:rPr>
          <w:rFonts w:ascii="Calibri" w:eastAsia="Times New Roman" w:hAnsi="Calibri" w:cs="Calibri"/>
          <w:color w:val="000000"/>
          <w:sz w:val="18"/>
          <w:szCs w:val="18"/>
          <w:vertAlign w:val="superscript"/>
        </w:rPr>
        <w:t>§</w:t>
      </w:r>
      <w:r w:rsidR="00D03670" w:rsidRPr="000B2554">
        <w:rPr>
          <w:i/>
          <w:sz w:val="18"/>
          <w:szCs w:val="18"/>
        </w:rPr>
        <w:t xml:space="preserve">Nigeria </w:t>
      </w:r>
      <w:r w:rsidR="00A058CF" w:rsidRPr="000B2554">
        <w:rPr>
          <w:i/>
          <w:sz w:val="18"/>
          <w:szCs w:val="18"/>
        </w:rPr>
        <w:t>and Cambodia only report</w:t>
      </w:r>
      <w:r w:rsidR="00D03670" w:rsidRPr="000B2554">
        <w:rPr>
          <w:i/>
          <w:sz w:val="18"/>
          <w:szCs w:val="18"/>
        </w:rPr>
        <w:t xml:space="preserve"> one LULUCF inventory category.</w:t>
      </w:r>
      <w:r w:rsidR="002838AC" w:rsidRPr="000B2554">
        <w:rPr>
          <w:i/>
          <w:sz w:val="18"/>
          <w:szCs w:val="18"/>
        </w:rPr>
        <w:t xml:space="preserve"> †Brazil reports LULUCF uncertainty by gas (CO</w:t>
      </w:r>
      <w:r w:rsidR="002838AC" w:rsidRPr="000B2554">
        <w:rPr>
          <w:i/>
          <w:sz w:val="18"/>
          <w:szCs w:val="18"/>
          <w:vertAlign w:val="subscript"/>
        </w:rPr>
        <w:t>2</w:t>
      </w:r>
      <w:r w:rsidR="002838AC" w:rsidRPr="000B2554">
        <w:rPr>
          <w:i/>
          <w:sz w:val="18"/>
          <w:szCs w:val="18"/>
        </w:rPr>
        <w:t>, CH</w:t>
      </w:r>
      <w:r w:rsidR="002838AC" w:rsidRPr="000B2554">
        <w:rPr>
          <w:i/>
          <w:sz w:val="18"/>
          <w:szCs w:val="18"/>
          <w:vertAlign w:val="subscript"/>
        </w:rPr>
        <w:t>4</w:t>
      </w:r>
      <w:r w:rsidR="002838AC" w:rsidRPr="000B2554">
        <w:rPr>
          <w:i/>
          <w:sz w:val="18"/>
          <w:szCs w:val="18"/>
        </w:rPr>
        <w:t xml:space="preserve">, </w:t>
      </w:r>
      <w:proofErr w:type="gramStart"/>
      <w:r w:rsidR="002838AC" w:rsidRPr="000B2554">
        <w:rPr>
          <w:i/>
          <w:sz w:val="18"/>
          <w:szCs w:val="18"/>
        </w:rPr>
        <w:t>N</w:t>
      </w:r>
      <w:r w:rsidR="002838AC" w:rsidRPr="000B2554">
        <w:rPr>
          <w:i/>
          <w:sz w:val="18"/>
          <w:szCs w:val="18"/>
          <w:vertAlign w:val="subscript"/>
        </w:rPr>
        <w:t>2</w:t>
      </w:r>
      <w:r w:rsidR="00FA261C" w:rsidRPr="000B2554">
        <w:rPr>
          <w:i/>
          <w:sz w:val="18"/>
          <w:szCs w:val="18"/>
        </w:rPr>
        <w:t>O</w:t>
      </w:r>
      <w:proofErr w:type="gramEnd"/>
      <w:r w:rsidR="00FA261C" w:rsidRPr="000B2554">
        <w:rPr>
          <w:i/>
          <w:sz w:val="18"/>
          <w:szCs w:val="18"/>
        </w:rPr>
        <w:t>), we calculate LULU</w:t>
      </w:r>
      <w:r w:rsidR="002838AC" w:rsidRPr="000B2554">
        <w:rPr>
          <w:i/>
          <w:sz w:val="18"/>
          <w:szCs w:val="18"/>
        </w:rPr>
        <w:t>CF sector-wide uncertainty using error propagation.</w:t>
      </w:r>
      <w:r w:rsidR="006878CA" w:rsidRPr="000B2554">
        <w:rPr>
          <w:i/>
          <w:sz w:val="18"/>
          <w:szCs w:val="18"/>
        </w:rPr>
        <w:t xml:space="preserve"> </w:t>
      </w:r>
      <w:r w:rsidR="006878CA" w:rsidRPr="000B2554">
        <w:rPr>
          <w:i/>
          <w:sz w:val="18"/>
          <w:szCs w:val="18"/>
          <w:vertAlign w:val="superscript"/>
        </w:rPr>
        <w:t>‡</w:t>
      </w:r>
      <w:r w:rsidR="006878CA" w:rsidRPr="000B2554">
        <w:rPr>
          <w:i/>
          <w:sz w:val="18"/>
          <w:szCs w:val="18"/>
        </w:rPr>
        <w:t>Sector uncertainty corresponds to inventory year 2014.</w:t>
      </w:r>
      <w:r w:rsidR="00A058CF" w:rsidRPr="000B2554">
        <w:rPr>
          <w:i/>
          <w:sz w:val="18"/>
          <w:szCs w:val="18"/>
        </w:rPr>
        <w:t xml:space="preserve"> </w:t>
      </w:r>
      <w:r w:rsidR="00A058CF" w:rsidRPr="000B2554">
        <w:rPr>
          <w:i/>
          <w:sz w:val="18"/>
          <w:szCs w:val="18"/>
          <w:vertAlign w:val="superscript"/>
        </w:rPr>
        <w:t>††</w:t>
      </w:r>
      <w:r w:rsidR="00633F7A" w:rsidRPr="000B2554">
        <w:rPr>
          <w:i/>
          <w:sz w:val="18"/>
          <w:szCs w:val="18"/>
        </w:rPr>
        <w:t>LULUCF</w:t>
      </w:r>
      <w:r w:rsidR="00633F7A" w:rsidRPr="000B2554">
        <w:rPr>
          <w:i/>
          <w:sz w:val="18"/>
          <w:szCs w:val="18"/>
          <w:vertAlign w:val="superscript"/>
        </w:rPr>
        <w:t xml:space="preserve"> </w:t>
      </w:r>
      <w:r w:rsidR="00633F7A" w:rsidRPr="000B2554">
        <w:rPr>
          <w:i/>
          <w:sz w:val="18"/>
          <w:szCs w:val="18"/>
        </w:rPr>
        <w:t>u</w:t>
      </w:r>
      <w:r w:rsidR="00A058CF" w:rsidRPr="0076408E">
        <w:rPr>
          <w:i/>
          <w:sz w:val="18"/>
          <w:szCs w:val="18"/>
        </w:rPr>
        <w:t>ncertainty is calculated using error propagation and total inventory uncertainty with and without LULUCF.</w:t>
      </w:r>
    </w:p>
    <w:p w14:paraId="0E94200A" w14:textId="77777777" w:rsidR="00633F7A" w:rsidRDefault="00633F7A" w:rsidP="00DF015A">
      <w:pPr>
        <w:rPr>
          <w:i/>
          <w:sz w:val="18"/>
          <w:szCs w:val="18"/>
        </w:rPr>
      </w:pPr>
    </w:p>
    <w:p w14:paraId="0C1CB9E7" w14:textId="77777777" w:rsidR="00633F7A" w:rsidRPr="000B2554" w:rsidRDefault="00633F7A" w:rsidP="00DF015A">
      <w:pPr>
        <w:rPr>
          <w:i/>
          <w:sz w:val="18"/>
          <w:szCs w:val="18"/>
        </w:rPr>
      </w:pPr>
    </w:p>
    <w:p w14:paraId="4713886A" w14:textId="536523F9" w:rsidR="00612E79" w:rsidRPr="00287A0E" w:rsidRDefault="00612E79" w:rsidP="00DF015A">
      <w:pPr>
        <w:rPr>
          <w:i/>
          <w:sz w:val="20"/>
          <w:szCs w:val="20"/>
        </w:rPr>
      </w:pPr>
      <w:r w:rsidRPr="00E13482">
        <w:rPr>
          <w:b/>
          <w:i/>
          <w:iCs/>
          <w:color w:val="44546A" w:themeColor="text2"/>
        </w:rPr>
        <w:lastRenderedPageBreak/>
        <w:t>Table 1-2. NGHGI reporting in Brazil’s Fourth National Communication (NC4) and Fourth Biennial Update Report (BUR4).</w:t>
      </w:r>
    </w:p>
    <w:tbl>
      <w:tblPr>
        <w:tblStyle w:val="PlainTable3"/>
        <w:tblW w:w="0" w:type="auto"/>
        <w:tblLook w:val="04A0" w:firstRow="1" w:lastRow="0" w:firstColumn="1" w:lastColumn="0" w:noHBand="0" w:noVBand="1"/>
      </w:tblPr>
      <w:tblGrid>
        <w:gridCol w:w="3116"/>
        <w:gridCol w:w="3117"/>
        <w:gridCol w:w="3117"/>
      </w:tblGrid>
      <w:tr w:rsidR="00612E79" w:rsidRPr="00A10F39" w14:paraId="4C05681C" w14:textId="77777777" w:rsidTr="000B25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6" w:type="dxa"/>
          </w:tcPr>
          <w:p w14:paraId="730C139A" w14:textId="77777777" w:rsidR="00612E79" w:rsidRPr="000B2554" w:rsidRDefault="00612E79" w:rsidP="00EE42B7">
            <w:pPr>
              <w:spacing w:line="254" w:lineRule="auto"/>
              <w:rPr>
                <w:rFonts w:ascii="Calibri" w:eastAsia="Calibri" w:hAnsi="Calibri" w:cs="Calibri"/>
                <w:sz w:val="18"/>
                <w:szCs w:val="18"/>
              </w:rPr>
            </w:pPr>
          </w:p>
        </w:tc>
        <w:tc>
          <w:tcPr>
            <w:tcW w:w="3117" w:type="dxa"/>
          </w:tcPr>
          <w:p w14:paraId="3158F54E" w14:textId="178EFC39" w:rsidR="00612E79" w:rsidRPr="000B2554" w:rsidRDefault="00612E79" w:rsidP="000B2554">
            <w:pPr>
              <w:spacing w:line="25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B2554">
              <w:rPr>
                <w:rFonts w:ascii="Calibri" w:eastAsia="Calibri" w:hAnsi="Calibri" w:cs="Calibri"/>
                <w:sz w:val="18"/>
                <w:szCs w:val="18"/>
              </w:rPr>
              <w:t>NC4</w:t>
            </w:r>
            <w:r w:rsidR="00A2464B">
              <w:rPr>
                <w:rFonts w:ascii="Calibri" w:eastAsia="Calibri" w:hAnsi="Calibri" w:cs="Calibri"/>
                <w:sz w:val="18"/>
                <w:szCs w:val="18"/>
              </w:rPr>
              <w:t xml:space="preserve"> (2020)</w:t>
            </w:r>
          </w:p>
        </w:tc>
        <w:tc>
          <w:tcPr>
            <w:tcW w:w="3117" w:type="dxa"/>
          </w:tcPr>
          <w:p w14:paraId="3CC77CA4" w14:textId="636EC888" w:rsidR="00612E79" w:rsidRPr="000B2554" w:rsidRDefault="00612E79" w:rsidP="000B2554">
            <w:pPr>
              <w:spacing w:line="254"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B2554">
              <w:rPr>
                <w:rFonts w:ascii="Calibri" w:eastAsia="Calibri" w:hAnsi="Calibri" w:cs="Calibri"/>
                <w:sz w:val="18"/>
                <w:szCs w:val="18"/>
              </w:rPr>
              <w:t>BUR4</w:t>
            </w:r>
            <w:r w:rsidR="00A2464B">
              <w:rPr>
                <w:rFonts w:ascii="Calibri" w:eastAsia="Calibri" w:hAnsi="Calibri" w:cs="Calibri"/>
                <w:sz w:val="18"/>
                <w:szCs w:val="18"/>
              </w:rPr>
              <w:t xml:space="preserve"> (2020)</w:t>
            </w:r>
          </w:p>
        </w:tc>
      </w:tr>
      <w:tr w:rsidR="00612E79" w:rsidRPr="00A10F39" w14:paraId="546425D0" w14:textId="77777777" w:rsidTr="000B2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677CD6C" w14:textId="0DBE5175" w:rsidR="00612E79" w:rsidRPr="000B2554" w:rsidRDefault="00612E79" w:rsidP="00D477BB">
            <w:pPr>
              <w:spacing w:line="254" w:lineRule="auto"/>
              <w:rPr>
                <w:rFonts w:ascii="Calibri" w:eastAsia="Calibri" w:hAnsi="Calibri" w:cs="Calibri"/>
                <w:sz w:val="18"/>
                <w:szCs w:val="18"/>
              </w:rPr>
            </w:pPr>
            <w:r w:rsidRPr="000B2554">
              <w:rPr>
                <w:rFonts w:ascii="Calibri" w:eastAsia="Calibri" w:hAnsi="Calibri" w:cs="Calibri"/>
                <w:sz w:val="18"/>
                <w:szCs w:val="18"/>
              </w:rPr>
              <w:t>2016 LULUCF flux, MMT CO</w:t>
            </w:r>
            <w:r w:rsidRPr="000B2554">
              <w:rPr>
                <w:rFonts w:ascii="Calibri" w:eastAsia="Calibri" w:hAnsi="Calibri" w:cs="Calibri"/>
                <w:sz w:val="18"/>
                <w:szCs w:val="18"/>
                <w:vertAlign w:val="subscript"/>
              </w:rPr>
              <w:t>2</w:t>
            </w:r>
            <w:r w:rsidRPr="000B2554">
              <w:rPr>
                <w:rFonts w:ascii="Calibri" w:eastAsia="Calibri" w:hAnsi="Calibri" w:cs="Calibri"/>
                <w:sz w:val="18"/>
                <w:szCs w:val="18"/>
              </w:rPr>
              <w:t>e</w:t>
            </w:r>
          </w:p>
        </w:tc>
        <w:tc>
          <w:tcPr>
            <w:tcW w:w="3117" w:type="dxa"/>
          </w:tcPr>
          <w:p w14:paraId="3D105425" w14:textId="2D778AF2" w:rsidR="00612E79" w:rsidRPr="000B2554" w:rsidRDefault="00612E79" w:rsidP="000B2554">
            <w:pPr>
              <w:spacing w:line="254"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0B2554">
              <w:rPr>
                <w:rFonts w:ascii="Calibri" w:eastAsia="Calibri" w:hAnsi="Calibri" w:cs="Calibri"/>
                <w:sz w:val="18"/>
                <w:szCs w:val="18"/>
              </w:rPr>
              <w:t>397.4</w:t>
            </w:r>
          </w:p>
        </w:tc>
        <w:tc>
          <w:tcPr>
            <w:tcW w:w="3117" w:type="dxa"/>
          </w:tcPr>
          <w:p w14:paraId="3678D3DA" w14:textId="5E1A2AFF" w:rsidR="00612E79" w:rsidRPr="000B2554" w:rsidRDefault="00612E79" w:rsidP="000B2554">
            <w:pPr>
              <w:spacing w:line="254"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0B2554">
              <w:rPr>
                <w:rFonts w:ascii="Calibri" w:eastAsia="Calibri" w:hAnsi="Calibri" w:cs="Calibri"/>
                <w:sz w:val="18"/>
                <w:szCs w:val="18"/>
              </w:rPr>
              <w:t>290.8</w:t>
            </w:r>
          </w:p>
        </w:tc>
      </w:tr>
      <w:tr w:rsidR="00612E79" w:rsidRPr="00A10F39" w14:paraId="0B4E0D6C" w14:textId="77777777" w:rsidTr="000B2554">
        <w:tc>
          <w:tcPr>
            <w:cnfStyle w:val="001000000000" w:firstRow="0" w:lastRow="0" w:firstColumn="1" w:lastColumn="0" w:oddVBand="0" w:evenVBand="0" w:oddHBand="0" w:evenHBand="0" w:firstRowFirstColumn="0" w:firstRowLastColumn="0" w:lastRowFirstColumn="0" w:lastRowLastColumn="0"/>
            <w:tcW w:w="3116" w:type="dxa"/>
          </w:tcPr>
          <w:p w14:paraId="210B91AD" w14:textId="5947BF88" w:rsidR="00612E79" w:rsidRPr="000B2554" w:rsidRDefault="00612E79" w:rsidP="00FA261C">
            <w:pPr>
              <w:spacing w:line="254" w:lineRule="auto"/>
              <w:ind w:firstLine="427"/>
              <w:rPr>
                <w:rFonts w:ascii="Calibri" w:eastAsia="Calibri" w:hAnsi="Calibri" w:cs="Calibri"/>
                <w:i/>
                <w:sz w:val="18"/>
                <w:szCs w:val="18"/>
              </w:rPr>
            </w:pPr>
            <w:r w:rsidRPr="000B2554">
              <w:rPr>
                <w:rFonts w:ascii="Calibri" w:eastAsia="Calibri" w:hAnsi="Calibri" w:cs="Calibri"/>
                <w:i/>
                <w:sz w:val="18"/>
                <w:szCs w:val="18"/>
              </w:rPr>
              <w:t>Source</w:t>
            </w:r>
          </w:p>
        </w:tc>
        <w:tc>
          <w:tcPr>
            <w:tcW w:w="3117" w:type="dxa"/>
          </w:tcPr>
          <w:p w14:paraId="53E07004" w14:textId="7D19E52E" w:rsidR="00612E79" w:rsidRPr="000B2554" w:rsidRDefault="00A2464B" w:rsidP="000B2554">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Figure 2.4</w:t>
            </w:r>
          </w:p>
        </w:tc>
        <w:tc>
          <w:tcPr>
            <w:tcW w:w="3117" w:type="dxa"/>
          </w:tcPr>
          <w:p w14:paraId="64361EF2" w14:textId="42025199" w:rsidR="00612E79" w:rsidRPr="000B2554" w:rsidRDefault="00612E79" w:rsidP="000B2554">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0B2554">
              <w:rPr>
                <w:rFonts w:ascii="Calibri" w:eastAsia="Calibri" w:hAnsi="Calibri" w:cs="Calibri"/>
                <w:sz w:val="18"/>
                <w:szCs w:val="18"/>
              </w:rPr>
              <w:t>Table XIV (GWP-SAR)</w:t>
            </w:r>
          </w:p>
        </w:tc>
      </w:tr>
      <w:tr w:rsidR="00612E79" w:rsidRPr="00A10F39" w14:paraId="06348CF2" w14:textId="77777777" w:rsidTr="000B2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C65A41A" w14:textId="33D244A4" w:rsidR="00612E79" w:rsidRPr="000B2554" w:rsidRDefault="00FA261C" w:rsidP="00FA261C">
            <w:pPr>
              <w:spacing w:line="254" w:lineRule="auto"/>
              <w:ind w:left="432" w:hanging="432"/>
              <w:rPr>
                <w:rFonts w:ascii="Calibri" w:eastAsia="Calibri" w:hAnsi="Calibri" w:cs="Calibri"/>
                <w:sz w:val="18"/>
                <w:szCs w:val="18"/>
              </w:rPr>
            </w:pPr>
            <w:r>
              <w:rPr>
                <w:rFonts w:ascii="Calibri" w:eastAsia="Calibri" w:hAnsi="Calibri" w:cs="Calibri"/>
                <w:sz w:val="18"/>
                <w:szCs w:val="18"/>
              </w:rPr>
              <w:t>2016 Economy-Wide</w:t>
            </w:r>
            <w:r w:rsidR="00612E79" w:rsidRPr="000B2554">
              <w:rPr>
                <w:rFonts w:ascii="Calibri" w:eastAsia="Calibri" w:hAnsi="Calibri" w:cs="Calibri"/>
                <w:sz w:val="18"/>
                <w:szCs w:val="18"/>
              </w:rPr>
              <w:t xml:space="preserve"> GHG emissions, MMT CO</w:t>
            </w:r>
            <w:r w:rsidR="00612E79" w:rsidRPr="000B2554">
              <w:rPr>
                <w:rFonts w:ascii="Calibri" w:eastAsia="Calibri" w:hAnsi="Calibri" w:cs="Calibri"/>
                <w:sz w:val="18"/>
                <w:szCs w:val="18"/>
                <w:vertAlign w:val="subscript"/>
              </w:rPr>
              <w:t>2</w:t>
            </w:r>
            <w:r w:rsidR="00612E79" w:rsidRPr="000B2554">
              <w:rPr>
                <w:rFonts w:ascii="Calibri" w:eastAsia="Calibri" w:hAnsi="Calibri" w:cs="Calibri"/>
                <w:sz w:val="18"/>
                <w:szCs w:val="18"/>
              </w:rPr>
              <w:t>e</w:t>
            </w:r>
          </w:p>
        </w:tc>
        <w:tc>
          <w:tcPr>
            <w:tcW w:w="3117" w:type="dxa"/>
          </w:tcPr>
          <w:p w14:paraId="7255584D" w14:textId="5568D903" w:rsidR="00612E79" w:rsidRPr="000B2554" w:rsidRDefault="00FA261C" w:rsidP="000B2554">
            <w:pPr>
              <w:spacing w:line="254"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1,467.3</w:t>
            </w:r>
          </w:p>
        </w:tc>
        <w:tc>
          <w:tcPr>
            <w:tcW w:w="3117" w:type="dxa"/>
          </w:tcPr>
          <w:p w14:paraId="4F298087" w14:textId="548243BA" w:rsidR="00612E79" w:rsidRPr="000B2554" w:rsidRDefault="00FA261C" w:rsidP="000B2554">
            <w:pPr>
              <w:spacing w:line="254"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1,305.6</w:t>
            </w:r>
          </w:p>
        </w:tc>
      </w:tr>
      <w:tr w:rsidR="00612E79" w:rsidRPr="00A10F39" w14:paraId="57CF9C17" w14:textId="77777777" w:rsidTr="000B2554">
        <w:tc>
          <w:tcPr>
            <w:cnfStyle w:val="001000000000" w:firstRow="0" w:lastRow="0" w:firstColumn="1" w:lastColumn="0" w:oddVBand="0" w:evenVBand="0" w:oddHBand="0" w:evenHBand="0" w:firstRowFirstColumn="0" w:firstRowLastColumn="0" w:lastRowFirstColumn="0" w:lastRowLastColumn="0"/>
            <w:tcW w:w="3116" w:type="dxa"/>
          </w:tcPr>
          <w:p w14:paraId="290FC17C" w14:textId="29CB2062" w:rsidR="00612E79" w:rsidRPr="000B2554" w:rsidRDefault="00612E79" w:rsidP="00FA261C">
            <w:pPr>
              <w:spacing w:line="254" w:lineRule="auto"/>
              <w:ind w:firstLine="427"/>
              <w:rPr>
                <w:rFonts w:ascii="Calibri" w:eastAsia="Calibri" w:hAnsi="Calibri" w:cs="Calibri"/>
                <w:i/>
                <w:sz w:val="18"/>
                <w:szCs w:val="18"/>
              </w:rPr>
            </w:pPr>
            <w:r w:rsidRPr="000B2554">
              <w:rPr>
                <w:rFonts w:ascii="Calibri" w:eastAsia="Calibri" w:hAnsi="Calibri" w:cs="Calibri"/>
                <w:i/>
                <w:sz w:val="18"/>
                <w:szCs w:val="18"/>
              </w:rPr>
              <w:t>Source</w:t>
            </w:r>
          </w:p>
        </w:tc>
        <w:tc>
          <w:tcPr>
            <w:tcW w:w="3117" w:type="dxa"/>
          </w:tcPr>
          <w:p w14:paraId="5C7E73E8" w14:textId="473BF47A" w:rsidR="00612E79" w:rsidRPr="000B2554" w:rsidRDefault="00FA261C" w:rsidP="000B2554">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Figure 2.4</w:t>
            </w:r>
          </w:p>
        </w:tc>
        <w:tc>
          <w:tcPr>
            <w:tcW w:w="3117" w:type="dxa"/>
          </w:tcPr>
          <w:p w14:paraId="7A317E85" w14:textId="0723FD6F" w:rsidR="00612E79" w:rsidRPr="000B2554" w:rsidRDefault="00FA261C" w:rsidP="000B2554">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Table XIV (GWP-SAR)</w:t>
            </w:r>
          </w:p>
        </w:tc>
      </w:tr>
      <w:tr w:rsidR="00612E79" w:rsidRPr="00A10F39" w14:paraId="40224044" w14:textId="77777777" w:rsidTr="000B2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2A40E39" w14:textId="432B552A" w:rsidR="00612E79" w:rsidRPr="000B2554" w:rsidRDefault="00612E79">
            <w:pPr>
              <w:spacing w:line="254" w:lineRule="auto"/>
              <w:rPr>
                <w:rFonts w:ascii="Calibri" w:eastAsia="Calibri" w:hAnsi="Calibri" w:cs="Calibri"/>
                <w:sz w:val="18"/>
                <w:szCs w:val="18"/>
              </w:rPr>
            </w:pPr>
            <w:r w:rsidRPr="000B2554">
              <w:rPr>
                <w:rFonts w:ascii="Calibri" w:eastAsia="Calibri" w:hAnsi="Calibri" w:cs="Calibri"/>
                <w:sz w:val="18"/>
                <w:szCs w:val="18"/>
              </w:rPr>
              <w:t>LULUCF</w:t>
            </w:r>
            <w:r w:rsidR="00FA261C">
              <w:rPr>
                <w:rFonts w:ascii="Calibri" w:eastAsia="Calibri" w:hAnsi="Calibri" w:cs="Calibri"/>
                <w:sz w:val="18"/>
                <w:szCs w:val="18"/>
              </w:rPr>
              <w:t xml:space="preserve"> Tier 3, %</w:t>
            </w:r>
          </w:p>
        </w:tc>
        <w:tc>
          <w:tcPr>
            <w:tcW w:w="3117" w:type="dxa"/>
          </w:tcPr>
          <w:p w14:paraId="7AC281D0" w14:textId="0CB60F9C" w:rsidR="00612E79" w:rsidRPr="000B2554" w:rsidRDefault="00FA261C" w:rsidP="000B2554">
            <w:pPr>
              <w:spacing w:line="254"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0</w:t>
            </w:r>
          </w:p>
        </w:tc>
        <w:tc>
          <w:tcPr>
            <w:tcW w:w="3117" w:type="dxa"/>
          </w:tcPr>
          <w:p w14:paraId="12FAF1FD" w14:textId="706EF4C9" w:rsidR="00612E79" w:rsidRPr="000B2554" w:rsidRDefault="00FA261C" w:rsidP="000B2554">
            <w:pPr>
              <w:spacing w:line="254"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&gt;0*</w:t>
            </w:r>
          </w:p>
        </w:tc>
      </w:tr>
      <w:tr w:rsidR="00612E79" w:rsidRPr="00A10F39" w14:paraId="109F4625" w14:textId="77777777" w:rsidTr="000B2554">
        <w:tc>
          <w:tcPr>
            <w:cnfStyle w:val="001000000000" w:firstRow="0" w:lastRow="0" w:firstColumn="1" w:lastColumn="0" w:oddVBand="0" w:evenVBand="0" w:oddHBand="0" w:evenHBand="0" w:firstRowFirstColumn="0" w:firstRowLastColumn="0" w:lastRowFirstColumn="0" w:lastRowLastColumn="0"/>
            <w:tcW w:w="3116" w:type="dxa"/>
          </w:tcPr>
          <w:p w14:paraId="7D0843DF" w14:textId="10DFD558" w:rsidR="00612E79" w:rsidRPr="000B2554" w:rsidRDefault="00612E79" w:rsidP="00FA261C">
            <w:pPr>
              <w:spacing w:line="254" w:lineRule="auto"/>
              <w:ind w:firstLine="427"/>
              <w:rPr>
                <w:rFonts w:ascii="Calibri" w:eastAsia="Calibri" w:hAnsi="Calibri" w:cs="Calibri"/>
                <w:i/>
                <w:sz w:val="18"/>
                <w:szCs w:val="18"/>
              </w:rPr>
            </w:pPr>
            <w:r w:rsidRPr="000B2554">
              <w:rPr>
                <w:rFonts w:ascii="Calibri" w:eastAsia="Calibri" w:hAnsi="Calibri" w:cs="Calibri"/>
                <w:i/>
                <w:sz w:val="18"/>
                <w:szCs w:val="18"/>
              </w:rPr>
              <w:t>Source</w:t>
            </w:r>
          </w:p>
        </w:tc>
        <w:tc>
          <w:tcPr>
            <w:tcW w:w="3117" w:type="dxa"/>
          </w:tcPr>
          <w:p w14:paraId="4120B3AE" w14:textId="0ABE31FE" w:rsidR="00612E79" w:rsidRPr="000B2554" w:rsidRDefault="00FA261C" w:rsidP="000B2554">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Panel 2.9</w:t>
            </w:r>
          </w:p>
        </w:tc>
        <w:tc>
          <w:tcPr>
            <w:tcW w:w="3117" w:type="dxa"/>
          </w:tcPr>
          <w:p w14:paraId="1E99E2D2" w14:textId="5DF8B818" w:rsidR="00612E79" w:rsidRPr="000B2554" w:rsidRDefault="00FA261C" w:rsidP="000B2554">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Box 4, Pg. 106</w:t>
            </w:r>
          </w:p>
        </w:tc>
      </w:tr>
      <w:tr w:rsidR="00612E79" w:rsidRPr="00A10F39" w14:paraId="180B6CBE" w14:textId="77777777" w:rsidTr="000B25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0E86F10" w14:textId="0C406594" w:rsidR="00612E79" w:rsidRPr="000B2554" w:rsidRDefault="00612E79" w:rsidP="00EE42B7">
            <w:pPr>
              <w:spacing w:line="254" w:lineRule="auto"/>
              <w:rPr>
                <w:rFonts w:ascii="Calibri" w:eastAsia="Calibri" w:hAnsi="Calibri" w:cs="Calibri"/>
                <w:sz w:val="18"/>
                <w:szCs w:val="18"/>
              </w:rPr>
            </w:pPr>
            <w:r w:rsidRPr="000B2554">
              <w:rPr>
                <w:rFonts w:ascii="Calibri" w:eastAsia="Calibri" w:hAnsi="Calibri" w:cs="Calibri"/>
                <w:sz w:val="18"/>
                <w:szCs w:val="18"/>
              </w:rPr>
              <w:t>LULUCF uncertainty, %</w:t>
            </w:r>
            <w:r w:rsidR="00FA261C">
              <w:rPr>
                <w:rFonts w:ascii="Calibri" w:eastAsia="Calibri" w:hAnsi="Calibri" w:cs="Calibri"/>
                <w:sz w:val="18"/>
                <w:szCs w:val="18"/>
              </w:rPr>
              <w:t>**</w:t>
            </w:r>
          </w:p>
        </w:tc>
        <w:tc>
          <w:tcPr>
            <w:tcW w:w="3117" w:type="dxa"/>
          </w:tcPr>
          <w:p w14:paraId="5FF987DC" w14:textId="303CA4CF" w:rsidR="00612E79" w:rsidRPr="000B2554" w:rsidRDefault="00612E79" w:rsidP="000B2554">
            <w:pPr>
              <w:spacing w:line="254"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0B2554">
              <w:rPr>
                <w:rFonts w:ascii="Calibri" w:eastAsia="Calibri" w:hAnsi="Calibri" w:cs="Calibri"/>
                <w:sz w:val="18"/>
                <w:szCs w:val="18"/>
              </w:rPr>
              <w:t>67%</w:t>
            </w:r>
          </w:p>
        </w:tc>
        <w:tc>
          <w:tcPr>
            <w:tcW w:w="3117" w:type="dxa"/>
          </w:tcPr>
          <w:p w14:paraId="02DDF4F7" w14:textId="7B6A9397" w:rsidR="00612E79" w:rsidRPr="000B2554" w:rsidRDefault="00612E79" w:rsidP="000B2554">
            <w:pPr>
              <w:spacing w:line="254"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0B2554">
              <w:rPr>
                <w:rFonts w:ascii="Calibri" w:eastAsia="Calibri" w:hAnsi="Calibri" w:cs="Calibri"/>
                <w:sz w:val="18"/>
                <w:szCs w:val="18"/>
              </w:rPr>
              <w:t>30%</w:t>
            </w:r>
          </w:p>
        </w:tc>
      </w:tr>
      <w:tr w:rsidR="00612E79" w:rsidRPr="00A10F39" w14:paraId="5DC6A03D" w14:textId="77777777" w:rsidTr="000B2554">
        <w:tc>
          <w:tcPr>
            <w:cnfStyle w:val="001000000000" w:firstRow="0" w:lastRow="0" w:firstColumn="1" w:lastColumn="0" w:oddVBand="0" w:evenVBand="0" w:oddHBand="0" w:evenHBand="0" w:firstRowFirstColumn="0" w:firstRowLastColumn="0" w:lastRowFirstColumn="0" w:lastRowLastColumn="0"/>
            <w:tcW w:w="3116" w:type="dxa"/>
          </w:tcPr>
          <w:p w14:paraId="19E1F0D3" w14:textId="42ACFACC" w:rsidR="00612E79" w:rsidRPr="000B2554" w:rsidRDefault="00612E79" w:rsidP="00FA261C">
            <w:pPr>
              <w:spacing w:line="254" w:lineRule="auto"/>
              <w:ind w:left="427"/>
              <w:rPr>
                <w:rFonts w:ascii="Calibri" w:eastAsia="Calibri" w:hAnsi="Calibri" w:cs="Calibri"/>
                <w:i/>
                <w:sz w:val="18"/>
                <w:szCs w:val="18"/>
              </w:rPr>
            </w:pPr>
            <w:r w:rsidRPr="000B2554">
              <w:rPr>
                <w:rFonts w:ascii="Calibri" w:eastAsia="Calibri" w:hAnsi="Calibri" w:cs="Calibri"/>
                <w:i/>
                <w:sz w:val="18"/>
                <w:szCs w:val="18"/>
              </w:rPr>
              <w:t>Source</w:t>
            </w:r>
          </w:p>
        </w:tc>
        <w:tc>
          <w:tcPr>
            <w:tcW w:w="3117" w:type="dxa"/>
          </w:tcPr>
          <w:p w14:paraId="0BE0874D" w14:textId="57F20AEE" w:rsidR="00612E79" w:rsidRPr="000B2554" w:rsidRDefault="00FA261C" w:rsidP="000B2554">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Table 2.1</w:t>
            </w:r>
          </w:p>
        </w:tc>
        <w:tc>
          <w:tcPr>
            <w:tcW w:w="3117" w:type="dxa"/>
          </w:tcPr>
          <w:p w14:paraId="3FB354BD" w14:textId="7B9A3309" w:rsidR="00612E79" w:rsidRPr="000B2554" w:rsidRDefault="00FA261C" w:rsidP="000B2554">
            <w:pPr>
              <w:spacing w:line="254"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Pr>
                <w:rFonts w:ascii="Calibri" w:eastAsia="Calibri" w:hAnsi="Calibri" w:cs="Calibri"/>
                <w:sz w:val="18"/>
                <w:szCs w:val="18"/>
              </w:rPr>
              <w:t>Table IV</w:t>
            </w:r>
          </w:p>
        </w:tc>
      </w:tr>
    </w:tbl>
    <w:p w14:paraId="35A5F810" w14:textId="3581AF6C" w:rsidR="00612E79" w:rsidRPr="000B2554" w:rsidRDefault="00FA261C" w:rsidP="00EE42B7">
      <w:pPr>
        <w:spacing w:line="254" w:lineRule="auto"/>
        <w:rPr>
          <w:i/>
          <w:sz w:val="18"/>
          <w:szCs w:val="18"/>
        </w:rPr>
        <w:sectPr w:rsidR="00612E79" w:rsidRPr="000B2554" w:rsidSect="00D477BB">
          <w:pgSz w:w="12240" w:h="15840"/>
          <w:pgMar w:top="1440" w:right="1440" w:bottom="1440" w:left="1440" w:header="720" w:footer="720" w:gutter="0"/>
          <w:cols w:space="720"/>
          <w:docGrid w:linePitch="360"/>
        </w:sectPr>
      </w:pPr>
      <w:r w:rsidRPr="000B2554">
        <w:rPr>
          <w:i/>
          <w:sz w:val="18"/>
          <w:szCs w:val="18"/>
        </w:rPr>
        <w:t>MMT CO</w:t>
      </w:r>
      <w:r w:rsidRPr="000B2554">
        <w:rPr>
          <w:i/>
          <w:sz w:val="18"/>
          <w:szCs w:val="18"/>
          <w:vertAlign w:val="subscript"/>
        </w:rPr>
        <w:t>2</w:t>
      </w:r>
      <w:r w:rsidRPr="000B2554">
        <w:rPr>
          <w:i/>
          <w:sz w:val="18"/>
          <w:szCs w:val="18"/>
        </w:rPr>
        <w:t>e values are shown as reported (SAR GWP), not updated to AR5 GWP as in Table 1. *</w:t>
      </w:r>
      <w:r w:rsidR="00612E79" w:rsidRPr="000B2554">
        <w:rPr>
          <w:i/>
          <w:sz w:val="18"/>
          <w:szCs w:val="18"/>
        </w:rPr>
        <w:t>Brazil’s BUR4</w:t>
      </w:r>
      <w:r w:rsidRPr="000B2554">
        <w:rPr>
          <w:i/>
          <w:sz w:val="18"/>
          <w:szCs w:val="18"/>
        </w:rPr>
        <w:t xml:space="preserve"> (2020)</w:t>
      </w:r>
      <w:r w:rsidR="00612E79" w:rsidRPr="000B2554">
        <w:rPr>
          <w:i/>
          <w:sz w:val="18"/>
          <w:szCs w:val="18"/>
        </w:rPr>
        <w:t xml:space="preserve"> does not report LULUCF fluxes and tiers by inventory category, so it is not possible to calculate Tier 3 percentage. However, BUR4 Box 4 indicates some LULUCF fluxes are calculated using Tier 3 methods.</w:t>
      </w:r>
      <w:r w:rsidRPr="000B2554">
        <w:rPr>
          <w:i/>
          <w:sz w:val="18"/>
          <w:szCs w:val="18"/>
        </w:rPr>
        <w:t xml:space="preserve"> **Brazil reports LULUCF uncertainty by gas (CO</w:t>
      </w:r>
      <w:r w:rsidRPr="000B2554">
        <w:rPr>
          <w:i/>
          <w:sz w:val="18"/>
          <w:szCs w:val="18"/>
          <w:vertAlign w:val="subscript"/>
        </w:rPr>
        <w:t>2</w:t>
      </w:r>
      <w:r w:rsidRPr="000B2554">
        <w:rPr>
          <w:i/>
          <w:sz w:val="18"/>
          <w:szCs w:val="18"/>
        </w:rPr>
        <w:t>, CH</w:t>
      </w:r>
      <w:r w:rsidRPr="000B2554">
        <w:rPr>
          <w:i/>
          <w:sz w:val="18"/>
          <w:szCs w:val="18"/>
          <w:vertAlign w:val="subscript"/>
        </w:rPr>
        <w:t>4</w:t>
      </w:r>
      <w:r w:rsidRPr="000B2554">
        <w:rPr>
          <w:i/>
          <w:sz w:val="18"/>
          <w:szCs w:val="18"/>
        </w:rPr>
        <w:t xml:space="preserve">, </w:t>
      </w:r>
      <w:proofErr w:type="gramStart"/>
      <w:r w:rsidRPr="000B2554">
        <w:rPr>
          <w:i/>
          <w:sz w:val="18"/>
          <w:szCs w:val="18"/>
        </w:rPr>
        <w:t>N</w:t>
      </w:r>
      <w:r w:rsidRPr="000B2554">
        <w:rPr>
          <w:i/>
          <w:sz w:val="18"/>
          <w:szCs w:val="18"/>
          <w:vertAlign w:val="subscript"/>
        </w:rPr>
        <w:t>2</w:t>
      </w:r>
      <w:r w:rsidRPr="000B2554">
        <w:rPr>
          <w:i/>
          <w:sz w:val="18"/>
          <w:szCs w:val="18"/>
        </w:rPr>
        <w:t>O</w:t>
      </w:r>
      <w:proofErr w:type="gramEnd"/>
      <w:r w:rsidRPr="000B2554">
        <w:rPr>
          <w:i/>
          <w:sz w:val="18"/>
          <w:szCs w:val="18"/>
        </w:rPr>
        <w:t>), we calculate LULUCF sector-wide uncertainty using error propagation.</w:t>
      </w:r>
    </w:p>
    <w:p w14:paraId="61FA579E" w14:textId="5C004527" w:rsidR="003443E2" w:rsidRPr="0076408E" w:rsidRDefault="003443E2" w:rsidP="000B2554">
      <w:pPr>
        <w:pStyle w:val="Heading1"/>
      </w:pPr>
      <w:bookmarkStart w:id="2" w:name="_Toc84784377"/>
      <w:r w:rsidRPr="0076408E">
        <w:lastRenderedPageBreak/>
        <w:t>LULUCF carbon credit issuance by country</w:t>
      </w:r>
      <w:bookmarkEnd w:id="2"/>
    </w:p>
    <w:p w14:paraId="0ADC0746" w14:textId="428D18A2" w:rsidR="000B3CE3" w:rsidRDefault="000B3CE3" w:rsidP="00E4385F">
      <w:r>
        <w:t xml:space="preserve">Here we describe the methods to aggregate data on total LULUCF carbon credits issued by all voluntary and compliance carbon crediting programs operating globally to date. We use the World Bank “State and Trends of Carbon Pricing 2021” (STCP 2021) report to identify all existing carbon crediting programs. For each program we identify </w:t>
      </w:r>
      <w:r w:rsidR="008156C7">
        <w:t>all LULUCF project types</w:t>
      </w:r>
      <w:r>
        <w:t xml:space="preserve">, which </w:t>
      </w:r>
      <w:r w:rsidR="008156C7">
        <w:t>include</w:t>
      </w:r>
      <w:r w:rsidR="009366B2">
        <w:t xml:space="preserve"> any project types dealing with</w:t>
      </w:r>
      <w:r>
        <w:t xml:space="preserve"> avoided </w:t>
      </w:r>
      <w:r w:rsidR="001A316D">
        <w:t>GHG</w:t>
      </w:r>
      <w:r>
        <w:t xml:space="preserve"> emissions or CO</w:t>
      </w:r>
      <w:r w:rsidRPr="001A316D">
        <w:rPr>
          <w:vertAlign w:val="subscript"/>
        </w:rPr>
        <w:t>2</w:t>
      </w:r>
      <w:r>
        <w:t xml:space="preserve"> sequestered as a result of land management, land use change, forestry practices, and fire management.</w:t>
      </w:r>
      <w:r w:rsidR="008156C7">
        <w:t xml:space="preserve"> Additional crediting schemes for reducing emissions from deforestation and forest degradation (REDD+) were identified through the International Database on REDD+ projects and programs: Linking Economics, Carbon and Community (ID-RECCO) (</w:t>
      </w:r>
      <w:proofErr w:type="spellStart"/>
      <w:r w:rsidR="008156C7">
        <w:t>Simonet</w:t>
      </w:r>
      <w:proofErr w:type="spellEnd"/>
      <w:r w:rsidR="008156C7">
        <w:t xml:space="preserve"> et al. 2020).</w:t>
      </w:r>
      <w:r>
        <w:t xml:space="preserve"> Project types covering agricultural non-CO</w:t>
      </w:r>
      <w:r w:rsidRPr="001A316D">
        <w:rPr>
          <w:vertAlign w:val="subscript"/>
        </w:rPr>
        <w:t>2</w:t>
      </w:r>
      <w:r>
        <w:t xml:space="preserve"> emissions from livestock management, rice cultivation, and fertilizer management are not included. </w:t>
      </w:r>
    </w:p>
    <w:p w14:paraId="64E64BE7" w14:textId="134A7E46" w:rsidR="001A316D" w:rsidRDefault="000B3CE3" w:rsidP="001A316D">
      <w:r>
        <w:t>We use both third party aggregated data and public credit registries, where available, to determine total credits issued to date under each LULUCF protocol. For programs where credit registries and third party data are not available, we use credit issuance data from the STCP 2020 and 2021 reports. We summarize</w:t>
      </w:r>
      <w:r w:rsidR="001A316D">
        <w:t xml:space="preserve"> by</w:t>
      </w:r>
      <w:r>
        <w:t xml:space="preserve"> crediting program the LULUCF protocols</w:t>
      </w:r>
      <w:r w:rsidR="001A316D">
        <w:t xml:space="preserve"> included</w:t>
      </w:r>
      <w:r>
        <w:t xml:space="preserve">, source of credit issuance data, and any assumptions </w:t>
      </w:r>
      <w:r w:rsidR="001A316D">
        <w:t xml:space="preserve">used in our analysis </w:t>
      </w:r>
      <w:r>
        <w:t xml:space="preserve">in Table </w:t>
      </w:r>
      <w:r w:rsidR="00876770">
        <w:t>1-3</w:t>
      </w:r>
      <w:r>
        <w:t xml:space="preserve">. </w:t>
      </w:r>
    </w:p>
    <w:p w14:paraId="3C4A1128" w14:textId="17AD87D9" w:rsidR="00E4385F" w:rsidRDefault="001A316D" w:rsidP="001A316D">
      <w:r>
        <w:t>Note credit issuance values recorded below do</w:t>
      </w:r>
      <w:r w:rsidR="00E4385F">
        <w:t xml:space="preserve"> not </w:t>
      </w:r>
      <w:r>
        <w:t xml:space="preserve">reflect </w:t>
      </w:r>
      <w:r w:rsidR="00E4385F">
        <w:t xml:space="preserve">potential credits that could be issued </w:t>
      </w:r>
      <w:r>
        <w:t>in the future for already registered projects,</w:t>
      </w:r>
      <w:r w:rsidR="00E4385F">
        <w:t xml:space="preserve"> only credits already verified and issued. Any revoked, removed, or canceled credits are removed </w:t>
      </w:r>
      <w:r w:rsidR="008156C7">
        <w:t>from the totals below</w:t>
      </w:r>
      <w:r w:rsidR="00E4385F">
        <w:t xml:space="preserve"> based on available data.</w:t>
      </w:r>
    </w:p>
    <w:p w14:paraId="04CF6483" w14:textId="090B61CB" w:rsidR="00083485" w:rsidRDefault="00083485" w:rsidP="001A316D">
      <w:r w:rsidRPr="00971D6D">
        <w:rPr>
          <w:b/>
          <w:i/>
          <w:iCs/>
          <w:color w:val="44546A" w:themeColor="text2"/>
        </w:rPr>
        <w:t xml:space="preserve">Table </w:t>
      </w:r>
      <w:r w:rsidR="00876770">
        <w:rPr>
          <w:b/>
          <w:i/>
          <w:iCs/>
          <w:color w:val="44546A" w:themeColor="text2"/>
        </w:rPr>
        <w:t>1-3</w:t>
      </w:r>
      <w:r>
        <w:rPr>
          <w:b/>
          <w:i/>
          <w:iCs/>
          <w:color w:val="44546A" w:themeColor="text2"/>
        </w:rPr>
        <w:t xml:space="preserve">: LULUCF credit issuance data sources and assumptions </w:t>
      </w:r>
    </w:p>
    <w:tbl>
      <w:tblPr>
        <w:tblStyle w:val="TableGrid"/>
        <w:tblW w:w="0" w:type="auto"/>
        <w:tblLook w:val="04A0" w:firstRow="1" w:lastRow="0" w:firstColumn="1" w:lastColumn="0" w:noHBand="0" w:noVBand="1"/>
      </w:tblPr>
      <w:tblGrid>
        <w:gridCol w:w="1704"/>
        <w:gridCol w:w="2174"/>
        <w:gridCol w:w="1157"/>
        <w:gridCol w:w="1547"/>
        <w:gridCol w:w="1218"/>
        <w:gridCol w:w="1550"/>
      </w:tblGrid>
      <w:tr w:rsidR="00083485" w:rsidRPr="00083485" w14:paraId="2E0159F7" w14:textId="77777777" w:rsidTr="00083485">
        <w:tc>
          <w:tcPr>
            <w:tcW w:w="1704" w:type="dxa"/>
          </w:tcPr>
          <w:p w14:paraId="76EF7F85" w14:textId="1F8EDFD7" w:rsidR="001A316D" w:rsidRPr="00083485" w:rsidRDefault="001A316D" w:rsidP="001A316D">
            <w:pPr>
              <w:jc w:val="center"/>
              <w:rPr>
                <w:b/>
                <w:sz w:val="18"/>
                <w:szCs w:val="18"/>
              </w:rPr>
            </w:pPr>
            <w:r w:rsidRPr="00083485">
              <w:rPr>
                <w:b/>
                <w:sz w:val="18"/>
                <w:szCs w:val="18"/>
              </w:rPr>
              <w:t>Crediting Program</w:t>
            </w:r>
          </w:p>
        </w:tc>
        <w:tc>
          <w:tcPr>
            <w:tcW w:w="2174" w:type="dxa"/>
          </w:tcPr>
          <w:p w14:paraId="5CFBF8CA" w14:textId="0EB8A251" w:rsidR="001A316D" w:rsidRPr="00083485" w:rsidRDefault="001A316D" w:rsidP="001A316D">
            <w:pPr>
              <w:jc w:val="center"/>
              <w:rPr>
                <w:b/>
                <w:sz w:val="18"/>
                <w:szCs w:val="18"/>
              </w:rPr>
            </w:pPr>
            <w:r w:rsidRPr="00083485">
              <w:rPr>
                <w:b/>
                <w:sz w:val="18"/>
                <w:szCs w:val="18"/>
              </w:rPr>
              <w:t>LULUCF Project Types</w:t>
            </w:r>
          </w:p>
        </w:tc>
        <w:tc>
          <w:tcPr>
            <w:tcW w:w="1157" w:type="dxa"/>
          </w:tcPr>
          <w:p w14:paraId="498457BE" w14:textId="178FE3D9" w:rsidR="001A316D" w:rsidRPr="00083485" w:rsidRDefault="001A316D" w:rsidP="001A316D">
            <w:pPr>
              <w:jc w:val="center"/>
              <w:rPr>
                <w:b/>
                <w:sz w:val="18"/>
                <w:szCs w:val="18"/>
              </w:rPr>
            </w:pPr>
            <w:r w:rsidRPr="00083485">
              <w:rPr>
                <w:b/>
                <w:sz w:val="18"/>
                <w:szCs w:val="18"/>
              </w:rPr>
              <w:t>LULUCF credits issued (million metric tons CO</w:t>
            </w:r>
            <w:r w:rsidRPr="00083485">
              <w:rPr>
                <w:b/>
                <w:sz w:val="18"/>
                <w:szCs w:val="18"/>
                <w:vertAlign w:val="subscript"/>
              </w:rPr>
              <w:t>2</w:t>
            </w:r>
            <w:r w:rsidRPr="00083485">
              <w:rPr>
                <w:b/>
                <w:sz w:val="18"/>
                <w:szCs w:val="18"/>
              </w:rPr>
              <w:t>e)</w:t>
            </w:r>
          </w:p>
        </w:tc>
        <w:tc>
          <w:tcPr>
            <w:tcW w:w="1547" w:type="dxa"/>
          </w:tcPr>
          <w:p w14:paraId="7526DF40" w14:textId="02FD716A" w:rsidR="001A316D" w:rsidRPr="00083485" w:rsidRDefault="001A316D" w:rsidP="001A316D">
            <w:pPr>
              <w:jc w:val="center"/>
              <w:rPr>
                <w:b/>
                <w:sz w:val="18"/>
                <w:szCs w:val="18"/>
              </w:rPr>
            </w:pPr>
            <w:r w:rsidRPr="00083485">
              <w:rPr>
                <w:b/>
                <w:sz w:val="18"/>
                <w:szCs w:val="18"/>
              </w:rPr>
              <w:t>Data source</w:t>
            </w:r>
          </w:p>
        </w:tc>
        <w:tc>
          <w:tcPr>
            <w:tcW w:w="1218" w:type="dxa"/>
          </w:tcPr>
          <w:p w14:paraId="0513CE0B" w14:textId="4BAE90FF" w:rsidR="001A316D" w:rsidRPr="00083485" w:rsidRDefault="001A316D" w:rsidP="001A316D">
            <w:pPr>
              <w:jc w:val="center"/>
              <w:rPr>
                <w:b/>
                <w:sz w:val="18"/>
                <w:szCs w:val="18"/>
              </w:rPr>
            </w:pPr>
            <w:r w:rsidRPr="00083485">
              <w:rPr>
                <w:b/>
                <w:sz w:val="18"/>
                <w:szCs w:val="18"/>
              </w:rPr>
              <w:t>Publication date of issuance data</w:t>
            </w:r>
          </w:p>
        </w:tc>
        <w:tc>
          <w:tcPr>
            <w:tcW w:w="1550" w:type="dxa"/>
          </w:tcPr>
          <w:p w14:paraId="6F4F822C" w14:textId="47B8514D" w:rsidR="001A316D" w:rsidRPr="00083485" w:rsidRDefault="001A316D" w:rsidP="001A316D">
            <w:pPr>
              <w:jc w:val="center"/>
              <w:rPr>
                <w:b/>
                <w:sz w:val="18"/>
                <w:szCs w:val="18"/>
              </w:rPr>
            </w:pPr>
            <w:r w:rsidRPr="00083485">
              <w:rPr>
                <w:b/>
                <w:sz w:val="18"/>
                <w:szCs w:val="18"/>
              </w:rPr>
              <w:t>Assumptions</w:t>
            </w:r>
          </w:p>
        </w:tc>
      </w:tr>
      <w:tr w:rsidR="008156C7" w:rsidRPr="00083485" w14:paraId="29B0F261" w14:textId="77777777" w:rsidTr="00083485">
        <w:tc>
          <w:tcPr>
            <w:tcW w:w="1704" w:type="dxa"/>
          </w:tcPr>
          <w:p w14:paraId="4C159AFE" w14:textId="77777777" w:rsidR="001A316D" w:rsidRPr="00083485" w:rsidRDefault="001A316D" w:rsidP="00E4385F">
            <w:pPr>
              <w:rPr>
                <w:sz w:val="18"/>
                <w:szCs w:val="18"/>
              </w:rPr>
            </w:pPr>
            <w:r w:rsidRPr="00083485">
              <w:rPr>
                <w:sz w:val="18"/>
                <w:szCs w:val="18"/>
              </w:rPr>
              <w:t>American Carbon Registry</w:t>
            </w:r>
          </w:p>
        </w:tc>
        <w:tc>
          <w:tcPr>
            <w:tcW w:w="2174" w:type="dxa"/>
            <w:vMerge w:val="restart"/>
          </w:tcPr>
          <w:p w14:paraId="5D66C93E" w14:textId="77777777" w:rsidR="001A316D" w:rsidRPr="00083485" w:rsidRDefault="001A316D" w:rsidP="000B2554">
            <w:pPr>
              <w:pStyle w:val="ListParagraph"/>
              <w:numPr>
                <w:ilvl w:val="0"/>
                <w:numId w:val="19"/>
              </w:numPr>
              <w:ind w:left="209" w:hanging="209"/>
              <w:rPr>
                <w:sz w:val="18"/>
                <w:szCs w:val="18"/>
              </w:rPr>
            </w:pPr>
            <w:r w:rsidRPr="00083485">
              <w:rPr>
                <w:sz w:val="18"/>
                <w:szCs w:val="18"/>
              </w:rPr>
              <w:t>Afforestation, Reforestation</w:t>
            </w:r>
          </w:p>
          <w:p w14:paraId="21C79FDB" w14:textId="77777777" w:rsidR="001A316D" w:rsidRPr="00083485" w:rsidRDefault="001A316D" w:rsidP="000B2554">
            <w:pPr>
              <w:pStyle w:val="ListParagraph"/>
              <w:numPr>
                <w:ilvl w:val="0"/>
                <w:numId w:val="19"/>
              </w:numPr>
              <w:ind w:left="209" w:hanging="209"/>
              <w:rPr>
                <w:sz w:val="18"/>
                <w:szCs w:val="18"/>
              </w:rPr>
            </w:pPr>
            <w:r w:rsidRPr="00083485">
              <w:rPr>
                <w:sz w:val="18"/>
                <w:szCs w:val="18"/>
              </w:rPr>
              <w:t>Avoided Forest Conversion</w:t>
            </w:r>
          </w:p>
          <w:p w14:paraId="2B4407BD" w14:textId="77777777" w:rsidR="001A316D" w:rsidRPr="00083485" w:rsidRDefault="001A316D" w:rsidP="000B2554">
            <w:pPr>
              <w:pStyle w:val="ListParagraph"/>
              <w:numPr>
                <w:ilvl w:val="0"/>
                <w:numId w:val="19"/>
              </w:numPr>
              <w:ind w:left="209" w:hanging="209"/>
              <w:rPr>
                <w:sz w:val="18"/>
                <w:szCs w:val="18"/>
              </w:rPr>
            </w:pPr>
            <w:r w:rsidRPr="00083485">
              <w:rPr>
                <w:sz w:val="18"/>
                <w:szCs w:val="18"/>
              </w:rPr>
              <w:t>Avoided Grassland Conversion</w:t>
            </w:r>
          </w:p>
          <w:p w14:paraId="57772A48" w14:textId="77777777" w:rsidR="001A316D" w:rsidRPr="00083485" w:rsidRDefault="001A316D" w:rsidP="000B2554">
            <w:pPr>
              <w:pStyle w:val="ListParagraph"/>
              <w:numPr>
                <w:ilvl w:val="0"/>
                <w:numId w:val="19"/>
              </w:numPr>
              <w:ind w:left="209" w:hanging="209"/>
              <w:rPr>
                <w:sz w:val="18"/>
                <w:szCs w:val="18"/>
              </w:rPr>
            </w:pPr>
            <w:r w:rsidRPr="00083485">
              <w:rPr>
                <w:sz w:val="18"/>
                <w:szCs w:val="18"/>
              </w:rPr>
              <w:t>Improved Forest Management</w:t>
            </w:r>
          </w:p>
          <w:p w14:paraId="1AC8BEB3" w14:textId="77777777" w:rsidR="001A316D" w:rsidRPr="00083485" w:rsidRDefault="001A316D" w:rsidP="000B2554">
            <w:pPr>
              <w:pStyle w:val="ListParagraph"/>
              <w:numPr>
                <w:ilvl w:val="0"/>
                <w:numId w:val="19"/>
              </w:numPr>
              <w:ind w:left="209" w:hanging="209"/>
              <w:rPr>
                <w:sz w:val="18"/>
                <w:szCs w:val="18"/>
              </w:rPr>
            </w:pPr>
            <w:r w:rsidRPr="00083485">
              <w:rPr>
                <w:sz w:val="18"/>
                <w:szCs w:val="18"/>
              </w:rPr>
              <w:t>REDD+</w:t>
            </w:r>
          </w:p>
          <w:p w14:paraId="02EBE90E" w14:textId="77777777" w:rsidR="001A316D" w:rsidRPr="00083485" w:rsidRDefault="001A316D" w:rsidP="000B2554">
            <w:pPr>
              <w:pStyle w:val="ListParagraph"/>
              <w:numPr>
                <w:ilvl w:val="0"/>
                <w:numId w:val="19"/>
              </w:numPr>
              <w:ind w:left="209" w:hanging="209"/>
              <w:rPr>
                <w:sz w:val="18"/>
                <w:szCs w:val="18"/>
              </w:rPr>
            </w:pPr>
            <w:r w:rsidRPr="00083485">
              <w:rPr>
                <w:sz w:val="18"/>
                <w:szCs w:val="18"/>
              </w:rPr>
              <w:t>REDD+ Jurisdictional</w:t>
            </w:r>
          </w:p>
          <w:p w14:paraId="45F3AC85" w14:textId="77777777" w:rsidR="001A316D" w:rsidRPr="00083485" w:rsidRDefault="001A316D" w:rsidP="000B2554">
            <w:pPr>
              <w:pStyle w:val="ListParagraph"/>
              <w:numPr>
                <w:ilvl w:val="0"/>
                <w:numId w:val="19"/>
              </w:numPr>
              <w:ind w:left="209" w:hanging="209"/>
              <w:rPr>
                <w:sz w:val="18"/>
                <w:szCs w:val="18"/>
              </w:rPr>
            </w:pPr>
            <w:r w:rsidRPr="00083485">
              <w:rPr>
                <w:sz w:val="18"/>
                <w:szCs w:val="18"/>
              </w:rPr>
              <w:t>Sustainable Grassland Management</w:t>
            </w:r>
          </w:p>
          <w:p w14:paraId="73E7D60A" w14:textId="01B8C230" w:rsidR="001A316D" w:rsidRPr="00083485" w:rsidRDefault="001A316D" w:rsidP="000B2554">
            <w:pPr>
              <w:pStyle w:val="ListParagraph"/>
              <w:numPr>
                <w:ilvl w:val="0"/>
                <w:numId w:val="19"/>
              </w:numPr>
              <w:ind w:left="209" w:hanging="209"/>
              <w:rPr>
                <w:sz w:val="18"/>
                <w:szCs w:val="18"/>
              </w:rPr>
            </w:pPr>
            <w:r w:rsidRPr="00083485">
              <w:rPr>
                <w:sz w:val="18"/>
                <w:szCs w:val="18"/>
              </w:rPr>
              <w:t xml:space="preserve">Wetland Restoration </w:t>
            </w:r>
          </w:p>
        </w:tc>
        <w:tc>
          <w:tcPr>
            <w:tcW w:w="1157" w:type="dxa"/>
            <w:vMerge w:val="restart"/>
          </w:tcPr>
          <w:p w14:paraId="200B40AF" w14:textId="0624B681" w:rsidR="001A316D" w:rsidRPr="00083485" w:rsidRDefault="001A316D" w:rsidP="00E4385F">
            <w:pPr>
              <w:rPr>
                <w:sz w:val="18"/>
                <w:szCs w:val="18"/>
              </w:rPr>
            </w:pPr>
            <w:r w:rsidRPr="00083485">
              <w:rPr>
                <w:sz w:val="18"/>
                <w:szCs w:val="18"/>
              </w:rPr>
              <w:t>562.3</w:t>
            </w:r>
          </w:p>
        </w:tc>
        <w:tc>
          <w:tcPr>
            <w:tcW w:w="1547" w:type="dxa"/>
            <w:vMerge w:val="restart"/>
          </w:tcPr>
          <w:p w14:paraId="6ABD4793" w14:textId="0DCA279A" w:rsidR="001A316D" w:rsidRPr="00083485" w:rsidRDefault="001A316D" w:rsidP="00E4385F">
            <w:pPr>
              <w:rPr>
                <w:sz w:val="18"/>
                <w:szCs w:val="18"/>
              </w:rPr>
            </w:pPr>
            <w:r w:rsidRPr="00083485">
              <w:rPr>
                <w:sz w:val="18"/>
                <w:szCs w:val="18"/>
              </w:rPr>
              <w:t>Berkeley Carbon Trading Project’s Voluntary Registry Offsets Database (Haya et al. 2021)</w:t>
            </w:r>
          </w:p>
        </w:tc>
        <w:tc>
          <w:tcPr>
            <w:tcW w:w="1218" w:type="dxa"/>
            <w:vMerge w:val="restart"/>
          </w:tcPr>
          <w:p w14:paraId="5E8FC23B" w14:textId="3499ADA0" w:rsidR="001A316D" w:rsidRPr="00083485" w:rsidRDefault="001A316D" w:rsidP="001A316D">
            <w:pPr>
              <w:rPr>
                <w:sz w:val="18"/>
                <w:szCs w:val="18"/>
              </w:rPr>
            </w:pPr>
            <w:r w:rsidRPr="00083485">
              <w:rPr>
                <w:sz w:val="18"/>
                <w:szCs w:val="18"/>
              </w:rPr>
              <w:t>May 2021</w:t>
            </w:r>
          </w:p>
        </w:tc>
        <w:tc>
          <w:tcPr>
            <w:tcW w:w="1550" w:type="dxa"/>
            <w:vMerge w:val="restart"/>
          </w:tcPr>
          <w:p w14:paraId="7A6FAF9C" w14:textId="6D75D614" w:rsidR="001A316D" w:rsidRPr="00083485" w:rsidRDefault="001A316D" w:rsidP="001A316D">
            <w:pPr>
              <w:rPr>
                <w:sz w:val="18"/>
                <w:szCs w:val="18"/>
              </w:rPr>
            </w:pPr>
            <w:r w:rsidRPr="00083485">
              <w:rPr>
                <w:sz w:val="18"/>
                <w:szCs w:val="18"/>
              </w:rPr>
              <w:t>One Sustainable Agriculture-labeled project is included, the Kenya Agricultural Carbon Project</w:t>
            </w:r>
          </w:p>
        </w:tc>
      </w:tr>
      <w:tr w:rsidR="00083485" w:rsidRPr="00083485" w14:paraId="7BD102C8" w14:textId="77777777" w:rsidTr="00083485">
        <w:tc>
          <w:tcPr>
            <w:tcW w:w="1704" w:type="dxa"/>
          </w:tcPr>
          <w:p w14:paraId="044F2CB6" w14:textId="302E4F2C" w:rsidR="001A316D" w:rsidRPr="00083485" w:rsidRDefault="001A316D" w:rsidP="00E4385F">
            <w:pPr>
              <w:rPr>
                <w:sz w:val="18"/>
                <w:szCs w:val="18"/>
              </w:rPr>
            </w:pPr>
            <w:r w:rsidRPr="00083485">
              <w:rPr>
                <w:sz w:val="18"/>
                <w:szCs w:val="18"/>
              </w:rPr>
              <w:t>Climate Action Reserve</w:t>
            </w:r>
          </w:p>
        </w:tc>
        <w:tc>
          <w:tcPr>
            <w:tcW w:w="2174" w:type="dxa"/>
            <w:vMerge/>
          </w:tcPr>
          <w:p w14:paraId="6C7301CE" w14:textId="77777777" w:rsidR="001A316D" w:rsidRPr="00083485" w:rsidRDefault="001A316D" w:rsidP="00E4385F">
            <w:pPr>
              <w:rPr>
                <w:sz w:val="18"/>
                <w:szCs w:val="18"/>
              </w:rPr>
            </w:pPr>
          </w:p>
        </w:tc>
        <w:tc>
          <w:tcPr>
            <w:tcW w:w="1157" w:type="dxa"/>
            <w:vMerge/>
          </w:tcPr>
          <w:p w14:paraId="131924D0" w14:textId="77777777" w:rsidR="001A316D" w:rsidRPr="00083485" w:rsidRDefault="001A316D" w:rsidP="00E4385F">
            <w:pPr>
              <w:rPr>
                <w:sz w:val="18"/>
                <w:szCs w:val="18"/>
              </w:rPr>
            </w:pPr>
          </w:p>
        </w:tc>
        <w:tc>
          <w:tcPr>
            <w:tcW w:w="1547" w:type="dxa"/>
            <w:vMerge/>
          </w:tcPr>
          <w:p w14:paraId="46A60578" w14:textId="77777777" w:rsidR="001A316D" w:rsidRPr="00083485" w:rsidRDefault="001A316D" w:rsidP="00E4385F">
            <w:pPr>
              <w:rPr>
                <w:sz w:val="18"/>
                <w:szCs w:val="18"/>
              </w:rPr>
            </w:pPr>
          </w:p>
        </w:tc>
        <w:tc>
          <w:tcPr>
            <w:tcW w:w="1218" w:type="dxa"/>
            <w:vMerge/>
          </w:tcPr>
          <w:p w14:paraId="4B4657DB" w14:textId="77777777" w:rsidR="001A316D" w:rsidRPr="00083485" w:rsidRDefault="001A316D" w:rsidP="00E4385F">
            <w:pPr>
              <w:rPr>
                <w:sz w:val="18"/>
                <w:szCs w:val="18"/>
              </w:rPr>
            </w:pPr>
          </w:p>
        </w:tc>
        <w:tc>
          <w:tcPr>
            <w:tcW w:w="1550" w:type="dxa"/>
            <w:vMerge/>
          </w:tcPr>
          <w:p w14:paraId="6A2CB87D" w14:textId="4C1B3829" w:rsidR="001A316D" w:rsidRPr="00083485" w:rsidRDefault="001A316D" w:rsidP="00E4385F">
            <w:pPr>
              <w:rPr>
                <w:sz w:val="18"/>
                <w:szCs w:val="18"/>
              </w:rPr>
            </w:pPr>
          </w:p>
        </w:tc>
      </w:tr>
      <w:tr w:rsidR="00083485" w:rsidRPr="00083485" w14:paraId="65F19DD2" w14:textId="77777777" w:rsidTr="00083485">
        <w:tc>
          <w:tcPr>
            <w:tcW w:w="1704" w:type="dxa"/>
          </w:tcPr>
          <w:p w14:paraId="51DDDCAD" w14:textId="77777777" w:rsidR="001A316D" w:rsidRPr="00083485" w:rsidRDefault="001A316D" w:rsidP="00E4385F">
            <w:pPr>
              <w:rPr>
                <w:sz w:val="18"/>
                <w:szCs w:val="18"/>
              </w:rPr>
            </w:pPr>
            <w:r w:rsidRPr="00083485">
              <w:rPr>
                <w:sz w:val="18"/>
                <w:szCs w:val="18"/>
              </w:rPr>
              <w:t>Gold Standard</w:t>
            </w:r>
          </w:p>
        </w:tc>
        <w:tc>
          <w:tcPr>
            <w:tcW w:w="2174" w:type="dxa"/>
            <w:vMerge/>
          </w:tcPr>
          <w:p w14:paraId="4767B4A2" w14:textId="77777777" w:rsidR="001A316D" w:rsidRPr="00083485" w:rsidRDefault="001A316D" w:rsidP="00E4385F">
            <w:pPr>
              <w:rPr>
                <w:sz w:val="18"/>
                <w:szCs w:val="18"/>
              </w:rPr>
            </w:pPr>
          </w:p>
        </w:tc>
        <w:tc>
          <w:tcPr>
            <w:tcW w:w="1157" w:type="dxa"/>
            <w:vMerge/>
          </w:tcPr>
          <w:p w14:paraId="7089983F" w14:textId="77777777" w:rsidR="001A316D" w:rsidRPr="00083485" w:rsidRDefault="001A316D" w:rsidP="00E4385F">
            <w:pPr>
              <w:rPr>
                <w:sz w:val="18"/>
                <w:szCs w:val="18"/>
              </w:rPr>
            </w:pPr>
          </w:p>
        </w:tc>
        <w:tc>
          <w:tcPr>
            <w:tcW w:w="1547" w:type="dxa"/>
            <w:vMerge/>
          </w:tcPr>
          <w:p w14:paraId="69A28A37" w14:textId="77777777" w:rsidR="001A316D" w:rsidRPr="00083485" w:rsidRDefault="001A316D" w:rsidP="00E4385F">
            <w:pPr>
              <w:rPr>
                <w:sz w:val="18"/>
                <w:szCs w:val="18"/>
              </w:rPr>
            </w:pPr>
          </w:p>
        </w:tc>
        <w:tc>
          <w:tcPr>
            <w:tcW w:w="1218" w:type="dxa"/>
            <w:vMerge/>
          </w:tcPr>
          <w:p w14:paraId="367BA6D8" w14:textId="77777777" w:rsidR="001A316D" w:rsidRPr="00083485" w:rsidRDefault="001A316D" w:rsidP="00E4385F">
            <w:pPr>
              <w:rPr>
                <w:sz w:val="18"/>
                <w:szCs w:val="18"/>
              </w:rPr>
            </w:pPr>
          </w:p>
        </w:tc>
        <w:tc>
          <w:tcPr>
            <w:tcW w:w="1550" w:type="dxa"/>
            <w:vMerge/>
          </w:tcPr>
          <w:p w14:paraId="1B9D5E63" w14:textId="64A55A07" w:rsidR="001A316D" w:rsidRPr="00083485" w:rsidRDefault="001A316D" w:rsidP="00E4385F">
            <w:pPr>
              <w:rPr>
                <w:sz w:val="18"/>
                <w:szCs w:val="18"/>
              </w:rPr>
            </w:pPr>
          </w:p>
        </w:tc>
      </w:tr>
      <w:tr w:rsidR="00083485" w:rsidRPr="00083485" w14:paraId="77C42AD7" w14:textId="77777777" w:rsidTr="00083485">
        <w:tc>
          <w:tcPr>
            <w:tcW w:w="1704" w:type="dxa"/>
          </w:tcPr>
          <w:p w14:paraId="0BDED767" w14:textId="525D9C26" w:rsidR="001A316D" w:rsidRPr="00083485" w:rsidRDefault="001A316D" w:rsidP="00E4385F">
            <w:pPr>
              <w:rPr>
                <w:sz w:val="18"/>
                <w:szCs w:val="18"/>
              </w:rPr>
            </w:pPr>
            <w:r w:rsidRPr="00083485">
              <w:rPr>
                <w:sz w:val="18"/>
                <w:szCs w:val="18"/>
              </w:rPr>
              <w:t>Verra/Verified Carbon Standard</w:t>
            </w:r>
          </w:p>
        </w:tc>
        <w:tc>
          <w:tcPr>
            <w:tcW w:w="2174" w:type="dxa"/>
            <w:vMerge/>
          </w:tcPr>
          <w:p w14:paraId="7EFA4FB9" w14:textId="77777777" w:rsidR="001A316D" w:rsidRPr="00083485" w:rsidRDefault="001A316D" w:rsidP="00E4385F">
            <w:pPr>
              <w:rPr>
                <w:sz w:val="18"/>
                <w:szCs w:val="18"/>
              </w:rPr>
            </w:pPr>
          </w:p>
        </w:tc>
        <w:tc>
          <w:tcPr>
            <w:tcW w:w="1157" w:type="dxa"/>
            <w:vMerge/>
          </w:tcPr>
          <w:p w14:paraId="63D16D15" w14:textId="77777777" w:rsidR="001A316D" w:rsidRPr="00083485" w:rsidRDefault="001A316D" w:rsidP="00E4385F">
            <w:pPr>
              <w:rPr>
                <w:sz w:val="18"/>
                <w:szCs w:val="18"/>
              </w:rPr>
            </w:pPr>
          </w:p>
        </w:tc>
        <w:tc>
          <w:tcPr>
            <w:tcW w:w="1547" w:type="dxa"/>
            <w:vMerge/>
          </w:tcPr>
          <w:p w14:paraId="7452A8A6" w14:textId="77777777" w:rsidR="001A316D" w:rsidRPr="00083485" w:rsidRDefault="001A316D" w:rsidP="00E4385F">
            <w:pPr>
              <w:rPr>
                <w:sz w:val="18"/>
                <w:szCs w:val="18"/>
              </w:rPr>
            </w:pPr>
          </w:p>
        </w:tc>
        <w:tc>
          <w:tcPr>
            <w:tcW w:w="1218" w:type="dxa"/>
            <w:vMerge/>
          </w:tcPr>
          <w:p w14:paraId="1A9360B8" w14:textId="77777777" w:rsidR="001A316D" w:rsidRPr="00083485" w:rsidRDefault="001A316D" w:rsidP="00E4385F">
            <w:pPr>
              <w:rPr>
                <w:sz w:val="18"/>
                <w:szCs w:val="18"/>
              </w:rPr>
            </w:pPr>
          </w:p>
        </w:tc>
        <w:tc>
          <w:tcPr>
            <w:tcW w:w="1550" w:type="dxa"/>
            <w:vMerge/>
          </w:tcPr>
          <w:p w14:paraId="221CE955" w14:textId="40BC8050" w:rsidR="001A316D" w:rsidRPr="00083485" w:rsidRDefault="001A316D" w:rsidP="00E4385F">
            <w:pPr>
              <w:rPr>
                <w:sz w:val="18"/>
                <w:szCs w:val="18"/>
              </w:rPr>
            </w:pPr>
          </w:p>
        </w:tc>
      </w:tr>
      <w:tr w:rsidR="001A316D" w:rsidRPr="00083485" w14:paraId="67CB747E" w14:textId="77777777" w:rsidTr="008156C7">
        <w:tc>
          <w:tcPr>
            <w:tcW w:w="1704" w:type="dxa"/>
          </w:tcPr>
          <w:p w14:paraId="1CC0CF7F" w14:textId="7DF8AE48" w:rsidR="001A316D" w:rsidRPr="00083485" w:rsidRDefault="001A316D" w:rsidP="00E4385F">
            <w:pPr>
              <w:rPr>
                <w:sz w:val="18"/>
                <w:szCs w:val="18"/>
              </w:rPr>
            </w:pPr>
            <w:r w:rsidRPr="00083485">
              <w:rPr>
                <w:sz w:val="18"/>
                <w:szCs w:val="18"/>
              </w:rPr>
              <w:t>California Air Resources Board (CARB) Compliance Offset Program</w:t>
            </w:r>
          </w:p>
        </w:tc>
        <w:tc>
          <w:tcPr>
            <w:tcW w:w="7646" w:type="dxa"/>
            <w:gridSpan w:val="5"/>
          </w:tcPr>
          <w:p w14:paraId="1025BAEF" w14:textId="30DC5B8A" w:rsidR="001A316D" w:rsidRPr="00D050C7" w:rsidRDefault="001A316D" w:rsidP="001A316D">
            <w:pPr>
              <w:rPr>
                <w:rFonts w:cstheme="minorHAnsi"/>
                <w:sz w:val="18"/>
                <w:szCs w:val="18"/>
              </w:rPr>
            </w:pPr>
            <w:r w:rsidRPr="00D050C7">
              <w:rPr>
                <w:rFonts w:eastAsia="Times New Roman" w:cstheme="minorHAnsi"/>
                <w:sz w:val="18"/>
                <w:szCs w:val="18"/>
              </w:rPr>
              <w:t xml:space="preserve">All CARB offsets are listed in one of the following registries (already accounted for above): </w:t>
            </w:r>
          </w:p>
          <w:p w14:paraId="654850C7" w14:textId="12812BF5" w:rsidR="001A316D" w:rsidRPr="00D050C7" w:rsidRDefault="001A316D" w:rsidP="000B2554">
            <w:pPr>
              <w:pStyle w:val="ListParagraph"/>
              <w:numPr>
                <w:ilvl w:val="0"/>
                <w:numId w:val="21"/>
              </w:numPr>
              <w:rPr>
                <w:rFonts w:cstheme="minorHAnsi"/>
                <w:sz w:val="18"/>
                <w:szCs w:val="18"/>
              </w:rPr>
            </w:pPr>
            <w:hyperlink r:id="rId11" w:history="1">
              <w:r w:rsidRPr="00D050C7">
                <w:rPr>
                  <w:rFonts w:eastAsia="Times New Roman" w:cstheme="minorHAnsi"/>
                  <w:sz w:val="18"/>
                  <w:szCs w:val="18"/>
                </w:rPr>
                <w:t>American Carbon Registry (ACR)</w:t>
              </w:r>
            </w:hyperlink>
            <w:r w:rsidRPr="00D050C7">
              <w:rPr>
                <w:rFonts w:eastAsia="Times New Roman" w:cstheme="minorHAnsi"/>
                <w:sz w:val="18"/>
                <w:szCs w:val="18"/>
              </w:rPr>
              <w:t>:</w:t>
            </w:r>
          </w:p>
          <w:p w14:paraId="224FCC9E" w14:textId="77777777" w:rsidR="001A316D" w:rsidRPr="00D050C7" w:rsidRDefault="001A316D" w:rsidP="000B2554">
            <w:pPr>
              <w:pStyle w:val="ListParagraph"/>
              <w:numPr>
                <w:ilvl w:val="0"/>
                <w:numId w:val="20"/>
              </w:numPr>
              <w:rPr>
                <w:rFonts w:cstheme="minorHAnsi"/>
                <w:sz w:val="18"/>
                <w:szCs w:val="18"/>
              </w:rPr>
            </w:pPr>
            <w:hyperlink r:id="rId12" w:history="1">
              <w:r w:rsidRPr="00D050C7">
                <w:rPr>
                  <w:rFonts w:eastAsia="Times New Roman" w:cstheme="minorHAnsi"/>
                  <w:sz w:val="18"/>
                  <w:szCs w:val="18"/>
                </w:rPr>
                <w:t>Climate Action Reserve (CAR)</w:t>
              </w:r>
            </w:hyperlink>
          </w:p>
          <w:p w14:paraId="5181489C" w14:textId="1D8B2777" w:rsidR="001A316D" w:rsidRPr="00D050C7" w:rsidRDefault="001A316D" w:rsidP="000B2554">
            <w:pPr>
              <w:pStyle w:val="ListParagraph"/>
              <w:numPr>
                <w:ilvl w:val="0"/>
                <w:numId w:val="20"/>
              </w:numPr>
              <w:rPr>
                <w:rFonts w:cstheme="minorHAnsi"/>
                <w:sz w:val="18"/>
                <w:szCs w:val="18"/>
              </w:rPr>
            </w:pPr>
            <w:hyperlink r:id="rId13" w:history="1">
              <w:r w:rsidRPr="00D050C7">
                <w:rPr>
                  <w:rFonts w:eastAsia="Times New Roman" w:cstheme="minorHAnsi"/>
                  <w:sz w:val="18"/>
                  <w:szCs w:val="18"/>
                </w:rPr>
                <w:t>Verra</w:t>
              </w:r>
            </w:hyperlink>
            <w:r w:rsidRPr="00D050C7">
              <w:rPr>
                <w:rFonts w:eastAsia="Times New Roman" w:cstheme="minorHAnsi"/>
                <w:sz w:val="18"/>
                <w:szCs w:val="18"/>
              </w:rPr>
              <w:t>/Verified Carbon Standard</w:t>
            </w:r>
          </w:p>
        </w:tc>
      </w:tr>
      <w:tr w:rsidR="008156C7" w:rsidRPr="00083485" w14:paraId="4E452554" w14:textId="77777777" w:rsidTr="00083485">
        <w:tc>
          <w:tcPr>
            <w:tcW w:w="1704" w:type="dxa"/>
          </w:tcPr>
          <w:p w14:paraId="0340EE3A" w14:textId="53DE1655" w:rsidR="001A316D" w:rsidRPr="00083485" w:rsidRDefault="001A316D" w:rsidP="00E4385F">
            <w:pPr>
              <w:rPr>
                <w:sz w:val="18"/>
                <w:szCs w:val="18"/>
              </w:rPr>
            </w:pPr>
            <w:r w:rsidRPr="00083485">
              <w:rPr>
                <w:sz w:val="18"/>
                <w:szCs w:val="18"/>
              </w:rPr>
              <w:t>Regional Greenhouse Gas Initiative (RGGI) CO</w:t>
            </w:r>
            <w:r w:rsidRPr="00083485">
              <w:rPr>
                <w:sz w:val="18"/>
                <w:szCs w:val="18"/>
                <w:vertAlign w:val="subscript"/>
              </w:rPr>
              <w:t>2</w:t>
            </w:r>
            <w:r w:rsidRPr="00083485">
              <w:rPr>
                <w:sz w:val="18"/>
                <w:szCs w:val="18"/>
              </w:rPr>
              <w:t xml:space="preserve"> Offset Mechanism</w:t>
            </w:r>
          </w:p>
        </w:tc>
        <w:tc>
          <w:tcPr>
            <w:tcW w:w="2174" w:type="dxa"/>
          </w:tcPr>
          <w:p w14:paraId="6CFFE27C" w14:textId="58B05F89" w:rsidR="001A316D" w:rsidRPr="00083485" w:rsidRDefault="001A316D" w:rsidP="00E4385F">
            <w:pPr>
              <w:rPr>
                <w:sz w:val="18"/>
                <w:szCs w:val="18"/>
              </w:rPr>
            </w:pPr>
            <w:r w:rsidRPr="00083485">
              <w:rPr>
                <w:sz w:val="18"/>
                <w:szCs w:val="18"/>
              </w:rPr>
              <w:t>Forestry and Afforestation</w:t>
            </w:r>
          </w:p>
        </w:tc>
        <w:tc>
          <w:tcPr>
            <w:tcW w:w="1157" w:type="dxa"/>
          </w:tcPr>
          <w:p w14:paraId="2FA0B0D4" w14:textId="214B264E" w:rsidR="001A316D" w:rsidRPr="00083485" w:rsidRDefault="001A316D" w:rsidP="00E4385F">
            <w:pPr>
              <w:rPr>
                <w:sz w:val="18"/>
                <w:szCs w:val="18"/>
              </w:rPr>
            </w:pPr>
            <w:r w:rsidRPr="00083485">
              <w:rPr>
                <w:sz w:val="18"/>
                <w:szCs w:val="18"/>
              </w:rPr>
              <w:t>0.0</w:t>
            </w:r>
          </w:p>
        </w:tc>
        <w:tc>
          <w:tcPr>
            <w:tcW w:w="1547" w:type="dxa"/>
          </w:tcPr>
          <w:p w14:paraId="42AC7049" w14:textId="794DC1EF" w:rsidR="001A316D" w:rsidRPr="00083485" w:rsidRDefault="001A316D" w:rsidP="00E4385F">
            <w:pPr>
              <w:rPr>
                <w:sz w:val="18"/>
                <w:szCs w:val="18"/>
              </w:rPr>
            </w:pPr>
            <w:r w:rsidRPr="00083485">
              <w:rPr>
                <w:sz w:val="18"/>
                <w:szCs w:val="18"/>
              </w:rPr>
              <w:t>RGGI CO</w:t>
            </w:r>
            <w:r w:rsidRPr="00083485">
              <w:rPr>
                <w:sz w:val="18"/>
                <w:szCs w:val="18"/>
                <w:vertAlign w:val="subscript"/>
              </w:rPr>
              <w:t>2</w:t>
            </w:r>
            <w:r w:rsidRPr="00083485">
              <w:rPr>
                <w:sz w:val="18"/>
                <w:szCs w:val="18"/>
              </w:rPr>
              <w:t xml:space="preserve"> Allowance Tracking System</w:t>
            </w:r>
          </w:p>
        </w:tc>
        <w:tc>
          <w:tcPr>
            <w:tcW w:w="1218" w:type="dxa"/>
          </w:tcPr>
          <w:p w14:paraId="7743679F" w14:textId="435C10A0" w:rsidR="001A316D" w:rsidRPr="00083485" w:rsidRDefault="001A316D" w:rsidP="00E4385F">
            <w:pPr>
              <w:rPr>
                <w:sz w:val="18"/>
                <w:szCs w:val="18"/>
              </w:rPr>
            </w:pPr>
            <w:r w:rsidRPr="00083485">
              <w:rPr>
                <w:sz w:val="18"/>
                <w:szCs w:val="18"/>
              </w:rPr>
              <w:t>September 2021</w:t>
            </w:r>
          </w:p>
        </w:tc>
        <w:tc>
          <w:tcPr>
            <w:tcW w:w="1550" w:type="dxa"/>
          </w:tcPr>
          <w:p w14:paraId="6C5C6DFE" w14:textId="1B6470AD" w:rsidR="001A316D" w:rsidRPr="00083485" w:rsidRDefault="001A316D" w:rsidP="00E4385F">
            <w:pPr>
              <w:rPr>
                <w:sz w:val="18"/>
                <w:szCs w:val="18"/>
              </w:rPr>
            </w:pPr>
          </w:p>
        </w:tc>
      </w:tr>
      <w:tr w:rsidR="008156C7" w:rsidRPr="00083485" w14:paraId="4DB2A4AA" w14:textId="77777777" w:rsidTr="00083485">
        <w:tc>
          <w:tcPr>
            <w:tcW w:w="1704" w:type="dxa"/>
          </w:tcPr>
          <w:p w14:paraId="34084B3A" w14:textId="54E82C67" w:rsidR="001A316D" w:rsidRPr="00083485" w:rsidRDefault="001A316D" w:rsidP="00E4385F">
            <w:pPr>
              <w:rPr>
                <w:sz w:val="18"/>
                <w:szCs w:val="18"/>
              </w:rPr>
            </w:pPr>
            <w:r w:rsidRPr="00083485">
              <w:rPr>
                <w:sz w:val="18"/>
                <w:szCs w:val="18"/>
              </w:rPr>
              <w:lastRenderedPageBreak/>
              <w:t>Clean Development Mechanism</w:t>
            </w:r>
          </w:p>
        </w:tc>
        <w:tc>
          <w:tcPr>
            <w:tcW w:w="2174" w:type="dxa"/>
          </w:tcPr>
          <w:p w14:paraId="3D3AADD0" w14:textId="05A1CED5" w:rsidR="001A316D" w:rsidRPr="00083485" w:rsidRDefault="008156C7" w:rsidP="00E4385F">
            <w:pPr>
              <w:rPr>
                <w:sz w:val="18"/>
                <w:szCs w:val="18"/>
              </w:rPr>
            </w:pPr>
            <w:r w:rsidRPr="00083485">
              <w:rPr>
                <w:sz w:val="18"/>
                <w:szCs w:val="18"/>
              </w:rPr>
              <w:t>Afforestation and reforestation</w:t>
            </w:r>
          </w:p>
        </w:tc>
        <w:tc>
          <w:tcPr>
            <w:tcW w:w="1157" w:type="dxa"/>
          </w:tcPr>
          <w:p w14:paraId="0F2AD1D1" w14:textId="7470378D" w:rsidR="001A316D" w:rsidRPr="00083485" w:rsidRDefault="008156C7" w:rsidP="00E4385F">
            <w:pPr>
              <w:rPr>
                <w:sz w:val="18"/>
                <w:szCs w:val="18"/>
              </w:rPr>
            </w:pPr>
            <w:r w:rsidRPr="00083485">
              <w:rPr>
                <w:sz w:val="18"/>
                <w:szCs w:val="18"/>
              </w:rPr>
              <w:t>20.8</w:t>
            </w:r>
          </w:p>
        </w:tc>
        <w:tc>
          <w:tcPr>
            <w:tcW w:w="1547" w:type="dxa"/>
          </w:tcPr>
          <w:p w14:paraId="78BFFCD0" w14:textId="32071FE2" w:rsidR="001A316D" w:rsidRPr="00083485" w:rsidRDefault="008156C7" w:rsidP="00E4385F">
            <w:pPr>
              <w:rPr>
                <w:sz w:val="18"/>
                <w:szCs w:val="18"/>
              </w:rPr>
            </w:pPr>
            <w:r w:rsidRPr="00083485">
              <w:rPr>
                <w:sz w:val="18"/>
                <w:szCs w:val="18"/>
              </w:rPr>
              <w:t>UNFCCC CDM (2021)</w:t>
            </w:r>
          </w:p>
        </w:tc>
        <w:tc>
          <w:tcPr>
            <w:tcW w:w="1218" w:type="dxa"/>
          </w:tcPr>
          <w:p w14:paraId="3073891D" w14:textId="199ECAF6" w:rsidR="001A316D" w:rsidRPr="00083485" w:rsidRDefault="008156C7" w:rsidP="00E4385F">
            <w:pPr>
              <w:rPr>
                <w:sz w:val="18"/>
                <w:szCs w:val="18"/>
              </w:rPr>
            </w:pPr>
            <w:r w:rsidRPr="00083485">
              <w:rPr>
                <w:sz w:val="18"/>
                <w:szCs w:val="18"/>
              </w:rPr>
              <w:t>September 2021</w:t>
            </w:r>
          </w:p>
        </w:tc>
        <w:tc>
          <w:tcPr>
            <w:tcW w:w="1550" w:type="dxa"/>
          </w:tcPr>
          <w:p w14:paraId="7852B91C" w14:textId="6FEB499A" w:rsidR="001A316D" w:rsidRPr="00083485" w:rsidRDefault="001A316D" w:rsidP="00E4385F">
            <w:pPr>
              <w:rPr>
                <w:sz w:val="18"/>
                <w:szCs w:val="18"/>
              </w:rPr>
            </w:pPr>
          </w:p>
        </w:tc>
      </w:tr>
      <w:tr w:rsidR="008156C7" w:rsidRPr="00083485" w14:paraId="29263B2F" w14:textId="77777777" w:rsidTr="00083485">
        <w:tc>
          <w:tcPr>
            <w:tcW w:w="1704" w:type="dxa"/>
          </w:tcPr>
          <w:p w14:paraId="05EFED94" w14:textId="4543EF2A" w:rsidR="001A316D" w:rsidRPr="00083485" w:rsidRDefault="001A316D" w:rsidP="00E4385F">
            <w:pPr>
              <w:rPr>
                <w:sz w:val="18"/>
                <w:szCs w:val="18"/>
              </w:rPr>
            </w:pPr>
            <w:r w:rsidRPr="00083485">
              <w:rPr>
                <w:sz w:val="18"/>
                <w:szCs w:val="18"/>
              </w:rPr>
              <w:t>Joint Implementation Mechanism</w:t>
            </w:r>
          </w:p>
        </w:tc>
        <w:tc>
          <w:tcPr>
            <w:tcW w:w="2174" w:type="dxa"/>
          </w:tcPr>
          <w:p w14:paraId="607A0554" w14:textId="6BA4AB67" w:rsidR="001A316D" w:rsidRPr="00083485" w:rsidRDefault="008156C7" w:rsidP="00E4385F">
            <w:pPr>
              <w:rPr>
                <w:sz w:val="18"/>
                <w:szCs w:val="18"/>
              </w:rPr>
            </w:pPr>
            <w:r w:rsidRPr="00083485">
              <w:rPr>
                <w:sz w:val="18"/>
                <w:szCs w:val="18"/>
              </w:rPr>
              <w:t>LULUCF</w:t>
            </w:r>
          </w:p>
        </w:tc>
        <w:tc>
          <w:tcPr>
            <w:tcW w:w="1157" w:type="dxa"/>
          </w:tcPr>
          <w:p w14:paraId="442B5B0E" w14:textId="3C1C08D4" w:rsidR="001A316D" w:rsidRPr="00083485" w:rsidRDefault="008156C7" w:rsidP="00E4385F">
            <w:pPr>
              <w:rPr>
                <w:sz w:val="18"/>
                <w:szCs w:val="18"/>
              </w:rPr>
            </w:pPr>
            <w:r w:rsidRPr="00083485">
              <w:rPr>
                <w:sz w:val="18"/>
                <w:szCs w:val="18"/>
              </w:rPr>
              <w:t>0.3</w:t>
            </w:r>
          </w:p>
        </w:tc>
        <w:tc>
          <w:tcPr>
            <w:tcW w:w="1547" w:type="dxa"/>
          </w:tcPr>
          <w:p w14:paraId="4E51055F" w14:textId="57FD5AE1" w:rsidR="001A316D" w:rsidRPr="00083485" w:rsidRDefault="008156C7" w:rsidP="00E4385F">
            <w:pPr>
              <w:rPr>
                <w:sz w:val="18"/>
                <w:szCs w:val="18"/>
              </w:rPr>
            </w:pPr>
            <w:r w:rsidRPr="00083485">
              <w:rPr>
                <w:sz w:val="18"/>
                <w:szCs w:val="18"/>
              </w:rPr>
              <w:t>UNFCCC JI (2021)</w:t>
            </w:r>
          </w:p>
        </w:tc>
        <w:tc>
          <w:tcPr>
            <w:tcW w:w="1218" w:type="dxa"/>
          </w:tcPr>
          <w:p w14:paraId="0B2934FB" w14:textId="162D092D" w:rsidR="001A316D" w:rsidRPr="00083485" w:rsidRDefault="008156C7" w:rsidP="00E4385F">
            <w:pPr>
              <w:rPr>
                <w:sz w:val="18"/>
                <w:szCs w:val="18"/>
              </w:rPr>
            </w:pPr>
            <w:r w:rsidRPr="00083485">
              <w:rPr>
                <w:sz w:val="18"/>
                <w:szCs w:val="18"/>
              </w:rPr>
              <w:t>September 2021</w:t>
            </w:r>
          </w:p>
        </w:tc>
        <w:tc>
          <w:tcPr>
            <w:tcW w:w="1550" w:type="dxa"/>
          </w:tcPr>
          <w:p w14:paraId="1547ECD3" w14:textId="5B5FF43A" w:rsidR="001A316D" w:rsidRPr="00083485" w:rsidRDefault="001A316D" w:rsidP="00E4385F">
            <w:pPr>
              <w:rPr>
                <w:sz w:val="18"/>
                <w:szCs w:val="18"/>
              </w:rPr>
            </w:pPr>
          </w:p>
        </w:tc>
      </w:tr>
      <w:tr w:rsidR="008156C7" w:rsidRPr="00083485" w14:paraId="4D4CB703" w14:textId="77777777" w:rsidTr="00083485">
        <w:tc>
          <w:tcPr>
            <w:tcW w:w="1704" w:type="dxa"/>
          </w:tcPr>
          <w:p w14:paraId="4E45469A" w14:textId="793DE97B" w:rsidR="001A316D" w:rsidRPr="00083485" w:rsidRDefault="001A316D" w:rsidP="00E4385F">
            <w:pPr>
              <w:rPr>
                <w:sz w:val="18"/>
                <w:szCs w:val="18"/>
              </w:rPr>
            </w:pPr>
            <w:r w:rsidRPr="00083485">
              <w:rPr>
                <w:sz w:val="18"/>
                <w:szCs w:val="18"/>
              </w:rPr>
              <w:t>Alberta Emission Offset System</w:t>
            </w:r>
          </w:p>
        </w:tc>
        <w:tc>
          <w:tcPr>
            <w:tcW w:w="2174" w:type="dxa"/>
          </w:tcPr>
          <w:p w14:paraId="669A921C" w14:textId="77777777" w:rsidR="008156C7" w:rsidRPr="00083485" w:rsidRDefault="008156C7" w:rsidP="000B2554">
            <w:pPr>
              <w:pStyle w:val="ListParagraph"/>
              <w:numPr>
                <w:ilvl w:val="0"/>
                <w:numId w:val="22"/>
              </w:numPr>
              <w:ind w:left="177" w:hanging="177"/>
              <w:rPr>
                <w:sz w:val="18"/>
                <w:szCs w:val="18"/>
              </w:rPr>
            </w:pPr>
            <w:r w:rsidRPr="00083485">
              <w:rPr>
                <w:sz w:val="18"/>
                <w:szCs w:val="18"/>
              </w:rPr>
              <w:t>Conservation Cropping</w:t>
            </w:r>
          </w:p>
          <w:p w14:paraId="71C757CB" w14:textId="77777777" w:rsidR="008156C7" w:rsidRPr="00083485" w:rsidRDefault="008156C7" w:rsidP="000B2554">
            <w:pPr>
              <w:pStyle w:val="ListParagraph"/>
              <w:numPr>
                <w:ilvl w:val="0"/>
                <w:numId w:val="22"/>
              </w:numPr>
              <w:ind w:left="177" w:hanging="177"/>
              <w:rPr>
                <w:sz w:val="18"/>
                <w:szCs w:val="18"/>
              </w:rPr>
            </w:pPr>
            <w:r w:rsidRPr="00083485">
              <w:rPr>
                <w:sz w:val="18"/>
                <w:szCs w:val="18"/>
              </w:rPr>
              <w:t>Tillage System Management</w:t>
            </w:r>
          </w:p>
          <w:p w14:paraId="52B26D9E" w14:textId="07800B4C" w:rsidR="008156C7" w:rsidRPr="00083485" w:rsidRDefault="008156C7" w:rsidP="000B2554">
            <w:pPr>
              <w:pStyle w:val="ListParagraph"/>
              <w:numPr>
                <w:ilvl w:val="0"/>
                <w:numId w:val="22"/>
              </w:numPr>
              <w:ind w:left="177" w:hanging="177"/>
              <w:rPr>
                <w:sz w:val="18"/>
                <w:szCs w:val="18"/>
              </w:rPr>
            </w:pPr>
            <w:r w:rsidRPr="00083485">
              <w:rPr>
                <w:sz w:val="18"/>
                <w:szCs w:val="18"/>
              </w:rPr>
              <w:t>Changes in Forest Harvest Practices</w:t>
            </w:r>
          </w:p>
        </w:tc>
        <w:tc>
          <w:tcPr>
            <w:tcW w:w="1157" w:type="dxa"/>
          </w:tcPr>
          <w:p w14:paraId="222420EA" w14:textId="2249BEC7" w:rsidR="001A316D" w:rsidRPr="00083485" w:rsidRDefault="008156C7" w:rsidP="00E4385F">
            <w:pPr>
              <w:rPr>
                <w:sz w:val="18"/>
                <w:szCs w:val="18"/>
              </w:rPr>
            </w:pPr>
            <w:r w:rsidRPr="00083485">
              <w:rPr>
                <w:sz w:val="18"/>
                <w:szCs w:val="18"/>
              </w:rPr>
              <w:t>17.2</w:t>
            </w:r>
          </w:p>
        </w:tc>
        <w:tc>
          <w:tcPr>
            <w:tcW w:w="1547" w:type="dxa"/>
          </w:tcPr>
          <w:p w14:paraId="5F0F74AB" w14:textId="683154C3" w:rsidR="001A316D" w:rsidRPr="00083485" w:rsidRDefault="008156C7" w:rsidP="00E4385F">
            <w:pPr>
              <w:rPr>
                <w:sz w:val="18"/>
                <w:szCs w:val="18"/>
              </w:rPr>
            </w:pPr>
            <w:r w:rsidRPr="00083485">
              <w:rPr>
                <w:sz w:val="18"/>
                <w:szCs w:val="18"/>
              </w:rPr>
              <w:t>Alberta Emissions Offset Registry</w:t>
            </w:r>
          </w:p>
        </w:tc>
        <w:tc>
          <w:tcPr>
            <w:tcW w:w="1218" w:type="dxa"/>
          </w:tcPr>
          <w:p w14:paraId="71EAE7F5" w14:textId="611D32EB" w:rsidR="001A316D" w:rsidRPr="00083485" w:rsidRDefault="008156C7" w:rsidP="00E4385F">
            <w:pPr>
              <w:rPr>
                <w:sz w:val="18"/>
                <w:szCs w:val="18"/>
              </w:rPr>
            </w:pPr>
            <w:r w:rsidRPr="00083485">
              <w:rPr>
                <w:sz w:val="18"/>
                <w:szCs w:val="18"/>
              </w:rPr>
              <w:t>September 2021</w:t>
            </w:r>
          </w:p>
        </w:tc>
        <w:tc>
          <w:tcPr>
            <w:tcW w:w="1550" w:type="dxa"/>
          </w:tcPr>
          <w:p w14:paraId="6EFB9EC8" w14:textId="46E247D7" w:rsidR="001A316D" w:rsidRPr="00083485" w:rsidRDefault="001A316D" w:rsidP="00E4385F">
            <w:pPr>
              <w:rPr>
                <w:sz w:val="18"/>
                <w:szCs w:val="18"/>
              </w:rPr>
            </w:pPr>
          </w:p>
        </w:tc>
      </w:tr>
      <w:tr w:rsidR="008156C7" w:rsidRPr="00083485" w14:paraId="4BB3F07C" w14:textId="77777777" w:rsidTr="00083485">
        <w:tc>
          <w:tcPr>
            <w:tcW w:w="1704" w:type="dxa"/>
          </w:tcPr>
          <w:p w14:paraId="737349BE" w14:textId="20C7463B" w:rsidR="001A316D" w:rsidRPr="00083485" w:rsidRDefault="001A316D" w:rsidP="00E4385F">
            <w:pPr>
              <w:rPr>
                <w:sz w:val="18"/>
                <w:szCs w:val="18"/>
              </w:rPr>
            </w:pPr>
            <w:r w:rsidRPr="00083485">
              <w:rPr>
                <w:sz w:val="18"/>
                <w:szCs w:val="18"/>
              </w:rPr>
              <w:t>Australia Emissions Reduction Fund</w:t>
            </w:r>
          </w:p>
        </w:tc>
        <w:tc>
          <w:tcPr>
            <w:tcW w:w="2174" w:type="dxa"/>
          </w:tcPr>
          <w:p w14:paraId="47A6D255" w14:textId="77777777" w:rsidR="008156C7" w:rsidRPr="00083485" w:rsidRDefault="008156C7" w:rsidP="000B2554">
            <w:pPr>
              <w:pStyle w:val="ListParagraph"/>
              <w:numPr>
                <w:ilvl w:val="3"/>
                <w:numId w:val="18"/>
              </w:numPr>
              <w:ind w:left="190" w:hanging="207"/>
              <w:rPr>
                <w:rFonts w:cstheme="minorHAnsi"/>
                <w:sz w:val="18"/>
                <w:szCs w:val="18"/>
              </w:rPr>
            </w:pPr>
            <w:r w:rsidRPr="00083485">
              <w:rPr>
                <w:rFonts w:cstheme="minorHAnsi"/>
                <w:sz w:val="18"/>
                <w:szCs w:val="18"/>
              </w:rPr>
              <w:t>Avoided Clearing of Native Regrowth</w:t>
            </w:r>
          </w:p>
          <w:p w14:paraId="65DFF193" w14:textId="77777777" w:rsidR="008156C7" w:rsidRPr="00083485" w:rsidRDefault="008156C7" w:rsidP="000B2554">
            <w:pPr>
              <w:pStyle w:val="ListParagraph"/>
              <w:numPr>
                <w:ilvl w:val="3"/>
                <w:numId w:val="18"/>
              </w:numPr>
              <w:ind w:left="190" w:hanging="207"/>
              <w:rPr>
                <w:rFonts w:cstheme="minorHAnsi"/>
                <w:sz w:val="18"/>
                <w:szCs w:val="18"/>
              </w:rPr>
            </w:pPr>
            <w:r w:rsidRPr="00083485">
              <w:rPr>
                <w:rFonts w:cstheme="minorHAnsi"/>
                <w:sz w:val="18"/>
                <w:szCs w:val="18"/>
              </w:rPr>
              <w:t>Avoided Deforestation</w:t>
            </w:r>
          </w:p>
          <w:p w14:paraId="5B43876A" w14:textId="2CAC2CFD" w:rsidR="008156C7" w:rsidRPr="00083485" w:rsidRDefault="008156C7" w:rsidP="000B2554">
            <w:pPr>
              <w:pStyle w:val="ListParagraph"/>
              <w:numPr>
                <w:ilvl w:val="3"/>
                <w:numId w:val="18"/>
              </w:numPr>
              <w:ind w:left="190" w:hanging="207"/>
              <w:rPr>
                <w:rFonts w:cstheme="minorHAnsi"/>
                <w:sz w:val="18"/>
                <w:szCs w:val="18"/>
              </w:rPr>
            </w:pPr>
            <w:r w:rsidRPr="00083485">
              <w:rPr>
                <w:rFonts w:cstheme="minorHAnsi"/>
                <w:sz w:val="18"/>
                <w:szCs w:val="18"/>
              </w:rPr>
              <w:t xml:space="preserve">Designated VCS </w:t>
            </w:r>
          </w:p>
          <w:p w14:paraId="48AEE6BE" w14:textId="77777777" w:rsidR="008156C7" w:rsidRPr="00083485" w:rsidRDefault="008156C7" w:rsidP="000B2554">
            <w:pPr>
              <w:pStyle w:val="ListParagraph"/>
              <w:numPr>
                <w:ilvl w:val="3"/>
                <w:numId w:val="18"/>
              </w:numPr>
              <w:ind w:left="190" w:hanging="207"/>
              <w:rPr>
                <w:rFonts w:cstheme="minorHAnsi"/>
                <w:sz w:val="18"/>
                <w:szCs w:val="18"/>
              </w:rPr>
            </w:pPr>
            <w:r w:rsidRPr="00083485">
              <w:rPr>
                <w:rFonts w:cstheme="minorHAnsi"/>
                <w:sz w:val="18"/>
                <w:szCs w:val="18"/>
              </w:rPr>
              <w:t>Savanna Fire Management</w:t>
            </w:r>
          </w:p>
          <w:p w14:paraId="78D6DCD0" w14:textId="77777777" w:rsidR="008156C7" w:rsidRPr="00083485" w:rsidRDefault="008156C7" w:rsidP="000B2554">
            <w:pPr>
              <w:pStyle w:val="ListParagraph"/>
              <w:numPr>
                <w:ilvl w:val="3"/>
                <w:numId w:val="18"/>
              </w:numPr>
              <w:ind w:left="190" w:hanging="207"/>
              <w:rPr>
                <w:rFonts w:cstheme="minorHAnsi"/>
                <w:sz w:val="18"/>
                <w:szCs w:val="18"/>
              </w:rPr>
            </w:pPr>
            <w:r w:rsidRPr="00083485">
              <w:rPr>
                <w:rFonts w:cstheme="minorHAnsi"/>
                <w:sz w:val="18"/>
                <w:szCs w:val="18"/>
              </w:rPr>
              <w:t>Reforestation and Afforestation</w:t>
            </w:r>
          </w:p>
          <w:p w14:paraId="65E216F0" w14:textId="77777777" w:rsidR="008156C7" w:rsidRPr="00083485" w:rsidRDefault="008156C7" w:rsidP="000B2554">
            <w:pPr>
              <w:pStyle w:val="ListParagraph"/>
              <w:numPr>
                <w:ilvl w:val="3"/>
                <w:numId w:val="18"/>
              </w:numPr>
              <w:ind w:left="190" w:hanging="207"/>
              <w:rPr>
                <w:rFonts w:cstheme="minorHAnsi"/>
                <w:sz w:val="18"/>
                <w:szCs w:val="18"/>
              </w:rPr>
            </w:pPr>
            <w:r w:rsidRPr="00083485">
              <w:rPr>
                <w:rFonts w:cstheme="minorHAnsi"/>
                <w:sz w:val="18"/>
                <w:szCs w:val="18"/>
              </w:rPr>
              <w:t>Soil Carbon Sequestration in Agricultural Systems</w:t>
            </w:r>
          </w:p>
          <w:p w14:paraId="2D96ED4D" w14:textId="77777777" w:rsidR="008156C7" w:rsidRPr="00083485" w:rsidRDefault="008156C7" w:rsidP="000B2554">
            <w:pPr>
              <w:pStyle w:val="ListParagraph"/>
              <w:numPr>
                <w:ilvl w:val="3"/>
                <w:numId w:val="18"/>
              </w:numPr>
              <w:ind w:left="190" w:hanging="207"/>
              <w:rPr>
                <w:rFonts w:cstheme="minorHAnsi"/>
                <w:sz w:val="18"/>
                <w:szCs w:val="18"/>
              </w:rPr>
            </w:pPr>
            <w:r w:rsidRPr="00083485">
              <w:rPr>
                <w:rFonts w:cstheme="minorHAnsi"/>
                <w:sz w:val="18"/>
                <w:szCs w:val="18"/>
              </w:rPr>
              <w:t>Regeneration of Permanent Even-Aged Native Forest</w:t>
            </w:r>
          </w:p>
          <w:p w14:paraId="121A5CF8" w14:textId="77777777" w:rsidR="008156C7" w:rsidRPr="00083485" w:rsidRDefault="008156C7" w:rsidP="000B2554">
            <w:pPr>
              <w:pStyle w:val="ListParagraph"/>
              <w:numPr>
                <w:ilvl w:val="3"/>
                <w:numId w:val="18"/>
              </w:numPr>
              <w:ind w:left="190" w:hanging="207"/>
              <w:rPr>
                <w:rFonts w:cstheme="minorHAnsi"/>
                <w:sz w:val="18"/>
                <w:szCs w:val="18"/>
              </w:rPr>
            </w:pPr>
            <w:r w:rsidRPr="00083485">
              <w:rPr>
                <w:rFonts w:cstheme="minorHAnsi"/>
                <w:sz w:val="18"/>
                <w:szCs w:val="18"/>
              </w:rPr>
              <w:t>New Farm Forestry Plantations</w:t>
            </w:r>
          </w:p>
          <w:p w14:paraId="186D6033" w14:textId="77777777" w:rsidR="008156C7" w:rsidRPr="00083485" w:rsidRDefault="008156C7" w:rsidP="000B2554">
            <w:pPr>
              <w:pStyle w:val="ListParagraph"/>
              <w:numPr>
                <w:ilvl w:val="3"/>
                <w:numId w:val="18"/>
              </w:numPr>
              <w:ind w:left="190" w:hanging="207"/>
              <w:rPr>
                <w:rFonts w:cstheme="minorHAnsi"/>
                <w:sz w:val="18"/>
                <w:szCs w:val="18"/>
              </w:rPr>
            </w:pPr>
            <w:r w:rsidRPr="00083485">
              <w:rPr>
                <w:rFonts w:cstheme="minorHAnsi"/>
                <w:sz w:val="18"/>
                <w:szCs w:val="18"/>
              </w:rPr>
              <w:t>Native Forest from Managed Regrowth</w:t>
            </w:r>
          </w:p>
          <w:p w14:paraId="371050A8" w14:textId="77777777" w:rsidR="008156C7" w:rsidRPr="00083485" w:rsidRDefault="008156C7" w:rsidP="000B2554">
            <w:pPr>
              <w:pStyle w:val="ListParagraph"/>
              <w:numPr>
                <w:ilvl w:val="3"/>
                <w:numId w:val="18"/>
              </w:numPr>
              <w:ind w:left="190" w:hanging="207"/>
              <w:rPr>
                <w:rFonts w:cstheme="minorHAnsi"/>
                <w:sz w:val="18"/>
                <w:szCs w:val="18"/>
              </w:rPr>
            </w:pPr>
            <w:r w:rsidRPr="00083485">
              <w:rPr>
                <w:rFonts w:cstheme="minorHAnsi"/>
                <w:sz w:val="18"/>
                <w:szCs w:val="18"/>
              </w:rPr>
              <w:t xml:space="preserve">Permanent </w:t>
            </w:r>
            <w:proofErr w:type="spellStart"/>
            <w:r w:rsidRPr="00083485">
              <w:rPr>
                <w:rFonts w:cstheme="minorHAnsi"/>
                <w:sz w:val="18"/>
                <w:szCs w:val="18"/>
              </w:rPr>
              <w:t>Mallee</w:t>
            </w:r>
            <w:proofErr w:type="spellEnd"/>
            <w:r w:rsidRPr="00083485">
              <w:rPr>
                <w:rFonts w:cstheme="minorHAnsi"/>
                <w:sz w:val="18"/>
                <w:szCs w:val="18"/>
              </w:rPr>
              <w:t xml:space="preserve"> Plantings</w:t>
            </w:r>
          </w:p>
          <w:p w14:paraId="07F3057E" w14:textId="77777777" w:rsidR="008156C7" w:rsidRPr="00083485" w:rsidRDefault="008156C7" w:rsidP="000B2554">
            <w:pPr>
              <w:pStyle w:val="ListParagraph"/>
              <w:numPr>
                <w:ilvl w:val="3"/>
                <w:numId w:val="18"/>
              </w:numPr>
              <w:ind w:left="190" w:hanging="207"/>
              <w:rPr>
                <w:rFonts w:cstheme="minorHAnsi"/>
                <w:sz w:val="18"/>
                <w:szCs w:val="18"/>
              </w:rPr>
            </w:pPr>
            <w:r w:rsidRPr="00083485">
              <w:rPr>
                <w:rFonts w:cstheme="minorHAnsi"/>
                <w:sz w:val="18"/>
                <w:szCs w:val="18"/>
              </w:rPr>
              <w:t>Early Dry Season Savanna Burning</w:t>
            </w:r>
          </w:p>
          <w:p w14:paraId="112658B1" w14:textId="77777777" w:rsidR="008156C7" w:rsidRPr="00083485" w:rsidRDefault="008156C7" w:rsidP="000B2554">
            <w:pPr>
              <w:pStyle w:val="ListParagraph"/>
              <w:numPr>
                <w:ilvl w:val="3"/>
                <w:numId w:val="18"/>
              </w:numPr>
              <w:ind w:left="190" w:hanging="207"/>
              <w:rPr>
                <w:rFonts w:cstheme="minorHAnsi"/>
                <w:sz w:val="18"/>
                <w:szCs w:val="18"/>
              </w:rPr>
            </w:pPr>
            <w:r w:rsidRPr="00083485">
              <w:rPr>
                <w:rFonts w:cstheme="minorHAnsi"/>
                <w:sz w:val="18"/>
                <w:szCs w:val="18"/>
              </w:rPr>
              <w:t xml:space="preserve">Reforestation by Environmental or </w:t>
            </w:r>
            <w:proofErr w:type="spellStart"/>
            <w:r w:rsidRPr="00083485">
              <w:rPr>
                <w:rFonts w:cstheme="minorHAnsi"/>
                <w:sz w:val="18"/>
                <w:szCs w:val="18"/>
              </w:rPr>
              <w:t>Mallee</w:t>
            </w:r>
            <w:proofErr w:type="spellEnd"/>
            <w:r w:rsidRPr="00083485">
              <w:rPr>
                <w:rFonts w:cstheme="minorHAnsi"/>
                <w:sz w:val="18"/>
                <w:szCs w:val="18"/>
              </w:rPr>
              <w:t xml:space="preserve"> Plantings</w:t>
            </w:r>
          </w:p>
          <w:p w14:paraId="07252E55" w14:textId="77777777" w:rsidR="008156C7" w:rsidRPr="00083485" w:rsidRDefault="008156C7" w:rsidP="000B2554">
            <w:pPr>
              <w:pStyle w:val="ListParagraph"/>
              <w:numPr>
                <w:ilvl w:val="3"/>
                <w:numId w:val="18"/>
              </w:numPr>
              <w:ind w:left="190" w:hanging="207"/>
              <w:rPr>
                <w:rFonts w:cstheme="minorHAnsi"/>
                <w:sz w:val="18"/>
                <w:szCs w:val="18"/>
              </w:rPr>
            </w:pPr>
            <w:r w:rsidRPr="00083485">
              <w:rPr>
                <w:rFonts w:cstheme="minorHAnsi"/>
                <w:sz w:val="18"/>
                <w:szCs w:val="18"/>
              </w:rPr>
              <w:t>Sequestering Carbon in Soils in Grazing Systems</w:t>
            </w:r>
          </w:p>
          <w:p w14:paraId="386F36EA" w14:textId="77777777" w:rsidR="008156C7" w:rsidRPr="00083485" w:rsidRDefault="008156C7" w:rsidP="000B2554">
            <w:pPr>
              <w:pStyle w:val="ListParagraph"/>
              <w:numPr>
                <w:ilvl w:val="3"/>
                <w:numId w:val="18"/>
              </w:numPr>
              <w:ind w:left="190" w:hanging="207"/>
              <w:rPr>
                <w:rFonts w:cstheme="minorHAnsi"/>
                <w:sz w:val="18"/>
                <w:szCs w:val="18"/>
              </w:rPr>
            </w:pPr>
            <w:r w:rsidRPr="00083485">
              <w:rPr>
                <w:rFonts w:cstheme="minorHAnsi"/>
                <w:sz w:val="18"/>
                <w:szCs w:val="18"/>
              </w:rPr>
              <w:t>Plantation Forestry</w:t>
            </w:r>
          </w:p>
          <w:p w14:paraId="1D9A8627" w14:textId="77777777" w:rsidR="008156C7" w:rsidRPr="00083485" w:rsidRDefault="008156C7" w:rsidP="000B2554">
            <w:pPr>
              <w:pStyle w:val="ListParagraph"/>
              <w:numPr>
                <w:ilvl w:val="3"/>
                <w:numId w:val="18"/>
              </w:numPr>
              <w:ind w:left="190" w:hanging="207"/>
              <w:rPr>
                <w:rFonts w:cstheme="minorHAnsi"/>
                <w:sz w:val="18"/>
                <w:szCs w:val="18"/>
              </w:rPr>
            </w:pPr>
            <w:r w:rsidRPr="00083485">
              <w:rPr>
                <w:rFonts w:cstheme="minorHAnsi"/>
                <w:sz w:val="18"/>
                <w:szCs w:val="18"/>
              </w:rPr>
              <w:t>Savanna Fire Management Sequestration and Emissions Avoidance</w:t>
            </w:r>
          </w:p>
          <w:p w14:paraId="4C194329" w14:textId="77777777" w:rsidR="008156C7" w:rsidRPr="00083485" w:rsidRDefault="008156C7" w:rsidP="000B2554">
            <w:pPr>
              <w:pStyle w:val="ListParagraph"/>
              <w:numPr>
                <w:ilvl w:val="3"/>
                <w:numId w:val="18"/>
              </w:numPr>
              <w:ind w:left="190" w:hanging="207"/>
              <w:rPr>
                <w:sz w:val="18"/>
                <w:szCs w:val="18"/>
              </w:rPr>
            </w:pPr>
            <w:r w:rsidRPr="00083485">
              <w:rPr>
                <w:rFonts w:eastAsia="Times New Roman" w:cstheme="minorHAnsi"/>
                <w:bCs/>
                <w:color w:val="000000"/>
                <w:sz w:val="18"/>
                <w:szCs w:val="18"/>
              </w:rPr>
              <w:t>Permanent Environmental Plantings of Native Species</w:t>
            </w:r>
            <w:r w:rsidRPr="00083485">
              <w:rPr>
                <w:rFonts w:ascii="Arial" w:eastAsia="Times New Roman" w:hAnsi="Arial" w:cs="Arial"/>
                <w:bCs/>
                <w:color w:val="000000"/>
                <w:sz w:val="18"/>
                <w:szCs w:val="18"/>
              </w:rPr>
              <w:t xml:space="preserve"> </w:t>
            </w:r>
          </w:p>
          <w:p w14:paraId="28E101D3" w14:textId="77777777" w:rsidR="001A316D" w:rsidRPr="00083485" w:rsidRDefault="001A316D" w:rsidP="00E4385F">
            <w:pPr>
              <w:rPr>
                <w:sz w:val="18"/>
                <w:szCs w:val="18"/>
              </w:rPr>
            </w:pPr>
          </w:p>
        </w:tc>
        <w:tc>
          <w:tcPr>
            <w:tcW w:w="1157" w:type="dxa"/>
          </w:tcPr>
          <w:p w14:paraId="5B0FC29C" w14:textId="118F3967" w:rsidR="001A316D" w:rsidRPr="00083485" w:rsidRDefault="008156C7" w:rsidP="00E4385F">
            <w:pPr>
              <w:rPr>
                <w:sz w:val="18"/>
                <w:szCs w:val="18"/>
              </w:rPr>
            </w:pPr>
            <w:r w:rsidRPr="00083485">
              <w:rPr>
                <w:sz w:val="18"/>
                <w:szCs w:val="18"/>
              </w:rPr>
              <w:t>64.8</w:t>
            </w:r>
          </w:p>
        </w:tc>
        <w:tc>
          <w:tcPr>
            <w:tcW w:w="1547" w:type="dxa"/>
          </w:tcPr>
          <w:p w14:paraId="06A9B50A" w14:textId="0A50E5BE" w:rsidR="001A316D" w:rsidRPr="00083485" w:rsidRDefault="008156C7" w:rsidP="00E4385F">
            <w:pPr>
              <w:rPr>
                <w:sz w:val="18"/>
                <w:szCs w:val="18"/>
              </w:rPr>
            </w:pPr>
            <w:r w:rsidRPr="00083485">
              <w:rPr>
                <w:sz w:val="18"/>
                <w:szCs w:val="18"/>
              </w:rPr>
              <w:t>Australia Emissions Reduction Fund project register</w:t>
            </w:r>
          </w:p>
        </w:tc>
        <w:tc>
          <w:tcPr>
            <w:tcW w:w="1218" w:type="dxa"/>
          </w:tcPr>
          <w:p w14:paraId="11577EE3" w14:textId="1526DE58" w:rsidR="001A316D" w:rsidRPr="00083485" w:rsidRDefault="008156C7" w:rsidP="00E4385F">
            <w:pPr>
              <w:rPr>
                <w:sz w:val="18"/>
                <w:szCs w:val="18"/>
              </w:rPr>
            </w:pPr>
            <w:r w:rsidRPr="00083485">
              <w:rPr>
                <w:sz w:val="18"/>
                <w:szCs w:val="18"/>
              </w:rPr>
              <w:t>September 2021</w:t>
            </w:r>
          </w:p>
        </w:tc>
        <w:tc>
          <w:tcPr>
            <w:tcW w:w="1550" w:type="dxa"/>
          </w:tcPr>
          <w:p w14:paraId="3792F65B" w14:textId="6DC0BB3E" w:rsidR="001A316D" w:rsidRPr="00083485" w:rsidRDefault="008156C7" w:rsidP="00D477BB">
            <w:pPr>
              <w:rPr>
                <w:sz w:val="18"/>
                <w:szCs w:val="18"/>
              </w:rPr>
            </w:pPr>
            <w:r w:rsidRPr="00083485">
              <w:rPr>
                <w:sz w:val="18"/>
                <w:szCs w:val="18"/>
              </w:rPr>
              <w:t xml:space="preserve">Two </w:t>
            </w:r>
            <w:r w:rsidR="009366B2">
              <w:rPr>
                <w:sz w:val="18"/>
                <w:szCs w:val="18"/>
              </w:rPr>
              <w:t xml:space="preserve">projects labeled </w:t>
            </w:r>
            <w:r w:rsidRPr="00083485">
              <w:rPr>
                <w:sz w:val="18"/>
                <w:szCs w:val="18"/>
              </w:rPr>
              <w:t xml:space="preserve">“designated VCS” focus on </w:t>
            </w:r>
            <w:r w:rsidRPr="00083485">
              <w:rPr>
                <w:rFonts w:cstheme="minorHAnsi"/>
                <w:sz w:val="18"/>
                <w:szCs w:val="18"/>
              </w:rPr>
              <w:t xml:space="preserve">native forest protection </w:t>
            </w:r>
          </w:p>
        </w:tc>
      </w:tr>
      <w:tr w:rsidR="008156C7" w:rsidRPr="00083485" w14:paraId="4CCB879A" w14:textId="77777777" w:rsidTr="00083485">
        <w:tc>
          <w:tcPr>
            <w:tcW w:w="1704" w:type="dxa"/>
          </w:tcPr>
          <w:p w14:paraId="13C61C9D" w14:textId="44596744" w:rsidR="001A316D" w:rsidRPr="00083485" w:rsidRDefault="001A316D" w:rsidP="00E4385F">
            <w:pPr>
              <w:rPr>
                <w:sz w:val="18"/>
                <w:szCs w:val="18"/>
              </w:rPr>
            </w:pPr>
            <w:r w:rsidRPr="00083485">
              <w:rPr>
                <w:sz w:val="18"/>
                <w:szCs w:val="18"/>
              </w:rPr>
              <w:t>Beijing Forestry Offset Mechanism</w:t>
            </w:r>
          </w:p>
        </w:tc>
        <w:tc>
          <w:tcPr>
            <w:tcW w:w="2174" w:type="dxa"/>
          </w:tcPr>
          <w:p w14:paraId="32446C82" w14:textId="17BE0265" w:rsidR="001A316D" w:rsidRPr="00083485" w:rsidRDefault="008156C7" w:rsidP="008156C7">
            <w:pPr>
              <w:rPr>
                <w:sz w:val="18"/>
                <w:szCs w:val="18"/>
              </w:rPr>
            </w:pPr>
            <w:r w:rsidRPr="00083485">
              <w:rPr>
                <w:sz w:val="18"/>
                <w:szCs w:val="18"/>
              </w:rPr>
              <w:t>All projects included</w:t>
            </w:r>
          </w:p>
        </w:tc>
        <w:tc>
          <w:tcPr>
            <w:tcW w:w="1157" w:type="dxa"/>
          </w:tcPr>
          <w:p w14:paraId="060376EB" w14:textId="25242254" w:rsidR="001A316D" w:rsidRPr="00083485" w:rsidRDefault="008156C7" w:rsidP="00E4385F">
            <w:pPr>
              <w:rPr>
                <w:sz w:val="18"/>
                <w:szCs w:val="18"/>
              </w:rPr>
            </w:pPr>
            <w:r w:rsidRPr="00083485">
              <w:rPr>
                <w:sz w:val="18"/>
                <w:szCs w:val="18"/>
              </w:rPr>
              <w:t>0.2</w:t>
            </w:r>
          </w:p>
        </w:tc>
        <w:tc>
          <w:tcPr>
            <w:tcW w:w="1547" w:type="dxa"/>
          </w:tcPr>
          <w:p w14:paraId="4DF5D7FB" w14:textId="57E841ED" w:rsidR="001A316D" w:rsidRPr="00083485" w:rsidRDefault="008156C7" w:rsidP="00E4385F">
            <w:pPr>
              <w:rPr>
                <w:rFonts w:cstheme="minorHAnsi"/>
                <w:sz w:val="18"/>
                <w:szCs w:val="18"/>
              </w:rPr>
            </w:pPr>
            <w:r w:rsidRPr="00083485">
              <w:rPr>
                <w:rFonts w:cstheme="minorHAnsi"/>
                <w:sz w:val="18"/>
                <w:szCs w:val="18"/>
              </w:rPr>
              <w:t>STCP 2020, 2021</w:t>
            </w:r>
          </w:p>
        </w:tc>
        <w:tc>
          <w:tcPr>
            <w:tcW w:w="1218" w:type="dxa"/>
          </w:tcPr>
          <w:p w14:paraId="23DA2367" w14:textId="7227A8E5" w:rsidR="001A316D" w:rsidRPr="00083485" w:rsidRDefault="008156C7" w:rsidP="00E4385F">
            <w:pPr>
              <w:rPr>
                <w:rFonts w:cstheme="minorHAnsi"/>
                <w:sz w:val="18"/>
                <w:szCs w:val="18"/>
              </w:rPr>
            </w:pPr>
            <w:r w:rsidRPr="00083485">
              <w:rPr>
                <w:rFonts w:cstheme="minorHAnsi"/>
                <w:sz w:val="18"/>
                <w:szCs w:val="18"/>
              </w:rPr>
              <w:t>May 2021</w:t>
            </w:r>
          </w:p>
        </w:tc>
        <w:tc>
          <w:tcPr>
            <w:tcW w:w="1550" w:type="dxa"/>
          </w:tcPr>
          <w:p w14:paraId="6B6BA461" w14:textId="0E9FB82D" w:rsidR="001A316D" w:rsidRPr="00083485" w:rsidRDefault="008156C7" w:rsidP="008156C7">
            <w:pPr>
              <w:rPr>
                <w:rFonts w:cstheme="minorHAnsi"/>
                <w:sz w:val="18"/>
                <w:szCs w:val="18"/>
              </w:rPr>
            </w:pPr>
            <w:r w:rsidRPr="00083485">
              <w:rPr>
                <w:rFonts w:eastAsia="Times New Roman" w:cstheme="minorHAnsi"/>
                <w:bCs/>
                <w:color w:val="000000"/>
                <w:sz w:val="18"/>
                <w:szCs w:val="18"/>
              </w:rPr>
              <w:t xml:space="preserve">Credit volumes reported in STCP 2020; no new credits issued in 2020 (STCP 2021) </w:t>
            </w:r>
          </w:p>
        </w:tc>
      </w:tr>
      <w:tr w:rsidR="008156C7" w:rsidRPr="00083485" w14:paraId="06AFCE82" w14:textId="77777777" w:rsidTr="00083485">
        <w:tc>
          <w:tcPr>
            <w:tcW w:w="1704" w:type="dxa"/>
          </w:tcPr>
          <w:p w14:paraId="3D848F14" w14:textId="0CEEBA31" w:rsidR="001A316D" w:rsidRPr="00083485" w:rsidRDefault="001A316D" w:rsidP="00E4385F">
            <w:pPr>
              <w:rPr>
                <w:sz w:val="18"/>
                <w:szCs w:val="18"/>
              </w:rPr>
            </w:pPr>
            <w:r w:rsidRPr="00083485">
              <w:rPr>
                <w:sz w:val="18"/>
                <w:szCs w:val="18"/>
              </w:rPr>
              <w:t>British Columbia Offset Program</w:t>
            </w:r>
          </w:p>
        </w:tc>
        <w:tc>
          <w:tcPr>
            <w:tcW w:w="2174" w:type="dxa"/>
          </w:tcPr>
          <w:p w14:paraId="2171D579" w14:textId="499F6E0C" w:rsidR="001A316D" w:rsidRPr="00083485" w:rsidRDefault="008156C7" w:rsidP="00E4385F">
            <w:pPr>
              <w:rPr>
                <w:sz w:val="18"/>
                <w:szCs w:val="18"/>
              </w:rPr>
            </w:pPr>
            <w:r w:rsidRPr="00083485">
              <w:rPr>
                <w:sz w:val="18"/>
                <w:szCs w:val="18"/>
              </w:rPr>
              <w:t>Sequestration</w:t>
            </w:r>
          </w:p>
        </w:tc>
        <w:tc>
          <w:tcPr>
            <w:tcW w:w="1157" w:type="dxa"/>
          </w:tcPr>
          <w:p w14:paraId="27174951" w14:textId="2F7C5ADE" w:rsidR="001A316D" w:rsidRPr="00083485" w:rsidRDefault="008156C7" w:rsidP="00E4385F">
            <w:pPr>
              <w:rPr>
                <w:sz w:val="18"/>
                <w:szCs w:val="18"/>
              </w:rPr>
            </w:pPr>
            <w:r w:rsidRPr="00083485">
              <w:rPr>
                <w:sz w:val="18"/>
                <w:szCs w:val="18"/>
              </w:rPr>
              <w:t>7.1</w:t>
            </w:r>
          </w:p>
        </w:tc>
        <w:tc>
          <w:tcPr>
            <w:tcW w:w="1547" w:type="dxa"/>
          </w:tcPr>
          <w:p w14:paraId="43647168" w14:textId="6F39B21D" w:rsidR="001A316D" w:rsidRPr="00083485" w:rsidRDefault="008156C7" w:rsidP="00E4385F">
            <w:pPr>
              <w:rPr>
                <w:sz w:val="18"/>
                <w:szCs w:val="18"/>
              </w:rPr>
            </w:pPr>
            <w:r w:rsidRPr="00083485">
              <w:rPr>
                <w:sz w:val="18"/>
                <w:szCs w:val="18"/>
              </w:rPr>
              <w:t>BC Carbon Registry</w:t>
            </w:r>
          </w:p>
        </w:tc>
        <w:tc>
          <w:tcPr>
            <w:tcW w:w="1218" w:type="dxa"/>
          </w:tcPr>
          <w:p w14:paraId="748C69F3" w14:textId="550AD0CB" w:rsidR="001A316D" w:rsidRPr="00083485" w:rsidRDefault="008156C7" w:rsidP="00E4385F">
            <w:pPr>
              <w:rPr>
                <w:sz w:val="18"/>
                <w:szCs w:val="18"/>
              </w:rPr>
            </w:pPr>
            <w:r w:rsidRPr="00083485">
              <w:rPr>
                <w:sz w:val="18"/>
                <w:szCs w:val="18"/>
              </w:rPr>
              <w:t>September 2021</w:t>
            </w:r>
          </w:p>
        </w:tc>
        <w:tc>
          <w:tcPr>
            <w:tcW w:w="1550" w:type="dxa"/>
          </w:tcPr>
          <w:p w14:paraId="7F5F7978" w14:textId="028CF47F" w:rsidR="001A316D" w:rsidRPr="00083485" w:rsidRDefault="001A316D" w:rsidP="00E4385F">
            <w:pPr>
              <w:rPr>
                <w:sz w:val="18"/>
                <w:szCs w:val="18"/>
              </w:rPr>
            </w:pPr>
          </w:p>
        </w:tc>
      </w:tr>
      <w:tr w:rsidR="008156C7" w:rsidRPr="00083485" w14:paraId="358E2C99" w14:textId="77777777" w:rsidTr="00083485">
        <w:tc>
          <w:tcPr>
            <w:tcW w:w="1704" w:type="dxa"/>
          </w:tcPr>
          <w:p w14:paraId="68C7CA16" w14:textId="109E0364" w:rsidR="001A316D" w:rsidRPr="00083485" w:rsidRDefault="001A316D" w:rsidP="00E4385F">
            <w:pPr>
              <w:rPr>
                <w:sz w:val="18"/>
                <w:szCs w:val="18"/>
              </w:rPr>
            </w:pPr>
            <w:r w:rsidRPr="00083485">
              <w:rPr>
                <w:sz w:val="18"/>
                <w:szCs w:val="18"/>
              </w:rPr>
              <w:t>China GHG Voluntary Emission Reduction Program</w:t>
            </w:r>
          </w:p>
        </w:tc>
        <w:tc>
          <w:tcPr>
            <w:tcW w:w="2174" w:type="dxa"/>
          </w:tcPr>
          <w:p w14:paraId="53A08E93" w14:textId="54DA031B" w:rsidR="001A316D" w:rsidRPr="00083485" w:rsidRDefault="008156C7" w:rsidP="00E4385F">
            <w:pPr>
              <w:rPr>
                <w:sz w:val="18"/>
                <w:szCs w:val="18"/>
              </w:rPr>
            </w:pPr>
            <w:r w:rsidRPr="00083485">
              <w:rPr>
                <w:sz w:val="18"/>
                <w:szCs w:val="18"/>
              </w:rPr>
              <w:t>Forestry</w:t>
            </w:r>
          </w:p>
        </w:tc>
        <w:tc>
          <w:tcPr>
            <w:tcW w:w="1157" w:type="dxa"/>
          </w:tcPr>
          <w:p w14:paraId="518A7C69" w14:textId="57FF39A0" w:rsidR="001A316D" w:rsidRPr="00083485" w:rsidRDefault="008156C7" w:rsidP="00E4385F">
            <w:pPr>
              <w:rPr>
                <w:sz w:val="18"/>
                <w:szCs w:val="18"/>
              </w:rPr>
            </w:pPr>
            <w:r w:rsidRPr="00083485">
              <w:rPr>
                <w:sz w:val="18"/>
                <w:szCs w:val="18"/>
              </w:rPr>
              <w:t>0.0</w:t>
            </w:r>
          </w:p>
        </w:tc>
        <w:tc>
          <w:tcPr>
            <w:tcW w:w="1547" w:type="dxa"/>
          </w:tcPr>
          <w:p w14:paraId="48D3AE46" w14:textId="0F6FD77A" w:rsidR="001A316D" w:rsidRPr="00083485" w:rsidRDefault="008156C7" w:rsidP="00E4385F">
            <w:pPr>
              <w:rPr>
                <w:sz w:val="18"/>
                <w:szCs w:val="18"/>
              </w:rPr>
            </w:pPr>
            <w:r w:rsidRPr="00083485">
              <w:rPr>
                <w:sz w:val="18"/>
                <w:szCs w:val="18"/>
              </w:rPr>
              <w:t>STCP 2020, 2021</w:t>
            </w:r>
          </w:p>
        </w:tc>
        <w:tc>
          <w:tcPr>
            <w:tcW w:w="1218" w:type="dxa"/>
          </w:tcPr>
          <w:p w14:paraId="53BAB422" w14:textId="2B4977B7" w:rsidR="001A316D" w:rsidRPr="00083485" w:rsidRDefault="008156C7" w:rsidP="00E4385F">
            <w:pPr>
              <w:rPr>
                <w:sz w:val="18"/>
                <w:szCs w:val="18"/>
              </w:rPr>
            </w:pPr>
            <w:r w:rsidRPr="00083485">
              <w:rPr>
                <w:sz w:val="18"/>
                <w:szCs w:val="18"/>
              </w:rPr>
              <w:t>May 2021</w:t>
            </w:r>
          </w:p>
        </w:tc>
        <w:tc>
          <w:tcPr>
            <w:tcW w:w="1550" w:type="dxa"/>
          </w:tcPr>
          <w:p w14:paraId="7BD17D02" w14:textId="2AABB81B" w:rsidR="001A316D" w:rsidRPr="00083485" w:rsidRDefault="008156C7" w:rsidP="008156C7">
            <w:pPr>
              <w:rPr>
                <w:sz w:val="18"/>
                <w:szCs w:val="18"/>
              </w:rPr>
            </w:pPr>
            <w:r w:rsidRPr="00083485">
              <w:rPr>
                <w:sz w:val="18"/>
                <w:szCs w:val="18"/>
              </w:rPr>
              <w:t xml:space="preserve">STCP 2020 indicates 0.01% of credits issued </w:t>
            </w:r>
            <w:r w:rsidRPr="00083485">
              <w:rPr>
                <w:sz w:val="18"/>
                <w:szCs w:val="18"/>
              </w:rPr>
              <w:lastRenderedPageBreak/>
              <w:t>were related to forestry, and no new credits issued in 2020 (STCP 2021)</w:t>
            </w:r>
          </w:p>
        </w:tc>
      </w:tr>
      <w:tr w:rsidR="00083485" w:rsidRPr="00083485" w14:paraId="31CFDF1D" w14:textId="77777777" w:rsidTr="00083485">
        <w:tc>
          <w:tcPr>
            <w:tcW w:w="1704" w:type="dxa"/>
          </w:tcPr>
          <w:p w14:paraId="7D71ABF3" w14:textId="0960876C" w:rsidR="008156C7" w:rsidRPr="00083485" w:rsidRDefault="008156C7" w:rsidP="008156C7">
            <w:pPr>
              <w:rPr>
                <w:sz w:val="18"/>
                <w:szCs w:val="18"/>
              </w:rPr>
            </w:pPr>
            <w:r w:rsidRPr="00083485">
              <w:rPr>
                <w:sz w:val="18"/>
                <w:szCs w:val="18"/>
              </w:rPr>
              <w:lastRenderedPageBreak/>
              <w:t>Fujian Forestry Offset Crediting Mechanism</w:t>
            </w:r>
          </w:p>
        </w:tc>
        <w:tc>
          <w:tcPr>
            <w:tcW w:w="2174" w:type="dxa"/>
          </w:tcPr>
          <w:p w14:paraId="0CDE7999" w14:textId="4A473053" w:rsidR="008156C7" w:rsidRPr="00083485" w:rsidRDefault="008156C7" w:rsidP="008156C7">
            <w:pPr>
              <w:rPr>
                <w:sz w:val="18"/>
                <w:szCs w:val="18"/>
              </w:rPr>
            </w:pPr>
            <w:r w:rsidRPr="00083485">
              <w:rPr>
                <w:sz w:val="18"/>
                <w:szCs w:val="18"/>
              </w:rPr>
              <w:t>All projects included</w:t>
            </w:r>
          </w:p>
        </w:tc>
        <w:tc>
          <w:tcPr>
            <w:tcW w:w="1157" w:type="dxa"/>
          </w:tcPr>
          <w:p w14:paraId="4DEBA0D9" w14:textId="3C8B2498" w:rsidR="008156C7" w:rsidRPr="00083485" w:rsidRDefault="008156C7" w:rsidP="008156C7">
            <w:pPr>
              <w:rPr>
                <w:sz w:val="18"/>
                <w:szCs w:val="18"/>
              </w:rPr>
            </w:pPr>
            <w:r w:rsidRPr="00083485">
              <w:rPr>
                <w:sz w:val="18"/>
                <w:szCs w:val="18"/>
              </w:rPr>
              <w:t>2.2</w:t>
            </w:r>
          </w:p>
        </w:tc>
        <w:tc>
          <w:tcPr>
            <w:tcW w:w="1547" w:type="dxa"/>
          </w:tcPr>
          <w:p w14:paraId="63867C7F" w14:textId="521D08AB" w:rsidR="008156C7" w:rsidRPr="00083485" w:rsidRDefault="008156C7" w:rsidP="008156C7">
            <w:pPr>
              <w:rPr>
                <w:sz w:val="18"/>
                <w:szCs w:val="18"/>
              </w:rPr>
            </w:pPr>
            <w:r w:rsidRPr="00083485">
              <w:rPr>
                <w:sz w:val="18"/>
                <w:szCs w:val="18"/>
              </w:rPr>
              <w:t>STCP 2020, 2021</w:t>
            </w:r>
          </w:p>
        </w:tc>
        <w:tc>
          <w:tcPr>
            <w:tcW w:w="1218" w:type="dxa"/>
          </w:tcPr>
          <w:p w14:paraId="7AF2081E" w14:textId="3EE26D0D" w:rsidR="008156C7" w:rsidRPr="00083485" w:rsidRDefault="008156C7" w:rsidP="008156C7">
            <w:pPr>
              <w:rPr>
                <w:sz w:val="18"/>
                <w:szCs w:val="18"/>
              </w:rPr>
            </w:pPr>
            <w:r w:rsidRPr="00083485">
              <w:rPr>
                <w:sz w:val="18"/>
                <w:szCs w:val="18"/>
              </w:rPr>
              <w:t>May 2021</w:t>
            </w:r>
          </w:p>
        </w:tc>
        <w:tc>
          <w:tcPr>
            <w:tcW w:w="1550" w:type="dxa"/>
          </w:tcPr>
          <w:p w14:paraId="396301E8" w14:textId="3C9D55D1" w:rsidR="008156C7" w:rsidRPr="00083485" w:rsidRDefault="008156C7" w:rsidP="008156C7">
            <w:pPr>
              <w:rPr>
                <w:sz w:val="18"/>
                <w:szCs w:val="18"/>
              </w:rPr>
            </w:pPr>
          </w:p>
        </w:tc>
      </w:tr>
      <w:tr w:rsidR="00083485" w:rsidRPr="00083485" w14:paraId="797290AC" w14:textId="77777777" w:rsidTr="00083485">
        <w:tc>
          <w:tcPr>
            <w:tcW w:w="1704" w:type="dxa"/>
          </w:tcPr>
          <w:p w14:paraId="2325F405" w14:textId="37331E4F" w:rsidR="008156C7" w:rsidRPr="00083485" w:rsidRDefault="008156C7" w:rsidP="008156C7">
            <w:pPr>
              <w:rPr>
                <w:sz w:val="18"/>
                <w:szCs w:val="18"/>
              </w:rPr>
            </w:pPr>
            <w:proofErr w:type="spellStart"/>
            <w:r w:rsidRPr="00083485">
              <w:rPr>
                <w:sz w:val="18"/>
                <w:szCs w:val="18"/>
              </w:rPr>
              <w:t>Guandong</w:t>
            </w:r>
            <w:proofErr w:type="spellEnd"/>
            <w:r w:rsidRPr="00083485">
              <w:rPr>
                <w:sz w:val="18"/>
                <w:szCs w:val="18"/>
              </w:rPr>
              <w:t xml:space="preserve"> Pu Hui Offset Crediting Mechanism</w:t>
            </w:r>
          </w:p>
        </w:tc>
        <w:tc>
          <w:tcPr>
            <w:tcW w:w="2174" w:type="dxa"/>
          </w:tcPr>
          <w:p w14:paraId="020F3053" w14:textId="5392F76A" w:rsidR="008156C7" w:rsidRPr="00083485" w:rsidRDefault="008156C7" w:rsidP="008156C7">
            <w:pPr>
              <w:rPr>
                <w:sz w:val="18"/>
                <w:szCs w:val="18"/>
              </w:rPr>
            </w:pPr>
            <w:r w:rsidRPr="00083485">
              <w:rPr>
                <w:sz w:val="18"/>
                <w:szCs w:val="18"/>
              </w:rPr>
              <w:t>Forestry</w:t>
            </w:r>
          </w:p>
        </w:tc>
        <w:tc>
          <w:tcPr>
            <w:tcW w:w="1157" w:type="dxa"/>
          </w:tcPr>
          <w:p w14:paraId="1BBD7EBA" w14:textId="67D7F6B9" w:rsidR="008156C7" w:rsidRPr="00083485" w:rsidRDefault="008156C7" w:rsidP="008156C7">
            <w:pPr>
              <w:rPr>
                <w:sz w:val="18"/>
                <w:szCs w:val="18"/>
              </w:rPr>
            </w:pPr>
            <w:r w:rsidRPr="00083485">
              <w:rPr>
                <w:sz w:val="18"/>
                <w:szCs w:val="18"/>
              </w:rPr>
              <w:t>0.6</w:t>
            </w:r>
          </w:p>
        </w:tc>
        <w:tc>
          <w:tcPr>
            <w:tcW w:w="1547" w:type="dxa"/>
          </w:tcPr>
          <w:p w14:paraId="4FB35D3E" w14:textId="5F341A45" w:rsidR="008156C7" w:rsidRPr="00083485" w:rsidRDefault="008156C7" w:rsidP="008156C7">
            <w:pPr>
              <w:rPr>
                <w:sz w:val="18"/>
                <w:szCs w:val="18"/>
              </w:rPr>
            </w:pPr>
            <w:r w:rsidRPr="00083485">
              <w:rPr>
                <w:sz w:val="18"/>
                <w:szCs w:val="18"/>
              </w:rPr>
              <w:t>STCP 2020, 2021</w:t>
            </w:r>
          </w:p>
        </w:tc>
        <w:tc>
          <w:tcPr>
            <w:tcW w:w="1218" w:type="dxa"/>
          </w:tcPr>
          <w:p w14:paraId="367BA18B" w14:textId="6CE0B3FD" w:rsidR="008156C7" w:rsidRPr="00083485" w:rsidRDefault="008156C7" w:rsidP="008156C7">
            <w:pPr>
              <w:rPr>
                <w:sz w:val="18"/>
                <w:szCs w:val="18"/>
              </w:rPr>
            </w:pPr>
            <w:r w:rsidRPr="00083485">
              <w:rPr>
                <w:sz w:val="18"/>
                <w:szCs w:val="18"/>
              </w:rPr>
              <w:t>May 2021</w:t>
            </w:r>
          </w:p>
        </w:tc>
        <w:tc>
          <w:tcPr>
            <w:tcW w:w="1550" w:type="dxa"/>
          </w:tcPr>
          <w:p w14:paraId="2F0D02CB" w14:textId="199B86C1" w:rsidR="008156C7" w:rsidRPr="00083485" w:rsidRDefault="008156C7" w:rsidP="00D477BB">
            <w:pPr>
              <w:rPr>
                <w:rFonts w:cstheme="minorHAnsi"/>
                <w:sz w:val="18"/>
                <w:szCs w:val="18"/>
              </w:rPr>
            </w:pPr>
            <w:r w:rsidRPr="00083485">
              <w:rPr>
                <w:rFonts w:eastAsia="Times New Roman" w:cstheme="minorHAnsi"/>
                <w:bCs/>
                <w:color w:val="000000"/>
                <w:sz w:val="18"/>
                <w:szCs w:val="18"/>
              </w:rPr>
              <w:t>Estimate is sum of STCP 2020 reported forestry credits (4% of 1 MMT CO</w:t>
            </w:r>
            <w:r w:rsidRPr="00083485">
              <w:rPr>
                <w:rFonts w:eastAsia="Times New Roman" w:cstheme="minorHAnsi"/>
                <w:bCs/>
                <w:color w:val="000000"/>
                <w:sz w:val="18"/>
                <w:szCs w:val="18"/>
                <w:vertAlign w:val="subscript"/>
              </w:rPr>
              <w:t>2</w:t>
            </w:r>
            <w:r w:rsidRPr="00083485">
              <w:rPr>
                <w:rFonts w:eastAsia="Times New Roman" w:cstheme="minorHAnsi"/>
                <w:bCs/>
                <w:color w:val="000000"/>
                <w:sz w:val="18"/>
                <w:szCs w:val="18"/>
              </w:rPr>
              <w:t xml:space="preserve">e) and 100% </w:t>
            </w:r>
            <w:r w:rsidR="009366B2">
              <w:rPr>
                <w:rFonts w:eastAsia="Times New Roman" w:cstheme="minorHAnsi"/>
                <w:bCs/>
                <w:color w:val="000000"/>
                <w:sz w:val="18"/>
                <w:szCs w:val="18"/>
              </w:rPr>
              <w:t xml:space="preserve">(assumed) </w:t>
            </w:r>
            <w:r w:rsidRPr="00083485">
              <w:rPr>
                <w:rFonts w:eastAsia="Times New Roman" w:cstheme="minorHAnsi"/>
                <w:bCs/>
                <w:color w:val="000000"/>
                <w:sz w:val="18"/>
                <w:szCs w:val="18"/>
              </w:rPr>
              <w:t>of credits issued in 2020 (STCP 2021)</w:t>
            </w:r>
          </w:p>
        </w:tc>
      </w:tr>
      <w:tr w:rsidR="00083485" w:rsidRPr="00083485" w14:paraId="5394171C" w14:textId="77777777" w:rsidTr="00083485">
        <w:tc>
          <w:tcPr>
            <w:tcW w:w="1704" w:type="dxa"/>
          </w:tcPr>
          <w:p w14:paraId="19FEDD33" w14:textId="0DE10774" w:rsidR="008156C7" w:rsidRPr="00083485" w:rsidRDefault="008156C7" w:rsidP="008156C7">
            <w:pPr>
              <w:rPr>
                <w:sz w:val="18"/>
                <w:szCs w:val="18"/>
              </w:rPr>
            </w:pPr>
            <w:r w:rsidRPr="00083485">
              <w:rPr>
                <w:sz w:val="18"/>
                <w:szCs w:val="18"/>
              </w:rPr>
              <w:t>J-Credit Scheme</w:t>
            </w:r>
          </w:p>
        </w:tc>
        <w:tc>
          <w:tcPr>
            <w:tcW w:w="2174" w:type="dxa"/>
          </w:tcPr>
          <w:p w14:paraId="6178AB1E" w14:textId="013238E1" w:rsidR="008156C7" w:rsidRPr="00083485" w:rsidRDefault="008156C7" w:rsidP="008156C7">
            <w:pPr>
              <w:rPr>
                <w:sz w:val="18"/>
                <w:szCs w:val="18"/>
              </w:rPr>
            </w:pPr>
            <w:r w:rsidRPr="00083485">
              <w:rPr>
                <w:sz w:val="18"/>
                <w:szCs w:val="18"/>
              </w:rPr>
              <w:t>Forestry</w:t>
            </w:r>
          </w:p>
        </w:tc>
        <w:tc>
          <w:tcPr>
            <w:tcW w:w="1157" w:type="dxa"/>
          </w:tcPr>
          <w:p w14:paraId="6D498393" w14:textId="67F0BAAC" w:rsidR="008156C7" w:rsidRPr="00083485" w:rsidRDefault="008156C7" w:rsidP="008156C7">
            <w:pPr>
              <w:rPr>
                <w:sz w:val="18"/>
                <w:szCs w:val="18"/>
              </w:rPr>
            </w:pPr>
            <w:r w:rsidRPr="00083485">
              <w:rPr>
                <w:sz w:val="18"/>
                <w:szCs w:val="18"/>
              </w:rPr>
              <w:t>0.4</w:t>
            </w:r>
          </w:p>
        </w:tc>
        <w:tc>
          <w:tcPr>
            <w:tcW w:w="1547" w:type="dxa"/>
          </w:tcPr>
          <w:p w14:paraId="38498AE6" w14:textId="3347D255" w:rsidR="008156C7" w:rsidRPr="00083485" w:rsidRDefault="008156C7" w:rsidP="008156C7">
            <w:pPr>
              <w:rPr>
                <w:sz w:val="18"/>
                <w:szCs w:val="18"/>
              </w:rPr>
            </w:pPr>
            <w:r w:rsidRPr="00083485">
              <w:rPr>
                <w:sz w:val="18"/>
                <w:szCs w:val="18"/>
              </w:rPr>
              <w:t>STCP 2020, 2021</w:t>
            </w:r>
          </w:p>
        </w:tc>
        <w:tc>
          <w:tcPr>
            <w:tcW w:w="1218" w:type="dxa"/>
          </w:tcPr>
          <w:p w14:paraId="229F6DD6" w14:textId="655CE31D" w:rsidR="008156C7" w:rsidRPr="00083485" w:rsidRDefault="008156C7" w:rsidP="008156C7">
            <w:pPr>
              <w:rPr>
                <w:sz w:val="18"/>
                <w:szCs w:val="18"/>
              </w:rPr>
            </w:pPr>
            <w:r w:rsidRPr="00083485">
              <w:rPr>
                <w:sz w:val="18"/>
                <w:szCs w:val="18"/>
              </w:rPr>
              <w:t>May 2021</w:t>
            </w:r>
          </w:p>
        </w:tc>
        <w:tc>
          <w:tcPr>
            <w:tcW w:w="1550" w:type="dxa"/>
          </w:tcPr>
          <w:p w14:paraId="786273FD" w14:textId="7E8D5F91" w:rsidR="008156C7" w:rsidRPr="00083485" w:rsidRDefault="008156C7" w:rsidP="008156C7">
            <w:pPr>
              <w:rPr>
                <w:sz w:val="18"/>
                <w:szCs w:val="18"/>
              </w:rPr>
            </w:pPr>
            <w:r w:rsidRPr="00083485">
              <w:rPr>
                <w:rFonts w:eastAsia="Times New Roman" w:cstheme="minorHAnsi"/>
                <w:bCs/>
                <w:color w:val="000000"/>
                <w:sz w:val="18"/>
                <w:szCs w:val="18"/>
              </w:rPr>
              <w:t>Estimate is sum of STCP 2020 reported forestry credits (1.4% of 5.9 MMT CO</w:t>
            </w:r>
            <w:r w:rsidRPr="00083485">
              <w:rPr>
                <w:rFonts w:eastAsia="Times New Roman" w:cstheme="minorHAnsi"/>
                <w:bCs/>
                <w:color w:val="000000"/>
                <w:sz w:val="18"/>
                <w:szCs w:val="18"/>
                <w:vertAlign w:val="subscript"/>
              </w:rPr>
              <w:t>2</w:t>
            </w:r>
            <w:r w:rsidRPr="00083485">
              <w:rPr>
                <w:rFonts w:eastAsia="Times New Roman" w:cstheme="minorHAnsi"/>
                <w:bCs/>
                <w:color w:val="000000"/>
                <w:sz w:val="18"/>
                <w:szCs w:val="18"/>
              </w:rPr>
              <w:t>e) and 100%</w:t>
            </w:r>
            <w:r w:rsidR="009366B2">
              <w:rPr>
                <w:rFonts w:eastAsia="Times New Roman" w:cstheme="minorHAnsi"/>
                <w:bCs/>
                <w:color w:val="000000"/>
                <w:sz w:val="18"/>
                <w:szCs w:val="18"/>
              </w:rPr>
              <w:t xml:space="preserve"> (assumed)</w:t>
            </w:r>
            <w:r w:rsidRPr="00083485">
              <w:rPr>
                <w:rFonts w:eastAsia="Times New Roman" w:cstheme="minorHAnsi"/>
                <w:bCs/>
                <w:color w:val="000000"/>
                <w:sz w:val="18"/>
                <w:szCs w:val="18"/>
              </w:rPr>
              <w:t xml:space="preserve"> of credits issued in 2020 (STCP 2021)</w:t>
            </w:r>
          </w:p>
        </w:tc>
      </w:tr>
      <w:tr w:rsidR="00083485" w:rsidRPr="00083485" w14:paraId="18144D67" w14:textId="77777777" w:rsidTr="00083485">
        <w:tc>
          <w:tcPr>
            <w:tcW w:w="1704" w:type="dxa"/>
          </w:tcPr>
          <w:p w14:paraId="0FE6808C" w14:textId="179C073E" w:rsidR="008156C7" w:rsidRPr="00083485" w:rsidRDefault="008156C7" w:rsidP="008156C7">
            <w:pPr>
              <w:rPr>
                <w:sz w:val="18"/>
                <w:szCs w:val="18"/>
              </w:rPr>
            </w:pPr>
            <w:r w:rsidRPr="00083485">
              <w:rPr>
                <w:sz w:val="18"/>
                <w:szCs w:val="18"/>
              </w:rPr>
              <w:t>Saitama Forest Absorption Certification System</w:t>
            </w:r>
          </w:p>
        </w:tc>
        <w:tc>
          <w:tcPr>
            <w:tcW w:w="2174" w:type="dxa"/>
          </w:tcPr>
          <w:p w14:paraId="18DE22F3" w14:textId="63B6E50C" w:rsidR="008156C7" w:rsidRPr="00083485" w:rsidRDefault="008156C7" w:rsidP="008156C7">
            <w:pPr>
              <w:rPr>
                <w:sz w:val="18"/>
                <w:szCs w:val="18"/>
              </w:rPr>
            </w:pPr>
            <w:r w:rsidRPr="00083485">
              <w:rPr>
                <w:sz w:val="18"/>
                <w:szCs w:val="18"/>
              </w:rPr>
              <w:t>All projects included</w:t>
            </w:r>
          </w:p>
        </w:tc>
        <w:tc>
          <w:tcPr>
            <w:tcW w:w="1157" w:type="dxa"/>
          </w:tcPr>
          <w:p w14:paraId="1CEF7E93" w14:textId="3D034CC8" w:rsidR="008156C7" w:rsidRPr="00083485" w:rsidRDefault="008156C7" w:rsidP="008156C7">
            <w:pPr>
              <w:rPr>
                <w:sz w:val="18"/>
                <w:szCs w:val="18"/>
              </w:rPr>
            </w:pPr>
            <w:r w:rsidRPr="00083485">
              <w:rPr>
                <w:sz w:val="18"/>
                <w:szCs w:val="18"/>
              </w:rPr>
              <w:t>0.0</w:t>
            </w:r>
          </w:p>
        </w:tc>
        <w:tc>
          <w:tcPr>
            <w:tcW w:w="1547" w:type="dxa"/>
          </w:tcPr>
          <w:p w14:paraId="2AD78D05" w14:textId="07BF9E28" w:rsidR="008156C7" w:rsidRPr="00083485" w:rsidRDefault="008156C7" w:rsidP="008156C7">
            <w:pPr>
              <w:rPr>
                <w:sz w:val="18"/>
                <w:szCs w:val="18"/>
              </w:rPr>
            </w:pPr>
            <w:r w:rsidRPr="00083485">
              <w:rPr>
                <w:sz w:val="18"/>
                <w:szCs w:val="18"/>
              </w:rPr>
              <w:t>STCP 2020, 2021</w:t>
            </w:r>
          </w:p>
        </w:tc>
        <w:tc>
          <w:tcPr>
            <w:tcW w:w="1218" w:type="dxa"/>
          </w:tcPr>
          <w:p w14:paraId="5AA2FDCF" w14:textId="5D231682" w:rsidR="008156C7" w:rsidRPr="00083485" w:rsidRDefault="008156C7" w:rsidP="008156C7">
            <w:pPr>
              <w:rPr>
                <w:sz w:val="18"/>
                <w:szCs w:val="18"/>
              </w:rPr>
            </w:pPr>
            <w:r w:rsidRPr="00083485">
              <w:rPr>
                <w:sz w:val="18"/>
                <w:szCs w:val="18"/>
              </w:rPr>
              <w:t>May 2021</w:t>
            </w:r>
          </w:p>
        </w:tc>
        <w:tc>
          <w:tcPr>
            <w:tcW w:w="1550" w:type="dxa"/>
          </w:tcPr>
          <w:p w14:paraId="2A49B476" w14:textId="07AB75E4" w:rsidR="008156C7" w:rsidRPr="00083485" w:rsidRDefault="008156C7" w:rsidP="008156C7">
            <w:pPr>
              <w:rPr>
                <w:sz w:val="18"/>
                <w:szCs w:val="18"/>
              </w:rPr>
            </w:pPr>
            <w:r w:rsidRPr="00083485">
              <w:rPr>
                <w:sz w:val="18"/>
                <w:szCs w:val="18"/>
              </w:rPr>
              <w:t>Credit issuances total 0.01 MMT CO</w:t>
            </w:r>
            <w:r w:rsidRPr="00083485">
              <w:rPr>
                <w:sz w:val="18"/>
                <w:szCs w:val="18"/>
                <w:vertAlign w:val="subscript"/>
              </w:rPr>
              <w:t>2</w:t>
            </w:r>
            <w:r w:rsidRPr="00083485">
              <w:rPr>
                <w:sz w:val="18"/>
                <w:szCs w:val="18"/>
              </w:rPr>
              <w:t>e</w:t>
            </w:r>
          </w:p>
        </w:tc>
      </w:tr>
      <w:tr w:rsidR="00083485" w:rsidRPr="00083485" w14:paraId="5AC12F67" w14:textId="77777777" w:rsidTr="00083485">
        <w:tc>
          <w:tcPr>
            <w:tcW w:w="1704" w:type="dxa"/>
          </w:tcPr>
          <w:p w14:paraId="31A27AC6" w14:textId="5A9E00CC" w:rsidR="008156C7" w:rsidRPr="00083485" w:rsidRDefault="008156C7" w:rsidP="008156C7">
            <w:pPr>
              <w:rPr>
                <w:sz w:val="18"/>
                <w:szCs w:val="18"/>
              </w:rPr>
            </w:pPr>
            <w:r w:rsidRPr="00083485">
              <w:rPr>
                <w:sz w:val="18"/>
                <w:szCs w:val="18"/>
              </w:rPr>
              <w:t>South Africa Crediting Mechanism</w:t>
            </w:r>
          </w:p>
        </w:tc>
        <w:tc>
          <w:tcPr>
            <w:tcW w:w="2174" w:type="dxa"/>
          </w:tcPr>
          <w:p w14:paraId="414CD140" w14:textId="30DC29D6" w:rsidR="008156C7" w:rsidRPr="00083485" w:rsidRDefault="008156C7" w:rsidP="008156C7">
            <w:pPr>
              <w:rPr>
                <w:sz w:val="18"/>
                <w:szCs w:val="18"/>
              </w:rPr>
            </w:pPr>
            <w:r w:rsidRPr="00083485">
              <w:rPr>
                <w:sz w:val="18"/>
                <w:szCs w:val="18"/>
              </w:rPr>
              <w:t>Forestry</w:t>
            </w:r>
          </w:p>
        </w:tc>
        <w:tc>
          <w:tcPr>
            <w:tcW w:w="1157" w:type="dxa"/>
          </w:tcPr>
          <w:p w14:paraId="3B045D7D" w14:textId="6EF808B0" w:rsidR="008156C7" w:rsidRPr="00083485" w:rsidRDefault="008156C7" w:rsidP="008156C7">
            <w:pPr>
              <w:rPr>
                <w:sz w:val="18"/>
                <w:szCs w:val="18"/>
              </w:rPr>
            </w:pPr>
            <w:r w:rsidRPr="00083485">
              <w:rPr>
                <w:sz w:val="18"/>
                <w:szCs w:val="18"/>
              </w:rPr>
              <w:t>0.0</w:t>
            </w:r>
          </w:p>
        </w:tc>
        <w:tc>
          <w:tcPr>
            <w:tcW w:w="1547" w:type="dxa"/>
          </w:tcPr>
          <w:p w14:paraId="31836B10" w14:textId="6F261D5D" w:rsidR="008156C7" w:rsidRPr="00083485" w:rsidRDefault="008156C7" w:rsidP="008156C7">
            <w:pPr>
              <w:rPr>
                <w:sz w:val="18"/>
                <w:szCs w:val="18"/>
              </w:rPr>
            </w:pPr>
            <w:r w:rsidRPr="00083485">
              <w:rPr>
                <w:sz w:val="18"/>
                <w:szCs w:val="18"/>
              </w:rPr>
              <w:t>STCP 2021</w:t>
            </w:r>
          </w:p>
        </w:tc>
        <w:tc>
          <w:tcPr>
            <w:tcW w:w="1218" w:type="dxa"/>
          </w:tcPr>
          <w:p w14:paraId="40AE843A" w14:textId="7411FBAD" w:rsidR="008156C7" w:rsidRPr="00083485" w:rsidRDefault="008156C7" w:rsidP="008156C7">
            <w:pPr>
              <w:rPr>
                <w:sz w:val="18"/>
                <w:szCs w:val="18"/>
              </w:rPr>
            </w:pPr>
            <w:r w:rsidRPr="00083485">
              <w:rPr>
                <w:sz w:val="18"/>
                <w:szCs w:val="18"/>
              </w:rPr>
              <w:t>May 2021</w:t>
            </w:r>
          </w:p>
        </w:tc>
        <w:tc>
          <w:tcPr>
            <w:tcW w:w="1550" w:type="dxa"/>
          </w:tcPr>
          <w:p w14:paraId="19AF18CF" w14:textId="046ADBF9" w:rsidR="008156C7" w:rsidRPr="00083485" w:rsidRDefault="008156C7" w:rsidP="008156C7">
            <w:pPr>
              <w:rPr>
                <w:sz w:val="18"/>
                <w:szCs w:val="18"/>
              </w:rPr>
            </w:pPr>
            <w:r w:rsidRPr="00083485">
              <w:rPr>
                <w:sz w:val="18"/>
                <w:szCs w:val="18"/>
              </w:rPr>
              <w:t>No credits issued to date</w:t>
            </w:r>
          </w:p>
        </w:tc>
      </w:tr>
      <w:tr w:rsidR="00083485" w:rsidRPr="00083485" w14:paraId="26061C97" w14:textId="77777777" w:rsidTr="00083485">
        <w:tc>
          <w:tcPr>
            <w:tcW w:w="1704" w:type="dxa"/>
          </w:tcPr>
          <w:p w14:paraId="6D6B25BD" w14:textId="4D7FBCC9" w:rsidR="008156C7" w:rsidRPr="00083485" w:rsidRDefault="008156C7" w:rsidP="008156C7">
            <w:pPr>
              <w:rPr>
                <w:sz w:val="18"/>
                <w:szCs w:val="18"/>
              </w:rPr>
            </w:pPr>
            <w:r w:rsidRPr="00083485">
              <w:rPr>
                <w:sz w:val="18"/>
                <w:szCs w:val="18"/>
              </w:rPr>
              <w:t>Switzerland CO</w:t>
            </w:r>
            <w:r w:rsidRPr="00083485">
              <w:rPr>
                <w:sz w:val="18"/>
                <w:szCs w:val="18"/>
                <w:vertAlign w:val="subscript"/>
              </w:rPr>
              <w:t>2</w:t>
            </w:r>
            <w:r w:rsidRPr="00083485">
              <w:rPr>
                <w:sz w:val="18"/>
                <w:szCs w:val="18"/>
              </w:rPr>
              <w:t xml:space="preserve"> Attestations Crediting Mechanism</w:t>
            </w:r>
          </w:p>
        </w:tc>
        <w:tc>
          <w:tcPr>
            <w:tcW w:w="2174" w:type="dxa"/>
          </w:tcPr>
          <w:p w14:paraId="4293B8C6" w14:textId="5F572EA2" w:rsidR="008156C7" w:rsidRPr="00083485" w:rsidRDefault="008156C7" w:rsidP="008156C7">
            <w:pPr>
              <w:rPr>
                <w:sz w:val="18"/>
                <w:szCs w:val="18"/>
              </w:rPr>
            </w:pPr>
            <w:r w:rsidRPr="00083485">
              <w:rPr>
                <w:sz w:val="18"/>
                <w:szCs w:val="18"/>
              </w:rPr>
              <w:t>Forestry</w:t>
            </w:r>
          </w:p>
        </w:tc>
        <w:tc>
          <w:tcPr>
            <w:tcW w:w="1157" w:type="dxa"/>
          </w:tcPr>
          <w:p w14:paraId="38245A2C" w14:textId="07C8532B" w:rsidR="008156C7" w:rsidRPr="00083485" w:rsidRDefault="008156C7" w:rsidP="008156C7">
            <w:pPr>
              <w:rPr>
                <w:sz w:val="18"/>
                <w:szCs w:val="18"/>
              </w:rPr>
            </w:pPr>
            <w:r w:rsidRPr="00083485">
              <w:rPr>
                <w:sz w:val="18"/>
                <w:szCs w:val="18"/>
              </w:rPr>
              <w:t>3.1</w:t>
            </w:r>
          </w:p>
        </w:tc>
        <w:tc>
          <w:tcPr>
            <w:tcW w:w="1547" w:type="dxa"/>
          </w:tcPr>
          <w:p w14:paraId="65A42672" w14:textId="215671E9" w:rsidR="008156C7" w:rsidRPr="00083485" w:rsidRDefault="008156C7" w:rsidP="008156C7">
            <w:pPr>
              <w:rPr>
                <w:sz w:val="18"/>
                <w:szCs w:val="18"/>
              </w:rPr>
            </w:pPr>
            <w:r w:rsidRPr="00083485">
              <w:rPr>
                <w:sz w:val="18"/>
                <w:szCs w:val="18"/>
              </w:rPr>
              <w:t>STCP 2020, 2021</w:t>
            </w:r>
          </w:p>
        </w:tc>
        <w:tc>
          <w:tcPr>
            <w:tcW w:w="1218" w:type="dxa"/>
          </w:tcPr>
          <w:p w14:paraId="3DF904D9" w14:textId="7B3A4DA7" w:rsidR="008156C7" w:rsidRPr="00083485" w:rsidRDefault="008156C7" w:rsidP="008156C7">
            <w:pPr>
              <w:rPr>
                <w:sz w:val="18"/>
                <w:szCs w:val="18"/>
              </w:rPr>
            </w:pPr>
            <w:r w:rsidRPr="00083485">
              <w:rPr>
                <w:sz w:val="18"/>
                <w:szCs w:val="18"/>
              </w:rPr>
              <w:t>May 2021</w:t>
            </w:r>
          </w:p>
        </w:tc>
        <w:tc>
          <w:tcPr>
            <w:tcW w:w="1550" w:type="dxa"/>
          </w:tcPr>
          <w:p w14:paraId="6563C2CC" w14:textId="10984C7E" w:rsidR="008156C7" w:rsidRPr="00083485" w:rsidRDefault="008156C7" w:rsidP="008156C7">
            <w:pPr>
              <w:rPr>
                <w:sz w:val="18"/>
                <w:szCs w:val="18"/>
              </w:rPr>
            </w:pPr>
            <w:r w:rsidRPr="00083485">
              <w:rPr>
                <w:rFonts w:eastAsia="Times New Roman" w:cstheme="minorHAnsi"/>
                <w:bCs/>
                <w:color w:val="000000"/>
                <w:sz w:val="18"/>
                <w:szCs w:val="18"/>
              </w:rPr>
              <w:t>Estimate is sum of STCP 2020 reported forestry credits (41% of 2.4 MMT CO</w:t>
            </w:r>
            <w:r w:rsidRPr="00083485">
              <w:rPr>
                <w:rFonts w:eastAsia="Times New Roman" w:cstheme="minorHAnsi"/>
                <w:bCs/>
                <w:color w:val="000000"/>
                <w:sz w:val="18"/>
                <w:szCs w:val="18"/>
                <w:vertAlign w:val="subscript"/>
              </w:rPr>
              <w:t>2</w:t>
            </w:r>
            <w:r w:rsidRPr="00083485">
              <w:rPr>
                <w:rFonts w:eastAsia="Times New Roman" w:cstheme="minorHAnsi"/>
                <w:bCs/>
                <w:color w:val="000000"/>
                <w:sz w:val="18"/>
                <w:szCs w:val="18"/>
              </w:rPr>
              <w:t>e) and 100%</w:t>
            </w:r>
            <w:r w:rsidR="009366B2">
              <w:rPr>
                <w:rFonts w:eastAsia="Times New Roman" w:cstheme="minorHAnsi"/>
                <w:bCs/>
                <w:color w:val="000000"/>
                <w:sz w:val="18"/>
                <w:szCs w:val="18"/>
              </w:rPr>
              <w:t xml:space="preserve"> (assumed)</w:t>
            </w:r>
            <w:r w:rsidRPr="00083485">
              <w:rPr>
                <w:rFonts w:eastAsia="Times New Roman" w:cstheme="minorHAnsi"/>
                <w:bCs/>
                <w:color w:val="000000"/>
                <w:sz w:val="18"/>
                <w:szCs w:val="18"/>
              </w:rPr>
              <w:t xml:space="preserve"> of credits issued in 2020 (STCP 2021)</w:t>
            </w:r>
          </w:p>
        </w:tc>
      </w:tr>
      <w:tr w:rsidR="00083485" w:rsidRPr="00083485" w14:paraId="1971F075" w14:textId="77777777" w:rsidTr="00083485">
        <w:tc>
          <w:tcPr>
            <w:tcW w:w="1704" w:type="dxa"/>
          </w:tcPr>
          <w:p w14:paraId="3FC9D843" w14:textId="0B1B73C6" w:rsidR="008156C7" w:rsidRPr="00083485" w:rsidRDefault="008156C7" w:rsidP="008156C7">
            <w:pPr>
              <w:rPr>
                <w:sz w:val="18"/>
                <w:szCs w:val="18"/>
              </w:rPr>
            </w:pPr>
            <w:r w:rsidRPr="00083485">
              <w:rPr>
                <w:sz w:val="18"/>
                <w:szCs w:val="18"/>
              </w:rPr>
              <w:t>Thailand Voluntary Emission Reduction Program</w:t>
            </w:r>
          </w:p>
        </w:tc>
        <w:tc>
          <w:tcPr>
            <w:tcW w:w="2174" w:type="dxa"/>
          </w:tcPr>
          <w:p w14:paraId="3D7A4C12" w14:textId="4A718B49" w:rsidR="008156C7" w:rsidRPr="00083485" w:rsidRDefault="008156C7" w:rsidP="008156C7">
            <w:pPr>
              <w:rPr>
                <w:sz w:val="18"/>
                <w:szCs w:val="18"/>
              </w:rPr>
            </w:pPr>
            <w:r w:rsidRPr="00083485">
              <w:rPr>
                <w:sz w:val="18"/>
                <w:szCs w:val="18"/>
              </w:rPr>
              <w:t>Forestry</w:t>
            </w:r>
          </w:p>
        </w:tc>
        <w:tc>
          <w:tcPr>
            <w:tcW w:w="1157" w:type="dxa"/>
          </w:tcPr>
          <w:p w14:paraId="17C51E31" w14:textId="38536357" w:rsidR="008156C7" w:rsidRPr="00083485" w:rsidRDefault="008156C7" w:rsidP="008156C7">
            <w:pPr>
              <w:rPr>
                <w:sz w:val="18"/>
                <w:szCs w:val="18"/>
              </w:rPr>
            </w:pPr>
            <w:r w:rsidRPr="00083485">
              <w:rPr>
                <w:sz w:val="18"/>
                <w:szCs w:val="18"/>
              </w:rPr>
              <w:t>6.0</w:t>
            </w:r>
          </w:p>
        </w:tc>
        <w:tc>
          <w:tcPr>
            <w:tcW w:w="1547" w:type="dxa"/>
          </w:tcPr>
          <w:p w14:paraId="0023F481" w14:textId="7DDBD809" w:rsidR="008156C7" w:rsidRPr="00083485" w:rsidRDefault="008156C7" w:rsidP="008156C7">
            <w:pPr>
              <w:rPr>
                <w:sz w:val="18"/>
                <w:szCs w:val="18"/>
              </w:rPr>
            </w:pPr>
            <w:r w:rsidRPr="00083485">
              <w:rPr>
                <w:sz w:val="18"/>
                <w:szCs w:val="18"/>
              </w:rPr>
              <w:t>STCP 2021</w:t>
            </w:r>
          </w:p>
        </w:tc>
        <w:tc>
          <w:tcPr>
            <w:tcW w:w="1218" w:type="dxa"/>
          </w:tcPr>
          <w:p w14:paraId="31282F04" w14:textId="0B7CB435" w:rsidR="008156C7" w:rsidRPr="00083485" w:rsidRDefault="008156C7" w:rsidP="008156C7">
            <w:pPr>
              <w:rPr>
                <w:sz w:val="18"/>
                <w:szCs w:val="18"/>
              </w:rPr>
            </w:pPr>
            <w:r w:rsidRPr="00083485">
              <w:rPr>
                <w:sz w:val="18"/>
                <w:szCs w:val="18"/>
              </w:rPr>
              <w:t>May 2021</w:t>
            </w:r>
          </w:p>
        </w:tc>
        <w:tc>
          <w:tcPr>
            <w:tcW w:w="1550" w:type="dxa"/>
          </w:tcPr>
          <w:p w14:paraId="7E679CE6" w14:textId="5293A7F4" w:rsidR="008156C7" w:rsidRPr="00083485" w:rsidRDefault="008156C7" w:rsidP="00D477BB">
            <w:pPr>
              <w:rPr>
                <w:sz w:val="18"/>
                <w:szCs w:val="18"/>
              </w:rPr>
            </w:pPr>
            <w:r w:rsidRPr="00083485">
              <w:rPr>
                <w:rFonts w:eastAsia="Times New Roman" w:cstheme="minorHAnsi"/>
                <w:bCs/>
                <w:color w:val="000000"/>
                <w:sz w:val="18"/>
                <w:szCs w:val="18"/>
              </w:rPr>
              <w:t>Estimate is 100%</w:t>
            </w:r>
            <w:r w:rsidR="009366B2">
              <w:rPr>
                <w:rFonts w:eastAsia="Times New Roman" w:cstheme="minorHAnsi"/>
                <w:bCs/>
                <w:color w:val="000000"/>
                <w:sz w:val="18"/>
                <w:szCs w:val="18"/>
              </w:rPr>
              <w:t xml:space="preserve"> (assumed)</w:t>
            </w:r>
            <w:r w:rsidRPr="00083485">
              <w:rPr>
                <w:rFonts w:eastAsia="Times New Roman" w:cstheme="minorHAnsi"/>
                <w:bCs/>
                <w:color w:val="000000"/>
                <w:sz w:val="18"/>
                <w:szCs w:val="18"/>
              </w:rPr>
              <w:t xml:space="preserve"> of credits issued in 2020 (STCP 2021)</w:t>
            </w:r>
          </w:p>
        </w:tc>
      </w:tr>
      <w:tr w:rsidR="008156C7" w:rsidRPr="00083485" w14:paraId="656BE425" w14:textId="77777777" w:rsidTr="00083485">
        <w:tc>
          <w:tcPr>
            <w:tcW w:w="1704" w:type="dxa"/>
          </w:tcPr>
          <w:p w14:paraId="3090CE2D" w14:textId="180B291E" w:rsidR="008156C7" w:rsidRPr="00083485" w:rsidRDefault="008156C7" w:rsidP="008156C7">
            <w:pPr>
              <w:rPr>
                <w:sz w:val="18"/>
                <w:szCs w:val="18"/>
              </w:rPr>
            </w:pPr>
            <w:r w:rsidRPr="00083485">
              <w:rPr>
                <w:sz w:val="18"/>
                <w:szCs w:val="18"/>
              </w:rPr>
              <w:t>Brazil Mata Viva REDD+</w:t>
            </w:r>
          </w:p>
        </w:tc>
        <w:tc>
          <w:tcPr>
            <w:tcW w:w="2174" w:type="dxa"/>
            <w:vMerge w:val="restart"/>
          </w:tcPr>
          <w:p w14:paraId="3E424FFE" w14:textId="1DF60A51" w:rsidR="008156C7" w:rsidRPr="00083485" w:rsidRDefault="008156C7" w:rsidP="008156C7">
            <w:pPr>
              <w:rPr>
                <w:sz w:val="18"/>
                <w:szCs w:val="18"/>
              </w:rPr>
            </w:pPr>
            <w:r w:rsidRPr="00083485">
              <w:rPr>
                <w:sz w:val="18"/>
                <w:szCs w:val="18"/>
              </w:rPr>
              <w:t>All projects listed in ID-RECCO dataset</w:t>
            </w:r>
          </w:p>
        </w:tc>
        <w:tc>
          <w:tcPr>
            <w:tcW w:w="1157" w:type="dxa"/>
          </w:tcPr>
          <w:p w14:paraId="11038D3B" w14:textId="43D39555" w:rsidR="008156C7" w:rsidRPr="00083485" w:rsidRDefault="008156C7" w:rsidP="008156C7">
            <w:pPr>
              <w:rPr>
                <w:sz w:val="18"/>
                <w:szCs w:val="18"/>
              </w:rPr>
            </w:pPr>
            <w:r w:rsidRPr="00083485">
              <w:rPr>
                <w:sz w:val="18"/>
                <w:szCs w:val="18"/>
              </w:rPr>
              <w:t>17.7</w:t>
            </w:r>
          </w:p>
        </w:tc>
        <w:tc>
          <w:tcPr>
            <w:tcW w:w="1547" w:type="dxa"/>
            <w:vMerge w:val="restart"/>
          </w:tcPr>
          <w:p w14:paraId="504DCEA0" w14:textId="28277334" w:rsidR="008156C7" w:rsidRPr="00083485" w:rsidRDefault="008156C7" w:rsidP="008156C7">
            <w:pPr>
              <w:rPr>
                <w:sz w:val="18"/>
                <w:szCs w:val="18"/>
              </w:rPr>
            </w:pPr>
            <w:proofErr w:type="spellStart"/>
            <w:r w:rsidRPr="00083485">
              <w:rPr>
                <w:sz w:val="18"/>
                <w:szCs w:val="18"/>
              </w:rPr>
              <w:t>Simonet</w:t>
            </w:r>
            <w:proofErr w:type="spellEnd"/>
            <w:r w:rsidRPr="00083485">
              <w:rPr>
                <w:sz w:val="18"/>
                <w:szCs w:val="18"/>
              </w:rPr>
              <w:t xml:space="preserve"> et al. 2020</w:t>
            </w:r>
          </w:p>
        </w:tc>
        <w:tc>
          <w:tcPr>
            <w:tcW w:w="1218" w:type="dxa"/>
            <w:vMerge w:val="restart"/>
          </w:tcPr>
          <w:p w14:paraId="53FCA0D2" w14:textId="50EE81FE" w:rsidR="008156C7" w:rsidRPr="00083485" w:rsidRDefault="008156C7" w:rsidP="008156C7">
            <w:pPr>
              <w:rPr>
                <w:sz w:val="18"/>
                <w:szCs w:val="18"/>
              </w:rPr>
            </w:pPr>
            <w:r w:rsidRPr="00083485">
              <w:rPr>
                <w:sz w:val="18"/>
                <w:szCs w:val="18"/>
              </w:rPr>
              <w:t>December 2020</w:t>
            </w:r>
          </w:p>
        </w:tc>
        <w:tc>
          <w:tcPr>
            <w:tcW w:w="1550" w:type="dxa"/>
            <w:vMerge w:val="restart"/>
          </w:tcPr>
          <w:p w14:paraId="1DB28A2F" w14:textId="3092F033" w:rsidR="008156C7" w:rsidRPr="00083485" w:rsidRDefault="008156C7" w:rsidP="008156C7">
            <w:pPr>
              <w:rPr>
                <w:sz w:val="18"/>
                <w:szCs w:val="18"/>
              </w:rPr>
            </w:pPr>
            <w:r w:rsidRPr="00083485">
              <w:rPr>
                <w:sz w:val="18"/>
                <w:szCs w:val="18"/>
              </w:rPr>
              <w:t>Estimates include only REDD+ projects that have been certified by some carbon crediting scheme and for which carbon issuance values are available</w:t>
            </w:r>
          </w:p>
        </w:tc>
      </w:tr>
      <w:tr w:rsidR="008156C7" w:rsidRPr="00083485" w14:paraId="149B31AB" w14:textId="77777777" w:rsidTr="00083485">
        <w:tc>
          <w:tcPr>
            <w:tcW w:w="1704" w:type="dxa"/>
          </w:tcPr>
          <w:p w14:paraId="14765DFD" w14:textId="2D487989" w:rsidR="008156C7" w:rsidRPr="00083485" w:rsidRDefault="008156C7" w:rsidP="008156C7">
            <w:pPr>
              <w:rPr>
                <w:sz w:val="18"/>
                <w:szCs w:val="18"/>
              </w:rPr>
            </w:pPr>
            <w:r w:rsidRPr="00083485">
              <w:rPr>
                <w:sz w:val="18"/>
                <w:szCs w:val="18"/>
              </w:rPr>
              <w:t>Chicago Climate Exchange REDD+</w:t>
            </w:r>
          </w:p>
        </w:tc>
        <w:tc>
          <w:tcPr>
            <w:tcW w:w="2174" w:type="dxa"/>
            <w:vMerge/>
          </w:tcPr>
          <w:p w14:paraId="1C008269" w14:textId="77777777" w:rsidR="008156C7" w:rsidRPr="00083485" w:rsidRDefault="008156C7" w:rsidP="008156C7">
            <w:pPr>
              <w:rPr>
                <w:sz w:val="18"/>
                <w:szCs w:val="18"/>
              </w:rPr>
            </w:pPr>
          </w:p>
        </w:tc>
        <w:tc>
          <w:tcPr>
            <w:tcW w:w="1157" w:type="dxa"/>
          </w:tcPr>
          <w:p w14:paraId="5A97C544" w14:textId="57C4AFC7" w:rsidR="008156C7" w:rsidRPr="00083485" w:rsidRDefault="008156C7" w:rsidP="008156C7">
            <w:pPr>
              <w:rPr>
                <w:sz w:val="18"/>
                <w:szCs w:val="18"/>
              </w:rPr>
            </w:pPr>
            <w:r w:rsidRPr="00083485">
              <w:rPr>
                <w:sz w:val="18"/>
                <w:szCs w:val="18"/>
              </w:rPr>
              <w:t>58.7</w:t>
            </w:r>
          </w:p>
        </w:tc>
        <w:tc>
          <w:tcPr>
            <w:tcW w:w="1547" w:type="dxa"/>
            <w:vMerge/>
          </w:tcPr>
          <w:p w14:paraId="0B77BAB7" w14:textId="77777777" w:rsidR="008156C7" w:rsidRPr="00083485" w:rsidRDefault="008156C7" w:rsidP="008156C7">
            <w:pPr>
              <w:rPr>
                <w:sz w:val="18"/>
                <w:szCs w:val="18"/>
              </w:rPr>
            </w:pPr>
          </w:p>
        </w:tc>
        <w:tc>
          <w:tcPr>
            <w:tcW w:w="1218" w:type="dxa"/>
            <w:vMerge/>
          </w:tcPr>
          <w:p w14:paraId="0B42BF5F" w14:textId="77777777" w:rsidR="008156C7" w:rsidRPr="00083485" w:rsidRDefault="008156C7" w:rsidP="008156C7">
            <w:pPr>
              <w:rPr>
                <w:sz w:val="18"/>
                <w:szCs w:val="18"/>
              </w:rPr>
            </w:pPr>
          </w:p>
        </w:tc>
        <w:tc>
          <w:tcPr>
            <w:tcW w:w="1550" w:type="dxa"/>
            <w:vMerge/>
          </w:tcPr>
          <w:p w14:paraId="1AB45E87" w14:textId="77777777" w:rsidR="008156C7" w:rsidRPr="00083485" w:rsidRDefault="008156C7" w:rsidP="008156C7">
            <w:pPr>
              <w:rPr>
                <w:sz w:val="18"/>
                <w:szCs w:val="18"/>
              </w:rPr>
            </w:pPr>
          </w:p>
        </w:tc>
      </w:tr>
      <w:tr w:rsidR="008156C7" w:rsidRPr="00083485" w14:paraId="28E9853C" w14:textId="77777777" w:rsidTr="00083485">
        <w:tc>
          <w:tcPr>
            <w:tcW w:w="1704" w:type="dxa"/>
          </w:tcPr>
          <w:p w14:paraId="66D36859" w14:textId="05E5E113" w:rsidR="008156C7" w:rsidRPr="00083485" w:rsidRDefault="008156C7" w:rsidP="008156C7">
            <w:pPr>
              <w:rPr>
                <w:sz w:val="18"/>
                <w:szCs w:val="18"/>
              </w:rPr>
            </w:pPr>
            <w:r w:rsidRPr="00083485">
              <w:rPr>
                <w:sz w:val="18"/>
                <w:szCs w:val="18"/>
              </w:rPr>
              <w:t>Internal REDD+ programs</w:t>
            </w:r>
          </w:p>
        </w:tc>
        <w:tc>
          <w:tcPr>
            <w:tcW w:w="2174" w:type="dxa"/>
            <w:vMerge/>
          </w:tcPr>
          <w:p w14:paraId="575708A7" w14:textId="77777777" w:rsidR="008156C7" w:rsidRPr="00083485" w:rsidRDefault="008156C7" w:rsidP="008156C7">
            <w:pPr>
              <w:rPr>
                <w:sz w:val="18"/>
                <w:szCs w:val="18"/>
              </w:rPr>
            </w:pPr>
          </w:p>
        </w:tc>
        <w:tc>
          <w:tcPr>
            <w:tcW w:w="1157" w:type="dxa"/>
          </w:tcPr>
          <w:p w14:paraId="40F3E534" w14:textId="6BB455DD" w:rsidR="008156C7" w:rsidRPr="00083485" w:rsidRDefault="008156C7" w:rsidP="008156C7">
            <w:pPr>
              <w:rPr>
                <w:sz w:val="18"/>
                <w:szCs w:val="18"/>
              </w:rPr>
            </w:pPr>
            <w:r w:rsidRPr="00083485">
              <w:rPr>
                <w:sz w:val="18"/>
                <w:szCs w:val="18"/>
              </w:rPr>
              <w:t>5.0</w:t>
            </w:r>
          </w:p>
        </w:tc>
        <w:tc>
          <w:tcPr>
            <w:tcW w:w="1547" w:type="dxa"/>
            <w:vMerge/>
          </w:tcPr>
          <w:p w14:paraId="67ACE35D" w14:textId="77777777" w:rsidR="008156C7" w:rsidRPr="00083485" w:rsidRDefault="008156C7" w:rsidP="008156C7">
            <w:pPr>
              <w:rPr>
                <w:sz w:val="18"/>
                <w:szCs w:val="18"/>
              </w:rPr>
            </w:pPr>
          </w:p>
        </w:tc>
        <w:tc>
          <w:tcPr>
            <w:tcW w:w="1218" w:type="dxa"/>
            <w:vMerge/>
          </w:tcPr>
          <w:p w14:paraId="6E9B6111" w14:textId="77777777" w:rsidR="008156C7" w:rsidRPr="00083485" w:rsidRDefault="008156C7" w:rsidP="008156C7">
            <w:pPr>
              <w:rPr>
                <w:sz w:val="18"/>
                <w:szCs w:val="18"/>
              </w:rPr>
            </w:pPr>
          </w:p>
        </w:tc>
        <w:tc>
          <w:tcPr>
            <w:tcW w:w="1550" w:type="dxa"/>
            <w:vMerge/>
          </w:tcPr>
          <w:p w14:paraId="59E7B3CC" w14:textId="77777777" w:rsidR="008156C7" w:rsidRPr="00083485" w:rsidRDefault="008156C7" w:rsidP="008156C7">
            <w:pPr>
              <w:rPr>
                <w:sz w:val="18"/>
                <w:szCs w:val="18"/>
              </w:rPr>
            </w:pPr>
          </w:p>
        </w:tc>
      </w:tr>
      <w:tr w:rsidR="008156C7" w:rsidRPr="00083485" w14:paraId="2CE2888A" w14:textId="77777777" w:rsidTr="00083485">
        <w:tc>
          <w:tcPr>
            <w:tcW w:w="1704" w:type="dxa"/>
          </w:tcPr>
          <w:p w14:paraId="67D68B0B" w14:textId="1A334356" w:rsidR="008156C7" w:rsidRPr="00083485" w:rsidRDefault="008156C7" w:rsidP="008156C7">
            <w:pPr>
              <w:rPr>
                <w:sz w:val="18"/>
                <w:szCs w:val="18"/>
              </w:rPr>
            </w:pPr>
            <w:r w:rsidRPr="00083485">
              <w:rPr>
                <w:sz w:val="18"/>
                <w:szCs w:val="18"/>
              </w:rPr>
              <w:t>Natural Forest Standard REDD+</w:t>
            </w:r>
          </w:p>
        </w:tc>
        <w:tc>
          <w:tcPr>
            <w:tcW w:w="2174" w:type="dxa"/>
            <w:vMerge/>
          </w:tcPr>
          <w:p w14:paraId="2CA10F52" w14:textId="77777777" w:rsidR="008156C7" w:rsidRPr="00083485" w:rsidRDefault="008156C7" w:rsidP="008156C7">
            <w:pPr>
              <w:rPr>
                <w:sz w:val="18"/>
                <w:szCs w:val="18"/>
              </w:rPr>
            </w:pPr>
          </w:p>
        </w:tc>
        <w:tc>
          <w:tcPr>
            <w:tcW w:w="1157" w:type="dxa"/>
          </w:tcPr>
          <w:p w14:paraId="39D58CF7" w14:textId="1C631CC5" w:rsidR="008156C7" w:rsidRPr="00083485" w:rsidRDefault="008156C7" w:rsidP="008156C7">
            <w:pPr>
              <w:rPr>
                <w:sz w:val="18"/>
                <w:szCs w:val="18"/>
              </w:rPr>
            </w:pPr>
            <w:r w:rsidRPr="00083485">
              <w:rPr>
                <w:sz w:val="18"/>
                <w:szCs w:val="18"/>
              </w:rPr>
              <w:t>36.1</w:t>
            </w:r>
          </w:p>
        </w:tc>
        <w:tc>
          <w:tcPr>
            <w:tcW w:w="1547" w:type="dxa"/>
            <w:vMerge/>
          </w:tcPr>
          <w:p w14:paraId="508DA0D8" w14:textId="77777777" w:rsidR="008156C7" w:rsidRPr="00083485" w:rsidRDefault="008156C7" w:rsidP="008156C7">
            <w:pPr>
              <w:rPr>
                <w:sz w:val="18"/>
                <w:szCs w:val="18"/>
              </w:rPr>
            </w:pPr>
          </w:p>
        </w:tc>
        <w:tc>
          <w:tcPr>
            <w:tcW w:w="1218" w:type="dxa"/>
            <w:vMerge/>
          </w:tcPr>
          <w:p w14:paraId="64605263" w14:textId="77777777" w:rsidR="008156C7" w:rsidRPr="00083485" w:rsidRDefault="008156C7" w:rsidP="008156C7">
            <w:pPr>
              <w:rPr>
                <w:sz w:val="18"/>
                <w:szCs w:val="18"/>
              </w:rPr>
            </w:pPr>
          </w:p>
        </w:tc>
        <w:tc>
          <w:tcPr>
            <w:tcW w:w="1550" w:type="dxa"/>
            <w:vMerge/>
          </w:tcPr>
          <w:p w14:paraId="5E458A96" w14:textId="77777777" w:rsidR="008156C7" w:rsidRPr="00083485" w:rsidRDefault="008156C7" w:rsidP="008156C7">
            <w:pPr>
              <w:rPr>
                <w:sz w:val="18"/>
                <w:szCs w:val="18"/>
              </w:rPr>
            </w:pPr>
          </w:p>
        </w:tc>
      </w:tr>
      <w:tr w:rsidR="008156C7" w:rsidRPr="00083485" w14:paraId="606C411C" w14:textId="77777777" w:rsidTr="00083485">
        <w:tc>
          <w:tcPr>
            <w:tcW w:w="1704" w:type="dxa"/>
          </w:tcPr>
          <w:p w14:paraId="3F3C4DFD" w14:textId="59C2208E" w:rsidR="008156C7" w:rsidRPr="00083485" w:rsidRDefault="008156C7" w:rsidP="008156C7">
            <w:pPr>
              <w:rPr>
                <w:sz w:val="18"/>
                <w:szCs w:val="18"/>
              </w:rPr>
            </w:pPr>
            <w:r w:rsidRPr="00083485">
              <w:rPr>
                <w:sz w:val="18"/>
                <w:szCs w:val="18"/>
              </w:rPr>
              <w:t>Plan Vivo REDD+</w:t>
            </w:r>
          </w:p>
        </w:tc>
        <w:tc>
          <w:tcPr>
            <w:tcW w:w="2174" w:type="dxa"/>
            <w:vMerge/>
          </w:tcPr>
          <w:p w14:paraId="0788C213" w14:textId="77777777" w:rsidR="008156C7" w:rsidRPr="00083485" w:rsidRDefault="008156C7" w:rsidP="008156C7">
            <w:pPr>
              <w:rPr>
                <w:sz w:val="18"/>
                <w:szCs w:val="18"/>
              </w:rPr>
            </w:pPr>
          </w:p>
        </w:tc>
        <w:tc>
          <w:tcPr>
            <w:tcW w:w="1157" w:type="dxa"/>
          </w:tcPr>
          <w:p w14:paraId="2489FA3E" w14:textId="64831094" w:rsidR="008156C7" w:rsidRPr="00083485" w:rsidRDefault="008156C7" w:rsidP="008156C7">
            <w:pPr>
              <w:rPr>
                <w:sz w:val="18"/>
                <w:szCs w:val="18"/>
              </w:rPr>
            </w:pPr>
            <w:r w:rsidRPr="00083485">
              <w:rPr>
                <w:sz w:val="18"/>
                <w:szCs w:val="18"/>
              </w:rPr>
              <w:t>7.4</w:t>
            </w:r>
          </w:p>
        </w:tc>
        <w:tc>
          <w:tcPr>
            <w:tcW w:w="1547" w:type="dxa"/>
            <w:vMerge/>
          </w:tcPr>
          <w:p w14:paraId="5C51DDDC" w14:textId="77777777" w:rsidR="008156C7" w:rsidRPr="00083485" w:rsidRDefault="008156C7" w:rsidP="008156C7">
            <w:pPr>
              <w:rPr>
                <w:sz w:val="18"/>
                <w:szCs w:val="18"/>
              </w:rPr>
            </w:pPr>
          </w:p>
        </w:tc>
        <w:tc>
          <w:tcPr>
            <w:tcW w:w="1218" w:type="dxa"/>
            <w:vMerge/>
          </w:tcPr>
          <w:p w14:paraId="4BB929BF" w14:textId="77777777" w:rsidR="008156C7" w:rsidRPr="00083485" w:rsidRDefault="008156C7" w:rsidP="008156C7">
            <w:pPr>
              <w:rPr>
                <w:sz w:val="18"/>
                <w:szCs w:val="18"/>
              </w:rPr>
            </w:pPr>
          </w:p>
        </w:tc>
        <w:tc>
          <w:tcPr>
            <w:tcW w:w="1550" w:type="dxa"/>
            <w:vMerge/>
          </w:tcPr>
          <w:p w14:paraId="198362A6" w14:textId="77777777" w:rsidR="008156C7" w:rsidRPr="00083485" w:rsidRDefault="008156C7" w:rsidP="008156C7">
            <w:pPr>
              <w:rPr>
                <w:sz w:val="18"/>
                <w:szCs w:val="18"/>
              </w:rPr>
            </w:pPr>
          </w:p>
        </w:tc>
      </w:tr>
      <w:tr w:rsidR="00083485" w:rsidRPr="00083485" w14:paraId="38E68558" w14:textId="77777777" w:rsidTr="00083485">
        <w:tc>
          <w:tcPr>
            <w:tcW w:w="3878" w:type="dxa"/>
            <w:gridSpan w:val="2"/>
          </w:tcPr>
          <w:p w14:paraId="52379E51" w14:textId="021225A1" w:rsidR="00083485" w:rsidRPr="00083485" w:rsidRDefault="00083485" w:rsidP="008156C7">
            <w:pPr>
              <w:rPr>
                <w:sz w:val="18"/>
                <w:szCs w:val="18"/>
              </w:rPr>
            </w:pPr>
            <w:r w:rsidRPr="00083485">
              <w:rPr>
                <w:sz w:val="18"/>
                <w:szCs w:val="18"/>
              </w:rPr>
              <w:t>TOTAL</w:t>
            </w:r>
          </w:p>
        </w:tc>
        <w:tc>
          <w:tcPr>
            <w:tcW w:w="2704" w:type="dxa"/>
            <w:gridSpan w:val="2"/>
          </w:tcPr>
          <w:p w14:paraId="794802F5" w14:textId="77777777" w:rsidR="00083485" w:rsidRPr="00083485" w:rsidRDefault="00083485" w:rsidP="008156C7">
            <w:pPr>
              <w:rPr>
                <w:sz w:val="18"/>
                <w:szCs w:val="18"/>
              </w:rPr>
            </w:pPr>
            <w:r w:rsidRPr="00083485">
              <w:rPr>
                <w:sz w:val="18"/>
                <w:szCs w:val="18"/>
              </w:rPr>
              <w:t>810.1</w:t>
            </w:r>
          </w:p>
        </w:tc>
        <w:tc>
          <w:tcPr>
            <w:tcW w:w="2768" w:type="dxa"/>
            <w:gridSpan w:val="2"/>
          </w:tcPr>
          <w:p w14:paraId="0284BA2A" w14:textId="0B210389" w:rsidR="00083485" w:rsidRPr="00083485" w:rsidRDefault="00083485" w:rsidP="008156C7">
            <w:pPr>
              <w:rPr>
                <w:i/>
                <w:sz w:val="18"/>
                <w:szCs w:val="18"/>
              </w:rPr>
            </w:pPr>
            <w:r w:rsidRPr="00083485">
              <w:rPr>
                <w:i/>
                <w:sz w:val="18"/>
                <w:szCs w:val="18"/>
              </w:rPr>
              <w:t>Values do not sum to total due to rounding</w:t>
            </w:r>
          </w:p>
        </w:tc>
      </w:tr>
    </w:tbl>
    <w:p w14:paraId="7F791FFD" w14:textId="77777777" w:rsidR="001A316D" w:rsidRDefault="001A316D" w:rsidP="008156C7"/>
    <w:p w14:paraId="5229AEFA" w14:textId="47C03627" w:rsidR="00083485" w:rsidRDefault="00083485" w:rsidP="00E4385F">
      <w:r>
        <w:lastRenderedPageBreak/>
        <w:t xml:space="preserve">We allocate LULUCF credits by country where the credit-generating project is located, using project-level data </w:t>
      </w:r>
      <w:proofErr w:type="spellStart"/>
      <w:r>
        <w:t>where</w:t>
      </w:r>
      <w:proofErr w:type="spellEnd"/>
      <w:r>
        <w:t xml:space="preserve"> available and assuming projects for national or subnational credit programs are generated within the country where the program is located, consistent with program requirements. </w:t>
      </w:r>
      <w:r w:rsidR="005E4D1E">
        <w:t>Figure 1-1</w:t>
      </w:r>
      <w:r>
        <w:t xml:space="preserve"> shows LULUCF credits produced to date by the top 15 countries.</w:t>
      </w:r>
    </w:p>
    <w:p w14:paraId="7CA4CC3D" w14:textId="5DF57084" w:rsidR="00083485" w:rsidRDefault="00083485" w:rsidP="00E4385F">
      <w:r>
        <w:rPr>
          <w:noProof/>
        </w:rPr>
        <w:drawing>
          <wp:inline distT="0" distB="0" distL="0" distR="0" wp14:anchorId="069BA5C4" wp14:editId="51E0EFA8">
            <wp:extent cx="6706235" cy="33407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06235" cy="3340735"/>
                    </a:xfrm>
                    <a:prstGeom prst="rect">
                      <a:avLst/>
                    </a:prstGeom>
                    <a:noFill/>
                  </pic:spPr>
                </pic:pic>
              </a:graphicData>
            </a:graphic>
          </wp:inline>
        </w:drawing>
      </w:r>
    </w:p>
    <w:p w14:paraId="02BF5390" w14:textId="42ABC86F" w:rsidR="00083485" w:rsidRPr="00083485" w:rsidRDefault="005E4D1E" w:rsidP="00E4385F">
      <w:pPr>
        <w:rPr>
          <w:i/>
        </w:rPr>
      </w:pPr>
      <w:r>
        <w:rPr>
          <w:b/>
          <w:i/>
          <w:iCs/>
          <w:color w:val="44546A" w:themeColor="text2"/>
        </w:rPr>
        <w:t>Figure 1-1</w:t>
      </w:r>
      <w:r w:rsidR="00083485" w:rsidRPr="00971D6D">
        <w:rPr>
          <w:b/>
          <w:i/>
          <w:iCs/>
          <w:color w:val="44546A" w:themeColor="text2"/>
        </w:rPr>
        <w:t>:</w:t>
      </w:r>
      <w:r w:rsidR="00083485">
        <w:rPr>
          <w:b/>
          <w:i/>
          <w:iCs/>
          <w:color w:val="44546A" w:themeColor="text2"/>
        </w:rPr>
        <w:t xml:space="preserve"> Verified and issued LULUCF credits by country of credit-generating project location and by program. </w:t>
      </w:r>
      <w:r w:rsidR="00876770">
        <w:rPr>
          <w:i/>
        </w:rPr>
        <w:t>See Table 1-3</w:t>
      </w:r>
      <w:r w:rsidR="00083485" w:rsidRPr="00083485">
        <w:rPr>
          <w:i/>
        </w:rPr>
        <w:t xml:space="preserve"> for data sources. “CAR/ACR/Verra/GS” refers to the four largest voluntary carbon crediting programs (Climate Action Reserve, American Carbon Registry, Verra </w:t>
      </w:r>
      <w:r w:rsidR="00083485">
        <w:rPr>
          <w:i/>
        </w:rPr>
        <w:t>[</w:t>
      </w:r>
      <w:r w:rsidR="00083485" w:rsidRPr="00083485">
        <w:rPr>
          <w:i/>
        </w:rPr>
        <w:t>formerly Voluntary Carbon Standard</w:t>
      </w:r>
      <w:r w:rsidR="00083485">
        <w:rPr>
          <w:i/>
        </w:rPr>
        <w:t>]</w:t>
      </w:r>
      <w:r w:rsidR="00083485" w:rsidRPr="00083485">
        <w:rPr>
          <w:i/>
        </w:rPr>
        <w:t>, and Gold Standard).</w:t>
      </w:r>
    </w:p>
    <w:p w14:paraId="6C9761D1" w14:textId="77777777" w:rsidR="00083485" w:rsidRDefault="00083485" w:rsidP="00083485">
      <w:pPr>
        <w:pStyle w:val="1-Header"/>
      </w:pPr>
    </w:p>
    <w:p w14:paraId="5E488626" w14:textId="2BA7EB09" w:rsidR="00083485" w:rsidRDefault="00083485">
      <w:pPr>
        <w:rPr>
          <w:rFonts w:asciiTheme="majorHAnsi" w:eastAsiaTheme="majorEastAsia" w:hAnsiTheme="majorHAnsi" w:cstheme="majorBidi"/>
          <w:b/>
          <w:color w:val="2E74B5" w:themeColor="accent1" w:themeShade="BF"/>
          <w:sz w:val="32"/>
          <w:szCs w:val="32"/>
        </w:rPr>
      </w:pPr>
      <w:r>
        <w:br w:type="page"/>
      </w:r>
    </w:p>
    <w:p w14:paraId="4B2C1BAA" w14:textId="05D8A3A6" w:rsidR="003B2BDA" w:rsidRDefault="00E4385F" w:rsidP="00D050C7">
      <w:pPr>
        <w:pStyle w:val="1-Header"/>
      </w:pPr>
      <w:bookmarkStart w:id="3" w:name="_Toc84784378"/>
      <w:r>
        <w:lastRenderedPageBreak/>
        <w:t>Section 2: Uncertainty attribution and omitted flux methods</w:t>
      </w:r>
      <w:bookmarkEnd w:id="3"/>
    </w:p>
    <w:p w14:paraId="16171B1F" w14:textId="77777777" w:rsidR="00E4385F" w:rsidRPr="00E4385F" w:rsidRDefault="00E4385F" w:rsidP="00E4385F"/>
    <w:p w14:paraId="5A3F97A6" w14:textId="4EC12149" w:rsidR="00C874A0" w:rsidRDefault="003B7EB1" w:rsidP="000B2554">
      <w:pPr>
        <w:pStyle w:val="Heading1"/>
        <w:numPr>
          <w:ilvl w:val="0"/>
          <w:numId w:val="58"/>
        </w:numPr>
        <w:spacing w:before="0" w:after="160"/>
      </w:pPr>
      <w:bookmarkStart w:id="4" w:name="_Toc84784379"/>
      <w:r w:rsidRPr="00A870D8">
        <w:t>Introduction</w:t>
      </w:r>
      <w:bookmarkEnd w:id="4"/>
    </w:p>
    <w:p w14:paraId="246F85BE" w14:textId="54DDAE30" w:rsidR="00965B8E" w:rsidRDefault="001D7BEB" w:rsidP="00CE32DB">
      <w:r>
        <w:t>In the</w:t>
      </w:r>
      <w:r w:rsidR="00781AF4">
        <w:t xml:space="preserve"> </w:t>
      </w:r>
      <w:r w:rsidR="00DE6B04">
        <w:t xml:space="preserve">following </w:t>
      </w:r>
      <w:r w:rsidR="00652BD5">
        <w:t>Section</w:t>
      </w:r>
      <w:r w:rsidR="00781AF4">
        <w:t>,</w:t>
      </w:r>
      <w:r w:rsidR="00413D5A">
        <w:t xml:space="preserve"> we </w:t>
      </w:r>
      <w:r w:rsidR="00DE6B04">
        <w:t xml:space="preserve">describe the </w:t>
      </w:r>
      <w:r w:rsidR="00781AF4">
        <w:t xml:space="preserve">methods used to attribute sources of uncertainty </w:t>
      </w:r>
      <w:r w:rsidR="00DE6B04">
        <w:t xml:space="preserve">and estimate identified omitted fluxes </w:t>
      </w:r>
      <w:r w:rsidR="00781AF4">
        <w:t>across the LULUCF chapter</w:t>
      </w:r>
      <w:r w:rsidR="00DE6B04">
        <w:t>, rice methane,</w:t>
      </w:r>
      <w:r w:rsidR="00716468">
        <w:t xml:space="preserve"> and </w:t>
      </w:r>
      <w:r w:rsidR="00023B00">
        <w:t xml:space="preserve">agriculture </w:t>
      </w:r>
      <w:r w:rsidR="00716468">
        <w:t>soil management sections</w:t>
      </w:r>
      <w:r w:rsidR="00781AF4">
        <w:t xml:space="preserve"> of the </w:t>
      </w:r>
      <w:r w:rsidR="00A80BDF">
        <w:t>U.S. National Greenhouse Gas Inventory (</w:t>
      </w:r>
      <w:r w:rsidR="00781AF4">
        <w:t>NGHGI</w:t>
      </w:r>
      <w:r w:rsidR="00A80BDF">
        <w:t>)</w:t>
      </w:r>
      <w:r w:rsidR="00FA301C">
        <w:t>, referred to hereafter as the LULUCF GHG inventory</w:t>
      </w:r>
      <w:r w:rsidR="00781AF4">
        <w:t xml:space="preserve">. </w:t>
      </w:r>
      <w:r w:rsidR="00716FBB">
        <w:t xml:space="preserve">The </w:t>
      </w:r>
      <w:r w:rsidR="00652BD5">
        <w:t>following chapters are</w:t>
      </w:r>
      <w:r w:rsidR="00716FBB">
        <w:t xml:space="preserve"> organized </w:t>
      </w:r>
      <w:r w:rsidR="00DE6B04">
        <w:t>into the following sections:</w:t>
      </w:r>
      <w:r w:rsidR="00716FBB">
        <w:t xml:space="preserve"> (1) Forests, (2) Croplands and Grasslands, (3) Settlements</w:t>
      </w:r>
      <w:r w:rsidR="00CE32DB">
        <w:t>, (4) Wetlands, and (5) Alaska, Hawaii, and U.S. Territories</w:t>
      </w:r>
      <w:r w:rsidR="00716FBB">
        <w:t>.</w:t>
      </w:r>
      <w:r w:rsidR="00DF0924">
        <w:t xml:space="preserve"> </w:t>
      </w:r>
      <w:r w:rsidR="00716FBB">
        <w:t xml:space="preserve">Each </w:t>
      </w:r>
      <w:r w:rsidR="00652BD5">
        <w:t xml:space="preserve">chapter </w:t>
      </w:r>
      <w:r w:rsidR="00716FBB">
        <w:t xml:space="preserve">is then further </w:t>
      </w:r>
      <w:r w:rsidR="00DE6B04">
        <w:t xml:space="preserve">organized </w:t>
      </w:r>
      <w:r w:rsidR="00716FBB">
        <w:t xml:space="preserve">by </w:t>
      </w:r>
      <w:r w:rsidR="00DE6B04">
        <w:t xml:space="preserve">inventory </w:t>
      </w:r>
      <w:r w:rsidR="00716FBB">
        <w:t>categor</w:t>
      </w:r>
      <w:r w:rsidR="00DE6B04">
        <w:t>y</w:t>
      </w:r>
      <w:r w:rsidR="00716FBB">
        <w:t xml:space="preserve">. </w:t>
      </w:r>
      <w:r w:rsidR="00D7498E">
        <w:t xml:space="preserve">Each </w:t>
      </w:r>
      <w:r w:rsidR="00DE6B04">
        <w:t xml:space="preserve">inventory </w:t>
      </w:r>
      <w:r w:rsidR="00716FBB">
        <w:t>category</w:t>
      </w:r>
      <w:r w:rsidR="00DF0924">
        <w:t xml:space="preserve"> in this document includes the following information</w:t>
      </w:r>
      <w:r w:rsidR="00D7498E">
        <w:t>:</w:t>
      </w:r>
    </w:p>
    <w:p w14:paraId="7F81EC73" w14:textId="05EF9BB5" w:rsidR="00965B8E" w:rsidRDefault="00965B8E" w:rsidP="000B2554">
      <w:pPr>
        <w:pStyle w:val="ListParagraph"/>
        <w:numPr>
          <w:ilvl w:val="0"/>
          <w:numId w:val="2"/>
        </w:numPr>
      </w:pPr>
      <w:r w:rsidRPr="00965B8E">
        <w:rPr>
          <w:b/>
        </w:rPr>
        <w:t>NGHGI Methods</w:t>
      </w:r>
      <w:r>
        <w:t>: Brief description of NGHGI quantification methods and data sources</w:t>
      </w:r>
    </w:p>
    <w:p w14:paraId="0716B8D1" w14:textId="1532A5D3" w:rsidR="00965B8E" w:rsidRDefault="00965B8E" w:rsidP="000B2554">
      <w:pPr>
        <w:pStyle w:val="ListParagraph"/>
        <w:numPr>
          <w:ilvl w:val="0"/>
          <w:numId w:val="2"/>
        </w:numPr>
      </w:pPr>
      <w:r w:rsidRPr="00965B8E">
        <w:rPr>
          <w:b/>
        </w:rPr>
        <w:t>Project Methods</w:t>
      </w:r>
      <w:r>
        <w:t xml:space="preserve">: Description of our methods for quantifying and attributing uncertainty </w:t>
      </w:r>
      <w:r w:rsidR="00DE6B04">
        <w:t xml:space="preserve">and/or estimated omitted fluxes where relevant </w:t>
      </w:r>
    </w:p>
    <w:p w14:paraId="57AB0B9F" w14:textId="209D5117" w:rsidR="00965B8E" w:rsidRDefault="00965B8E" w:rsidP="000B2554">
      <w:pPr>
        <w:pStyle w:val="ListParagraph"/>
        <w:numPr>
          <w:ilvl w:val="0"/>
          <w:numId w:val="2"/>
        </w:numPr>
      </w:pPr>
      <w:r w:rsidRPr="00965B8E">
        <w:rPr>
          <w:b/>
        </w:rPr>
        <w:t>Results</w:t>
      </w:r>
      <w:r>
        <w:t>: Uncertainty attribution</w:t>
      </w:r>
      <w:r w:rsidR="00DF0924">
        <w:t xml:space="preserve"> and/or </w:t>
      </w:r>
      <w:r w:rsidR="00A80BDF">
        <w:t>omitted flux</w:t>
      </w:r>
      <w:r w:rsidR="00DF0924">
        <w:t xml:space="preserve"> estimation</w:t>
      </w:r>
      <w:r>
        <w:t xml:space="preserve"> results</w:t>
      </w:r>
    </w:p>
    <w:p w14:paraId="34AE9A9B" w14:textId="44C68CC4" w:rsidR="00A32B72" w:rsidRDefault="00947777" w:rsidP="000B2554">
      <w:pPr>
        <w:pStyle w:val="ListParagraph"/>
        <w:numPr>
          <w:ilvl w:val="0"/>
          <w:numId w:val="2"/>
        </w:numPr>
      </w:pPr>
      <w:r w:rsidRPr="00A32B72">
        <w:rPr>
          <w:b/>
        </w:rPr>
        <w:t>Discussion</w:t>
      </w:r>
      <w:r w:rsidRPr="00627E59">
        <w:t>:</w:t>
      </w:r>
      <w:r>
        <w:t xml:space="preserve"> </w:t>
      </w:r>
      <w:r w:rsidR="00936D29">
        <w:t xml:space="preserve">Interpretation and a summary of </w:t>
      </w:r>
      <w:r w:rsidR="001D7BEB">
        <w:t>limitations</w:t>
      </w:r>
      <w:r w:rsidR="00936D29">
        <w:t xml:space="preserve"> of our methods</w:t>
      </w:r>
      <w:r w:rsidR="00A32B72">
        <w:t xml:space="preserve"> </w:t>
      </w:r>
    </w:p>
    <w:p w14:paraId="64F1DA3F" w14:textId="101301DD" w:rsidR="00DB3C7E" w:rsidRDefault="00A76A00" w:rsidP="00CE32DB">
      <w:r>
        <w:t>Every result table and original calculation in this document can</w:t>
      </w:r>
      <w:r w:rsidR="00931A94">
        <w:t xml:space="preserve"> also</w:t>
      </w:r>
      <w:r>
        <w:t xml:space="preserve"> be found in the Spreadsheet Appendix</w:t>
      </w:r>
      <w:r w:rsidR="00931A94">
        <w:t xml:space="preserve">, which provides additional </w:t>
      </w:r>
      <w:r w:rsidR="00936D29">
        <w:t xml:space="preserve">detail </w:t>
      </w:r>
      <w:r w:rsidR="00931A94">
        <w:t>on calculation methods and equations</w:t>
      </w:r>
      <w:r>
        <w:t>.</w:t>
      </w:r>
    </w:p>
    <w:p w14:paraId="51BADF7D" w14:textId="25C1CD25" w:rsidR="000B0E34" w:rsidRDefault="000B0E34" w:rsidP="000B2554">
      <w:pPr>
        <w:pStyle w:val="2-Header"/>
      </w:pPr>
      <w:r>
        <w:t>Unquantified uncertainty elements and omitted fluxes</w:t>
      </w:r>
    </w:p>
    <w:p w14:paraId="3CCFE22A" w14:textId="5D755DBE" w:rsidR="0025546D" w:rsidRDefault="0025546D" w:rsidP="0025546D">
      <w:pPr>
        <w:rPr>
          <w:rFonts w:ascii="Calibri" w:eastAsia="Calibri" w:hAnsi="Calibri" w:cs="Calibri"/>
        </w:rPr>
      </w:pPr>
      <w:r w:rsidRPr="00700CBF">
        <w:rPr>
          <w:rFonts w:ascii="Calibri" w:eastAsia="Calibri" w:hAnsi="Calibri" w:cs="Calibri"/>
        </w:rPr>
        <w:t xml:space="preserve">There are a number of sources of uncertainty and </w:t>
      </w:r>
      <w:r w:rsidR="00936D29">
        <w:rPr>
          <w:rFonts w:ascii="Calibri" w:eastAsia="Calibri" w:hAnsi="Calibri" w:cs="Calibri"/>
        </w:rPr>
        <w:t>omitted fluxes</w:t>
      </w:r>
      <w:r w:rsidR="00936D29" w:rsidRPr="00700CBF">
        <w:rPr>
          <w:rFonts w:ascii="Calibri" w:eastAsia="Calibri" w:hAnsi="Calibri" w:cs="Calibri"/>
        </w:rPr>
        <w:t xml:space="preserve"> </w:t>
      </w:r>
      <w:r w:rsidRPr="00700CBF">
        <w:rPr>
          <w:rFonts w:ascii="Calibri" w:eastAsia="Calibri" w:hAnsi="Calibri" w:cs="Calibri"/>
        </w:rPr>
        <w:t xml:space="preserve">that we were not able to </w:t>
      </w:r>
      <w:r>
        <w:rPr>
          <w:rFonts w:ascii="Calibri" w:eastAsia="Calibri" w:hAnsi="Calibri" w:cs="Calibri"/>
        </w:rPr>
        <w:t xml:space="preserve">investigate due </w:t>
      </w:r>
      <w:r w:rsidRPr="00700CBF">
        <w:rPr>
          <w:rFonts w:ascii="Calibri" w:eastAsia="Calibri" w:hAnsi="Calibri" w:cs="Calibri"/>
        </w:rPr>
        <w:t xml:space="preserve">to lack of </w:t>
      </w:r>
      <w:r w:rsidR="00936D29">
        <w:rPr>
          <w:rFonts w:ascii="Calibri" w:eastAsia="Calibri" w:hAnsi="Calibri" w:cs="Calibri"/>
        </w:rPr>
        <w:t>data</w:t>
      </w:r>
      <w:r w:rsidR="00936D29" w:rsidRPr="00700CBF">
        <w:rPr>
          <w:rFonts w:ascii="Calibri" w:eastAsia="Calibri" w:hAnsi="Calibri" w:cs="Calibri"/>
        </w:rPr>
        <w:t xml:space="preserve"> </w:t>
      </w:r>
      <w:r w:rsidRPr="00700CBF">
        <w:rPr>
          <w:rFonts w:ascii="Calibri" w:eastAsia="Calibri" w:hAnsi="Calibri" w:cs="Calibri"/>
        </w:rPr>
        <w:t xml:space="preserve">or </w:t>
      </w:r>
      <w:r w:rsidR="00936D29">
        <w:rPr>
          <w:rFonts w:ascii="Calibri" w:eastAsia="Calibri" w:hAnsi="Calibri" w:cs="Calibri"/>
        </w:rPr>
        <w:t xml:space="preserve">methodological </w:t>
      </w:r>
      <w:r w:rsidRPr="00700CBF">
        <w:rPr>
          <w:rFonts w:ascii="Calibri" w:eastAsia="Calibri" w:hAnsi="Calibri" w:cs="Calibri"/>
        </w:rPr>
        <w:t>complexity</w:t>
      </w:r>
      <w:r w:rsidR="00936D29">
        <w:rPr>
          <w:rFonts w:ascii="Calibri" w:eastAsia="Calibri" w:hAnsi="Calibri" w:cs="Calibri"/>
        </w:rPr>
        <w:t xml:space="preserve">, summarized in </w:t>
      </w:r>
      <w:r w:rsidRPr="00700CBF">
        <w:rPr>
          <w:rFonts w:ascii="Calibri" w:eastAsia="Calibri" w:hAnsi="Calibri" w:cs="Calibri"/>
        </w:rPr>
        <w:t xml:space="preserve">Table </w:t>
      </w:r>
      <w:r w:rsidR="005E4D1E">
        <w:rPr>
          <w:rFonts w:ascii="Calibri" w:eastAsia="Calibri" w:hAnsi="Calibri" w:cs="Calibri"/>
        </w:rPr>
        <w:t>2</w:t>
      </w:r>
      <w:r w:rsidR="004471F1">
        <w:rPr>
          <w:rFonts w:ascii="Calibri" w:eastAsia="Calibri" w:hAnsi="Calibri" w:cs="Calibri"/>
        </w:rPr>
        <w:t>-1</w:t>
      </w:r>
      <w:r>
        <w:rPr>
          <w:rFonts w:ascii="Calibri" w:eastAsia="Calibri" w:hAnsi="Calibri" w:cs="Calibri"/>
        </w:rPr>
        <w:t xml:space="preserve">. </w:t>
      </w:r>
    </w:p>
    <w:p w14:paraId="0E24319D" w14:textId="7A9A2766" w:rsidR="0025546D" w:rsidRPr="00971D6D" w:rsidRDefault="0025546D" w:rsidP="0025546D">
      <w:pPr>
        <w:rPr>
          <w:b/>
          <w:i/>
          <w:iCs/>
          <w:color w:val="44546A" w:themeColor="text2"/>
        </w:rPr>
      </w:pPr>
      <w:r w:rsidRPr="00971D6D">
        <w:rPr>
          <w:b/>
          <w:i/>
          <w:iCs/>
          <w:color w:val="44546A" w:themeColor="text2"/>
        </w:rPr>
        <w:t xml:space="preserve">Table </w:t>
      </w:r>
      <w:r w:rsidR="005E4D1E">
        <w:rPr>
          <w:b/>
          <w:i/>
          <w:iCs/>
          <w:color w:val="44546A" w:themeColor="text2"/>
        </w:rPr>
        <w:t>2</w:t>
      </w:r>
      <w:r w:rsidR="004471F1">
        <w:rPr>
          <w:b/>
          <w:i/>
          <w:iCs/>
          <w:color w:val="44546A" w:themeColor="text2"/>
        </w:rPr>
        <w:t>-1</w:t>
      </w:r>
      <w:r w:rsidRPr="00971D6D">
        <w:rPr>
          <w:b/>
          <w:i/>
          <w:iCs/>
          <w:color w:val="44546A" w:themeColor="text2"/>
        </w:rPr>
        <w:t>:</w:t>
      </w:r>
      <w:r>
        <w:rPr>
          <w:b/>
          <w:i/>
          <w:iCs/>
          <w:color w:val="44546A" w:themeColor="text2"/>
        </w:rPr>
        <w:t xml:space="preserve"> Unquantified u</w:t>
      </w:r>
      <w:r w:rsidRPr="00971D6D">
        <w:rPr>
          <w:b/>
          <w:i/>
          <w:iCs/>
          <w:color w:val="44546A" w:themeColor="text2"/>
        </w:rPr>
        <w:t xml:space="preserve">ncertainties and omitted fluxes </w:t>
      </w:r>
    </w:p>
    <w:tbl>
      <w:tblPr>
        <w:tblW w:w="9352" w:type="dxa"/>
        <w:tblLayout w:type="fixed"/>
        <w:tblCellMar>
          <w:left w:w="0" w:type="dxa"/>
          <w:right w:w="0" w:type="dxa"/>
        </w:tblCellMar>
        <w:tblLook w:val="04A0" w:firstRow="1" w:lastRow="0" w:firstColumn="1" w:lastColumn="0" w:noHBand="0" w:noVBand="1"/>
      </w:tblPr>
      <w:tblGrid>
        <w:gridCol w:w="1522"/>
        <w:gridCol w:w="1800"/>
        <w:gridCol w:w="6030"/>
      </w:tblGrid>
      <w:tr w:rsidR="0025546D" w:rsidRPr="00971D6D" w14:paraId="6757AFFD"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shd w:val="clear" w:color="auto" w:fill="FFC000" w:themeFill="accent4"/>
            <w:vAlign w:val="center"/>
          </w:tcPr>
          <w:p w14:paraId="1D900B09" w14:textId="77777777" w:rsidR="0025546D" w:rsidRPr="00971D6D" w:rsidRDefault="0025546D" w:rsidP="00FB4CFE">
            <w:pPr>
              <w:spacing w:after="0" w:line="240" w:lineRule="auto"/>
              <w:jc w:val="center"/>
              <w:rPr>
                <w:rFonts w:eastAsia="Times New Roman" w:cstheme="minorHAnsi"/>
                <w:b/>
                <w:bCs/>
                <w:color w:val="000000"/>
                <w:sz w:val="18"/>
                <w:szCs w:val="18"/>
              </w:rPr>
            </w:pPr>
            <w:r w:rsidRPr="00971D6D">
              <w:rPr>
                <w:rFonts w:eastAsia="Times New Roman" w:cstheme="minorHAnsi"/>
                <w:b/>
                <w:bCs/>
                <w:color w:val="000000"/>
                <w:sz w:val="18"/>
                <w:szCs w:val="18"/>
              </w:rPr>
              <w:t>Sector</w:t>
            </w:r>
          </w:p>
        </w:tc>
        <w:tc>
          <w:tcPr>
            <w:tcW w:w="1800" w:type="dxa"/>
            <w:tcBorders>
              <w:top w:val="single" w:sz="6" w:space="0" w:color="CCCCCC"/>
              <w:left w:val="single" w:sz="6" w:space="0" w:color="CCCCCC"/>
              <w:bottom w:val="single" w:sz="6" w:space="0" w:color="CCCCCC"/>
              <w:right w:val="single" w:sz="6" w:space="0" w:color="CCCCCC"/>
            </w:tcBorders>
            <w:shd w:val="clear" w:color="auto" w:fill="FFC000" w:themeFill="accent4"/>
            <w:tcMar>
              <w:top w:w="30" w:type="dxa"/>
              <w:left w:w="45" w:type="dxa"/>
              <w:bottom w:w="30" w:type="dxa"/>
              <w:right w:w="45" w:type="dxa"/>
            </w:tcMar>
            <w:vAlign w:val="center"/>
            <w:hideMark/>
          </w:tcPr>
          <w:p w14:paraId="3A04182F" w14:textId="77777777" w:rsidR="0025546D" w:rsidRDefault="0025546D" w:rsidP="00FB4CFE">
            <w:pPr>
              <w:spacing w:after="0" w:line="240" w:lineRule="auto"/>
              <w:jc w:val="center"/>
              <w:rPr>
                <w:rFonts w:eastAsia="Times New Roman" w:cstheme="minorHAnsi"/>
                <w:b/>
                <w:bCs/>
                <w:color w:val="000000"/>
                <w:sz w:val="18"/>
                <w:szCs w:val="18"/>
              </w:rPr>
            </w:pPr>
            <w:r w:rsidRPr="00971D6D">
              <w:rPr>
                <w:rFonts w:eastAsia="Times New Roman" w:cstheme="minorHAnsi"/>
                <w:b/>
                <w:bCs/>
                <w:color w:val="000000"/>
                <w:sz w:val="18"/>
                <w:szCs w:val="18"/>
              </w:rPr>
              <w:t xml:space="preserve">Uncertainty or </w:t>
            </w:r>
          </w:p>
          <w:p w14:paraId="4A209A97" w14:textId="77777777" w:rsidR="0025546D" w:rsidRPr="00971D6D" w:rsidRDefault="0025546D" w:rsidP="00FB4CFE">
            <w:pPr>
              <w:spacing w:after="0" w:line="240" w:lineRule="auto"/>
              <w:jc w:val="center"/>
              <w:rPr>
                <w:rFonts w:eastAsia="Times New Roman" w:cstheme="minorHAnsi"/>
                <w:b/>
                <w:bCs/>
                <w:color w:val="000000"/>
                <w:sz w:val="18"/>
                <w:szCs w:val="18"/>
              </w:rPr>
            </w:pPr>
            <w:r>
              <w:rPr>
                <w:rFonts w:eastAsia="Times New Roman" w:cstheme="minorHAnsi"/>
                <w:b/>
                <w:bCs/>
                <w:color w:val="000000"/>
                <w:sz w:val="18"/>
                <w:szCs w:val="18"/>
              </w:rPr>
              <w:t>Omitted flux</w:t>
            </w:r>
          </w:p>
        </w:tc>
        <w:tc>
          <w:tcPr>
            <w:tcW w:w="6030" w:type="dxa"/>
            <w:tcBorders>
              <w:top w:val="single" w:sz="6" w:space="0" w:color="CCCCCC"/>
              <w:left w:val="single" w:sz="6" w:space="0" w:color="CCCCCC"/>
              <w:bottom w:val="single" w:sz="6" w:space="0" w:color="CCCCCC"/>
              <w:right w:val="single" w:sz="6" w:space="0" w:color="CCCCCC"/>
            </w:tcBorders>
            <w:shd w:val="clear" w:color="auto" w:fill="FFC000" w:themeFill="accent4"/>
            <w:tcMar>
              <w:top w:w="30" w:type="dxa"/>
              <w:left w:w="45" w:type="dxa"/>
              <w:bottom w:w="30" w:type="dxa"/>
              <w:right w:w="45" w:type="dxa"/>
            </w:tcMar>
            <w:vAlign w:val="center"/>
            <w:hideMark/>
          </w:tcPr>
          <w:p w14:paraId="5FD772B0" w14:textId="77777777" w:rsidR="0025546D" w:rsidRPr="00971D6D" w:rsidRDefault="0025546D" w:rsidP="00FB4CFE">
            <w:pPr>
              <w:spacing w:after="0" w:line="240" w:lineRule="auto"/>
              <w:jc w:val="center"/>
              <w:rPr>
                <w:rFonts w:eastAsia="Times New Roman" w:cstheme="minorHAnsi"/>
                <w:b/>
                <w:bCs/>
                <w:color w:val="000000"/>
                <w:sz w:val="18"/>
                <w:szCs w:val="18"/>
              </w:rPr>
            </w:pPr>
            <w:r w:rsidRPr="00971D6D">
              <w:rPr>
                <w:rFonts w:eastAsia="Times New Roman" w:cstheme="minorHAnsi"/>
                <w:b/>
                <w:bCs/>
                <w:color w:val="000000"/>
                <w:sz w:val="18"/>
                <w:szCs w:val="18"/>
              </w:rPr>
              <w:t>Element</w:t>
            </w:r>
          </w:p>
        </w:tc>
      </w:tr>
      <w:tr w:rsidR="0025546D" w:rsidRPr="00971D6D" w14:paraId="7E8F3661"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2A0765E3"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Forests</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8DC7B4B" w14:textId="77777777" w:rsidR="0025546D" w:rsidRPr="00971D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Omitted flux</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72F78A" w14:textId="77777777" w:rsidR="0025546D" w:rsidRPr="00971D6D" w:rsidRDefault="0025546D" w:rsidP="00FB4CFE">
            <w:pPr>
              <w:spacing w:after="0" w:line="240" w:lineRule="auto"/>
              <w:rPr>
                <w:rFonts w:eastAsia="Times New Roman" w:cstheme="minorHAnsi"/>
                <w:sz w:val="18"/>
                <w:szCs w:val="18"/>
              </w:rPr>
            </w:pPr>
            <w:r w:rsidRPr="00971D6D">
              <w:rPr>
                <w:rFonts w:eastAsia="Times New Roman" w:cstheme="minorHAnsi"/>
                <w:sz w:val="18"/>
                <w:szCs w:val="18"/>
              </w:rPr>
              <w:t>Mineralized N</w:t>
            </w:r>
            <w:r w:rsidRPr="00971D6D">
              <w:rPr>
                <w:rFonts w:eastAsia="Times New Roman" w:cstheme="minorHAnsi"/>
                <w:sz w:val="18"/>
                <w:szCs w:val="18"/>
                <w:vertAlign w:val="subscript"/>
              </w:rPr>
              <w:t>2</w:t>
            </w:r>
            <w:r w:rsidRPr="00971D6D">
              <w:rPr>
                <w:rFonts w:eastAsia="Times New Roman" w:cstheme="minorHAnsi"/>
                <w:sz w:val="18"/>
                <w:szCs w:val="18"/>
              </w:rPr>
              <w:t>O from forest soil</w:t>
            </w:r>
          </w:p>
        </w:tc>
      </w:tr>
      <w:tr w:rsidR="0025546D" w:rsidRPr="00971D6D" w14:paraId="4DDBA8EC"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572631DB"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Forests</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F5379E5" w14:textId="754DDA91" w:rsidR="0025546D" w:rsidRPr="00971D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Omitted flux</w:t>
            </w:r>
            <w:r w:rsidR="009C01EE">
              <w:rPr>
                <w:rFonts w:eastAsia="Times New Roman" w:cstheme="minorHAnsi"/>
                <w:sz w:val="18"/>
                <w:szCs w:val="18"/>
              </w:rPr>
              <w:t>, uncertainty</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0783023" w14:textId="77777777" w:rsidR="0025546D" w:rsidRPr="00971D6D" w:rsidRDefault="0025546D" w:rsidP="00FB4CFE">
            <w:pPr>
              <w:spacing w:after="0" w:line="240" w:lineRule="auto"/>
              <w:rPr>
                <w:rFonts w:eastAsia="Times New Roman" w:cstheme="minorHAnsi"/>
                <w:sz w:val="18"/>
                <w:szCs w:val="18"/>
              </w:rPr>
            </w:pPr>
            <w:r>
              <w:rPr>
                <w:rFonts w:eastAsia="Times New Roman" w:cstheme="minorHAnsi"/>
                <w:sz w:val="18"/>
                <w:szCs w:val="18"/>
              </w:rPr>
              <w:t xml:space="preserve">When forest land shifts from </w:t>
            </w:r>
            <w:r w:rsidRPr="00487213">
              <w:rPr>
                <w:rFonts w:eastAsia="Times New Roman" w:cstheme="minorHAnsi"/>
                <w:i/>
                <w:sz w:val="18"/>
                <w:szCs w:val="18"/>
              </w:rPr>
              <w:t>Land Converted to Forest</w:t>
            </w:r>
            <w:r w:rsidRPr="00971D6D">
              <w:rPr>
                <w:rFonts w:eastAsia="Times New Roman" w:cstheme="minorHAnsi"/>
                <w:sz w:val="18"/>
                <w:szCs w:val="18"/>
              </w:rPr>
              <w:t xml:space="preserve"> to </w:t>
            </w:r>
            <w:r w:rsidRPr="00487213">
              <w:rPr>
                <w:rFonts w:eastAsia="Times New Roman" w:cstheme="minorHAnsi"/>
                <w:i/>
                <w:sz w:val="18"/>
                <w:szCs w:val="18"/>
              </w:rPr>
              <w:t>Forest Remaining Forest</w:t>
            </w:r>
            <w:r w:rsidRPr="00971D6D">
              <w:rPr>
                <w:rFonts w:eastAsia="Times New Roman" w:cstheme="minorHAnsi"/>
                <w:sz w:val="18"/>
                <w:szCs w:val="18"/>
              </w:rPr>
              <w:t xml:space="preserve"> after 20 years, soil carbon calculation switches from Tier 2 to Tier 3 method</w:t>
            </w:r>
          </w:p>
        </w:tc>
      </w:tr>
      <w:tr w:rsidR="0025546D" w:rsidRPr="00971D6D" w14:paraId="5FFD6BFA"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7EEC4976"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Forests</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9CB2B01" w14:textId="77777777" w:rsidR="0025546D" w:rsidRPr="00971D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Omitted flux</w:t>
            </w:r>
            <w:r w:rsidRPr="00971D6D">
              <w:rPr>
                <w:rFonts w:eastAsia="Times New Roman" w:cstheme="minorHAnsi"/>
                <w:sz w:val="18"/>
                <w:szCs w:val="18"/>
              </w:rPr>
              <w:t>, uncertainty</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3D9803" w14:textId="5CBFDEED" w:rsidR="0025546D" w:rsidRPr="00971D6D" w:rsidRDefault="0025546D" w:rsidP="009C01EE">
            <w:pPr>
              <w:spacing w:after="0" w:line="240" w:lineRule="auto"/>
              <w:rPr>
                <w:rFonts w:eastAsia="Times New Roman" w:cstheme="minorHAnsi"/>
                <w:sz w:val="18"/>
                <w:szCs w:val="18"/>
              </w:rPr>
            </w:pPr>
            <w:r w:rsidRPr="00971D6D">
              <w:rPr>
                <w:rFonts w:eastAsia="Times New Roman" w:cstheme="minorHAnsi"/>
                <w:sz w:val="18"/>
                <w:szCs w:val="18"/>
              </w:rPr>
              <w:t xml:space="preserve">Assumption that 50% of </w:t>
            </w:r>
            <w:r w:rsidR="009C01EE">
              <w:rPr>
                <w:rFonts w:eastAsia="Times New Roman" w:cstheme="minorHAnsi"/>
                <w:sz w:val="18"/>
                <w:szCs w:val="18"/>
              </w:rPr>
              <w:t>woody biomass</w:t>
            </w:r>
            <w:r w:rsidR="009C01EE" w:rsidRPr="00971D6D">
              <w:rPr>
                <w:rFonts w:eastAsia="Times New Roman" w:cstheme="minorHAnsi"/>
                <w:sz w:val="18"/>
                <w:szCs w:val="18"/>
              </w:rPr>
              <w:t xml:space="preserve"> </w:t>
            </w:r>
            <w:r w:rsidRPr="00971D6D">
              <w:rPr>
                <w:rFonts w:eastAsia="Times New Roman" w:cstheme="minorHAnsi"/>
                <w:sz w:val="18"/>
                <w:szCs w:val="18"/>
              </w:rPr>
              <w:t>carbon is lost in conversion of forests to grasslands in Western and Great Plains states</w:t>
            </w:r>
          </w:p>
        </w:tc>
      </w:tr>
      <w:tr w:rsidR="0025546D" w:rsidRPr="00971D6D" w14:paraId="44517121"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18243B33"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Forests</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0FFE427"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Uncertainty</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E070BA" w14:textId="47D81FCF" w:rsidR="0025546D" w:rsidRPr="00971D6D" w:rsidRDefault="009C01EE" w:rsidP="009C01EE">
            <w:pPr>
              <w:spacing w:after="0" w:line="240" w:lineRule="auto"/>
              <w:rPr>
                <w:rFonts w:eastAsia="Times New Roman" w:cstheme="minorHAnsi"/>
                <w:sz w:val="18"/>
                <w:szCs w:val="18"/>
              </w:rPr>
            </w:pPr>
            <w:r>
              <w:rPr>
                <w:rFonts w:eastAsia="Times New Roman" w:cstheme="minorHAnsi"/>
                <w:sz w:val="18"/>
                <w:szCs w:val="18"/>
              </w:rPr>
              <w:t xml:space="preserve">Forest population stratification, including methodological differences by state </w:t>
            </w:r>
          </w:p>
        </w:tc>
      </w:tr>
      <w:tr w:rsidR="0025546D" w:rsidRPr="00971D6D" w14:paraId="0C8B436E"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036DC580" w14:textId="77777777" w:rsidR="002554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Forests</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53E700E" w14:textId="77777777" w:rsidR="002554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Uncertainty</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75D9789" w14:textId="36077B26" w:rsidR="0025546D" w:rsidRDefault="0025546D" w:rsidP="00D72B36">
            <w:pPr>
              <w:spacing w:after="0" w:line="240" w:lineRule="auto"/>
              <w:rPr>
                <w:rFonts w:eastAsia="Times New Roman" w:cstheme="minorHAnsi"/>
                <w:sz w:val="18"/>
                <w:szCs w:val="18"/>
              </w:rPr>
            </w:pPr>
            <w:r>
              <w:rPr>
                <w:rFonts w:eastAsia="Times New Roman" w:cstheme="minorHAnsi"/>
                <w:sz w:val="18"/>
                <w:szCs w:val="18"/>
              </w:rPr>
              <w:t>Use of empirical forest age transition matrices</w:t>
            </w:r>
            <w:r w:rsidR="00D72B36">
              <w:rPr>
                <w:rFonts w:eastAsia="Times New Roman" w:cstheme="minorHAnsi"/>
                <w:sz w:val="18"/>
                <w:szCs w:val="18"/>
              </w:rPr>
              <w:t xml:space="preserve"> </w:t>
            </w:r>
          </w:p>
        </w:tc>
      </w:tr>
      <w:tr w:rsidR="0025546D" w:rsidRPr="00971D6D" w14:paraId="40101CB6"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55A69293" w14:textId="77777777" w:rsidR="002554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Forests</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251F368" w14:textId="77777777" w:rsidR="002554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Uncertainty</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CF3CD19" w14:textId="49492FC0" w:rsidR="0025546D" w:rsidRDefault="0025546D" w:rsidP="009C01EE">
            <w:pPr>
              <w:spacing w:after="0" w:line="240" w:lineRule="auto"/>
              <w:rPr>
                <w:rFonts w:eastAsia="Times New Roman" w:cstheme="minorHAnsi"/>
                <w:sz w:val="18"/>
                <w:szCs w:val="18"/>
              </w:rPr>
            </w:pPr>
            <w:r>
              <w:rPr>
                <w:rFonts w:eastAsia="Times New Roman" w:cstheme="minorHAnsi"/>
                <w:sz w:val="18"/>
                <w:szCs w:val="18"/>
              </w:rPr>
              <w:t xml:space="preserve">Use of theoretical forest </w:t>
            </w:r>
            <w:r w:rsidR="00D72B36">
              <w:rPr>
                <w:rFonts w:eastAsia="Times New Roman" w:cstheme="minorHAnsi"/>
                <w:sz w:val="18"/>
                <w:szCs w:val="18"/>
              </w:rPr>
              <w:t xml:space="preserve">age </w:t>
            </w:r>
            <w:r>
              <w:rPr>
                <w:rFonts w:eastAsia="Times New Roman" w:cstheme="minorHAnsi"/>
                <w:sz w:val="18"/>
                <w:szCs w:val="18"/>
              </w:rPr>
              <w:t xml:space="preserve">transition matrices </w:t>
            </w:r>
            <w:r w:rsidR="00D72B36">
              <w:rPr>
                <w:rFonts w:eastAsia="Times New Roman" w:cstheme="minorHAnsi"/>
                <w:sz w:val="18"/>
                <w:szCs w:val="18"/>
              </w:rPr>
              <w:t>(for 2020 LULUCF GHG inventory, theoretical transition matrices are required only for Wyoming and West Oklahoma)</w:t>
            </w:r>
          </w:p>
        </w:tc>
      </w:tr>
      <w:tr w:rsidR="0025546D" w:rsidRPr="00971D6D" w14:paraId="72A20981"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452A49C9" w14:textId="77777777" w:rsidR="002554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Forests</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25D6B6E" w14:textId="77777777" w:rsidR="002554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Uncertainty</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4EF1268" w14:textId="4A2D5AB7" w:rsidR="0025546D" w:rsidRDefault="0025546D" w:rsidP="009C01EE">
            <w:pPr>
              <w:spacing w:after="0" w:line="240" w:lineRule="auto"/>
              <w:rPr>
                <w:rFonts w:eastAsia="Times New Roman" w:cstheme="minorHAnsi"/>
                <w:sz w:val="18"/>
                <w:szCs w:val="18"/>
              </w:rPr>
            </w:pPr>
            <w:r>
              <w:rPr>
                <w:rFonts w:eastAsia="Times New Roman" w:cstheme="minorHAnsi"/>
                <w:sz w:val="18"/>
                <w:szCs w:val="18"/>
              </w:rPr>
              <w:t xml:space="preserve">Model </w:t>
            </w:r>
            <w:r w:rsidR="009C01EE">
              <w:rPr>
                <w:rFonts w:eastAsia="Times New Roman" w:cstheme="minorHAnsi"/>
                <w:sz w:val="18"/>
                <w:szCs w:val="18"/>
              </w:rPr>
              <w:t xml:space="preserve">structure uncertainty </w:t>
            </w:r>
            <w:r>
              <w:rPr>
                <w:rFonts w:eastAsia="Times New Roman" w:cstheme="minorHAnsi"/>
                <w:sz w:val="18"/>
                <w:szCs w:val="18"/>
              </w:rPr>
              <w:t>for land conversions involving forests</w:t>
            </w:r>
          </w:p>
        </w:tc>
      </w:tr>
      <w:tr w:rsidR="0025546D" w:rsidRPr="00971D6D" w14:paraId="2D5D04E0"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4D539605" w14:textId="77777777" w:rsidR="002554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Forests</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AAF16E9" w14:textId="77777777" w:rsidR="002554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Uncertainty</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A0E9AFF" w14:textId="54F51363" w:rsidR="0025546D" w:rsidRDefault="009C01EE" w:rsidP="009C01EE">
            <w:pPr>
              <w:spacing w:after="0" w:line="240" w:lineRule="auto"/>
              <w:rPr>
                <w:rFonts w:eastAsia="Times New Roman" w:cstheme="minorHAnsi"/>
                <w:sz w:val="18"/>
                <w:szCs w:val="18"/>
              </w:rPr>
            </w:pPr>
            <w:r>
              <w:rPr>
                <w:rFonts w:eastAsia="Times New Roman" w:cstheme="minorHAnsi"/>
                <w:sz w:val="18"/>
                <w:szCs w:val="18"/>
              </w:rPr>
              <w:t xml:space="preserve">All uncertainty </w:t>
            </w:r>
            <w:r w:rsidR="0025546D">
              <w:rPr>
                <w:rFonts w:eastAsia="Times New Roman" w:cstheme="minorHAnsi"/>
                <w:sz w:val="18"/>
                <w:szCs w:val="18"/>
              </w:rPr>
              <w:t xml:space="preserve">associated with estimation of downed dead wood and understory </w:t>
            </w:r>
            <w:r>
              <w:rPr>
                <w:rFonts w:eastAsia="Times New Roman" w:cstheme="minorHAnsi"/>
                <w:sz w:val="18"/>
                <w:szCs w:val="18"/>
              </w:rPr>
              <w:t xml:space="preserve">carbon </w:t>
            </w:r>
            <w:r w:rsidR="0025546D">
              <w:rPr>
                <w:rFonts w:eastAsia="Times New Roman" w:cstheme="minorHAnsi"/>
                <w:sz w:val="18"/>
                <w:szCs w:val="18"/>
              </w:rPr>
              <w:t>stock change</w:t>
            </w:r>
          </w:p>
        </w:tc>
      </w:tr>
      <w:tr w:rsidR="0025546D" w:rsidRPr="00971D6D" w14:paraId="659D561B"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6490CFDA" w14:textId="77777777" w:rsidR="002554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Forests</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282CD2B" w14:textId="77777777" w:rsidR="002554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Uncertainty</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F059E7A" w14:textId="50A5498E" w:rsidR="0025546D" w:rsidRDefault="0025546D" w:rsidP="00A46DFF">
            <w:pPr>
              <w:spacing w:after="0" w:line="240" w:lineRule="auto"/>
              <w:rPr>
                <w:rFonts w:eastAsia="Times New Roman" w:cstheme="minorHAnsi"/>
                <w:sz w:val="18"/>
                <w:szCs w:val="18"/>
              </w:rPr>
            </w:pPr>
            <w:r>
              <w:rPr>
                <w:rFonts w:eastAsia="Times New Roman" w:cstheme="minorHAnsi"/>
                <w:sz w:val="18"/>
                <w:szCs w:val="18"/>
              </w:rPr>
              <w:t>Sampl</w:t>
            </w:r>
            <w:r w:rsidR="009C01EE">
              <w:rPr>
                <w:rFonts w:eastAsia="Times New Roman" w:cstheme="minorHAnsi"/>
                <w:sz w:val="18"/>
                <w:szCs w:val="18"/>
              </w:rPr>
              <w:t xml:space="preserve">ing </w:t>
            </w:r>
            <w:r w:rsidR="00A46DFF">
              <w:rPr>
                <w:rFonts w:eastAsia="Times New Roman" w:cstheme="minorHAnsi"/>
                <w:sz w:val="18"/>
                <w:szCs w:val="18"/>
              </w:rPr>
              <w:t xml:space="preserve">error </w:t>
            </w:r>
            <w:r>
              <w:rPr>
                <w:rFonts w:eastAsia="Times New Roman" w:cstheme="minorHAnsi"/>
                <w:sz w:val="18"/>
                <w:szCs w:val="18"/>
              </w:rPr>
              <w:t>associated with litter and soil carbon stocks</w:t>
            </w:r>
          </w:p>
        </w:tc>
      </w:tr>
      <w:tr w:rsidR="0025546D" w:rsidRPr="00971D6D" w14:paraId="1DA6FCAF"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5FFD34F4"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lastRenderedPageBreak/>
              <w:t>Settlements</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FE56B1B"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Uncertainty</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4AA4F3" w14:textId="77777777" w:rsidR="0025546D" w:rsidRPr="00971D6D" w:rsidRDefault="0025546D" w:rsidP="00FB4CFE">
            <w:pPr>
              <w:spacing w:after="0" w:line="240" w:lineRule="auto"/>
              <w:rPr>
                <w:rFonts w:eastAsia="Times New Roman" w:cstheme="minorHAnsi"/>
                <w:sz w:val="18"/>
                <w:szCs w:val="18"/>
              </w:rPr>
            </w:pPr>
            <w:r w:rsidRPr="00971D6D">
              <w:rPr>
                <w:rFonts w:eastAsia="Times New Roman" w:cstheme="minorHAnsi"/>
                <w:sz w:val="18"/>
                <w:szCs w:val="18"/>
              </w:rPr>
              <w:t xml:space="preserve">Use of reference C stocks for cultivated mineral cropland across all </w:t>
            </w:r>
            <w:r w:rsidRPr="00A46F75">
              <w:rPr>
                <w:rFonts w:eastAsia="Times New Roman" w:cstheme="minorHAnsi"/>
                <w:i/>
                <w:sz w:val="18"/>
                <w:szCs w:val="18"/>
              </w:rPr>
              <w:t>Land Converted to Settlement</w:t>
            </w:r>
            <w:r w:rsidRPr="00971D6D">
              <w:rPr>
                <w:rFonts w:eastAsia="Times New Roman" w:cstheme="minorHAnsi"/>
                <w:sz w:val="18"/>
                <w:szCs w:val="18"/>
              </w:rPr>
              <w:t xml:space="preserve"> </w:t>
            </w:r>
          </w:p>
        </w:tc>
      </w:tr>
      <w:tr w:rsidR="0025546D" w:rsidRPr="00971D6D" w14:paraId="7F25AD76"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2A388989"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Settlements</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6011CF1" w14:textId="77777777" w:rsidR="0025546D" w:rsidRPr="00971D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Omitted flux</w:t>
            </w:r>
            <w:r w:rsidRPr="00971D6D">
              <w:rPr>
                <w:rFonts w:eastAsia="Times New Roman" w:cstheme="minorHAnsi"/>
                <w:sz w:val="18"/>
                <w:szCs w:val="18"/>
              </w:rPr>
              <w:t>, uncertainty</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C03108" w14:textId="62A6D77C" w:rsidR="0025546D" w:rsidRPr="00971D6D" w:rsidRDefault="0025546D" w:rsidP="00FB4CFE">
            <w:pPr>
              <w:spacing w:after="0" w:line="240" w:lineRule="auto"/>
              <w:rPr>
                <w:rFonts w:eastAsia="Times New Roman" w:cstheme="minorHAnsi"/>
                <w:sz w:val="18"/>
                <w:szCs w:val="18"/>
              </w:rPr>
            </w:pPr>
            <w:r w:rsidRPr="00971D6D">
              <w:rPr>
                <w:rFonts w:eastAsia="Times New Roman" w:cstheme="minorHAnsi"/>
                <w:sz w:val="18"/>
                <w:szCs w:val="18"/>
              </w:rPr>
              <w:t xml:space="preserve">Use of cropland emission factor for drained organic soil on </w:t>
            </w:r>
            <w:r w:rsidRPr="00A46F75">
              <w:rPr>
                <w:rFonts w:eastAsia="Times New Roman" w:cstheme="minorHAnsi"/>
                <w:i/>
                <w:sz w:val="18"/>
                <w:szCs w:val="18"/>
              </w:rPr>
              <w:t>Land Converted to S</w:t>
            </w:r>
            <w:r>
              <w:rPr>
                <w:rFonts w:eastAsia="Times New Roman" w:cstheme="minorHAnsi"/>
                <w:i/>
                <w:sz w:val="18"/>
                <w:szCs w:val="18"/>
              </w:rPr>
              <w:t>ettlement</w:t>
            </w:r>
            <w:r w:rsidRPr="00971D6D">
              <w:rPr>
                <w:rFonts w:eastAsia="Times New Roman" w:cstheme="minorHAnsi"/>
                <w:sz w:val="18"/>
                <w:szCs w:val="18"/>
              </w:rPr>
              <w:t>, and assum</w:t>
            </w:r>
            <w:r w:rsidR="009C01EE">
              <w:rPr>
                <w:rFonts w:eastAsia="Times New Roman" w:cstheme="minorHAnsi"/>
                <w:sz w:val="18"/>
                <w:szCs w:val="18"/>
              </w:rPr>
              <w:t>ption of</w:t>
            </w:r>
            <w:r w:rsidRPr="00971D6D">
              <w:rPr>
                <w:rFonts w:eastAsia="Times New Roman" w:cstheme="minorHAnsi"/>
                <w:sz w:val="18"/>
                <w:szCs w:val="18"/>
              </w:rPr>
              <w:t xml:space="preserve"> 70% soil carbon loss</w:t>
            </w:r>
          </w:p>
        </w:tc>
      </w:tr>
      <w:tr w:rsidR="0025546D" w:rsidRPr="00971D6D" w14:paraId="492C2372"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637C727D" w14:textId="77777777" w:rsidR="0025546D" w:rsidRPr="00971D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Settlements</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8411188" w14:textId="77777777" w:rsidR="002554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Omitted flux</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34A6C5E" w14:textId="28D3516D" w:rsidR="0025546D" w:rsidRPr="00971D6D" w:rsidRDefault="000B2554" w:rsidP="000B2554">
            <w:pPr>
              <w:spacing w:after="0" w:line="240" w:lineRule="auto"/>
              <w:rPr>
                <w:rFonts w:eastAsia="Times New Roman" w:cstheme="minorHAnsi"/>
                <w:sz w:val="18"/>
                <w:szCs w:val="18"/>
              </w:rPr>
            </w:pPr>
            <w:r>
              <w:rPr>
                <w:rFonts w:eastAsia="Times New Roman" w:cstheme="minorHAnsi"/>
                <w:sz w:val="18"/>
                <w:szCs w:val="18"/>
              </w:rPr>
              <w:t>CO</w:t>
            </w:r>
            <w:r w:rsidRPr="000B2554">
              <w:rPr>
                <w:rFonts w:eastAsia="Times New Roman" w:cstheme="minorHAnsi"/>
                <w:sz w:val="18"/>
                <w:szCs w:val="18"/>
                <w:vertAlign w:val="subscript"/>
              </w:rPr>
              <w:t>2</w:t>
            </w:r>
            <w:r>
              <w:rPr>
                <w:rFonts w:eastAsia="Times New Roman" w:cstheme="minorHAnsi"/>
                <w:sz w:val="18"/>
                <w:szCs w:val="18"/>
              </w:rPr>
              <w:t xml:space="preserve"> and </w:t>
            </w:r>
            <w:r w:rsidR="0025546D">
              <w:rPr>
                <w:rFonts w:eastAsia="Times New Roman" w:cstheme="minorHAnsi"/>
                <w:sz w:val="18"/>
                <w:szCs w:val="18"/>
              </w:rPr>
              <w:t>Non-CO</w:t>
            </w:r>
            <w:r w:rsidR="0025546D" w:rsidRPr="00A46F75">
              <w:rPr>
                <w:rFonts w:eastAsia="Times New Roman" w:cstheme="minorHAnsi"/>
                <w:sz w:val="18"/>
                <w:szCs w:val="18"/>
                <w:vertAlign w:val="subscript"/>
              </w:rPr>
              <w:t>2</w:t>
            </w:r>
            <w:r w:rsidR="0025546D">
              <w:rPr>
                <w:rFonts w:eastAsia="Times New Roman" w:cstheme="minorHAnsi"/>
                <w:sz w:val="18"/>
                <w:szCs w:val="18"/>
              </w:rPr>
              <w:t xml:space="preserve"> from wildfire</w:t>
            </w:r>
          </w:p>
        </w:tc>
      </w:tr>
      <w:tr w:rsidR="00A427A1" w:rsidRPr="00971D6D" w14:paraId="50C208CC"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5AB7476C" w14:textId="3ED851ED" w:rsidR="00A427A1" w:rsidRDefault="00A427A1" w:rsidP="00FB4CFE">
            <w:pPr>
              <w:spacing w:after="0" w:line="240" w:lineRule="auto"/>
              <w:jc w:val="center"/>
              <w:rPr>
                <w:rFonts w:eastAsia="Times New Roman" w:cstheme="minorHAnsi"/>
                <w:sz w:val="18"/>
                <w:szCs w:val="18"/>
              </w:rPr>
            </w:pPr>
            <w:r>
              <w:rPr>
                <w:rFonts w:eastAsia="Times New Roman" w:cstheme="minorHAnsi"/>
                <w:sz w:val="18"/>
                <w:szCs w:val="18"/>
              </w:rPr>
              <w:t>Cropland/Grassland</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43BDDAA" w14:textId="2388B29F" w:rsidR="00A427A1" w:rsidRDefault="00A427A1" w:rsidP="00FB4CFE">
            <w:pPr>
              <w:spacing w:after="0" w:line="240" w:lineRule="auto"/>
              <w:jc w:val="center"/>
              <w:rPr>
                <w:rFonts w:eastAsia="Times New Roman" w:cstheme="minorHAnsi"/>
                <w:sz w:val="18"/>
                <w:szCs w:val="18"/>
              </w:rPr>
            </w:pPr>
            <w:r>
              <w:rPr>
                <w:rFonts w:eastAsia="Times New Roman" w:cstheme="minorHAnsi"/>
                <w:sz w:val="18"/>
                <w:szCs w:val="18"/>
              </w:rPr>
              <w:t>Uncertainty</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7B39E05" w14:textId="5CC38188" w:rsidR="00A427A1" w:rsidRDefault="00A427A1" w:rsidP="00A427A1">
            <w:pPr>
              <w:spacing w:after="0" w:line="240" w:lineRule="auto"/>
              <w:rPr>
                <w:rFonts w:eastAsia="Times New Roman" w:cstheme="minorHAnsi"/>
                <w:sz w:val="18"/>
                <w:szCs w:val="18"/>
              </w:rPr>
            </w:pPr>
            <w:r>
              <w:rPr>
                <w:rFonts w:eastAsia="Times New Roman" w:cstheme="minorHAnsi"/>
                <w:sz w:val="18"/>
                <w:szCs w:val="18"/>
              </w:rPr>
              <w:t>Artificial neural network and predictive mean matching methods for imputation of management practices at NRI survey locations using Conservation Effects and Assessment Project (CEAP) data (new in 2020 LULUCF GHG inventory)</w:t>
            </w:r>
          </w:p>
        </w:tc>
      </w:tr>
      <w:tr w:rsidR="0025546D" w:rsidRPr="00971D6D" w14:paraId="65971B2E"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3D58A953" w14:textId="77777777" w:rsidR="002554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Cropland/Grassland</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D64B7FC" w14:textId="77777777" w:rsidR="002554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Omitted flux</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BF3086C" w14:textId="77777777" w:rsidR="0025546D" w:rsidRDefault="0025546D" w:rsidP="00FB4CFE">
            <w:pPr>
              <w:spacing w:after="0" w:line="240" w:lineRule="auto"/>
              <w:rPr>
                <w:rFonts w:eastAsia="Times New Roman" w:cstheme="minorHAnsi"/>
                <w:sz w:val="18"/>
                <w:szCs w:val="18"/>
              </w:rPr>
            </w:pPr>
            <w:r>
              <w:rPr>
                <w:rFonts w:eastAsia="Times New Roman" w:cstheme="minorHAnsi"/>
                <w:sz w:val="18"/>
                <w:szCs w:val="18"/>
              </w:rPr>
              <w:t>Carbon stock change due to biochar application (initial methods provided in 2019 IPCC guidance)</w:t>
            </w:r>
          </w:p>
        </w:tc>
      </w:tr>
      <w:tr w:rsidR="0025546D" w:rsidRPr="00971D6D" w14:paraId="4FD2E1CA"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70FAAEF7"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Wetlands</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C173237" w14:textId="77777777" w:rsidR="0025546D" w:rsidRPr="00971D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Omitted flux</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0EE44D2" w14:textId="77777777" w:rsidR="0025546D" w:rsidRPr="00971D6D" w:rsidRDefault="0025546D" w:rsidP="00FB4CFE">
            <w:pPr>
              <w:spacing w:after="0" w:line="240" w:lineRule="auto"/>
              <w:rPr>
                <w:rFonts w:eastAsia="Times New Roman" w:cstheme="minorHAnsi"/>
                <w:sz w:val="18"/>
                <w:szCs w:val="18"/>
              </w:rPr>
            </w:pPr>
            <w:r w:rsidRPr="00971D6D">
              <w:rPr>
                <w:rFonts w:eastAsia="Times New Roman" w:cstheme="minorHAnsi"/>
                <w:sz w:val="18"/>
                <w:szCs w:val="18"/>
              </w:rPr>
              <w:t>GHG fluxes on inland (non-coastal) wetlands</w:t>
            </w:r>
          </w:p>
        </w:tc>
      </w:tr>
      <w:tr w:rsidR="0025546D" w:rsidRPr="00971D6D" w14:paraId="7910D9F2"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682CD062"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Wetlands</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432847" w14:textId="77777777" w:rsidR="0025546D" w:rsidRPr="00971D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Omitted flux</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6CFC1E" w14:textId="584CD7A0" w:rsidR="0025546D" w:rsidRPr="00971D6D" w:rsidRDefault="0025546D" w:rsidP="009C01EE">
            <w:pPr>
              <w:spacing w:after="0" w:line="240" w:lineRule="auto"/>
              <w:rPr>
                <w:rFonts w:eastAsia="Times New Roman" w:cstheme="minorHAnsi"/>
                <w:sz w:val="18"/>
                <w:szCs w:val="18"/>
              </w:rPr>
            </w:pPr>
            <w:r w:rsidRPr="00A46F75">
              <w:rPr>
                <w:rFonts w:eastAsia="Times New Roman" w:cstheme="minorHAnsi"/>
                <w:i/>
                <w:sz w:val="18"/>
                <w:szCs w:val="18"/>
              </w:rPr>
              <w:t>Land Converted to Wetland</w:t>
            </w:r>
            <w:r w:rsidRPr="00971D6D">
              <w:rPr>
                <w:rFonts w:eastAsia="Times New Roman" w:cstheme="minorHAnsi"/>
                <w:sz w:val="18"/>
                <w:szCs w:val="18"/>
              </w:rPr>
              <w:t xml:space="preserve"> category does not include </w:t>
            </w:r>
            <w:r>
              <w:rPr>
                <w:rFonts w:eastAsia="Times New Roman" w:cstheme="minorHAnsi"/>
                <w:sz w:val="18"/>
                <w:szCs w:val="18"/>
              </w:rPr>
              <w:t>l</w:t>
            </w:r>
            <w:r w:rsidRPr="00A46F75">
              <w:rPr>
                <w:rFonts w:eastAsia="Times New Roman" w:cstheme="minorHAnsi"/>
                <w:sz w:val="18"/>
                <w:szCs w:val="18"/>
              </w:rPr>
              <w:t xml:space="preserve">and </w:t>
            </w:r>
            <w:r>
              <w:rPr>
                <w:rFonts w:eastAsia="Times New Roman" w:cstheme="minorHAnsi"/>
                <w:sz w:val="18"/>
                <w:szCs w:val="18"/>
              </w:rPr>
              <w:t>c</w:t>
            </w:r>
            <w:r w:rsidRPr="00A46F75">
              <w:rPr>
                <w:rFonts w:eastAsia="Times New Roman" w:cstheme="minorHAnsi"/>
                <w:sz w:val="18"/>
                <w:szCs w:val="18"/>
              </w:rPr>
              <w:t xml:space="preserve">onverted to </w:t>
            </w:r>
            <w:r>
              <w:rPr>
                <w:rFonts w:eastAsia="Times New Roman" w:cstheme="minorHAnsi"/>
                <w:sz w:val="18"/>
                <w:szCs w:val="18"/>
              </w:rPr>
              <w:t>i</w:t>
            </w:r>
            <w:r w:rsidRPr="00A46F75">
              <w:rPr>
                <w:rFonts w:eastAsia="Times New Roman" w:cstheme="minorHAnsi"/>
                <w:sz w:val="18"/>
                <w:szCs w:val="18"/>
              </w:rPr>
              <w:t xml:space="preserve">nland </w:t>
            </w:r>
            <w:r>
              <w:rPr>
                <w:rFonts w:eastAsia="Times New Roman" w:cstheme="minorHAnsi"/>
                <w:sz w:val="18"/>
                <w:szCs w:val="18"/>
              </w:rPr>
              <w:t>w</w:t>
            </w:r>
            <w:r w:rsidRPr="00A46F75">
              <w:rPr>
                <w:rFonts w:eastAsia="Times New Roman" w:cstheme="minorHAnsi"/>
                <w:sz w:val="18"/>
                <w:szCs w:val="18"/>
              </w:rPr>
              <w:t>etland</w:t>
            </w:r>
          </w:p>
        </w:tc>
      </w:tr>
      <w:tr w:rsidR="0025546D" w:rsidRPr="00971D6D" w14:paraId="135AC6A6"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16860AF5"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Wetlands</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F5F1E2A" w14:textId="77777777" w:rsidR="0025546D" w:rsidRPr="00B8684A" w:rsidRDefault="0025546D" w:rsidP="00FB4CFE">
            <w:pPr>
              <w:spacing w:after="0" w:line="240" w:lineRule="auto"/>
              <w:jc w:val="center"/>
              <w:rPr>
                <w:rFonts w:eastAsia="Times New Roman" w:cstheme="minorHAnsi"/>
                <w:b/>
                <w:sz w:val="18"/>
                <w:szCs w:val="18"/>
              </w:rPr>
            </w:pPr>
            <w:r>
              <w:rPr>
                <w:rFonts w:eastAsia="Times New Roman" w:cstheme="minorHAnsi"/>
                <w:sz w:val="18"/>
                <w:szCs w:val="18"/>
              </w:rPr>
              <w:t>Omitted flux</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14FDD5" w14:textId="4CB8352B" w:rsidR="0025546D" w:rsidRPr="00971D6D" w:rsidRDefault="0025546D" w:rsidP="00FB4CFE">
            <w:pPr>
              <w:spacing w:after="0" w:line="240" w:lineRule="auto"/>
              <w:rPr>
                <w:rFonts w:eastAsia="Times New Roman" w:cstheme="minorHAnsi"/>
                <w:sz w:val="18"/>
                <w:szCs w:val="18"/>
              </w:rPr>
            </w:pPr>
            <w:r w:rsidRPr="00A46F75">
              <w:rPr>
                <w:rFonts w:eastAsia="Times New Roman" w:cstheme="minorHAnsi"/>
                <w:i/>
                <w:sz w:val="18"/>
                <w:szCs w:val="18"/>
              </w:rPr>
              <w:t>Land Converted to Wetland</w:t>
            </w:r>
            <w:r w:rsidRPr="00971D6D">
              <w:rPr>
                <w:rFonts w:eastAsia="Times New Roman" w:cstheme="minorHAnsi"/>
                <w:sz w:val="18"/>
                <w:szCs w:val="18"/>
              </w:rPr>
              <w:t xml:space="preserve"> does not include </w:t>
            </w:r>
            <w:r>
              <w:rPr>
                <w:rFonts w:eastAsia="Times New Roman" w:cstheme="minorHAnsi"/>
                <w:sz w:val="18"/>
                <w:szCs w:val="18"/>
              </w:rPr>
              <w:t xml:space="preserve">carbon stock changes due to </w:t>
            </w:r>
            <w:r w:rsidRPr="00971D6D">
              <w:rPr>
                <w:rFonts w:eastAsia="Times New Roman" w:cstheme="minorHAnsi"/>
                <w:sz w:val="18"/>
                <w:szCs w:val="18"/>
              </w:rPr>
              <w:t>biomass loss</w:t>
            </w:r>
            <w:r w:rsidR="009C01EE">
              <w:rPr>
                <w:rFonts w:eastAsia="Times New Roman" w:cstheme="minorHAnsi"/>
                <w:sz w:val="18"/>
                <w:szCs w:val="18"/>
              </w:rPr>
              <w:t xml:space="preserve">  (partially addressed in 2019 LULUCF GHG inventory)</w:t>
            </w:r>
          </w:p>
        </w:tc>
      </w:tr>
      <w:tr w:rsidR="0025546D" w:rsidRPr="00971D6D" w14:paraId="0093A4FE"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1C8381EF" w14:textId="77777777" w:rsidR="0025546D" w:rsidRPr="00971D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Wetlands</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C1C6711" w14:textId="77777777" w:rsidR="0025546D" w:rsidRPr="00971D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Omitted flux</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8AAEEAF" w14:textId="35A5AB28" w:rsidR="0025546D" w:rsidRPr="008569F9" w:rsidRDefault="0025546D" w:rsidP="009C01EE">
            <w:pPr>
              <w:spacing w:after="0" w:line="240" w:lineRule="auto"/>
              <w:rPr>
                <w:rFonts w:eastAsia="Times New Roman" w:cstheme="minorHAnsi"/>
                <w:sz w:val="18"/>
                <w:szCs w:val="18"/>
              </w:rPr>
            </w:pPr>
            <w:r w:rsidRPr="008569F9">
              <w:rPr>
                <w:sz w:val="18"/>
                <w:szCs w:val="18"/>
              </w:rPr>
              <w:t>CH</w:t>
            </w:r>
            <w:r w:rsidRPr="008569F9">
              <w:rPr>
                <w:sz w:val="18"/>
                <w:szCs w:val="18"/>
                <w:vertAlign w:val="subscript"/>
              </w:rPr>
              <w:t>4</w:t>
            </w:r>
            <w:r w:rsidRPr="008569F9">
              <w:rPr>
                <w:sz w:val="18"/>
                <w:szCs w:val="18"/>
              </w:rPr>
              <w:t xml:space="preserve"> from reservoirs</w:t>
            </w:r>
            <w:r>
              <w:rPr>
                <w:sz w:val="18"/>
                <w:szCs w:val="18"/>
              </w:rPr>
              <w:t>,</w:t>
            </w:r>
            <w:r w:rsidRPr="008569F9">
              <w:rPr>
                <w:sz w:val="18"/>
                <w:szCs w:val="18"/>
              </w:rPr>
              <w:t xml:space="preserve"> flooded lands</w:t>
            </w:r>
            <w:r>
              <w:rPr>
                <w:sz w:val="18"/>
                <w:szCs w:val="18"/>
              </w:rPr>
              <w:t>, and agricultural ponds, canals, and ditches;</w:t>
            </w:r>
            <w:r w:rsidRPr="008569F9">
              <w:rPr>
                <w:sz w:val="18"/>
                <w:szCs w:val="18"/>
              </w:rPr>
              <w:t xml:space="preserve"> </w:t>
            </w:r>
            <w:r>
              <w:rPr>
                <w:sz w:val="18"/>
                <w:szCs w:val="18"/>
              </w:rPr>
              <w:t xml:space="preserve">work is ongoing at federal agencies to include this in the </w:t>
            </w:r>
            <w:r w:rsidRPr="008569F9">
              <w:rPr>
                <w:sz w:val="18"/>
                <w:szCs w:val="18"/>
              </w:rPr>
              <w:t>NGHGI</w:t>
            </w:r>
            <w:r w:rsidR="009C01EE">
              <w:rPr>
                <w:sz w:val="18"/>
                <w:szCs w:val="18"/>
              </w:rPr>
              <w:t>,</w:t>
            </w:r>
            <w:r w:rsidRPr="008569F9">
              <w:rPr>
                <w:sz w:val="18"/>
                <w:szCs w:val="18"/>
              </w:rPr>
              <w:t xml:space="preserve"> methods are included in </w:t>
            </w:r>
            <w:r>
              <w:rPr>
                <w:sz w:val="18"/>
                <w:szCs w:val="18"/>
              </w:rPr>
              <w:t xml:space="preserve">2019 </w:t>
            </w:r>
            <w:r w:rsidRPr="008569F9">
              <w:rPr>
                <w:sz w:val="18"/>
                <w:szCs w:val="18"/>
              </w:rPr>
              <w:t xml:space="preserve">IPCC </w:t>
            </w:r>
            <w:r>
              <w:rPr>
                <w:sz w:val="18"/>
                <w:szCs w:val="18"/>
              </w:rPr>
              <w:t>guidance</w:t>
            </w:r>
          </w:p>
        </w:tc>
      </w:tr>
      <w:tr w:rsidR="0025546D" w:rsidRPr="00971D6D" w14:paraId="503E883D"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3B2D4997" w14:textId="77777777" w:rsidR="0025546D" w:rsidRPr="00971D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Wetlands</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36CEADD" w14:textId="77777777" w:rsidR="0025546D" w:rsidRPr="00971D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Omitted flux</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47B10C1" w14:textId="77777777" w:rsidR="0025546D" w:rsidRPr="008569F9" w:rsidRDefault="0025546D" w:rsidP="00FB4CFE">
            <w:pPr>
              <w:spacing w:after="0" w:line="240" w:lineRule="auto"/>
              <w:rPr>
                <w:rFonts w:eastAsia="Times New Roman" w:cstheme="minorHAnsi"/>
                <w:sz w:val="18"/>
                <w:szCs w:val="18"/>
              </w:rPr>
            </w:pPr>
            <w:r w:rsidRPr="008569F9">
              <w:rPr>
                <w:sz w:val="18"/>
                <w:szCs w:val="18"/>
              </w:rPr>
              <w:t>C</w:t>
            </w:r>
            <w:r>
              <w:rPr>
                <w:sz w:val="18"/>
                <w:szCs w:val="18"/>
              </w:rPr>
              <w:t>arbon</w:t>
            </w:r>
            <w:r w:rsidRPr="008569F9">
              <w:rPr>
                <w:sz w:val="18"/>
                <w:szCs w:val="18"/>
              </w:rPr>
              <w:t xml:space="preserve"> stock changes in seagrass beds</w:t>
            </w:r>
            <w:r>
              <w:rPr>
                <w:sz w:val="18"/>
                <w:szCs w:val="18"/>
              </w:rPr>
              <w:t>;</w:t>
            </w:r>
            <w:r w:rsidRPr="008569F9">
              <w:rPr>
                <w:sz w:val="18"/>
                <w:szCs w:val="18"/>
              </w:rPr>
              <w:t xml:space="preserve"> </w:t>
            </w:r>
            <w:r>
              <w:rPr>
                <w:sz w:val="18"/>
                <w:szCs w:val="18"/>
              </w:rPr>
              <w:t xml:space="preserve">work is ongoing at federal agencies to include this in the </w:t>
            </w:r>
            <w:r w:rsidRPr="008569F9">
              <w:rPr>
                <w:sz w:val="18"/>
                <w:szCs w:val="18"/>
              </w:rPr>
              <w:t>NGHGI</w:t>
            </w:r>
          </w:p>
        </w:tc>
      </w:tr>
      <w:tr w:rsidR="0025546D" w:rsidRPr="00971D6D" w14:paraId="2D47F260"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09FD7AFC"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Multiple</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C63BB76"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Uncertainty</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91B7442" w14:textId="2FA3E1B8" w:rsidR="0025546D" w:rsidRPr="00971D6D" w:rsidRDefault="0025546D" w:rsidP="00FB4CFE">
            <w:pPr>
              <w:spacing w:after="0" w:line="240" w:lineRule="auto"/>
              <w:rPr>
                <w:rFonts w:eastAsia="Times New Roman" w:cstheme="minorHAnsi"/>
                <w:sz w:val="18"/>
                <w:szCs w:val="18"/>
              </w:rPr>
            </w:pPr>
            <w:r w:rsidRPr="00971D6D">
              <w:rPr>
                <w:rFonts w:eastAsia="Times New Roman" w:cstheme="minorHAnsi"/>
                <w:sz w:val="18"/>
                <w:szCs w:val="18"/>
              </w:rPr>
              <w:t>Global Warming Potential (GWP) values</w:t>
            </w:r>
          </w:p>
        </w:tc>
      </w:tr>
      <w:tr w:rsidR="0025546D" w:rsidRPr="00971D6D" w14:paraId="7758ADDF"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3C2A2404"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Multiple</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7B490CF"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Uncertainty</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524297F" w14:textId="05855A9F" w:rsidR="0025546D" w:rsidRPr="00971D6D" w:rsidRDefault="0025546D" w:rsidP="009C01EE">
            <w:pPr>
              <w:spacing w:after="0" w:line="240" w:lineRule="auto"/>
              <w:rPr>
                <w:rFonts w:eastAsia="Times New Roman" w:cstheme="minorHAnsi"/>
                <w:sz w:val="18"/>
                <w:szCs w:val="18"/>
              </w:rPr>
            </w:pPr>
            <w:r w:rsidRPr="00971D6D">
              <w:rPr>
                <w:rFonts w:eastAsia="Times New Roman" w:cstheme="minorHAnsi"/>
                <w:sz w:val="18"/>
                <w:szCs w:val="18"/>
              </w:rPr>
              <w:t>Land use histories derived from NRI, NLCD, and FIA</w:t>
            </w:r>
            <w:r w:rsidR="009C01EE">
              <w:rPr>
                <w:rFonts w:eastAsia="Times New Roman" w:cstheme="minorHAnsi"/>
                <w:sz w:val="18"/>
                <w:szCs w:val="18"/>
              </w:rPr>
              <w:t xml:space="preserve">; Imputation of </w:t>
            </w:r>
            <w:r w:rsidRPr="00971D6D">
              <w:rPr>
                <w:rFonts w:eastAsia="Times New Roman" w:cstheme="minorHAnsi"/>
                <w:sz w:val="18"/>
                <w:szCs w:val="18"/>
              </w:rPr>
              <w:t xml:space="preserve">NRI and NLCD </w:t>
            </w:r>
            <w:r w:rsidR="009C01EE">
              <w:rPr>
                <w:rFonts w:eastAsia="Times New Roman" w:cstheme="minorHAnsi"/>
                <w:sz w:val="18"/>
                <w:szCs w:val="18"/>
              </w:rPr>
              <w:t>land use histories in years between product updates</w:t>
            </w:r>
          </w:p>
        </w:tc>
      </w:tr>
      <w:tr w:rsidR="0025546D" w:rsidRPr="00971D6D" w14:paraId="55E9EC13"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201341D2"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Multiple</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DD0C7DE"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Uncertainty</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D905A6D" w14:textId="67F23424" w:rsidR="0025546D" w:rsidRPr="00971D6D" w:rsidRDefault="009C01EE" w:rsidP="00FB4CFE">
            <w:pPr>
              <w:spacing w:after="0" w:line="240" w:lineRule="auto"/>
              <w:rPr>
                <w:rFonts w:eastAsia="Times New Roman" w:cstheme="minorHAnsi"/>
                <w:sz w:val="18"/>
                <w:szCs w:val="18"/>
              </w:rPr>
            </w:pPr>
            <w:r>
              <w:rPr>
                <w:rFonts w:eastAsia="Times New Roman" w:cstheme="minorHAnsi"/>
                <w:sz w:val="18"/>
                <w:szCs w:val="18"/>
              </w:rPr>
              <w:t>H</w:t>
            </w:r>
            <w:r w:rsidR="0025546D" w:rsidRPr="00971D6D">
              <w:rPr>
                <w:rFonts w:eastAsia="Times New Roman" w:cstheme="minorHAnsi"/>
                <w:sz w:val="18"/>
                <w:szCs w:val="18"/>
              </w:rPr>
              <w:t xml:space="preserve">armonization of land use/land cover datasets (NLCD, NRI, FIA) for generating land base representation </w:t>
            </w:r>
          </w:p>
        </w:tc>
      </w:tr>
      <w:tr w:rsidR="0025546D" w:rsidRPr="00971D6D" w14:paraId="7925B0F5"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01E9DDC8"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Multiple</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3EDE51A" w14:textId="77777777" w:rsidR="0025546D" w:rsidRPr="00971D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Omitted flux</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87AC6B3" w14:textId="77777777" w:rsidR="0025546D" w:rsidRPr="00971D6D" w:rsidRDefault="0025546D" w:rsidP="00FB4CFE">
            <w:pPr>
              <w:spacing w:after="0" w:line="240" w:lineRule="auto"/>
              <w:rPr>
                <w:rFonts w:eastAsia="Times New Roman" w:cstheme="minorHAnsi"/>
                <w:sz w:val="18"/>
                <w:szCs w:val="18"/>
              </w:rPr>
            </w:pPr>
            <w:r w:rsidRPr="00971D6D">
              <w:rPr>
                <w:rFonts w:eastAsia="Times New Roman" w:cstheme="minorHAnsi"/>
                <w:sz w:val="18"/>
                <w:szCs w:val="18"/>
              </w:rPr>
              <w:t>No biomass, dead wood, litter carbon stock changes assumed for any land conversions other than to/from forest (except conversion to vegetated wetlands)</w:t>
            </w:r>
          </w:p>
        </w:tc>
      </w:tr>
      <w:tr w:rsidR="0025546D" w:rsidRPr="00971D6D" w14:paraId="03A4EEB1"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3602A628"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Multiple</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EAD2FD0" w14:textId="77777777" w:rsidR="0025546D" w:rsidRPr="00971D6D" w:rsidRDefault="0025546D" w:rsidP="00FB4CFE">
            <w:pPr>
              <w:spacing w:after="0" w:line="240" w:lineRule="auto"/>
              <w:jc w:val="center"/>
              <w:rPr>
                <w:rFonts w:eastAsia="Times New Roman" w:cstheme="minorHAnsi"/>
                <w:sz w:val="18"/>
                <w:szCs w:val="18"/>
              </w:rPr>
            </w:pPr>
            <w:r>
              <w:rPr>
                <w:rFonts w:eastAsia="Times New Roman" w:cstheme="minorHAnsi"/>
                <w:sz w:val="18"/>
                <w:szCs w:val="18"/>
              </w:rPr>
              <w:t>Omitted flux</w:t>
            </w:r>
            <w:r w:rsidRPr="00971D6D">
              <w:rPr>
                <w:rFonts w:eastAsia="Times New Roman" w:cstheme="minorHAnsi"/>
                <w:sz w:val="18"/>
                <w:szCs w:val="18"/>
              </w:rPr>
              <w:t>, uncertainty</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5100BE3" w14:textId="77777777" w:rsidR="0025546D" w:rsidRPr="00971D6D" w:rsidRDefault="0025546D" w:rsidP="00FB4CFE">
            <w:pPr>
              <w:spacing w:after="0" w:line="240" w:lineRule="auto"/>
              <w:rPr>
                <w:rFonts w:eastAsia="Times New Roman" w:cstheme="minorHAnsi"/>
                <w:sz w:val="18"/>
                <w:szCs w:val="18"/>
              </w:rPr>
            </w:pPr>
            <w:r w:rsidRPr="00971D6D">
              <w:rPr>
                <w:rFonts w:eastAsia="Times New Roman" w:cstheme="minorHAnsi"/>
                <w:sz w:val="18"/>
                <w:szCs w:val="18"/>
              </w:rPr>
              <w:t>Inconsistent Tier 3 soil carbo</w:t>
            </w:r>
            <w:r>
              <w:rPr>
                <w:rFonts w:eastAsia="Times New Roman" w:cstheme="minorHAnsi"/>
                <w:sz w:val="18"/>
                <w:szCs w:val="18"/>
              </w:rPr>
              <w:t xml:space="preserve">n stock estimation methods for </w:t>
            </w:r>
            <w:r w:rsidRPr="00A46F75">
              <w:rPr>
                <w:rFonts w:eastAsia="Times New Roman" w:cstheme="minorHAnsi"/>
                <w:i/>
                <w:sz w:val="18"/>
                <w:szCs w:val="18"/>
              </w:rPr>
              <w:t>Forest Converted to Cropland/Grassland</w:t>
            </w:r>
          </w:p>
        </w:tc>
      </w:tr>
      <w:tr w:rsidR="0025546D" w:rsidRPr="00971D6D" w14:paraId="14C6DB44" w14:textId="77777777" w:rsidTr="00FB4CFE">
        <w:trPr>
          <w:trHeight w:val="315"/>
        </w:trPr>
        <w:tc>
          <w:tcPr>
            <w:tcW w:w="1522" w:type="dxa"/>
            <w:tcBorders>
              <w:top w:val="single" w:sz="6" w:space="0" w:color="CCCCCC"/>
              <w:left w:val="single" w:sz="6" w:space="0" w:color="CCCCCC"/>
              <w:bottom w:val="single" w:sz="6" w:space="0" w:color="CCCCCC"/>
              <w:right w:val="single" w:sz="6" w:space="0" w:color="CCCCCC"/>
            </w:tcBorders>
            <w:vAlign w:val="center"/>
          </w:tcPr>
          <w:p w14:paraId="6965AD14"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Multiple</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CADBB9E" w14:textId="77777777" w:rsidR="0025546D" w:rsidRPr="00971D6D" w:rsidRDefault="0025546D" w:rsidP="00FB4CFE">
            <w:pPr>
              <w:spacing w:after="0" w:line="240" w:lineRule="auto"/>
              <w:jc w:val="center"/>
              <w:rPr>
                <w:rFonts w:eastAsia="Times New Roman" w:cstheme="minorHAnsi"/>
                <w:sz w:val="18"/>
                <w:szCs w:val="18"/>
              </w:rPr>
            </w:pPr>
            <w:r w:rsidRPr="00971D6D">
              <w:rPr>
                <w:rFonts w:eastAsia="Times New Roman" w:cstheme="minorHAnsi"/>
                <w:sz w:val="18"/>
                <w:szCs w:val="18"/>
              </w:rPr>
              <w:t>Uncertainty</w:t>
            </w:r>
          </w:p>
        </w:tc>
        <w:tc>
          <w:tcPr>
            <w:tcW w:w="603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003970F" w14:textId="77777777" w:rsidR="0025546D" w:rsidRPr="00971D6D" w:rsidRDefault="0025546D" w:rsidP="00FB4CFE">
            <w:pPr>
              <w:spacing w:after="0" w:line="240" w:lineRule="auto"/>
              <w:rPr>
                <w:rFonts w:eastAsia="Times New Roman" w:cstheme="minorHAnsi"/>
                <w:sz w:val="18"/>
                <w:szCs w:val="18"/>
              </w:rPr>
            </w:pPr>
            <w:r w:rsidRPr="00A46F75">
              <w:rPr>
                <w:rFonts w:eastAsia="Times New Roman" w:cstheme="minorHAnsi"/>
                <w:i/>
                <w:sz w:val="18"/>
                <w:szCs w:val="18"/>
              </w:rPr>
              <w:t>Land Converted to/from Cropland/Grassland</w:t>
            </w:r>
            <w:r w:rsidRPr="00971D6D">
              <w:rPr>
                <w:rFonts w:eastAsia="Times New Roman" w:cstheme="minorHAnsi"/>
                <w:sz w:val="18"/>
                <w:szCs w:val="18"/>
              </w:rPr>
              <w:t xml:space="preserve"> use of IPCC biomass carbon stock default for conversion</w:t>
            </w:r>
          </w:p>
        </w:tc>
      </w:tr>
    </w:tbl>
    <w:p w14:paraId="13D32AC4" w14:textId="77777777" w:rsidR="0025546D" w:rsidRDefault="0025546D" w:rsidP="0025546D">
      <w:pPr>
        <w:rPr>
          <w:rFonts w:ascii="Calibri" w:eastAsia="Calibri" w:hAnsi="Calibri" w:cs="Calibri"/>
        </w:rPr>
      </w:pPr>
    </w:p>
    <w:p w14:paraId="275867E8" w14:textId="13CEC3A4" w:rsidR="000265AF" w:rsidRPr="000265AF" w:rsidRDefault="000265AF" w:rsidP="000265AF">
      <w:pPr>
        <w:rPr>
          <w:rFonts w:cstheme="minorHAnsi"/>
        </w:rPr>
      </w:pPr>
      <w:r w:rsidRPr="000265AF">
        <w:rPr>
          <w:rFonts w:cstheme="minorHAnsi"/>
        </w:rPr>
        <w:t xml:space="preserve">Some of these omitted fluxes could be sizable, including omission of all inland wetland GHG fluxes and the lack of accounting for non-soil carbon stock changes for </w:t>
      </w:r>
      <w:r w:rsidR="009C01EE">
        <w:rPr>
          <w:rFonts w:cstheme="minorHAnsi"/>
        </w:rPr>
        <w:t xml:space="preserve">non-forest </w:t>
      </w:r>
      <w:r w:rsidRPr="000265AF">
        <w:rPr>
          <w:rFonts w:cstheme="minorHAnsi"/>
        </w:rPr>
        <w:t xml:space="preserve">land conversions. </w:t>
      </w:r>
      <w:r w:rsidR="009C01EE">
        <w:rPr>
          <w:rFonts w:cstheme="minorHAnsi"/>
        </w:rPr>
        <w:t>The t</w:t>
      </w:r>
      <w:r w:rsidR="009C01EE" w:rsidRPr="000265AF">
        <w:rPr>
          <w:rFonts w:cstheme="minorHAnsi"/>
        </w:rPr>
        <w:t xml:space="preserve">otal </w:t>
      </w:r>
      <w:r w:rsidRPr="000265AF">
        <w:rPr>
          <w:rFonts w:cstheme="minorHAnsi"/>
        </w:rPr>
        <w:t xml:space="preserve">uncertainty </w:t>
      </w:r>
      <w:r w:rsidR="009C01EE">
        <w:rPr>
          <w:rFonts w:cstheme="minorHAnsi"/>
        </w:rPr>
        <w:t xml:space="preserve">contribution </w:t>
      </w:r>
      <w:r w:rsidRPr="000265AF">
        <w:rPr>
          <w:rFonts w:cstheme="minorHAnsi"/>
        </w:rPr>
        <w:t xml:space="preserve">of land use representation </w:t>
      </w:r>
      <w:r w:rsidR="009C01EE">
        <w:rPr>
          <w:rFonts w:cstheme="minorHAnsi"/>
        </w:rPr>
        <w:t xml:space="preserve">may also </w:t>
      </w:r>
      <w:r w:rsidRPr="000265AF">
        <w:rPr>
          <w:rFonts w:cstheme="minorHAnsi"/>
        </w:rPr>
        <w:t xml:space="preserve">be sizable, given </w:t>
      </w:r>
      <w:r w:rsidR="009C01EE">
        <w:rPr>
          <w:rFonts w:cstheme="minorHAnsi"/>
        </w:rPr>
        <w:t xml:space="preserve">the accuracy of </w:t>
      </w:r>
      <w:r w:rsidRPr="000265AF">
        <w:rPr>
          <w:rFonts w:cstheme="minorHAnsi"/>
        </w:rPr>
        <w:t xml:space="preserve">remote imagery-based datasets like NLCD </w:t>
      </w:r>
      <w:r w:rsidR="009C01EE">
        <w:rPr>
          <w:rFonts w:cstheme="minorHAnsi"/>
        </w:rPr>
        <w:t>(</w:t>
      </w:r>
      <w:r w:rsidRPr="000265AF">
        <w:rPr>
          <w:rFonts w:cstheme="minorHAnsi"/>
        </w:rPr>
        <w:t>80 to 90 percent</w:t>
      </w:r>
      <w:r w:rsidR="009C01EE">
        <w:rPr>
          <w:rFonts w:cstheme="minorHAnsi"/>
        </w:rPr>
        <w:t xml:space="preserve">) </w:t>
      </w:r>
      <w:r w:rsidRPr="000265AF">
        <w:rPr>
          <w:rFonts w:cstheme="minorHAnsi"/>
        </w:rPr>
        <w:t xml:space="preserve">(Wickham et al. 2017). </w:t>
      </w:r>
    </w:p>
    <w:p w14:paraId="2C2B294F" w14:textId="0BAC6C63" w:rsidR="000265AF" w:rsidRPr="0076408E" w:rsidRDefault="00BE3F4E" w:rsidP="000B2554">
      <w:pPr>
        <w:pStyle w:val="2-Header"/>
      </w:pPr>
      <w:r w:rsidRPr="0076408E">
        <w:t>Uncertainty taxonomy</w:t>
      </w:r>
    </w:p>
    <w:p w14:paraId="389F9E00" w14:textId="226EAB50" w:rsidR="00BE3F4E" w:rsidRDefault="00BE3F4E" w:rsidP="00BE3F4E">
      <w:r>
        <w:t>Model outcome uncertainty is divided into at least four categories in many uncertainty taxonomies: contextual or conceptual, input, parameter, and model structure uncertainty (U.</w:t>
      </w:r>
      <w:r w:rsidR="003B262F">
        <w:t>S. EPA 2002, Skinner et al. 2014</w:t>
      </w:r>
      <w:r>
        <w:t xml:space="preserve">, Refsgaard et al. 2007, Draper 1995), including for research focused on forest carbon and ecosystem modeling (Harmon et al. 2015, Larocque et al. 2008, Phillips et al. 2000). While we recognize that conceptual uncertainty can significantly influence both national and global LULUCF emissions estimates (Grassi et al. 2018, </w:t>
      </w:r>
      <w:proofErr w:type="spellStart"/>
      <w:r>
        <w:t>Pongratz</w:t>
      </w:r>
      <w:proofErr w:type="spellEnd"/>
      <w:r>
        <w:t xml:space="preserve"> et al. 2014, Pulles 2017), quantifying conceptual uncertainty in our analysis would require, at a minimum, comparing multiple studies using different definitions and interpretations of LULUCF inventory categories across a majority of the U.S. LULUCF inventory. Lacking </w:t>
      </w:r>
      <w:r>
        <w:lastRenderedPageBreak/>
        <w:t xml:space="preserve">this information, we are not able to account for conceptual uncertainty. Uncertainty due to sampling, or (hereafter) sampling error, is occasionally described as a component of input, parameter, or model uncertainty, depending on where sampling occurs. Given the large role of plot sampling in the LULUCF NGHGI, we treat this as a separate source of uncertainty, consistent with IPCC (2006, 2019) guidelines and other work (Phillips et al. 2000). </w:t>
      </w:r>
    </w:p>
    <w:p w14:paraId="5E7D3460" w14:textId="77777777" w:rsidR="00BE3F4E" w:rsidRDefault="00BE3F4E" w:rsidP="00BE3F4E">
      <w:r>
        <w:t xml:space="preserve">Input uncertainty refers to potential variability in model inputs (Harmon et al. 2007). For most inventory categories we do not account for measurement error because multiple findings suggest it is small, close to random, and declines over larger areas (Yanai et al. 2019, Harmon et al. 2015). We account for variability in activity data derived from samples or where, for example, plot-level model inputs are imputed from regional statistics. </w:t>
      </w:r>
    </w:p>
    <w:p w14:paraId="044F2091" w14:textId="23624BA2" w:rsidR="00BE3F4E" w:rsidRDefault="00BE3F4E" w:rsidP="00BE3F4E">
      <w:r>
        <w:t>Model structure uncertainty results from lack of knowledge about the true process which generates a GHG flux and can result in model misspecification and bias (Chatfield 1995). In our analysis we are only able to account for model structure uncertainty in cropland and grassland soil carbon stock changes and N</w:t>
      </w:r>
      <w:r w:rsidRPr="00614C1B">
        <w:rPr>
          <w:vertAlign w:val="subscript"/>
        </w:rPr>
        <w:t>2</w:t>
      </w:r>
      <w:r>
        <w:t>O emissions, supported by direct soil carbon and N</w:t>
      </w:r>
      <w:r w:rsidRPr="00614C1B">
        <w:rPr>
          <w:vertAlign w:val="subscript"/>
        </w:rPr>
        <w:t>2</w:t>
      </w:r>
      <w:r>
        <w:t>O measurements (Ogle et al. 2010, Del Grosso et al. 2010). Lacking direct observations for other inventory categories, we are unable to quantify model structure uncertainty elsewhere, treating all other models as unbiased.</w:t>
      </w:r>
    </w:p>
    <w:p w14:paraId="6AA11E69" w14:textId="77777777" w:rsidR="00BE3F4E" w:rsidRDefault="00BE3F4E" w:rsidP="00BE3F4E">
      <w:r>
        <w:t>Parameter uncertainty refers to lack of knowledge about the magnitude of exogenous factors that guide model relationships (Harmon et al. 2007, Harmon et al. 2015). Throughout our analysis, we use literature estimates of parameter uncertainty wherever available, and employ sensitivity analysis for influential parameters that lack empirical uncertainty estimates.</w:t>
      </w:r>
    </w:p>
    <w:p w14:paraId="421883C7" w14:textId="77777777" w:rsidR="00BE3F4E" w:rsidRDefault="00BE3F4E" w:rsidP="00BE3F4E">
      <w:r>
        <w:t xml:space="preserve">We refer to input, parameter, and model structure uncertainty collectively as model uncertainty, as distinct from sampling error. The U.S. NGHGI uses Forest Inventory Analysis (FIA) and National Resources Inventory (NRI) datasets, which are based on permanent plot systems distributed over regularly spaced sampling frames. The independence of the sampling design with respect to the landscape population is assumed to ensure a random sample of U.S. forests, croplands, and grasslands, allowing for a design-based approach to statistical inference (Bechtold and Patterson 2005, Nusser and Goebel 1997). To account for the fact that a different set of plot observations could result in an alternative population estimate, we use a post-stratified variance estimator to calculate GHG flux uncertainty due to design-based sampling error. </w:t>
      </w:r>
    </w:p>
    <w:p w14:paraId="418436C5" w14:textId="77777777" w:rsidR="00BE3F4E" w:rsidRPr="00614C1B" w:rsidRDefault="00BE3F4E" w:rsidP="00BE3F4E">
      <w:pPr>
        <w:rPr>
          <w:rFonts w:cstheme="minorHAnsi"/>
        </w:rPr>
      </w:pPr>
      <w:r w:rsidRPr="00614C1B">
        <w:rPr>
          <w:rFonts w:cstheme="minorHAnsi"/>
          <w:shd w:val="clear" w:color="auto" w:fill="FFFFFF"/>
        </w:rPr>
        <w:t xml:space="preserve">Given this taxonomy, we define an uncertainty element as an individual input, parameter, model </w:t>
      </w:r>
      <w:r>
        <w:rPr>
          <w:rFonts w:cstheme="minorHAnsi"/>
          <w:shd w:val="clear" w:color="auto" w:fill="FFFFFF"/>
        </w:rPr>
        <w:t xml:space="preserve">or </w:t>
      </w:r>
      <w:proofErr w:type="spellStart"/>
      <w:r>
        <w:rPr>
          <w:rFonts w:cstheme="minorHAnsi"/>
          <w:shd w:val="clear" w:color="auto" w:fill="FFFFFF"/>
        </w:rPr>
        <w:t>submodel</w:t>
      </w:r>
      <w:proofErr w:type="spellEnd"/>
      <w:r>
        <w:rPr>
          <w:rFonts w:cstheme="minorHAnsi"/>
          <w:shd w:val="clear" w:color="auto" w:fill="FFFFFF"/>
        </w:rPr>
        <w:t xml:space="preserve"> </w:t>
      </w:r>
      <w:r w:rsidRPr="00614C1B">
        <w:rPr>
          <w:rFonts w:cstheme="minorHAnsi"/>
          <w:shd w:val="clear" w:color="auto" w:fill="FFFFFF"/>
        </w:rPr>
        <w:t>component, and any instance of design-based sampling error. In some cases</w:t>
      </w:r>
      <w:r>
        <w:rPr>
          <w:rFonts w:cstheme="minorHAnsi"/>
          <w:shd w:val="clear" w:color="auto" w:fill="FFFFFF"/>
        </w:rPr>
        <w:t>,</w:t>
      </w:r>
      <w:r w:rsidRPr="00614C1B">
        <w:rPr>
          <w:rFonts w:cstheme="minorHAnsi"/>
          <w:shd w:val="clear" w:color="auto" w:fill="FFFFFF"/>
        </w:rPr>
        <w:t xml:space="preserve"> we aggregate uncertainty elements </w:t>
      </w:r>
      <w:r>
        <w:rPr>
          <w:rFonts w:cstheme="minorHAnsi"/>
          <w:shd w:val="clear" w:color="auto" w:fill="FFFFFF"/>
        </w:rPr>
        <w:t xml:space="preserve">into </w:t>
      </w:r>
      <w:r w:rsidRPr="00614C1B">
        <w:rPr>
          <w:rFonts w:cstheme="minorHAnsi"/>
          <w:shd w:val="clear" w:color="auto" w:fill="FFFFFF"/>
        </w:rPr>
        <w:t>a group of inputs or parameters for ease of analysis and interpretation.</w:t>
      </w:r>
    </w:p>
    <w:p w14:paraId="2A020FF6" w14:textId="77777777" w:rsidR="000265AF" w:rsidRDefault="000265AF" w:rsidP="00CE32DB"/>
    <w:p w14:paraId="28A0B72A" w14:textId="77777777" w:rsidR="00BE3F4E" w:rsidRDefault="00BE3F4E" w:rsidP="00CE32DB">
      <w:pPr>
        <w:sectPr w:rsidR="00BE3F4E" w:rsidSect="001A316D">
          <w:pgSz w:w="12240" w:h="15840"/>
          <w:pgMar w:top="1440" w:right="1440" w:bottom="1440" w:left="1440" w:header="720" w:footer="720" w:gutter="0"/>
          <w:cols w:space="720"/>
          <w:docGrid w:linePitch="360"/>
        </w:sectPr>
      </w:pPr>
    </w:p>
    <w:p w14:paraId="25B0ADCB" w14:textId="57AEA830" w:rsidR="00564163" w:rsidRPr="00E6714E" w:rsidRDefault="00320F13" w:rsidP="00E6714E">
      <w:pPr>
        <w:pStyle w:val="Heading1"/>
      </w:pPr>
      <w:bookmarkStart w:id="5" w:name="_Toc5268906"/>
      <w:bookmarkStart w:id="6" w:name="_Toc5268979"/>
      <w:bookmarkStart w:id="7" w:name="_Toc5291540"/>
      <w:bookmarkStart w:id="8" w:name="_Toc5291607"/>
      <w:bookmarkStart w:id="9" w:name="_Toc5291674"/>
      <w:bookmarkStart w:id="10" w:name="_Toc5291705"/>
      <w:bookmarkStart w:id="11" w:name="_Toc5291758"/>
      <w:bookmarkStart w:id="12" w:name="_Toc5291795"/>
      <w:bookmarkStart w:id="13" w:name="_Toc5291843"/>
      <w:bookmarkStart w:id="14" w:name="_Toc5291872"/>
      <w:bookmarkStart w:id="15" w:name="_Toc5291944"/>
      <w:bookmarkStart w:id="16" w:name="_Toc5292149"/>
      <w:bookmarkStart w:id="17" w:name="_Toc5292169"/>
      <w:bookmarkStart w:id="18" w:name="_Toc5292189"/>
      <w:bookmarkStart w:id="19" w:name="_Toc5292217"/>
      <w:bookmarkStart w:id="20" w:name="_Toc5268907"/>
      <w:bookmarkStart w:id="21" w:name="_Toc5268980"/>
      <w:bookmarkStart w:id="22" w:name="_Toc5291541"/>
      <w:bookmarkStart w:id="23" w:name="_Toc5291608"/>
      <w:bookmarkStart w:id="24" w:name="_Toc5291675"/>
      <w:bookmarkStart w:id="25" w:name="_Toc5291706"/>
      <w:bookmarkStart w:id="26" w:name="_Toc5291759"/>
      <w:bookmarkStart w:id="27" w:name="_Toc5291796"/>
      <w:bookmarkStart w:id="28" w:name="_Toc5291844"/>
      <w:bookmarkStart w:id="29" w:name="_Toc5291873"/>
      <w:bookmarkStart w:id="30" w:name="_Toc5291945"/>
      <w:bookmarkStart w:id="31" w:name="_Toc5292150"/>
      <w:bookmarkStart w:id="32" w:name="_Toc5292170"/>
      <w:bookmarkStart w:id="33" w:name="_Toc5292190"/>
      <w:bookmarkStart w:id="34" w:name="_Toc5292218"/>
      <w:bookmarkStart w:id="35" w:name="_Toc8478438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E6714E">
        <w:lastRenderedPageBreak/>
        <w:t>F</w:t>
      </w:r>
      <w:r w:rsidR="008E77A4">
        <w:t>orest</w:t>
      </w:r>
      <w:r w:rsidR="00DA7B4C">
        <w:t>s</w:t>
      </w:r>
      <w:bookmarkEnd w:id="35"/>
    </w:p>
    <w:p w14:paraId="4EA6C201" w14:textId="0ADE0797" w:rsidR="00F634DE" w:rsidRPr="000415B6" w:rsidRDefault="00F634DE" w:rsidP="00E6714E">
      <w:pPr>
        <w:pStyle w:val="Heading2"/>
        <w:numPr>
          <w:ilvl w:val="0"/>
          <w:numId w:val="0"/>
        </w:numPr>
        <w:spacing w:before="240"/>
        <w:ind w:left="576"/>
      </w:pPr>
      <w:r w:rsidRPr="000415B6">
        <w:t xml:space="preserve">2.1 </w:t>
      </w:r>
      <w:r w:rsidR="008F6D5A">
        <w:t>Carbon stock change in</w:t>
      </w:r>
      <w:r w:rsidR="00195F4D">
        <w:t xml:space="preserve"> forest</w:t>
      </w:r>
      <w:r w:rsidR="008F6D5A">
        <w:t xml:space="preserve"> </w:t>
      </w:r>
      <w:r w:rsidR="00EE17B9">
        <w:t xml:space="preserve">above- and belowground </w:t>
      </w:r>
      <w:r w:rsidR="008F6D5A">
        <w:t>b</w:t>
      </w:r>
      <w:r w:rsidR="002B5371" w:rsidRPr="000415B6">
        <w:t>iomass</w:t>
      </w:r>
      <w:r w:rsidR="00663FBD">
        <w:t xml:space="preserve"> and</w:t>
      </w:r>
      <w:r w:rsidR="002B5371" w:rsidRPr="000415B6">
        <w:t xml:space="preserve"> deadwood</w:t>
      </w:r>
    </w:p>
    <w:p w14:paraId="1C17078A" w14:textId="31547512" w:rsidR="004326E8" w:rsidRPr="00195F4D" w:rsidRDefault="004326E8" w:rsidP="00E6714E">
      <w:pPr>
        <w:spacing w:before="240" w:after="0"/>
        <w:rPr>
          <w:rStyle w:val="Strong"/>
          <w:rFonts w:asciiTheme="majorHAnsi" w:eastAsiaTheme="majorEastAsia" w:hAnsiTheme="majorHAnsi" w:cstheme="majorBidi"/>
          <w:b w:val="0"/>
          <w:color w:val="2E74B5" w:themeColor="accent1" w:themeShade="BF"/>
          <w:sz w:val="26"/>
          <w:szCs w:val="26"/>
        </w:rPr>
      </w:pPr>
      <w:r w:rsidRPr="00195F4D">
        <w:rPr>
          <w:rStyle w:val="Strong"/>
          <w:rFonts w:asciiTheme="majorHAnsi" w:eastAsiaTheme="majorEastAsia" w:hAnsiTheme="majorHAnsi" w:cstheme="majorBidi"/>
          <w:b w:val="0"/>
          <w:color w:val="2E74B5" w:themeColor="accent1" w:themeShade="BF"/>
          <w:sz w:val="26"/>
          <w:szCs w:val="26"/>
        </w:rPr>
        <w:t>NGHGI Methods</w:t>
      </w:r>
    </w:p>
    <w:p w14:paraId="474DDEF2" w14:textId="520CF59D" w:rsidR="00D441B7" w:rsidRDefault="00A336C3" w:rsidP="00E6714E">
      <w:pPr>
        <w:rPr>
          <w:rFonts w:ascii="Calibri" w:hAnsi="Calibri"/>
        </w:rPr>
      </w:pPr>
      <w:r>
        <w:rPr>
          <w:rFonts w:ascii="Calibri" w:hAnsi="Calibri"/>
        </w:rPr>
        <w:t>T</w:t>
      </w:r>
      <w:r w:rsidR="00E6714E">
        <w:rPr>
          <w:rFonts w:ascii="Calibri" w:hAnsi="Calibri"/>
        </w:rPr>
        <w:t>he NGHGI uses the stock-difference method</w:t>
      </w:r>
      <w:r>
        <w:rPr>
          <w:rFonts w:ascii="Calibri" w:hAnsi="Calibri"/>
        </w:rPr>
        <w:t xml:space="preserve"> to calculate </w:t>
      </w:r>
      <w:r w:rsidR="00E6714E">
        <w:rPr>
          <w:rFonts w:ascii="Calibri" w:hAnsi="Calibri"/>
        </w:rPr>
        <w:t xml:space="preserve">the forest </w:t>
      </w:r>
      <w:r>
        <w:rPr>
          <w:rFonts w:ascii="Calibri" w:hAnsi="Calibri"/>
        </w:rPr>
        <w:t xml:space="preserve">ecosystem </w:t>
      </w:r>
      <w:r w:rsidR="00E6714E">
        <w:rPr>
          <w:rFonts w:ascii="Calibri" w:hAnsi="Calibri"/>
        </w:rPr>
        <w:t xml:space="preserve">carbon flux in year </w:t>
      </w:r>
      <w:r w:rsidR="00E6714E" w:rsidRPr="008C6FCA">
        <w:rPr>
          <w:rFonts w:ascii="Calibri" w:hAnsi="Calibri"/>
          <w:i/>
        </w:rPr>
        <w:t>t</w:t>
      </w:r>
      <w:r w:rsidR="00E6714E">
        <w:rPr>
          <w:rFonts w:ascii="Calibri" w:hAnsi="Calibri"/>
        </w:rPr>
        <w:t xml:space="preserve"> is calculated as the difference between carbon stocks in year </w:t>
      </w:r>
      <w:r w:rsidR="00E6714E" w:rsidRPr="008C6FCA">
        <w:rPr>
          <w:rFonts w:ascii="Calibri" w:hAnsi="Calibri"/>
          <w:i/>
        </w:rPr>
        <w:t>t</w:t>
      </w:r>
      <w:r w:rsidR="00E6714E">
        <w:rPr>
          <w:rFonts w:ascii="Calibri" w:hAnsi="Calibri"/>
        </w:rPr>
        <w:t xml:space="preserve"> and year </w:t>
      </w:r>
      <w:r w:rsidR="00E6714E" w:rsidRPr="008C6FCA">
        <w:rPr>
          <w:rFonts w:ascii="Calibri" w:hAnsi="Calibri"/>
          <w:i/>
        </w:rPr>
        <w:t>t-1</w:t>
      </w:r>
      <w:r w:rsidR="00E6714E">
        <w:rPr>
          <w:rFonts w:ascii="Calibri" w:hAnsi="Calibri"/>
        </w:rPr>
        <w:t xml:space="preserve">. The NGHGI decomposes forest ecosystem carbon stocks into five distinct pools: (1) </w:t>
      </w:r>
      <w:r>
        <w:rPr>
          <w:rFonts w:ascii="Calibri" w:hAnsi="Calibri"/>
        </w:rPr>
        <w:t xml:space="preserve">live tree </w:t>
      </w:r>
      <w:r w:rsidR="00E6714E">
        <w:rPr>
          <w:rFonts w:ascii="Calibri" w:hAnsi="Calibri"/>
        </w:rPr>
        <w:t xml:space="preserve">aboveground biomass; (2) </w:t>
      </w:r>
      <w:r>
        <w:rPr>
          <w:rFonts w:ascii="Calibri" w:hAnsi="Calibri"/>
        </w:rPr>
        <w:t xml:space="preserve">live tree </w:t>
      </w:r>
      <w:r w:rsidR="00E6714E">
        <w:rPr>
          <w:rFonts w:ascii="Calibri" w:hAnsi="Calibri"/>
        </w:rPr>
        <w:t xml:space="preserve">belowground biomass; (3) dead wood, including both downed dead wood and standing dead trees; (4) litter; and (5) soil. Forest ecosystem carbon stocks are quantified using a Tier 3 method. Tree, downed dead wood, litter, and soil </w:t>
      </w:r>
      <w:r w:rsidR="00E6714E" w:rsidRPr="000B2916">
        <w:rPr>
          <w:rFonts w:ascii="Calibri" w:hAnsi="Calibri"/>
        </w:rPr>
        <w:t>measurements</w:t>
      </w:r>
      <w:r w:rsidR="00E6714E">
        <w:rPr>
          <w:rFonts w:ascii="Calibri" w:hAnsi="Calibri"/>
        </w:rPr>
        <w:t xml:space="preserve"> are</w:t>
      </w:r>
      <w:r w:rsidR="00E6714E" w:rsidRPr="000B2916">
        <w:rPr>
          <w:rFonts w:ascii="Calibri" w:hAnsi="Calibri"/>
        </w:rPr>
        <w:t xml:space="preserve"> taken on U.S. forest</w:t>
      </w:r>
      <w:r w:rsidR="005E586E">
        <w:rPr>
          <w:rFonts w:ascii="Calibri" w:hAnsi="Calibri"/>
        </w:rPr>
        <w:t xml:space="preserve"> </w:t>
      </w:r>
      <w:r w:rsidR="00E6714E" w:rsidRPr="000B2916">
        <w:rPr>
          <w:rFonts w:ascii="Calibri" w:hAnsi="Calibri"/>
        </w:rPr>
        <w:t>land plots</w:t>
      </w:r>
      <w:r w:rsidR="00447A15">
        <w:rPr>
          <w:rFonts w:ascii="Calibri" w:hAnsi="Calibri"/>
        </w:rPr>
        <w:t xml:space="preserve"> </w:t>
      </w:r>
      <w:r w:rsidR="00E6714E" w:rsidRPr="000B2916">
        <w:rPr>
          <w:rFonts w:ascii="Calibri" w:hAnsi="Calibri"/>
        </w:rPr>
        <w:t>through the Forest Inventory and Analysis (FIA) program (USDA Forest Service, 2018)</w:t>
      </w:r>
      <w:r w:rsidR="00E6714E">
        <w:rPr>
          <w:rFonts w:ascii="Calibri" w:hAnsi="Calibri"/>
        </w:rPr>
        <w:t xml:space="preserve">. These measurements </w:t>
      </w:r>
      <w:r w:rsidR="00E6714E" w:rsidRPr="000B2916">
        <w:rPr>
          <w:rFonts w:ascii="Calibri" w:hAnsi="Calibri"/>
        </w:rPr>
        <w:t>are used to estimate carbon stocks using a suite of empirical and statistical models</w:t>
      </w:r>
      <w:r w:rsidR="00E6714E">
        <w:rPr>
          <w:rFonts w:ascii="Calibri" w:hAnsi="Calibri"/>
        </w:rPr>
        <w:t xml:space="preserve"> (e.g., Domke et al., 2011, 2016, 2017; Jenkins et al., 2003; Raile, 1982; Woodall et al., 2011)</w:t>
      </w:r>
      <w:r w:rsidR="00E6714E" w:rsidRPr="000B2916">
        <w:rPr>
          <w:rFonts w:ascii="Calibri" w:hAnsi="Calibri"/>
        </w:rPr>
        <w:t>. Plot-level</w:t>
      </w:r>
      <w:r w:rsidR="00E6714E" w:rsidRPr="004F5656">
        <w:rPr>
          <w:rFonts w:ascii="Calibri" w:hAnsi="Calibri"/>
        </w:rPr>
        <w:t xml:space="preserve"> </w:t>
      </w:r>
      <w:r w:rsidR="00E6714E">
        <w:rPr>
          <w:rFonts w:ascii="Calibri" w:hAnsi="Calibri"/>
        </w:rPr>
        <w:t xml:space="preserve">estimates are </w:t>
      </w:r>
      <w:r w:rsidR="00E6714E" w:rsidRPr="004F5656">
        <w:rPr>
          <w:rFonts w:ascii="Calibri" w:hAnsi="Calibri"/>
        </w:rPr>
        <w:t>sc</w:t>
      </w:r>
      <w:r w:rsidR="00E6714E">
        <w:rPr>
          <w:rFonts w:ascii="Calibri" w:hAnsi="Calibri"/>
        </w:rPr>
        <w:t xml:space="preserve">aled to the entire U.S. forest </w:t>
      </w:r>
      <w:r w:rsidR="00E27B3A">
        <w:rPr>
          <w:rFonts w:ascii="Calibri" w:hAnsi="Calibri"/>
        </w:rPr>
        <w:t>area</w:t>
      </w:r>
      <w:r w:rsidR="00E6714E">
        <w:rPr>
          <w:rFonts w:ascii="Calibri" w:hAnsi="Calibri"/>
        </w:rPr>
        <w:t xml:space="preserve"> using post-stratified estimators (Bechtold and Patterson, 2005). Since FIA measurements taken under the current sampling framework are not available for the entire NGHGI</w:t>
      </w:r>
      <w:r w:rsidR="00181328">
        <w:rPr>
          <w:rFonts w:ascii="Calibri" w:hAnsi="Calibri"/>
        </w:rPr>
        <w:t xml:space="preserve"> (2018)</w:t>
      </w:r>
      <w:r w:rsidR="00E6714E">
        <w:rPr>
          <w:rFonts w:ascii="Calibri" w:hAnsi="Calibri"/>
        </w:rPr>
        <w:t xml:space="preserve"> estimation timeframe (1990–2016),</w:t>
      </w:r>
      <w:r w:rsidR="00F90861">
        <w:rPr>
          <w:rFonts w:ascii="Calibri" w:hAnsi="Calibri"/>
        </w:rPr>
        <w:t xml:space="preserve"> and because FIA plots are not re</w:t>
      </w:r>
      <w:r w:rsidR="00530E8E">
        <w:rPr>
          <w:rFonts w:ascii="Calibri" w:hAnsi="Calibri"/>
        </w:rPr>
        <w:t>-</w:t>
      </w:r>
      <w:r w:rsidR="00F90861">
        <w:rPr>
          <w:rFonts w:ascii="Calibri" w:hAnsi="Calibri"/>
        </w:rPr>
        <w:t>measured annually,</w:t>
      </w:r>
      <w:r w:rsidR="00E6714E">
        <w:rPr>
          <w:rFonts w:ascii="Calibri" w:hAnsi="Calibri"/>
        </w:rPr>
        <w:t xml:space="preserve"> </w:t>
      </w:r>
      <w:r w:rsidR="00E6714E" w:rsidRPr="00FA5B18">
        <w:rPr>
          <w:rFonts w:ascii="Calibri" w:hAnsi="Calibri"/>
        </w:rPr>
        <w:t xml:space="preserve">age transition and land-use change matrices are required to estimate </w:t>
      </w:r>
      <w:r w:rsidR="00F90861">
        <w:rPr>
          <w:rFonts w:ascii="Calibri" w:hAnsi="Calibri"/>
        </w:rPr>
        <w:t xml:space="preserve">annual </w:t>
      </w:r>
      <w:r w:rsidR="00E6714E" w:rsidRPr="00FA5B18">
        <w:rPr>
          <w:rFonts w:ascii="Calibri" w:hAnsi="Calibri"/>
        </w:rPr>
        <w:t>carbon stock changes(Coulston et al., 2015; Wear and Coulston, 2015; Woodall et al., 2015).</w:t>
      </w:r>
      <w:r w:rsidR="00E6714E">
        <w:rPr>
          <w:rFonts w:ascii="Calibri" w:hAnsi="Calibri"/>
        </w:rPr>
        <w:t xml:space="preserve"> </w:t>
      </w:r>
      <w:r w:rsidR="00E6714E" w:rsidRPr="001B57F6">
        <w:rPr>
          <w:rFonts w:ascii="Calibri" w:hAnsi="Calibri"/>
        </w:rPr>
        <w:t>Calculations</w:t>
      </w:r>
      <w:r w:rsidR="00E6714E">
        <w:rPr>
          <w:rFonts w:ascii="Calibri" w:hAnsi="Calibri"/>
        </w:rPr>
        <w:t xml:space="preserve"> are carried out separately for forests remaining forests (FRF), non-forest to forest conversion (NFF), and forest to non-forest conversion (FNF)</w:t>
      </w:r>
      <w:r w:rsidR="00EE17B9">
        <w:rPr>
          <w:rFonts w:ascii="Calibri" w:hAnsi="Calibri"/>
        </w:rPr>
        <w:t xml:space="preserve">, accounting for carbon stock changes due to </w:t>
      </w:r>
      <w:r w:rsidR="00E6714E">
        <w:rPr>
          <w:rFonts w:ascii="Calibri" w:hAnsi="Calibri"/>
        </w:rPr>
        <w:t>both land-use change and forest dynamics (i.e., disturbance and growth). We describe each step of this method in more detail</w:t>
      </w:r>
      <w:r w:rsidR="005C7DBE">
        <w:rPr>
          <w:rFonts w:ascii="Calibri" w:hAnsi="Calibri"/>
        </w:rPr>
        <w:t xml:space="preserve">. </w:t>
      </w:r>
    </w:p>
    <w:p w14:paraId="00F00878" w14:textId="583C87F3" w:rsidR="00E6714E" w:rsidRDefault="00447A15" w:rsidP="00E6714E">
      <w:pPr>
        <w:rPr>
          <w:rFonts w:ascii="Calibri" w:hAnsi="Calibri"/>
        </w:rPr>
      </w:pPr>
      <w:r>
        <w:rPr>
          <w:rFonts w:ascii="Calibri" w:hAnsi="Calibri"/>
        </w:rPr>
        <w:t xml:space="preserve">The first step is data collection at FIA plots. </w:t>
      </w:r>
      <w:r w:rsidR="00E6714E">
        <w:rPr>
          <w:rFonts w:ascii="Calibri" w:hAnsi="Calibri"/>
        </w:rPr>
        <w:t xml:space="preserve">The FIA program uses three levels of sampling, denoted Phases 1, 2, and 3 (Bechtold and Patterson, 2005). In Phase 1, imagery – historically aerial photography, but increasingly satellite imagery – is used to stratify the </w:t>
      </w:r>
      <w:r w:rsidR="00E6714E" w:rsidRPr="004A2145">
        <w:rPr>
          <w:rFonts w:ascii="Calibri" w:hAnsi="Calibri"/>
        </w:rPr>
        <w:t>U.S. land base</w:t>
      </w:r>
      <w:r w:rsidR="00E6714E">
        <w:rPr>
          <w:rFonts w:ascii="Calibri" w:hAnsi="Calibri"/>
        </w:rPr>
        <w:t xml:space="preserve"> between forest and non-forest and by more detailed forest characteristics</w:t>
      </w:r>
      <w:r w:rsidR="00E6714E" w:rsidRPr="004A2145">
        <w:rPr>
          <w:rFonts w:ascii="Calibri" w:hAnsi="Calibri"/>
        </w:rPr>
        <w:t xml:space="preserve">. In Phase 2 sampling, measurements are </w:t>
      </w:r>
      <w:r w:rsidR="00E6714E">
        <w:rPr>
          <w:rFonts w:ascii="Calibri" w:hAnsi="Calibri"/>
        </w:rPr>
        <w:t>taken</w:t>
      </w:r>
      <w:r w:rsidR="00E6714E" w:rsidRPr="004A2145">
        <w:rPr>
          <w:rFonts w:ascii="Calibri" w:hAnsi="Calibri"/>
        </w:rPr>
        <w:t xml:space="preserve"> on a nationally distributed set of </w:t>
      </w:r>
      <w:r w:rsidR="00E6714E">
        <w:rPr>
          <w:rFonts w:ascii="Calibri" w:hAnsi="Calibri"/>
        </w:rPr>
        <w:t xml:space="preserve">permanent </w:t>
      </w:r>
      <w:r w:rsidR="00E6714E" w:rsidRPr="004A2145">
        <w:rPr>
          <w:rFonts w:ascii="Calibri" w:hAnsi="Calibri"/>
        </w:rPr>
        <w:t>field plots that</w:t>
      </w:r>
      <w:r w:rsidR="00E6714E">
        <w:rPr>
          <w:rFonts w:ascii="Calibri" w:hAnsi="Calibri"/>
        </w:rPr>
        <w:t xml:space="preserve"> have been established at a density of approximately 1 plot per </w:t>
      </w:r>
      <w:r w:rsidR="00F90861">
        <w:rPr>
          <w:rFonts w:ascii="Calibri" w:hAnsi="Calibri"/>
        </w:rPr>
        <w:t>6,000</w:t>
      </w:r>
      <w:r w:rsidR="00E6714E">
        <w:rPr>
          <w:rFonts w:ascii="Calibri" w:hAnsi="Calibri"/>
        </w:rPr>
        <w:t xml:space="preserve"> acres of the U.S. land base. The Forest Service collects many data for each Phase 2 plot that is forested. The most important tree-level data for the NGHGI include tree status (i.e., living or dead), species, height, diameter, cull, and decay class. Phase 3 sampling occurs on 1/16 of Phase 2 plots and includes additional forest ecosystem measurements, including those focused on downed dead wood, litter, and soils. In the eastern United States, each FIA field plot is re-measured once every 5 years on a rotating basis (roughly 20% of plots are measured each year). In the western United States, the measurement cycle is on the order of 10 years. The NGHGI uses only those FIA field measurements obtained under the nationally consistent plot design and sampling protocol that was introduced in 1998, with plot establishment and measurements commencing in the following years (Bechtold and Patterson, 2005). </w:t>
      </w:r>
    </w:p>
    <w:p w14:paraId="13818278" w14:textId="764B103E" w:rsidR="00E6714E" w:rsidRDefault="00E6714E" w:rsidP="00E6714E">
      <w:pPr>
        <w:rPr>
          <w:rFonts w:ascii="Calibri" w:hAnsi="Calibri"/>
        </w:rPr>
      </w:pPr>
      <w:r>
        <w:rPr>
          <w:rFonts w:ascii="Calibri" w:hAnsi="Calibri"/>
        </w:rPr>
        <w:t xml:space="preserve">Since quantities calculated at plot level must be scaled to population level (e.g., </w:t>
      </w:r>
      <w:r w:rsidRPr="003054E0">
        <w:rPr>
          <w:rFonts w:ascii="Calibri" w:hAnsi="Calibri"/>
        </w:rPr>
        <w:t>state or national forest area</w:t>
      </w:r>
      <w:r>
        <w:rPr>
          <w:rFonts w:ascii="Calibri" w:hAnsi="Calibri"/>
        </w:rPr>
        <w:t xml:space="preserve">), the Phase 1 stratification is used as a variance reduction technique, and each FIA region is therefore permitted to determine the frequency and technique by which the stratification is performed (Bechtold and Patterson, 2005). When a wall-to-wall remote sensing technique is applied, the entire land base is pixelated, with each pixel assigned to one stratum. Phase 1 stratification is performed </w:t>
      </w:r>
      <w:r>
        <w:rPr>
          <w:rFonts w:ascii="Calibri" w:hAnsi="Calibri"/>
        </w:rPr>
        <w:lastRenderedPageBreak/>
        <w:t xml:space="preserve">without the use of ground-based data from the Phase 2 and Phase 3 FIA measurement plots. Each ground plot is assigned to one of the strata according to which pixel overlaps the plot center. In Texas, </w:t>
      </w:r>
      <w:r w:rsidRPr="0007377A">
        <w:rPr>
          <w:rFonts w:ascii="Calibri" w:hAnsi="Calibri"/>
        </w:rPr>
        <w:t>the stratification is based on canopy cover from the 2011 National Land Cover Database (NLCD; Homer et al., 2015).</w:t>
      </w:r>
      <w:r>
        <w:rPr>
          <w:rFonts w:ascii="Calibri" w:hAnsi="Calibri"/>
        </w:rPr>
        <w:t xml:space="preserve"> </w:t>
      </w:r>
    </w:p>
    <w:p w14:paraId="29E6792B" w14:textId="2DD43BE8" w:rsidR="00EE17B9" w:rsidRDefault="00E6714E" w:rsidP="00E6714E">
      <w:pPr>
        <w:rPr>
          <w:rFonts w:ascii="Calibri" w:hAnsi="Calibri"/>
        </w:rPr>
      </w:pPr>
      <w:r>
        <w:rPr>
          <w:rFonts w:ascii="Calibri" w:hAnsi="Calibri"/>
        </w:rPr>
        <w:t xml:space="preserve">FIA field plots in eastern states have completed at least two full measurement cycles, so carbon </w:t>
      </w:r>
      <w:r w:rsidR="00EE17B9">
        <w:rPr>
          <w:rFonts w:ascii="Calibri" w:hAnsi="Calibri"/>
        </w:rPr>
        <w:t xml:space="preserve">stock change </w:t>
      </w:r>
      <w:r>
        <w:rPr>
          <w:rFonts w:ascii="Calibri" w:hAnsi="Calibri"/>
        </w:rPr>
        <w:t xml:space="preserve">estimates are based on data from re-measured plots. </w:t>
      </w:r>
      <w:r w:rsidRPr="00405297">
        <w:rPr>
          <w:rFonts w:ascii="Calibri" w:hAnsi="Calibri"/>
        </w:rPr>
        <w:t xml:space="preserve">For </w:t>
      </w:r>
      <w:r w:rsidR="00EE17B9">
        <w:rPr>
          <w:rFonts w:ascii="Calibri" w:hAnsi="Calibri"/>
        </w:rPr>
        <w:t xml:space="preserve">Wyoming and Western Oklahoma, </w:t>
      </w:r>
      <w:r w:rsidRPr="00405297">
        <w:rPr>
          <w:rFonts w:ascii="Calibri" w:hAnsi="Calibri"/>
        </w:rPr>
        <w:t>a complete set of re-measurements is not yet available, necessitating</w:t>
      </w:r>
      <w:r>
        <w:rPr>
          <w:rFonts w:ascii="Calibri" w:hAnsi="Calibri"/>
        </w:rPr>
        <w:t xml:space="preserve"> theoretical </w:t>
      </w:r>
      <w:r w:rsidR="00EE17B9">
        <w:rPr>
          <w:rFonts w:ascii="Calibri" w:hAnsi="Calibri"/>
        </w:rPr>
        <w:t xml:space="preserve">transition matrices to estimate plot-level carbon stock change </w:t>
      </w:r>
      <w:r>
        <w:rPr>
          <w:rFonts w:ascii="Calibri" w:hAnsi="Calibri"/>
        </w:rPr>
        <w:t>(Wear and Coulston, 2015</w:t>
      </w:r>
      <w:r w:rsidR="00EE17B9">
        <w:rPr>
          <w:rFonts w:ascii="Calibri" w:hAnsi="Calibri"/>
        </w:rPr>
        <w:t>, NGHGHI 2020</w:t>
      </w:r>
      <w:r>
        <w:rPr>
          <w:rFonts w:ascii="Calibri" w:hAnsi="Calibri"/>
        </w:rPr>
        <w:t>)</w:t>
      </w:r>
      <w:r w:rsidR="00C51FC1">
        <w:rPr>
          <w:rFonts w:ascii="Calibri" w:hAnsi="Calibri"/>
        </w:rPr>
        <w:t xml:space="preserve">. </w:t>
      </w:r>
    </w:p>
    <w:p w14:paraId="6A76E2C6" w14:textId="25384C45" w:rsidR="00E6714E" w:rsidRDefault="00EE17B9" w:rsidP="00E6714E">
      <w:pPr>
        <w:rPr>
          <w:rFonts w:ascii="Calibri" w:hAnsi="Calibri"/>
        </w:rPr>
      </w:pPr>
      <w:r>
        <w:rPr>
          <w:rFonts w:ascii="Calibri" w:hAnsi="Calibri"/>
        </w:rPr>
        <w:t xml:space="preserve">National forest ecosystem carbon stock change is calculated </w:t>
      </w:r>
      <w:r w:rsidR="00F8540A">
        <w:rPr>
          <w:rFonts w:ascii="Calibri" w:hAnsi="Calibri"/>
        </w:rPr>
        <w:t>using</w:t>
      </w:r>
      <w:r>
        <w:rPr>
          <w:rFonts w:ascii="Calibri" w:hAnsi="Calibri"/>
        </w:rPr>
        <w:t xml:space="preserve"> Equation </w:t>
      </w:r>
      <w:r w:rsidR="005E4D1E">
        <w:rPr>
          <w:rFonts w:ascii="Calibri" w:hAnsi="Calibri"/>
        </w:rPr>
        <w:t>2</w:t>
      </w:r>
      <w:r w:rsidR="003D6858">
        <w:rPr>
          <w:rFonts w:ascii="Calibri" w:hAnsi="Calibri"/>
        </w:rPr>
        <w:t>-</w:t>
      </w:r>
      <w:r>
        <w:rPr>
          <w:rFonts w:ascii="Calibri" w:hAnsi="Calibri"/>
        </w:rPr>
        <w:t xml:space="preserve">1 </w:t>
      </w:r>
      <w:r w:rsidR="00E6714E">
        <w:rPr>
          <w:rFonts w:ascii="Calibri" w:hAnsi="Calibri"/>
        </w:rPr>
        <w:t>(</w:t>
      </w:r>
      <w:r w:rsidR="00E6714E" w:rsidRPr="00B765E6">
        <w:t>Annex 3</w:t>
      </w:r>
      <w:r w:rsidR="00F90861">
        <w:t>.13</w:t>
      </w:r>
      <w:r w:rsidR="00E6714E">
        <w:t xml:space="preserve"> of </w:t>
      </w:r>
      <w:r w:rsidR="00E6714E">
        <w:rPr>
          <w:rFonts w:cstheme="minorHAnsi"/>
          <w:bCs/>
          <w:bdr w:val="none" w:sz="0" w:space="0" w:color="auto" w:frame="1"/>
        </w:rPr>
        <w:t>NGHGI</w:t>
      </w:r>
      <w:r w:rsidR="00E6714E" w:rsidRPr="00395072">
        <w:rPr>
          <w:rFonts w:ascii="Calibri" w:hAnsi="Calibri"/>
        </w:rPr>
        <w:t>, 2018;</w:t>
      </w:r>
      <w:r w:rsidR="00E6714E">
        <w:rPr>
          <w:rFonts w:ascii="Calibri" w:hAnsi="Calibri"/>
        </w:rPr>
        <w:t xml:space="preserve"> Wear and Coulston, 2015)</w:t>
      </w:r>
      <w:r>
        <w:rPr>
          <w:rFonts w:ascii="Calibri" w:hAnsi="Calibri"/>
        </w:rPr>
        <w:t>:</w:t>
      </w:r>
    </w:p>
    <w:p w14:paraId="6DE6BF93" w14:textId="7BD2C87B" w:rsidR="00E6714E" w:rsidRPr="00DD2D5D" w:rsidRDefault="00E6714E" w:rsidP="00E6714E">
      <w:pPr>
        <w:pStyle w:val="Caption"/>
        <w:rPr>
          <w:b/>
          <w:sz w:val="22"/>
          <w:szCs w:val="22"/>
        </w:rPr>
      </w:pPr>
      <w:bookmarkStart w:id="36" w:name="_Ref5100347"/>
      <w:r w:rsidRPr="00DD2D5D">
        <w:rPr>
          <w:b/>
          <w:sz w:val="22"/>
          <w:szCs w:val="22"/>
        </w:rPr>
        <w:t xml:space="preserve">Equation </w:t>
      </w:r>
      <w:r w:rsidR="005E4D1E">
        <w:rPr>
          <w:b/>
          <w:sz w:val="22"/>
          <w:szCs w:val="22"/>
        </w:rPr>
        <w:t>2</w:t>
      </w:r>
      <w:r w:rsidR="003D6858">
        <w:rPr>
          <w:b/>
          <w:sz w:val="22"/>
          <w:szCs w:val="22"/>
        </w:rPr>
        <w:t>-</w:t>
      </w:r>
      <w:r w:rsidR="001B5A68">
        <w:rPr>
          <w:b/>
          <w:sz w:val="22"/>
          <w:szCs w:val="22"/>
        </w:rPr>
        <w:t>1</w:t>
      </w:r>
      <w:r w:rsidRPr="00DD2D5D">
        <w:rPr>
          <w:b/>
          <w:sz w:val="22"/>
          <w:szCs w:val="22"/>
        </w:rPr>
        <w:t>:</w:t>
      </w:r>
      <w:bookmarkEnd w:id="36"/>
      <w:r>
        <w:rPr>
          <w:b/>
          <w:sz w:val="22"/>
          <w:szCs w:val="22"/>
        </w:rPr>
        <w:t xml:space="preserve"> Forest carbon stock change (NGHGI, 2018</w:t>
      </w:r>
      <w:r w:rsidR="00A3523E">
        <w:rPr>
          <w:b/>
          <w:sz w:val="22"/>
          <w:szCs w:val="22"/>
        </w:rPr>
        <w:t>; Wear and Coulston, 2015</w:t>
      </w:r>
      <w:r>
        <w:rPr>
          <w:b/>
          <w:sz w:val="22"/>
          <w:szCs w:val="22"/>
        </w:rPr>
        <w:t>)</w:t>
      </w:r>
    </w:p>
    <w:p w14:paraId="4850534D" w14:textId="77777777" w:rsidR="00E6714E" w:rsidRDefault="00E6714E" w:rsidP="00E6714E">
      <w:pPr>
        <w:rPr>
          <w:rFonts w:ascii="Calibri" w:hAnsi="Calibri"/>
        </w:rPr>
      </w:pPr>
      <m:oMathPara>
        <m:oMath>
          <m:r>
            <w:rPr>
              <w:rFonts w:ascii="Cambria Math" w:hAnsi="Cambria Math"/>
            </w:rPr>
            <m:t>∆</m:t>
          </m:r>
          <m:sSub>
            <m:sSubPr>
              <m:ctrlPr>
                <w:rPr>
                  <w:rFonts w:ascii="Cambria Math" w:eastAsiaTheme="minorEastAsia" w:hAnsi="Cambria Math"/>
                  <w:i/>
                </w:rPr>
              </m:ctrlPr>
            </m:sSubPr>
            <m:e>
              <m:r>
                <w:rPr>
                  <w:rFonts w:ascii="Cambria Math" w:hAnsi="Cambria Math"/>
                </w:rPr>
                <m:t>C</m:t>
              </m:r>
            </m:e>
            <m:sub>
              <m:r>
                <w:rPr>
                  <w:rFonts w:ascii="Cambria Math" w:hAnsi="Cambria Math"/>
                </w:rPr>
                <m:t>t+s</m:t>
              </m:r>
            </m:sub>
          </m:sSub>
          <m:r>
            <w:rPr>
              <w:rFonts w:ascii="Cambria Math" w:hAnsi="Cambria Math"/>
            </w:rPr>
            <m:t xml:space="preserve">= </m:t>
          </m:r>
          <m:nary>
            <m:naryPr>
              <m:chr m:val="∑"/>
              <m:limLoc m:val="undOvr"/>
              <m:supHide m:val="1"/>
              <m:ctrlPr>
                <w:rPr>
                  <w:rFonts w:ascii="Cambria Math" w:eastAsiaTheme="minorEastAsia" w:hAnsi="Cambria Math"/>
                  <w:i/>
                </w:rPr>
              </m:ctrlPr>
            </m:naryPr>
            <m:sub>
              <m:r>
                <w:rPr>
                  <w:rFonts w:ascii="Cambria Math" w:hAnsi="Cambria Math"/>
                </w:rPr>
                <m:t>d∈L</m:t>
              </m:r>
            </m:sub>
            <m:sup/>
            <m:e>
              <m:r>
                <w:rPr>
                  <w:rFonts w:ascii="Cambria Math" w:hAnsi="Cambria Math"/>
                </w:rPr>
                <m:t>(</m:t>
              </m:r>
              <m:sSub>
                <m:sSubPr>
                  <m:ctrlPr>
                    <w:rPr>
                      <w:rFonts w:ascii="Cambria Math" w:eastAsiaTheme="minorEastAsia" w:hAnsi="Cambria Math"/>
                      <w:i/>
                    </w:rPr>
                  </m:ctrlPr>
                </m:sSubPr>
                <m:e>
                  <m:r>
                    <w:rPr>
                      <w:rFonts w:ascii="Cambria Math" w:hAnsi="Cambria Math"/>
                    </w:rPr>
                    <m:t>A</m:t>
                  </m:r>
                </m:e>
                <m:sub>
                  <m:r>
                    <w:rPr>
                      <w:rFonts w:ascii="Cambria Math" w:hAnsi="Cambria Math"/>
                    </w:rPr>
                    <m:t>td</m:t>
                  </m:r>
                </m:sub>
              </m:sSub>
              <m:r>
                <w:rPr>
                  <w:rFonts w:ascii="Cambria Math" w:hAnsi="Cambria Math"/>
                </w:rPr>
                <m:t xml:space="preserve">∙ </m:t>
              </m:r>
              <m:sSub>
                <m:sSubPr>
                  <m:ctrlPr>
                    <w:rPr>
                      <w:rFonts w:ascii="Cambria Math" w:eastAsiaTheme="minorEastAsia" w:hAnsi="Cambria Math"/>
                      <w:i/>
                    </w:rPr>
                  </m:ctrlPr>
                </m:sSubPr>
                <m:e>
                  <m:r>
                    <w:rPr>
                      <w:rFonts w:ascii="Cambria Math" w:hAnsi="Cambria Math"/>
                    </w:rPr>
                    <m:t>T</m:t>
                  </m:r>
                </m:e>
                <m:sub>
                  <m:r>
                    <w:rPr>
                      <w:rFonts w:ascii="Cambria Math" w:hAnsi="Cambria Math"/>
                    </w:rPr>
                    <m:t>d</m:t>
                  </m:r>
                </m:sub>
              </m:sSub>
            </m:e>
          </m:nary>
          <m:r>
            <w:rPr>
              <w:rFonts w:ascii="Cambria Math" w:hAnsi="Cambria Math"/>
            </w:rPr>
            <m:t>∙ δ</m:t>
          </m:r>
          <m:sSub>
            <m:sSubPr>
              <m:ctrlPr>
                <w:rPr>
                  <w:rFonts w:ascii="Cambria Math" w:eastAsiaTheme="minorEastAsia" w:hAnsi="Cambria Math"/>
                  <w:i/>
                </w:rPr>
              </m:ctrlPr>
            </m:sSubPr>
            <m:e>
              <m:r>
                <w:rPr>
                  <w:rFonts w:ascii="Cambria Math" w:hAnsi="Cambria Math"/>
                </w:rPr>
                <m:t>C</m:t>
              </m:r>
            </m:e>
            <m:sub>
              <m:r>
                <w:rPr>
                  <w:rFonts w:ascii="Cambria Math" w:hAnsi="Cambria Math"/>
                </w:rPr>
                <m:t>d</m:t>
              </m:r>
            </m:sub>
          </m:sSub>
          <m:r>
            <w:rPr>
              <w:rFonts w:ascii="Cambria Math" w:hAnsi="Cambria Math"/>
            </w:rPr>
            <m:t>)</m:t>
          </m:r>
        </m:oMath>
      </m:oMathPara>
    </w:p>
    <w:p w14:paraId="4C989633" w14:textId="77777777" w:rsidR="00E6714E" w:rsidRDefault="00E6714E" w:rsidP="00E6714E">
      <w:pPr>
        <w:rPr>
          <w:rFonts w:ascii="Calibri" w:hAnsi="Calibri"/>
        </w:rPr>
      </w:pPr>
    </w:p>
    <w:p w14:paraId="14C70B94" w14:textId="77777777" w:rsidR="00E6714E" w:rsidRDefault="00E6714E" w:rsidP="00E6714E">
      <w:pPr>
        <w:rPr>
          <w:rFonts w:ascii="Calibri" w:hAnsi="Calibri"/>
        </w:rPr>
      </w:pPr>
      <w:r>
        <w:rPr>
          <w:rFonts w:ascii="Calibri" w:hAnsi="Calibri"/>
        </w:rPr>
        <w:t>Where</w:t>
      </w:r>
    </w:p>
    <w:p w14:paraId="3313F991" w14:textId="0A20A11A" w:rsidR="00E6714E" w:rsidRDefault="00E6714E" w:rsidP="00E6714E">
      <w:pPr>
        <w:ind w:left="720"/>
        <w:rPr>
          <w:rFonts w:ascii="Calibri" w:hAnsi="Calibri"/>
        </w:rPr>
      </w:pPr>
      <m:oMath>
        <m:r>
          <w:rPr>
            <w:rFonts w:ascii="Cambria Math" w:hAnsi="Cambria Math"/>
          </w:rPr>
          <m:t>∆</m:t>
        </m:r>
        <m:sSub>
          <m:sSubPr>
            <m:ctrlPr>
              <w:rPr>
                <w:rFonts w:ascii="Cambria Math" w:eastAsiaTheme="minorEastAsia" w:hAnsi="Cambria Math"/>
                <w:i/>
              </w:rPr>
            </m:ctrlPr>
          </m:sSubPr>
          <m:e>
            <m:r>
              <w:rPr>
                <w:rFonts w:ascii="Cambria Math" w:hAnsi="Cambria Math"/>
              </w:rPr>
              <m:t>C</m:t>
            </m:r>
          </m:e>
          <m:sub>
            <m:r>
              <w:rPr>
                <w:rFonts w:ascii="Cambria Math" w:hAnsi="Cambria Math"/>
              </w:rPr>
              <m:t>t+s</m:t>
            </m:r>
          </m:sub>
        </m:sSub>
      </m:oMath>
      <w:r>
        <w:rPr>
          <w:rFonts w:ascii="Calibri" w:hAnsi="Calibri"/>
        </w:rPr>
        <w:t xml:space="preserve"> </w:t>
      </w:r>
      <w:proofErr w:type="gramStart"/>
      <w:r>
        <w:rPr>
          <w:rFonts w:ascii="Calibri" w:hAnsi="Calibri"/>
        </w:rPr>
        <w:t>is</w:t>
      </w:r>
      <w:proofErr w:type="gramEnd"/>
      <w:r>
        <w:rPr>
          <w:rFonts w:ascii="Calibri" w:hAnsi="Calibri"/>
        </w:rPr>
        <w:t xml:space="preserve"> change in carbon stock between time </w:t>
      </w:r>
      <w:r w:rsidRPr="003B4036">
        <w:rPr>
          <w:rFonts w:ascii="Calibri" w:hAnsi="Calibri"/>
          <w:i/>
        </w:rPr>
        <w:t>t</w:t>
      </w:r>
      <w:r>
        <w:rPr>
          <w:rFonts w:ascii="Calibri" w:hAnsi="Calibri"/>
        </w:rPr>
        <w:t xml:space="preserve"> and time </w:t>
      </w:r>
      <w:proofErr w:type="spellStart"/>
      <w:r w:rsidRPr="003B4036">
        <w:rPr>
          <w:rFonts w:ascii="Calibri" w:hAnsi="Calibri"/>
          <w:i/>
        </w:rPr>
        <w:t>t+s</w:t>
      </w:r>
      <w:proofErr w:type="spellEnd"/>
      <w:r>
        <w:rPr>
          <w:rFonts w:ascii="Calibri" w:hAnsi="Calibri"/>
        </w:rPr>
        <w:t xml:space="preserve">, where </w:t>
      </w:r>
      <w:r w:rsidRPr="003B4036">
        <w:rPr>
          <w:rFonts w:ascii="Calibri" w:hAnsi="Calibri"/>
          <w:i/>
        </w:rPr>
        <w:t>s</w:t>
      </w:r>
      <w:r>
        <w:rPr>
          <w:rFonts w:ascii="Calibri" w:hAnsi="Calibri"/>
        </w:rPr>
        <w:t xml:space="preserve"> is the </w:t>
      </w:r>
      <w:r w:rsidR="00F8540A">
        <w:rPr>
          <w:rFonts w:ascii="Calibri" w:hAnsi="Calibri"/>
        </w:rPr>
        <w:t xml:space="preserve">number of time steps between plot </w:t>
      </w:r>
      <w:r>
        <w:rPr>
          <w:rFonts w:ascii="Calibri" w:hAnsi="Calibri"/>
        </w:rPr>
        <w:t>re-measurement</w:t>
      </w:r>
      <w:r w:rsidR="00F8540A">
        <w:rPr>
          <w:rFonts w:ascii="Calibri" w:hAnsi="Calibri"/>
        </w:rPr>
        <w:t>s</w:t>
      </w:r>
      <w:r>
        <w:rPr>
          <w:rFonts w:ascii="Calibri" w:hAnsi="Calibri"/>
        </w:rPr>
        <w:t>;</w:t>
      </w:r>
    </w:p>
    <w:p w14:paraId="205A107C" w14:textId="77777777" w:rsidR="00E6714E" w:rsidRDefault="00E6714E" w:rsidP="00E6714E">
      <w:pPr>
        <w:ind w:left="720"/>
        <w:rPr>
          <w:rFonts w:ascii="Calibri" w:hAnsi="Calibri"/>
        </w:rPr>
      </w:pPr>
      <m:oMath>
        <m:r>
          <w:rPr>
            <w:rFonts w:ascii="Cambria Math" w:hAnsi="Cambria Math"/>
          </w:rPr>
          <m:t>d</m:t>
        </m:r>
      </m:oMath>
      <w:r>
        <w:rPr>
          <w:rFonts w:ascii="Calibri" w:hAnsi="Calibri"/>
        </w:rPr>
        <w:t xml:space="preserve"> </w:t>
      </w:r>
      <w:proofErr w:type="gramStart"/>
      <w:r>
        <w:rPr>
          <w:rFonts w:ascii="Calibri" w:hAnsi="Calibri"/>
        </w:rPr>
        <w:t>are</w:t>
      </w:r>
      <w:proofErr w:type="gramEnd"/>
      <w:r>
        <w:rPr>
          <w:rFonts w:ascii="Calibri" w:hAnsi="Calibri"/>
        </w:rPr>
        <w:t xml:space="preserve"> mutually exclusive land categories (e.g., FRF, NFF, FNF);</w:t>
      </w:r>
    </w:p>
    <w:p w14:paraId="3A373299" w14:textId="653B3AC9" w:rsidR="00E6714E" w:rsidRDefault="00876770" w:rsidP="00E6714E">
      <w:pPr>
        <w:ind w:left="720"/>
        <w:rPr>
          <w:rFonts w:ascii="Calibri" w:hAnsi="Calibri"/>
        </w:rPr>
      </w:pPr>
      <m:oMath>
        <m:sSub>
          <m:sSubPr>
            <m:ctrlPr>
              <w:rPr>
                <w:rFonts w:ascii="Cambria Math" w:eastAsiaTheme="minorEastAsia" w:hAnsi="Cambria Math"/>
                <w:i/>
              </w:rPr>
            </m:ctrlPr>
          </m:sSubPr>
          <m:e>
            <m:r>
              <w:rPr>
                <w:rFonts w:ascii="Cambria Math" w:hAnsi="Cambria Math"/>
              </w:rPr>
              <m:t>A</m:t>
            </m:r>
          </m:e>
          <m:sub>
            <m:r>
              <w:rPr>
                <w:rFonts w:ascii="Cambria Math" w:hAnsi="Cambria Math"/>
              </w:rPr>
              <m:t>td</m:t>
            </m:r>
          </m:sub>
        </m:sSub>
      </m:oMath>
      <w:r w:rsidR="00E6714E">
        <w:rPr>
          <w:rFonts w:ascii="Calibri" w:hAnsi="Calibri"/>
        </w:rPr>
        <w:t xml:space="preserve"> </w:t>
      </w:r>
      <w:proofErr w:type="gramStart"/>
      <w:r w:rsidR="00E6714E">
        <w:rPr>
          <w:rFonts w:ascii="Calibri" w:hAnsi="Calibri"/>
        </w:rPr>
        <w:t>is</w:t>
      </w:r>
      <w:proofErr w:type="gramEnd"/>
      <w:r w:rsidR="00E6714E">
        <w:rPr>
          <w:rFonts w:ascii="Calibri" w:hAnsi="Calibri"/>
        </w:rPr>
        <w:t xml:space="preserve"> area by </w:t>
      </w:r>
      <w:r w:rsidR="00F8540A">
        <w:rPr>
          <w:rFonts w:ascii="Calibri" w:hAnsi="Calibri"/>
        </w:rPr>
        <w:t xml:space="preserve">forest </w:t>
      </w:r>
      <w:r w:rsidR="00E6714E">
        <w:rPr>
          <w:rFonts w:ascii="Calibri" w:hAnsi="Calibri"/>
        </w:rPr>
        <w:t xml:space="preserve">age class at time </w:t>
      </w:r>
      <w:r w:rsidR="00E6714E" w:rsidRPr="003B4036">
        <w:rPr>
          <w:rFonts w:ascii="Calibri" w:hAnsi="Calibri"/>
          <w:i/>
        </w:rPr>
        <w:t>t</w:t>
      </w:r>
      <w:r w:rsidR="00E6714E">
        <w:rPr>
          <w:rFonts w:ascii="Calibri" w:hAnsi="Calibri"/>
        </w:rPr>
        <w:t xml:space="preserve"> for specified land category (1 x 26 vector);</w:t>
      </w:r>
    </w:p>
    <w:p w14:paraId="729CF158" w14:textId="20D11ACB" w:rsidR="00E6714E" w:rsidRDefault="00876770" w:rsidP="00E6714E">
      <w:pPr>
        <w:ind w:left="720"/>
        <w:rPr>
          <w:rFonts w:ascii="Calibri" w:hAnsi="Calibri"/>
        </w:rPr>
      </w:pPr>
      <m:oMath>
        <m:sSub>
          <m:sSubPr>
            <m:ctrlPr>
              <w:rPr>
                <w:rFonts w:ascii="Cambria Math" w:eastAsiaTheme="minorEastAsia" w:hAnsi="Cambria Math"/>
                <w:i/>
              </w:rPr>
            </m:ctrlPr>
          </m:sSubPr>
          <m:e>
            <m:r>
              <w:rPr>
                <w:rFonts w:ascii="Cambria Math" w:hAnsi="Cambria Math"/>
              </w:rPr>
              <m:t>T</m:t>
            </m:r>
          </m:e>
          <m:sub>
            <m:r>
              <w:rPr>
                <w:rFonts w:ascii="Cambria Math" w:hAnsi="Cambria Math"/>
              </w:rPr>
              <m:t>d</m:t>
            </m:r>
          </m:sub>
        </m:sSub>
      </m:oMath>
      <w:r w:rsidR="00E6714E">
        <w:rPr>
          <w:rFonts w:ascii="Calibri" w:hAnsi="Calibri"/>
        </w:rPr>
        <w:t xml:space="preserve"> </w:t>
      </w:r>
      <w:proofErr w:type="gramStart"/>
      <w:r w:rsidR="00E6714E">
        <w:rPr>
          <w:rFonts w:ascii="Calibri" w:hAnsi="Calibri"/>
        </w:rPr>
        <w:t>is</w:t>
      </w:r>
      <w:proofErr w:type="gramEnd"/>
      <w:r w:rsidR="00E6714E">
        <w:rPr>
          <w:rFonts w:ascii="Calibri" w:hAnsi="Calibri"/>
        </w:rPr>
        <w:t xml:space="preserve"> </w:t>
      </w:r>
      <w:r w:rsidR="00F8540A">
        <w:rPr>
          <w:rFonts w:ascii="Calibri" w:hAnsi="Calibri"/>
        </w:rPr>
        <w:t xml:space="preserve">forest </w:t>
      </w:r>
      <w:r w:rsidR="00E6714E">
        <w:rPr>
          <w:rFonts w:ascii="Calibri" w:hAnsi="Calibri"/>
        </w:rPr>
        <w:t xml:space="preserve">age transition matrix for specified land category </w:t>
      </w:r>
      <w:proofErr w:type="spellStart"/>
      <w:r w:rsidR="00E6714E">
        <w:rPr>
          <w:rFonts w:ascii="Calibri" w:hAnsi="Calibri"/>
        </w:rPr>
        <w:t xml:space="preserve">over </w:t>
      </w:r>
      <w:r w:rsidR="00E6714E" w:rsidRPr="003B4036">
        <w:rPr>
          <w:rFonts w:ascii="Calibri" w:hAnsi="Calibri"/>
          <w:i/>
        </w:rPr>
        <w:t>s</w:t>
      </w:r>
      <w:proofErr w:type="spellEnd"/>
      <w:r w:rsidR="00E6714E">
        <w:rPr>
          <w:rFonts w:ascii="Calibri" w:hAnsi="Calibri"/>
        </w:rPr>
        <w:t xml:space="preserve"> (26 x 26 matrix); and</w:t>
      </w:r>
    </w:p>
    <w:p w14:paraId="09E3AE0A" w14:textId="0AD9363B" w:rsidR="00E6714E" w:rsidRPr="006254DC" w:rsidRDefault="00E6714E" w:rsidP="00E6714E">
      <w:pPr>
        <w:ind w:left="720"/>
        <w:rPr>
          <w:rFonts w:ascii="Calibri" w:hAnsi="Calibri"/>
        </w:rPr>
      </w:pPr>
      <m:oMath>
        <m:r>
          <w:rPr>
            <w:rFonts w:ascii="Cambria Math" w:hAnsi="Cambria Math"/>
          </w:rPr>
          <m:t>δ</m:t>
        </m:r>
        <m:sSub>
          <m:sSubPr>
            <m:ctrlPr>
              <w:rPr>
                <w:rFonts w:ascii="Cambria Math" w:eastAsiaTheme="minorEastAsia" w:hAnsi="Cambria Math"/>
                <w:i/>
              </w:rPr>
            </m:ctrlPr>
          </m:sSubPr>
          <m:e>
            <m:r>
              <w:rPr>
                <w:rFonts w:ascii="Cambria Math" w:hAnsi="Cambria Math"/>
              </w:rPr>
              <m:t>C</m:t>
            </m:r>
          </m:e>
          <m:sub>
            <m:r>
              <w:rPr>
                <w:rFonts w:ascii="Cambria Math" w:hAnsi="Cambria Math"/>
              </w:rPr>
              <m:t>d</m:t>
            </m:r>
          </m:sub>
        </m:sSub>
      </m:oMath>
      <w:r>
        <w:rPr>
          <w:rFonts w:ascii="Calibri" w:hAnsi="Calibri"/>
        </w:rPr>
        <w:t xml:space="preserve"> </w:t>
      </w:r>
      <w:proofErr w:type="gramStart"/>
      <w:r>
        <w:rPr>
          <w:rFonts w:ascii="Calibri" w:hAnsi="Calibri"/>
        </w:rPr>
        <w:t>is</w:t>
      </w:r>
      <w:proofErr w:type="gramEnd"/>
      <w:r>
        <w:rPr>
          <w:rFonts w:ascii="Calibri" w:hAnsi="Calibri"/>
        </w:rPr>
        <w:t xml:space="preserve"> carbon density change by </w:t>
      </w:r>
      <w:r w:rsidR="00F8540A">
        <w:rPr>
          <w:rFonts w:ascii="Calibri" w:hAnsi="Calibri"/>
        </w:rPr>
        <w:t xml:space="preserve">forest </w:t>
      </w:r>
      <w:r>
        <w:rPr>
          <w:rFonts w:ascii="Calibri" w:hAnsi="Calibri"/>
        </w:rPr>
        <w:t>age class for specified land category (26 x 1 vector).</w:t>
      </w:r>
    </w:p>
    <w:p w14:paraId="7E986CDA" w14:textId="77777777" w:rsidR="00E6714E" w:rsidRDefault="00E6714E" w:rsidP="00E6714E">
      <w:pPr>
        <w:rPr>
          <w:rFonts w:ascii="Calibri" w:hAnsi="Calibri"/>
        </w:rPr>
      </w:pPr>
    </w:p>
    <w:p w14:paraId="17823537" w14:textId="09E4A152" w:rsidR="005A0646" w:rsidRDefault="00447A15" w:rsidP="00E6714E">
      <w:pPr>
        <w:rPr>
          <w:rFonts w:ascii="Calibri" w:hAnsi="Calibri"/>
        </w:rPr>
      </w:pPr>
      <w:r>
        <w:rPr>
          <w:rFonts w:ascii="Calibri" w:hAnsi="Calibri"/>
        </w:rPr>
        <w:t>T</w:t>
      </w:r>
      <w:r w:rsidR="00E6714E">
        <w:rPr>
          <w:rFonts w:ascii="Calibri" w:hAnsi="Calibri"/>
        </w:rPr>
        <w:t>he three matrices</w:t>
      </w:r>
      <w:r>
        <w:rPr>
          <w:rFonts w:ascii="Calibri" w:hAnsi="Calibri"/>
        </w:rPr>
        <w:t xml:space="preserve"> on t</w:t>
      </w:r>
      <w:r w:rsidR="001B5A68">
        <w:rPr>
          <w:rFonts w:ascii="Calibri" w:hAnsi="Calibri"/>
        </w:rPr>
        <w:t xml:space="preserve">he right hand side of Equation </w:t>
      </w:r>
      <w:r w:rsidR="005E4D1E">
        <w:rPr>
          <w:rFonts w:ascii="Calibri" w:hAnsi="Calibri"/>
        </w:rPr>
        <w:t>2</w:t>
      </w:r>
      <w:r w:rsidR="00684A1C">
        <w:rPr>
          <w:rFonts w:ascii="Calibri" w:hAnsi="Calibri"/>
        </w:rPr>
        <w:t>-</w:t>
      </w:r>
      <w:r w:rsidR="001B5A68">
        <w:rPr>
          <w:rFonts w:ascii="Calibri" w:hAnsi="Calibri"/>
        </w:rPr>
        <w:t>1</w:t>
      </w:r>
      <w:r w:rsidR="00E6714E">
        <w:rPr>
          <w:rFonts w:ascii="Calibri" w:hAnsi="Calibri"/>
        </w:rPr>
        <w:t xml:space="preserve"> are </w:t>
      </w:r>
      <w:r>
        <w:rPr>
          <w:rFonts w:ascii="Calibri" w:hAnsi="Calibri"/>
        </w:rPr>
        <w:t xml:space="preserve">comprised of </w:t>
      </w:r>
      <w:r w:rsidR="00E6714E">
        <w:rPr>
          <w:rFonts w:ascii="Calibri" w:hAnsi="Calibri"/>
        </w:rPr>
        <w:t>26</w:t>
      </w:r>
      <w:r w:rsidR="00F8540A">
        <w:rPr>
          <w:rFonts w:ascii="Calibri" w:hAnsi="Calibri"/>
        </w:rPr>
        <w:t xml:space="preserve"> 5-year</w:t>
      </w:r>
      <w:r w:rsidR="00E6714E">
        <w:rPr>
          <w:rFonts w:ascii="Calibri" w:hAnsi="Calibri"/>
        </w:rPr>
        <w:t xml:space="preserve"> age classes since carbon accumulation rates in forests vary with </w:t>
      </w:r>
      <w:r w:rsidR="00E6714E" w:rsidRPr="006860D3">
        <w:rPr>
          <w:rFonts w:ascii="Calibri" w:hAnsi="Calibri"/>
        </w:rPr>
        <w:t>age (Coulston et al., 2015)</w:t>
      </w:r>
      <w:r w:rsidR="00E6714E">
        <w:rPr>
          <w:rFonts w:ascii="Calibri" w:hAnsi="Calibri"/>
        </w:rPr>
        <w:t xml:space="preserve">. </w:t>
      </w:r>
      <w:r w:rsidR="00E6714E" w:rsidRPr="00405297">
        <w:rPr>
          <w:rFonts w:ascii="Calibri" w:hAnsi="Calibri"/>
        </w:rPr>
        <w:t>Each element in the age transition matrix (</w:t>
      </w:r>
      <m:oMath>
        <m:sSub>
          <m:sSubPr>
            <m:ctrlPr>
              <w:rPr>
                <w:rFonts w:ascii="Cambria Math" w:eastAsiaTheme="minorEastAsia" w:hAnsi="Cambria Math"/>
                <w:i/>
              </w:rPr>
            </m:ctrlPr>
          </m:sSubPr>
          <m:e>
            <m:r>
              <w:rPr>
                <w:rFonts w:ascii="Cambria Math" w:hAnsi="Cambria Math"/>
              </w:rPr>
              <m:t>T</m:t>
            </m:r>
          </m:e>
          <m:sub>
            <m:r>
              <w:rPr>
                <w:rFonts w:ascii="Cambria Math" w:hAnsi="Cambria Math"/>
              </w:rPr>
              <m:t>d</m:t>
            </m:r>
          </m:sub>
        </m:sSub>
      </m:oMath>
      <w:r w:rsidR="00E6714E" w:rsidRPr="00405297">
        <w:rPr>
          <w:rFonts w:ascii="Calibri" w:hAnsi="Calibri"/>
        </w:rPr>
        <w:t>) represents the fraction of forest area in the specified init</w:t>
      </w:r>
      <w:proofErr w:type="spellStart"/>
      <w:r w:rsidR="00E6714E">
        <w:rPr>
          <w:rFonts w:ascii="Calibri" w:hAnsi="Calibri"/>
        </w:rPr>
        <w:t>ial</w:t>
      </w:r>
      <w:proofErr w:type="spellEnd"/>
      <w:r w:rsidR="00E6714E">
        <w:rPr>
          <w:rFonts w:ascii="Calibri" w:hAnsi="Calibri"/>
        </w:rPr>
        <w:t xml:space="preserve"> age class that transitions to the specified final age class over </w:t>
      </w:r>
      <w:r w:rsidR="00F8540A" w:rsidRPr="003B4036">
        <w:rPr>
          <w:rFonts w:ascii="Calibri" w:hAnsi="Calibri"/>
          <w:i/>
        </w:rPr>
        <w:t>s</w:t>
      </w:r>
      <w:r w:rsidR="00E6714E">
        <w:rPr>
          <w:rFonts w:ascii="Calibri" w:hAnsi="Calibri"/>
        </w:rPr>
        <w:t xml:space="preserve">; each column </w:t>
      </w:r>
      <w:r w:rsidR="00C51FC1">
        <w:rPr>
          <w:rFonts w:ascii="Calibri" w:hAnsi="Calibri"/>
        </w:rPr>
        <w:t xml:space="preserve">of </w:t>
      </w:r>
      <m:oMath>
        <m:sSub>
          <m:sSubPr>
            <m:ctrlPr>
              <w:rPr>
                <w:rFonts w:ascii="Cambria Math" w:eastAsiaTheme="minorEastAsia" w:hAnsi="Cambria Math"/>
                <w:i/>
              </w:rPr>
            </m:ctrlPr>
          </m:sSubPr>
          <m:e>
            <m:r>
              <w:rPr>
                <w:rFonts w:ascii="Cambria Math" w:hAnsi="Cambria Math"/>
              </w:rPr>
              <m:t>T</m:t>
            </m:r>
          </m:e>
          <m:sub>
            <m:r>
              <w:rPr>
                <w:rFonts w:ascii="Cambria Math" w:hAnsi="Cambria Math"/>
              </w:rPr>
              <m:t>d</m:t>
            </m:r>
          </m:sub>
        </m:sSub>
        <m:r>
          <w:rPr>
            <w:rFonts w:ascii="Cambria Math" w:eastAsiaTheme="minorEastAsia" w:hAnsi="Cambria Math"/>
          </w:rPr>
          <m:t xml:space="preserve"> </m:t>
        </m:r>
      </m:oMath>
      <w:r w:rsidR="00E6714E">
        <w:rPr>
          <w:rFonts w:ascii="Calibri" w:hAnsi="Calibri"/>
        </w:rPr>
        <w:t xml:space="preserve">represents an initial age class, while each row </w:t>
      </w:r>
      <w:r w:rsidR="00C51FC1">
        <w:rPr>
          <w:rFonts w:ascii="Calibri" w:hAnsi="Calibri"/>
        </w:rPr>
        <w:t xml:space="preserve">of </w:t>
      </w:r>
      <m:oMath>
        <m:sSub>
          <m:sSubPr>
            <m:ctrlPr>
              <w:rPr>
                <w:rFonts w:ascii="Cambria Math" w:eastAsiaTheme="minorEastAsia" w:hAnsi="Cambria Math"/>
                <w:i/>
              </w:rPr>
            </m:ctrlPr>
          </m:sSubPr>
          <m:e>
            <m:r>
              <w:rPr>
                <w:rFonts w:ascii="Cambria Math" w:hAnsi="Cambria Math"/>
              </w:rPr>
              <m:t>T</m:t>
            </m:r>
          </m:e>
          <m:sub>
            <m:r>
              <w:rPr>
                <w:rFonts w:ascii="Cambria Math" w:hAnsi="Cambria Math"/>
              </w:rPr>
              <m:t>d</m:t>
            </m:r>
          </m:sub>
        </m:sSub>
      </m:oMath>
      <w:r w:rsidR="00C51FC1">
        <w:rPr>
          <w:rFonts w:ascii="Calibri" w:hAnsi="Calibri"/>
        </w:rPr>
        <w:t xml:space="preserve"> </w:t>
      </w:r>
      <w:r w:rsidR="00E6714E">
        <w:rPr>
          <w:rFonts w:ascii="Calibri" w:hAnsi="Calibri"/>
        </w:rPr>
        <w:t xml:space="preserve">represents a final age class. Application of the age transition matrix </w:t>
      </w:r>
      <w:r>
        <w:rPr>
          <w:rFonts w:ascii="Calibri" w:eastAsiaTheme="minorEastAsia" w:hAnsi="Calibri"/>
        </w:rPr>
        <w:t>(</w:t>
      </w:r>
      <m:oMath>
        <m:sSub>
          <m:sSubPr>
            <m:ctrlPr>
              <w:rPr>
                <w:rFonts w:ascii="Cambria Math" w:eastAsiaTheme="minorEastAsia" w:hAnsi="Cambria Math"/>
                <w:i/>
              </w:rPr>
            </m:ctrlPr>
          </m:sSubPr>
          <m:e>
            <m:r>
              <w:rPr>
                <w:rFonts w:ascii="Cambria Math" w:hAnsi="Cambria Math"/>
              </w:rPr>
              <m:t>T</m:t>
            </m:r>
          </m:e>
          <m:sub>
            <m:r>
              <w:rPr>
                <w:rFonts w:ascii="Cambria Math" w:hAnsi="Cambria Math"/>
              </w:rPr>
              <m:t>d</m:t>
            </m:r>
          </m:sub>
        </m:sSub>
      </m:oMath>
      <w:r>
        <w:rPr>
          <w:rFonts w:ascii="Calibri" w:eastAsiaTheme="minorEastAsia" w:hAnsi="Calibri"/>
        </w:rPr>
        <w:t xml:space="preserve">) </w:t>
      </w:r>
      <w:r w:rsidR="00E6714E">
        <w:rPr>
          <w:rFonts w:ascii="Calibri" w:hAnsi="Calibri"/>
        </w:rPr>
        <w:t>to the area vector (</w:t>
      </w:r>
      <m:oMath>
        <m:sSub>
          <m:sSubPr>
            <m:ctrlPr>
              <w:rPr>
                <w:rFonts w:ascii="Cambria Math" w:eastAsiaTheme="minorEastAsia" w:hAnsi="Cambria Math"/>
                <w:i/>
              </w:rPr>
            </m:ctrlPr>
          </m:sSubPr>
          <m:e>
            <m:r>
              <w:rPr>
                <w:rFonts w:ascii="Cambria Math" w:hAnsi="Cambria Math"/>
              </w:rPr>
              <m:t>A</m:t>
            </m:r>
          </m:e>
          <m:sub>
            <m:r>
              <w:rPr>
                <w:rFonts w:ascii="Cambria Math" w:hAnsi="Cambria Math"/>
              </w:rPr>
              <m:t>td</m:t>
            </m:r>
          </m:sub>
        </m:sSub>
      </m:oMath>
      <w:r w:rsidR="00E6714E">
        <w:rPr>
          <w:rFonts w:ascii="Calibri" w:hAnsi="Calibri"/>
        </w:rPr>
        <w:t xml:space="preserve">) serves to modify the age structure of the forest between time </w:t>
      </w:r>
      <w:r w:rsidR="00E6714E" w:rsidRPr="003B4036">
        <w:rPr>
          <w:rFonts w:ascii="Calibri" w:hAnsi="Calibri"/>
          <w:i/>
        </w:rPr>
        <w:t>t</w:t>
      </w:r>
      <w:r w:rsidR="00E6714E">
        <w:rPr>
          <w:rFonts w:ascii="Calibri" w:hAnsi="Calibri"/>
        </w:rPr>
        <w:t xml:space="preserve"> and </w:t>
      </w:r>
      <w:proofErr w:type="spellStart"/>
      <w:r w:rsidR="00E6714E" w:rsidRPr="003B4036">
        <w:rPr>
          <w:rFonts w:ascii="Calibri" w:hAnsi="Calibri"/>
          <w:i/>
        </w:rPr>
        <w:t>t+s</w:t>
      </w:r>
      <w:proofErr w:type="spellEnd"/>
      <w:r w:rsidR="00E6714E">
        <w:rPr>
          <w:rFonts w:ascii="Calibri" w:hAnsi="Calibri"/>
        </w:rPr>
        <w:t xml:space="preserve"> following observed </w:t>
      </w:r>
      <w:r w:rsidR="00AF0BFD">
        <w:rPr>
          <w:rFonts w:ascii="Calibri" w:hAnsi="Calibri"/>
        </w:rPr>
        <w:t xml:space="preserve">historic </w:t>
      </w:r>
      <w:r w:rsidR="00E6714E">
        <w:rPr>
          <w:rFonts w:ascii="Calibri" w:hAnsi="Calibri"/>
        </w:rPr>
        <w:t xml:space="preserve">trends. For forest conversion categories (FNF and NFF), </w:t>
      </w:r>
      <m:oMath>
        <m:sSub>
          <m:sSubPr>
            <m:ctrlPr>
              <w:rPr>
                <w:rFonts w:ascii="Cambria Math" w:eastAsiaTheme="minorEastAsia" w:hAnsi="Cambria Math"/>
                <w:i/>
              </w:rPr>
            </m:ctrlPr>
          </m:sSubPr>
          <m:e>
            <m:r>
              <w:rPr>
                <w:rFonts w:ascii="Cambria Math" w:hAnsi="Cambria Math"/>
              </w:rPr>
              <m:t>T</m:t>
            </m:r>
          </m:e>
          <m:sub>
            <m:r>
              <w:rPr>
                <w:rFonts w:ascii="Cambria Math" w:hAnsi="Cambria Math"/>
              </w:rPr>
              <m:t>d</m:t>
            </m:r>
          </m:sub>
        </m:sSub>
      </m:oMath>
      <w:r w:rsidR="00E6714E">
        <w:rPr>
          <w:rFonts w:ascii="Calibri" w:hAnsi="Calibri"/>
        </w:rPr>
        <w:t xml:space="preserve"> is simply the identity matrix. Stock changes delineated by carbon pool are estimated by applying a carbon-pool-specific carbon density change vector (</w:t>
      </w:r>
      <m:oMath>
        <m:r>
          <w:rPr>
            <w:rFonts w:ascii="Cambria Math" w:hAnsi="Cambria Math"/>
          </w:rPr>
          <m:t>δ</m:t>
        </m:r>
        <m:sSub>
          <m:sSubPr>
            <m:ctrlPr>
              <w:rPr>
                <w:rFonts w:ascii="Cambria Math" w:eastAsiaTheme="minorEastAsia" w:hAnsi="Cambria Math"/>
                <w:i/>
              </w:rPr>
            </m:ctrlPr>
          </m:sSubPr>
          <m:e>
            <m:r>
              <w:rPr>
                <w:rFonts w:ascii="Cambria Math" w:hAnsi="Cambria Math"/>
              </w:rPr>
              <m:t>C</m:t>
            </m:r>
          </m:e>
          <m:sub>
            <m:r>
              <w:rPr>
                <w:rFonts w:ascii="Cambria Math" w:hAnsi="Cambria Math"/>
              </w:rPr>
              <m:t>d</m:t>
            </m:r>
          </m:sub>
        </m:sSub>
      </m:oMath>
      <w:r w:rsidR="00E6714E">
        <w:rPr>
          <w:rFonts w:ascii="Calibri" w:hAnsi="Calibri"/>
        </w:rPr>
        <w:t>). Each of the three matrices (</w:t>
      </w:r>
      <m:oMath>
        <m:sSub>
          <m:sSubPr>
            <m:ctrlPr>
              <w:rPr>
                <w:rFonts w:ascii="Cambria Math" w:eastAsiaTheme="minorEastAsia" w:hAnsi="Cambria Math"/>
                <w:i/>
              </w:rPr>
            </m:ctrlPr>
          </m:sSubPr>
          <m:e>
            <m:r>
              <w:rPr>
                <w:rFonts w:ascii="Cambria Math" w:hAnsi="Cambria Math"/>
              </w:rPr>
              <m:t>A</m:t>
            </m:r>
          </m:e>
          <m:sub>
            <m:r>
              <w:rPr>
                <w:rFonts w:ascii="Cambria Math" w:hAnsi="Cambria Math"/>
              </w:rPr>
              <m:t>td</m:t>
            </m:r>
          </m:sub>
        </m:sSub>
      </m:oMath>
      <w:proofErr w:type="gramStart"/>
      <w:r w:rsidR="00E6714E">
        <w:rPr>
          <w:rFonts w:ascii="Calibri" w:hAnsi="Calibri"/>
        </w:rPr>
        <w:t xml:space="preserve">, </w:t>
      </w:r>
      <w:proofErr w:type="gramEnd"/>
      <m:oMath>
        <m:sSub>
          <m:sSubPr>
            <m:ctrlPr>
              <w:rPr>
                <w:rFonts w:ascii="Cambria Math" w:eastAsiaTheme="minorEastAsia" w:hAnsi="Cambria Math"/>
                <w:i/>
              </w:rPr>
            </m:ctrlPr>
          </m:sSubPr>
          <m:e>
            <m:r>
              <w:rPr>
                <w:rFonts w:ascii="Cambria Math" w:hAnsi="Cambria Math"/>
              </w:rPr>
              <m:t>T</m:t>
            </m:r>
          </m:e>
          <m:sub>
            <m:r>
              <w:rPr>
                <w:rFonts w:ascii="Cambria Math" w:hAnsi="Cambria Math"/>
              </w:rPr>
              <m:t>d</m:t>
            </m:r>
          </m:sub>
        </m:sSub>
      </m:oMath>
      <w:r w:rsidR="00E6714E">
        <w:rPr>
          <w:rFonts w:ascii="Calibri" w:hAnsi="Calibri"/>
        </w:rPr>
        <w:t xml:space="preserve">, and </w:t>
      </w:r>
      <m:oMath>
        <m:r>
          <w:rPr>
            <w:rFonts w:ascii="Cambria Math" w:hAnsi="Cambria Math"/>
          </w:rPr>
          <m:t>δ</m:t>
        </m:r>
        <m:sSub>
          <m:sSubPr>
            <m:ctrlPr>
              <w:rPr>
                <w:rFonts w:ascii="Cambria Math" w:eastAsiaTheme="minorEastAsia" w:hAnsi="Cambria Math"/>
                <w:i/>
              </w:rPr>
            </m:ctrlPr>
          </m:sSubPr>
          <m:e>
            <m:r>
              <w:rPr>
                <w:rFonts w:ascii="Cambria Math" w:hAnsi="Cambria Math"/>
              </w:rPr>
              <m:t>C</m:t>
            </m:r>
          </m:e>
          <m:sub>
            <m:r>
              <w:rPr>
                <w:rFonts w:ascii="Cambria Math" w:hAnsi="Cambria Math"/>
              </w:rPr>
              <m:t>d</m:t>
            </m:r>
          </m:sub>
        </m:sSub>
      </m:oMath>
      <w:r w:rsidR="00E6714E">
        <w:rPr>
          <w:rFonts w:ascii="Calibri" w:hAnsi="Calibri"/>
        </w:rPr>
        <w:t xml:space="preserve">) is empirically derived at plot level from re-measurements. </w:t>
      </w:r>
    </w:p>
    <w:p w14:paraId="42BD6E64" w14:textId="230D8176" w:rsidR="00E6714E" w:rsidRDefault="00E6714E" w:rsidP="005A0646">
      <w:pPr>
        <w:rPr>
          <w:rFonts w:ascii="Calibri" w:hAnsi="Calibri"/>
        </w:rPr>
      </w:pPr>
      <w:r>
        <w:rPr>
          <w:rFonts w:ascii="Calibri" w:hAnsi="Calibri"/>
        </w:rPr>
        <w:t>The three matrices</w:t>
      </w:r>
      <w:r w:rsidR="001B5A68">
        <w:rPr>
          <w:rFonts w:ascii="Calibri" w:hAnsi="Calibri"/>
        </w:rPr>
        <w:t xml:space="preserve"> in Equation </w:t>
      </w:r>
      <w:r w:rsidR="005E4D1E">
        <w:rPr>
          <w:rFonts w:ascii="Calibri" w:hAnsi="Calibri"/>
        </w:rPr>
        <w:t>2</w:t>
      </w:r>
      <w:r w:rsidR="00684A1C">
        <w:rPr>
          <w:rFonts w:ascii="Calibri" w:hAnsi="Calibri"/>
        </w:rPr>
        <w:t>-</w:t>
      </w:r>
      <w:r w:rsidR="001B5A68">
        <w:rPr>
          <w:rFonts w:ascii="Calibri" w:hAnsi="Calibri"/>
        </w:rPr>
        <w:t>1</w:t>
      </w:r>
      <w:r>
        <w:rPr>
          <w:rFonts w:ascii="Calibri" w:hAnsi="Calibri"/>
        </w:rPr>
        <w:t xml:space="preserve"> are individually expanded from plot to population level prior to multiplication</w:t>
      </w:r>
      <w:r w:rsidR="005A0646">
        <w:rPr>
          <w:rFonts w:ascii="Calibri" w:hAnsi="Calibri"/>
        </w:rPr>
        <w:t xml:space="preserve"> using </w:t>
      </w:r>
      <w:r w:rsidRPr="004A3F62">
        <w:rPr>
          <w:rFonts w:ascii="Calibri" w:hAnsi="Calibri"/>
        </w:rPr>
        <w:t xml:space="preserve">post-stratified estimators </w:t>
      </w:r>
      <w:r w:rsidR="005A0646">
        <w:rPr>
          <w:rFonts w:ascii="Calibri" w:hAnsi="Calibri"/>
        </w:rPr>
        <w:t>(</w:t>
      </w:r>
      <w:r w:rsidRPr="004A3F62">
        <w:rPr>
          <w:rFonts w:ascii="Calibri" w:hAnsi="Calibri"/>
        </w:rPr>
        <w:t>Bechtold and Patterson</w:t>
      </w:r>
      <w:r w:rsidR="005A0646">
        <w:rPr>
          <w:rFonts w:ascii="Calibri" w:hAnsi="Calibri"/>
        </w:rPr>
        <w:t xml:space="preserve">, </w:t>
      </w:r>
      <w:r w:rsidRPr="004A3F62">
        <w:rPr>
          <w:rFonts w:ascii="Calibri" w:hAnsi="Calibri"/>
        </w:rPr>
        <w:t xml:space="preserve">2005). </w:t>
      </w:r>
      <w:r>
        <w:rPr>
          <w:rFonts w:ascii="Calibri" w:hAnsi="Calibri"/>
        </w:rPr>
        <w:t xml:space="preserve">For example, to estimate state-level forest area, the </w:t>
      </w:r>
      <w:r w:rsidRPr="00557777">
        <w:rPr>
          <w:rFonts w:ascii="Calibri" w:hAnsi="Calibri"/>
        </w:rPr>
        <w:t>plot-level estimates of forest proportion are averaged for each of the available strata; the</w:t>
      </w:r>
      <w:r>
        <w:rPr>
          <w:rFonts w:ascii="Calibri" w:hAnsi="Calibri"/>
        </w:rPr>
        <w:t xml:space="preserve"> strata</w:t>
      </w:r>
      <w:r w:rsidRPr="00557777">
        <w:rPr>
          <w:rFonts w:ascii="Calibri" w:hAnsi="Calibri"/>
        </w:rPr>
        <w:t xml:space="preserve"> means are then multiplied by the respective total </w:t>
      </w:r>
      <w:r>
        <w:rPr>
          <w:rFonts w:ascii="Calibri" w:hAnsi="Calibri"/>
        </w:rPr>
        <w:t xml:space="preserve">state-level </w:t>
      </w:r>
      <w:r w:rsidRPr="00557777">
        <w:rPr>
          <w:rFonts w:ascii="Calibri" w:hAnsi="Calibri"/>
        </w:rPr>
        <w:t xml:space="preserve">strata areas and </w:t>
      </w:r>
      <w:r w:rsidRPr="00557777">
        <w:rPr>
          <w:rFonts w:ascii="Calibri" w:hAnsi="Calibri"/>
        </w:rPr>
        <w:lastRenderedPageBreak/>
        <w:t>summed.</w:t>
      </w:r>
      <w:r>
        <w:rPr>
          <w:rFonts w:ascii="Calibri" w:hAnsi="Calibri"/>
        </w:rPr>
        <w:t xml:space="preserve"> </w:t>
      </w:r>
      <w:r w:rsidR="005A0646">
        <w:rPr>
          <w:rFonts w:ascii="Calibri" w:hAnsi="Calibri"/>
        </w:rPr>
        <w:t xml:space="preserve">Post-stratified </w:t>
      </w:r>
      <w:r>
        <w:rPr>
          <w:rFonts w:ascii="Calibri" w:hAnsi="Calibri"/>
        </w:rPr>
        <w:t xml:space="preserve">variance </w:t>
      </w:r>
      <w:r w:rsidR="005A0646">
        <w:rPr>
          <w:rFonts w:ascii="Calibri" w:hAnsi="Calibri"/>
        </w:rPr>
        <w:t xml:space="preserve">estimators are also used, which </w:t>
      </w:r>
      <w:r>
        <w:rPr>
          <w:rFonts w:ascii="Calibri" w:hAnsi="Calibri"/>
        </w:rPr>
        <w:t xml:space="preserve">account </w:t>
      </w:r>
      <w:r w:rsidR="005A0646">
        <w:rPr>
          <w:rFonts w:ascii="Calibri" w:hAnsi="Calibri"/>
        </w:rPr>
        <w:t xml:space="preserve">for </w:t>
      </w:r>
      <w:r>
        <w:rPr>
          <w:rFonts w:ascii="Calibri" w:hAnsi="Calibri"/>
        </w:rPr>
        <w:t xml:space="preserve">strata area </w:t>
      </w:r>
      <w:r w:rsidR="00846A24">
        <w:rPr>
          <w:rFonts w:ascii="Calibri" w:hAnsi="Calibri"/>
        </w:rPr>
        <w:t xml:space="preserve">weights </w:t>
      </w:r>
      <w:r w:rsidR="005A0646">
        <w:rPr>
          <w:rFonts w:ascii="Calibri" w:hAnsi="Calibri"/>
        </w:rPr>
        <w:t xml:space="preserve">and the variability of number of plots per strata </w:t>
      </w:r>
      <w:r w:rsidR="00846A24">
        <w:rPr>
          <w:rFonts w:ascii="Calibri" w:hAnsi="Calibri"/>
        </w:rPr>
        <w:t>(Bechtold and Patterson</w:t>
      </w:r>
      <w:r>
        <w:rPr>
          <w:rFonts w:ascii="Calibri" w:hAnsi="Calibri"/>
        </w:rPr>
        <w:t xml:space="preserve"> 2005), and </w:t>
      </w:r>
      <w:r w:rsidR="005A0646">
        <w:rPr>
          <w:rFonts w:ascii="Calibri" w:hAnsi="Calibri"/>
        </w:rPr>
        <w:t xml:space="preserve">which form the basis of the </w:t>
      </w:r>
      <w:r>
        <w:rPr>
          <w:rFonts w:ascii="Calibri" w:hAnsi="Calibri"/>
        </w:rPr>
        <w:t xml:space="preserve">sampling-based uncertainty reported by the </w:t>
      </w:r>
      <w:r w:rsidRPr="003948BF">
        <w:rPr>
          <w:rFonts w:ascii="Calibri" w:hAnsi="Calibri"/>
        </w:rPr>
        <w:t xml:space="preserve">NGHGI. The total 95% confidence interval for forest </w:t>
      </w:r>
      <w:r w:rsidR="005A0646">
        <w:rPr>
          <w:rFonts w:ascii="Calibri" w:hAnsi="Calibri"/>
        </w:rPr>
        <w:t xml:space="preserve">ecosystem </w:t>
      </w:r>
      <w:r w:rsidRPr="003948BF">
        <w:rPr>
          <w:rFonts w:ascii="Calibri" w:hAnsi="Calibri"/>
        </w:rPr>
        <w:t>carbon flux reported in the NGHGI</w:t>
      </w:r>
      <w:r>
        <w:rPr>
          <w:rFonts w:ascii="Calibri" w:hAnsi="Calibri"/>
        </w:rPr>
        <w:t xml:space="preserve"> additionally includes model-based uncertainty, but the technique used to estimate </w:t>
      </w:r>
      <w:r w:rsidR="00E27B3A">
        <w:rPr>
          <w:rFonts w:ascii="Calibri" w:hAnsi="Calibri"/>
        </w:rPr>
        <w:t>model</w:t>
      </w:r>
      <w:r>
        <w:rPr>
          <w:rFonts w:ascii="Calibri" w:hAnsi="Calibri"/>
        </w:rPr>
        <w:t xml:space="preserve"> uncertainty is not described. </w:t>
      </w:r>
      <w:r w:rsidRPr="008276CC">
        <w:rPr>
          <w:rFonts w:ascii="Calibri" w:hAnsi="Calibri"/>
        </w:rPr>
        <w:t>The NGHGI assumes</w:t>
      </w:r>
      <w:r>
        <w:rPr>
          <w:rFonts w:ascii="Calibri" w:hAnsi="Calibri"/>
        </w:rPr>
        <w:t xml:space="preserve"> that the model-based and sampling-based uncertainties are independent</w:t>
      </w:r>
      <w:r w:rsidR="00447A15">
        <w:rPr>
          <w:rFonts w:ascii="Calibri" w:hAnsi="Calibri"/>
        </w:rPr>
        <w:t xml:space="preserve"> and thus sums them </w:t>
      </w:r>
      <w:r w:rsidR="005A0646">
        <w:rPr>
          <w:rFonts w:ascii="Calibri" w:hAnsi="Calibri"/>
        </w:rPr>
        <w:t xml:space="preserve">to find </w:t>
      </w:r>
      <w:r w:rsidR="00447A15">
        <w:rPr>
          <w:rFonts w:ascii="Calibri" w:hAnsi="Calibri"/>
        </w:rPr>
        <w:t xml:space="preserve">total forest </w:t>
      </w:r>
      <w:r w:rsidR="005A0646">
        <w:rPr>
          <w:rFonts w:ascii="Calibri" w:hAnsi="Calibri"/>
        </w:rPr>
        <w:t xml:space="preserve">ecosystem </w:t>
      </w:r>
      <w:r w:rsidR="00447A15">
        <w:rPr>
          <w:rFonts w:ascii="Calibri" w:hAnsi="Calibri"/>
        </w:rPr>
        <w:t xml:space="preserve">carbon flux </w:t>
      </w:r>
      <w:r w:rsidR="005A0646">
        <w:rPr>
          <w:rFonts w:ascii="Calibri" w:hAnsi="Calibri"/>
        </w:rPr>
        <w:t xml:space="preserve">uncertainty </w:t>
      </w:r>
      <w:r>
        <w:rPr>
          <w:rFonts w:ascii="Calibri" w:hAnsi="Calibri"/>
        </w:rPr>
        <w:t>(Ann</w:t>
      </w:r>
      <w:r w:rsidR="00846A24">
        <w:rPr>
          <w:rFonts w:ascii="Calibri" w:hAnsi="Calibri"/>
        </w:rPr>
        <w:t>ex 3, sub-section 3.13 of NGHGI</w:t>
      </w:r>
      <w:r w:rsidR="005A0646">
        <w:rPr>
          <w:rFonts w:ascii="Calibri" w:hAnsi="Calibri"/>
        </w:rPr>
        <w:t>,</w:t>
      </w:r>
      <w:r>
        <w:rPr>
          <w:rFonts w:ascii="Calibri" w:hAnsi="Calibri"/>
        </w:rPr>
        <w:t xml:space="preserve"> 2018).</w:t>
      </w:r>
    </w:p>
    <w:p w14:paraId="1AE64056" w14:textId="177EF53A" w:rsidR="002B5371" w:rsidRDefault="002B5371" w:rsidP="00E6714E">
      <w:pPr>
        <w:pStyle w:val="Heading2"/>
        <w:numPr>
          <w:ilvl w:val="0"/>
          <w:numId w:val="0"/>
        </w:numPr>
        <w:ind w:left="576" w:hanging="576"/>
        <w:rPr>
          <w:rStyle w:val="Strong"/>
          <w:b w:val="0"/>
        </w:rPr>
      </w:pPr>
      <w:bookmarkStart w:id="37" w:name="_Ref5100119"/>
      <w:r w:rsidRPr="00195F4D">
        <w:rPr>
          <w:rStyle w:val="Strong"/>
          <w:b w:val="0"/>
        </w:rPr>
        <w:t>Project Methods</w:t>
      </w:r>
      <w:bookmarkEnd w:id="37"/>
    </w:p>
    <w:p w14:paraId="4C53A44B" w14:textId="7B51BEE7" w:rsidR="00BF2749" w:rsidRDefault="00BF2749" w:rsidP="00BF2749">
      <w:pPr>
        <w:rPr>
          <w:rFonts w:ascii="Calibri" w:hAnsi="Calibri"/>
        </w:rPr>
      </w:pPr>
      <w:r>
        <w:rPr>
          <w:rFonts w:ascii="Calibri" w:hAnsi="Calibri"/>
        </w:rPr>
        <w:t>W</w:t>
      </w:r>
      <w:r w:rsidR="003D6858">
        <w:rPr>
          <w:rFonts w:ascii="Calibri" w:hAnsi="Calibri"/>
        </w:rPr>
        <w:t>e replicate</w:t>
      </w:r>
      <w:r w:rsidRPr="00617319">
        <w:rPr>
          <w:rFonts w:ascii="Calibri" w:hAnsi="Calibri"/>
        </w:rPr>
        <w:t xml:space="preserve"> forest </w:t>
      </w:r>
      <w:r>
        <w:rPr>
          <w:rFonts w:ascii="Calibri" w:hAnsi="Calibri"/>
        </w:rPr>
        <w:t xml:space="preserve">ecosystem </w:t>
      </w:r>
      <w:r w:rsidRPr="00617319">
        <w:rPr>
          <w:rFonts w:ascii="Calibri" w:hAnsi="Calibri"/>
        </w:rPr>
        <w:t xml:space="preserve">carbon </w:t>
      </w:r>
      <w:r>
        <w:rPr>
          <w:rFonts w:ascii="Calibri" w:hAnsi="Calibri"/>
        </w:rPr>
        <w:t>stock change estimate</w:t>
      </w:r>
      <w:r w:rsidR="00447D7D">
        <w:rPr>
          <w:rFonts w:ascii="Calibri" w:hAnsi="Calibri"/>
        </w:rPr>
        <w:t xml:space="preserve">s and 95% confidence intervals for above- and belowground </w:t>
      </w:r>
      <w:r w:rsidR="003D6858">
        <w:rPr>
          <w:rFonts w:ascii="Calibri" w:hAnsi="Calibri"/>
        </w:rPr>
        <w:t xml:space="preserve">biomass for </w:t>
      </w:r>
      <w:r w:rsidR="00447D7D">
        <w:rPr>
          <w:rFonts w:ascii="Calibri" w:hAnsi="Calibri"/>
        </w:rPr>
        <w:t xml:space="preserve">live </w:t>
      </w:r>
      <w:r w:rsidR="003D6858">
        <w:rPr>
          <w:rFonts w:ascii="Calibri" w:hAnsi="Calibri"/>
        </w:rPr>
        <w:t xml:space="preserve">and standing dead </w:t>
      </w:r>
      <w:r w:rsidR="00447D7D">
        <w:rPr>
          <w:rFonts w:ascii="Calibri" w:hAnsi="Calibri"/>
        </w:rPr>
        <w:t>tree</w:t>
      </w:r>
      <w:r w:rsidR="003D6858">
        <w:rPr>
          <w:rFonts w:ascii="Calibri" w:hAnsi="Calibri"/>
        </w:rPr>
        <w:t>s</w:t>
      </w:r>
      <w:r w:rsidR="00447D7D">
        <w:rPr>
          <w:rFonts w:ascii="Calibri" w:hAnsi="Calibri"/>
        </w:rPr>
        <w:t xml:space="preserve"> </w:t>
      </w:r>
      <w:r w:rsidR="003D6858">
        <w:rPr>
          <w:rFonts w:ascii="Calibri" w:hAnsi="Calibri"/>
        </w:rPr>
        <w:t xml:space="preserve">in </w:t>
      </w:r>
      <w:r>
        <w:rPr>
          <w:rFonts w:ascii="Calibri" w:hAnsi="Calibri"/>
        </w:rPr>
        <w:t xml:space="preserve">eastern </w:t>
      </w:r>
      <w:r w:rsidRPr="00617319">
        <w:rPr>
          <w:rFonts w:ascii="Calibri" w:hAnsi="Calibri"/>
        </w:rPr>
        <w:t>Texas</w:t>
      </w:r>
      <w:r w:rsidR="00447D7D">
        <w:rPr>
          <w:rFonts w:ascii="Calibri" w:hAnsi="Calibri"/>
        </w:rPr>
        <w:t>.</w:t>
      </w:r>
      <w:r w:rsidRPr="00617319">
        <w:rPr>
          <w:rFonts w:ascii="Calibri" w:hAnsi="Calibri"/>
        </w:rPr>
        <w:t xml:space="preserve"> </w:t>
      </w:r>
      <w:r w:rsidR="00447D7D">
        <w:rPr>
          <w:rFonts w:ascii="Calibri" w:hAnsi="Calibri"/>
        </w:rPr>
        <w:t>Using</w:t>
      </w:r>
      <w:r w:rsidRPr="00617319">
        <w:rPr>
          <w:rFonts w:ascii="Calibri" w:hAnsi="Calibri"/>
        </w:rPr>
        <w:t xml:space="preserve"> </w:t>
      </w:r>
      <w:r w:rsidR="00447D7D">
        <w:rPr>
          <w:rFonts w:ascii="Calibri" w:hAnsi="Calibri"/>
        </w:rPr>
        <w:t xml:space="preserve">the contribution index method, we </w:t>
      </w:r>
      <w:r w:rsidRPr="00617319">
        <w:rPr>
          <w:rFonts w:ascii="Calibri" w:hAnsi="Calibri"/>
        </w:rPr>
        <w:t xml:space="preserve">attribute </w:t>
      </w:r>
      <w:r w:rsidR="00447D7D">
        <w:rPr>
          <w:rFonts w:ascii="Calibri" w:hAnsi="Calibri"/>
        </w:rPr>
        <w:t>uncertainty across sampling error and nine groups of parameters used to convert tree-level measurements to plot-level c</w:t>
      </w:r>
      <w:r w:rsidR="000558C0">
        <w:rPr>
          <w:rFonts w:ascii="Calibri" w:hAnsi="Calibri"/>
        </w:rPr>
        <w:t>arbon stock.</w:t>
      </w:r>
    </w:p>
    <w:p w14:paraId="3FD2B2E1" w14:textId="56280C71" w:rsidR="00BF2749" w:rsidRDefault="00BF2749" w:rsidP="00BF2749">
      <w:pPr>
        <w:rPr>
          <w:rFonts w:ascii="Calibri" w:hAnsi="Calibri"/>
        </w:rPr>
      </w:pPr>
      <w:r w:rsidRPr="008A2ADD">
        <w:rPr>
          <w:rFonts w:ascii="Calibri" w:hAnsi="Calibri"/>
        </w:rPr>
        <w:t xml:space="preserve">We </w:t>
      </w:r>
      <w:r w:rsidR="003D6858">
        <w:rPr>
          <w:rFonts w:ascii="Calibri" w:hAnsi="Calibri"/>
        </w:rPr>
        <w:t>limit</w:t>
      </w:r>
      <w:r w:rsidR="00447D7D">
        <w:rPr>
          <w:rFonts w:ascii="Calibri" w:hAnsi="Calibri"/>
        </w:rPr>
        <w:t xml:space="preserve"> our analysis to </w:t>
      </w:r>
      <w:r>
        <w:rPr>
          <w:rFonts w:ascii="Calibri" w:hAnsi="Calibri"/>
        </w:rPr>
        <w:t xml:space="preserve">eastern Texas </w:t>
      </w:r>
      <w:r w:rsidR="00447D7D">
        <w:rPr>
          <w:rFonts w:ascii="Calibri" w:hAnsi="Calibri"/>
        </w:rPr>
        <w:t>to reduce computational burden; the contribution index approach required</w:t>
      </w:r>
      <w:r>
        <w:rPr>
          <w:rFonts w:ascii="Calibri" w:hAnsi="Calibri"/>
        </w:rPr>
        <w:t xml:space="preserve"> estimating carbon stocks 10,000 times for every FIA plot, for each uncertainty element.</w:t>
      </w:r>
      <w:r w:rsidRPr="008A2ADD">
        <w:rPr>
          <w:rFonts w:ascii="Calibri" w:hAnsi="Calibri"/>
        </w:rPr>
        <w:t xml:space="preserve"> </w:t>
      </w:r>
      <w:r>
        <w:rPr>
          <w:rFonts w:ascii="Calibri" w:hAnsi="Calibri"/>
        </w:rPr>
        <w:t>Our analysis attempts to re-construct the estimation technique used in NGHGI (2018) based on the description of this technique that is given in NGHGI (2018), Woodall et al. (2015), and the references therein, using FIA data. We did not have access to the code used to develop the NGHGI values themselves, but given feedback from NGHGI experts and similarity of our results to NGHGI values we believe our calculation methods are valid.</w:t>
      </w:r>
    </w:p>
    <w:p w14:paraId="11252F38" w14:textId="77777777" w:rsidR="00BF2749" w:rsidRDefault="00BF2749" w:rsidP="00BF2749">
      <w:pPr>
        <w:rPr>
          <w:rFonts w:ascii="Calibri" w:hAnsi="Calibri"/>
        </w:rPr>
      </w:pPr>
      <w:r>
        <w:rPr>
          <w:rFonts w:ascii="Calibri" w:hAnsi="Calibri"/>
        </w:rPr>
        <w:t xml:space="preserve">The FIA plot data for Texas in comma-separated values </w:t>
      </w:r>
      <w:r w:rsidRPr="00490715">
        <w:rPr>
          <w:rFonts w:ascii="Calibri" w:hAnsi="Calibri"/>
        </w:rPr>
        <w:t>(CSV</w:t>
      </w:r>
      <w:r>
        <w:rPr>
          <w:rFonts w:ascii="Calibri" w:hAnsi="Calibri"/>
        </w:rPr>
        <w:t xml:space="preserve">) file format was obtained from the FIA DataMart </w:t>
      </w:r>
      <w:r w:rsidRPr="00710FB4">
        <w:rPr>
          <w:rFonts w:ascii="Calibri" w:hAnsi="Calibri"/>
        </w:rPr>
        <w:t>(</w:t>
      </w:r>
      <w:r>
        <w:rPr>
          <w:rFonts w:ascii="Calibri" w:hAnsi="Calibri"/>
        </w:rPr>
        <w:t>USDA Forest Service, 2018). All analyses, including the Monte Carlo simulations, were performed using the R programming language (R Core Team, 2018). We use data.table (Dowle and Srinivasan, 2019) and truncnorm (Mersmann et al., 2018) R packages.</w:t>
      </w:r>
      <w:r w:rsidRPr="00E907E8">
        <w:rPr>
          <w:rFonts w:ascii="Calibri" w:hAnsi="Calibri"/>
        </w:rPr>
        <w:t xml:space="preserve"> </w:t>
      </w:r>
      <w:r>
        <w:rPr>
          <w:rFonts w:ascii="Calibri" w:hAnsi="Calibri"/>
        </w:rPr>
        <w:t>Descriptions of the tables and variables available in the FIA Database for Phase 2 plots are given in Burrill et al. (2017).</w:t>
      </w:r>
    </w:p>
    <w:p w14:paraId="5A9123C6" w14:textId="77777777" w:rsidR="00BF2749" w:rsidRDefault="00BF2749" w:rsidP="00BF2749">
      <w:pPr>
        <w:rPr>
          <w:rFonts w:ascii="Calibri" w:hAnsi="Calibri"/>
        </w:rPr>
      </w:pPr>
      <w:r w:rsidRPr="008F4713">
        <w:rPr>
          <w:rFonts w:ascii="Calibri" w:hAnsi="Calibri"/>
        </w:rPr>
        <w:t>The subplot</w:t>
      </w:r>
      <w:r w:rsidRPr="004A1942">
        <w:rPr>
          <w:rFonts w:ascii="Calibri" w:hAnsi="Calibri"/>
        </w:rPr>
        <w:t xml:space="preserve"> condition change matrix (</w:t>
      </w:r>
      <w:r>
        <w:rPr>
          <w:rFonts w:ascii="Calibri" w:hAnsi="Calibri"/>
        </w:rPr>
        <w:t>SUBP_COND_CHNG_MTRX table from the FIA Database) provides the basic underlying dataset for the calculations. For eastern Texas, we use only those data records corresponding to EVALID 481723</w:t>
      </w:r>
      <w:r w:rsidRPr="00B66C53">
        <w:rPr>
          <w:rFonts w:ascii="Calibri" w:hAnsi="Calibri"/>
        </w:rPr>
        <w:t xml:space="preserve">. </w:t>
      </w:r>
      <w:r>
        <w:rPr>
          <w:rFonts w:ascii="Calibri" w:hAnsi="Calibri"/>
        </w:rPr>
        <w:t xml:space="preserve">That is, we select the same data records used for eastern Texas that were used in the NGHGI (2018) analysis. </w:t>
      </w:r>
      <w:r w:rsidRPr="00B66C53">
        <w:rPr>
          <w:rFonts w:ascii="Calibri" w:hAnsi="Calibri"/>
        </w:rPr>
        <w:t>This accounts for measurements on 3,778 FIA field plots in eastern Texas. In this dataset, time 1 (“previous”) measurements span 2004–2012. Roughly</w:t>
      </w:r>
      <w:r w:rsidRPr="00FC6758">
        <w:rPr>
          <w:rFonts w:ascii="Calibri" w:hAnsi="Calibri"/>
        </w:rPr>
        <w:t xml:space="preserve"> 20% of plots were measured in </w:t>
      </w:r>
      <w:r>
        <w:rPr>
          <w:rFonts w:ascii="Calibri" w:hAnsi="Calibri"/>
        </w:rPr>
        <w:t>each of the years 2008</w:t>
      </w:r>
      <w:r w:rsidRPr="00FC6758">
        <w:rPr>
          <w:rFonts w:ascii="Calibri" w:hAnsi="Calibri"/>
        </w:rPr>
        <w:t xml:space="preserve">–2012, with only 0.2% (8 plots) measured </w:t>
      </w:r>
      <w:r>
        <w:rPr>
          <w:rFonts w:ascii="Calibri" w:hAnsi="Calibri"/>
        </w:rPr>
        <w:t>before 2008 (1 plot in 2004, 3 plots in 2005, and 4 plots in 2007)</w:t>
      </w:r>
      <w:r w:rsidRPr="00FC6758">
        <w:rPr>
          <w:rFonts w:ascii="Calibri" w:hAnsi="Calibri"/>
        </w:rPr>
        <w:t>. Time 2 (“current”) measurements span 2009</w:t>
      </w:r>
      <w:r>
        <w:rPr>
          <w:rFonts w:ascii="Calibri" w:hAnsi="Calibri"/>
        </w:rPr>
        <w:t>–2017. R</w:t>
      </w:r>
      <w:r w:rsidRPr="00FC6758">
        <w:rPr>
          <w:rFonts w:ascii="Calibri" w:hAnsi="Calibri"/>
        </w:rPr>
        <w:t>oughly 20% of plots were measured in each of the years 2013–2017, with &lt;0.1% (2 plots) measured in 2009.</w:t>
      </w:r>
    </w:p>
    <w:p w14:paraId="0D16581F" w14:textId="582C47F5" w:rsidR="00BF2749" w:rsidRDefault="00BF2749" w:rsidP="00BF2749">
      <w:pPr>
        <w:rPr>
          <w:rFonts w:ascii="Calibri" w:hAnsi="Calibri"/>
        </w:rPr>
      </w:pPr>
      <w:r w:rsidRPr="00324A36">
        <w:rPr>
          <w:rFonts w:ascii="Calibri" w:hAnsi="Calibri"/>
        </w:rPr>
        <w:t>The generalized</w:t>
      </w:r>
      <w:r>
        <w:rPr>
          <w:rFonts w:ascii="Calibri" w:hAnsi="Calibri"/>
        </w:rPr>
        <w:t xml:space="preserve"> </w:t>
      </w:r>
      <w:r w:rsidRPr="00E6714E">
        <w:rPr>
          <w:rFonts w:ascii="Calibri" w:hAnsi="Calibri"/>
        </w:rPr>
        <w:fldChar w:fldCharType="begin"/>
      </w:r>
      <w:r w:rsidRPr="00E6714E">
        <w:rPr>
          <w:rFonts w:ascii="Calibri" w:hAnsi="Calibri"/>
        </w:rPr>
        <w:instrText xml:space="preserve"> REF _Ref5100347 \h  \* MERGEFORMAT </w:instrText>
      </w:r>
      <w:r w:rsidRPr="00E6714E">
        <w:rPr>
          <w:rFonts w:ascii="Calibri" w:hAnsi="Calibri"/>
        </w:rPr>
      </w:r>
      <w:r w:rsidRPr="00E6714E">
        <w:rPr>
          <w:rFonts w:ascii="Calibri" w:hAnsi="Calibri"/>
        </w:rPr>
        <w:fldChar w:fldCharType="separate"/>
      </w:r>
      <w:r w:rsidRPr="00E6714E">
        <w:t xml:space="preserve">Equation </w:t>
      </w:r>
      <w:r w:rsidR="005E4D1E">
        <w:rPr>
          <w:noProof/>
        </w:rPr>
        <w:t>2</w:t>
      </w:r>
      <w:r w:rsidR="003D6858">
        <w:rPr>
          <w:noProof/>
        </w:rPr>
        <w:t>-1</w:t>
      </w:r>
      <w:r w:rsidRPr="00E6714E">
        <w:rPr>
          <w:rFonts w:ascii="Calibri" w:hAnsi="Calibri"/>
        </w:rPr>
        <w:fldChar w:fldCharType="end"/>
      </w:r>
      <w:r>
        <w:rPr>
          <w:rFonts w:ascii="Calibri" w:hAnsi="Calibri"/>
        </w:rPr>
        <w:t xml:space="preserve"> can be applied across land use and land use change categories. For example, carbon stock change estimates for FRF can be sub-divided into (1) undisturbed forest remaining undisturbed forest and (2) FRF that has experienced a disturbance, such as cutting, weather, insects, disease, and fire, with separate calculations possible for each disturbance type (Wear and Coulston, 2015). In our eastern Texas analysis, the FRF category takes into account both undisturbed and disturbed forest categories, as long as the land use is classified as forest at both the previous and current time points; that is, we include in our FRF analysis all data records with the specified EVALID for which the current condition (CONDID) and the previous condition (PREVCOND) are both classified as </w:t>
      </w:r>
      <w:r>
        <w:rPr>
          <w:rFonts w:ascii="Calibri" w:hAnsi="Calibri"/>
        </w:rPr>
        <w:lastRenderedPageBreak/>
        <w:t>accessible forest land (COND_STATUS_CD=1), as determined from the condition (COND) table. For this timeframe in eastern Texas, there are 2,242 re-measured plots that have at least one FRF zone. We obtain from the TREE table all tree records available for each of the PLOT–SUBP–CONDID–PREVCOND combinations in the filtered SUBP_COND_CHNG_MTRX dataset. For FRF, this includes trees measured in either or both of the current and previous time periods (total of 120,684 tree records).</w:t>
      </w:r>
    </w:p>
    <w:p w14:paraId="2D3F5409" w14:textId="77777777" w:rsidR="00BF2749" w:rsidRDefault="00BF2749" w:rsidP="00BF2749">
      <w:pPr>
        <w:rPr>
          <w:rFonts w:ascii="Calibri" w:hAnsi="Calibri"/>
        </w:rPr>
      </w:pPr>
      <w:r w:rsidRPr="00CC0EC7">
        <w:rPr>
          <w:rFonts w:ascii="Calibri" w:hAnsi="Calibri"/>
        </w:rPr>
        <w:t>We quantify aboveground and</w:t>
      </w:r>
      <w:r>
        <w:rPr>
          <w:rFonts w:ascii="Calibri" w:hAnsi="Calibri"/>
        </w:rPr>
        <w:t xml:space="preserve"> belowground (coarse root) biomass for all living (STATUSCD=1) and standing dead (STATUSCD=2 and STANDING_DEAD_CD=1) trees with diameter ≥ 1 inch. The biomass calculations differ depending on whether the tree is: (1) timber or woodland type; (2) living or standing dead; and (3) sapling (1.0 inch ≤ diameter &lt; 5.0 inches) or non-sapling (diameter ≥ 5.0 inches). For timber type trees, FIA field crews measure diameter at breast height (DBH); for woodland type trees, FIA field crews measure diameter at root collar (DRC) and record the number of stems (</w:t>
      </w:r>
      <w:r w:rsidRPr="000E146B">
        <w:rPr>
          <w:rFonts w:ascii="Calibri" w:hAnsi="Calibri"/>
        </w:rPr>
        <w:t>WDLDSTEM</w:t>
      </w:r>
      <w:r>
        <w:rPr>
          <w:rFonts w:ascii="Calibri" w:hAnsi="Calibri"/>
        </w:rPr>
        <w:t xml:space="preserve"> attribute in the TREE table). Tree type is identified using the DIAHTCD attribute in the TREE table (DIAHTCD=1 for timber trees, DIAHTCD=2 for woodland trees). For the eastern Texas FRF analysis, nearly all tree records correspond to the timber type: 91,083 non-sapling living timber (75.5% of all trees); 25,211 sapling living timber (20.9%); 4,246 non-sapling standing dead timber (3.5%); 123 sapling standing dead timber (0.1%); 16 non-sapling living woodland (&lt;0.1%);</w:t>
      </w:r>
      <w:r w:rsidRPr="008E3C1A">
        <w:rPr>
          <w:rFonts w:ascii="Calibri" w:hAnsi="Calibri"/>
        </w:rPr>
        <w:t xml:space="preserve"> </w:t>
      </w:r>
      <w:r>
        <w:rPr>
          <w:rFonts w:ascii="Calibri" w:hAnsi="Calibri"/>
        </w:rPr>
        <w:t>and 5 sapling living woodland (&lt;0.1%).</w:t>
      </w:r>
    </w:p>
    <w:p w14:paraId="7187AEA4" w14:textId="77777777" w:rsidR="00BF2749" w:rsidRDefault="00BF2749" w:rsidP="00BF2749">
      <w:pPr>
        <w:rPr>
          <w:rFonts w:ascii="Calibri" w:hAnsi="Calibri"/>
        </w:rPr>
      </w:pPr>
      <w:r w:rsidRPr="00CC0EC7">
        <w:rPr>
          <w:rFonts w:ascii="Calibri" w:hAnsi="Calibri"/>
        </w:rPr>
        <w:t>The equations used</w:t>
      </w:r>
      <w:r>
        <w:rPr>
          <w:rFonts w:ascii="Calibri" w:hAnsi="Calibri"/>
        </w:rPr>
        <w:t xml:space="preserve"> for the tree-level biomass calculations are available in Woodall et al. (2011). Biomass estimation for living non-sapling (diameter ≥ 5.0 inches) timber trees follows the component ratio method (Woodall et al., 2011): (1) gross volume is estimated as a function of measured diameter and height through </w:t>
      </w:r>
      <w:r w:rsidRPr="002F0313">
        <w:rPr>
          <w:rFonts w:ascii="Calibri" w:hAnsi="Calibri"/>
        </w:rPr>
        <w:t xml:space="preserve">application of species-specific </w:t>
      </w:r>
      <w:r w:rsidRPr="00D55346">
        <w:rPr>
          <w:rFonts w:ascii="Calibri" w:hAnsi="Calibri"/>
        </w:rPr>
        <w:t>regression coefficients</w:t>
      </w:r>
      <w:r w:rsidRPr="002F0313">
        <w:rPr>
          <w:rFonts w:ascii="Calibri" w:hAnsi="Calibri"/>
        </w:rPr>
        <w:t xml:space="preserve"> (</w:t>
      </w:r>
      <w:r>
        <w:rPr>
          <w:rFonts w:ascii="Calibri" w:hAnsi="Calibri"/>
        </w:rPr>
        <w:t xml:space="preserve">some volume equations make use of additional variables, but the equations applied to the tree species found in eastern Texas rely only upon measurements of diameter and height); (2) sound volume is estimated from gross volume by subtracting the observed cull (rotten and missing pieces); (3) bole biomass is calculated from sound volume through application of species-specific wood and bark specific gravities and a parameter defining bark as a percentage of wood volume; and (4) biomass by component is estimated through modified application of the diameter-based regression equations from Jenkins et al. (2003) and, for stumps, the equations from Raile (1982). Biomass estimation for living non-sapling woodland trees follows a similar method (Woodall et al., 2011), with only slight modification (e.g., </w:t>
      </w:r>
      <w:r w:rsidRPr="002F0313">
        <w:rPr>
          <w:rFonts w:ascii="Calibri" w:hAnsi="Calibri"/>
        </w:rPr>
        <w:t xml:space="preserve">stump biomass is not estimated). The volume coefficients for woodland species </w:t>
      </w:r>
      <w:r>
        <w:rPr>
          <w:rFonts w:ascii="Calibri" w:hAnsi="Calibri"/>
        </w:rPr>
        <w:t>vary according to</w:t>
      </w:r>
      <w:r w:rsidRPr="002F0313">
        <w:rPr>
          <w:rFonts w:ascii="Calibri" w:hAnsi="Calibri"/>
        </w:rPr>
        <w:t xml:space="preserve"> the number of stems (WDLDSTEM attribute in TREE table). Biomass estimation for living saplings is largely based on the regression equations from Jenkins et al. (2003), but includes application of a “sapling adjustment factor”</w:t>
      </w:r>
      <w:r>
        <w:rPr>
          <w:rFonts w:ascii="Calibri" w:hAnsi="Calibri"/>
        </w:rPr>
        <w:t xml:space="preserve"> (Heath et al., 2009).</w:t>
      </w:r>
      <w:r w:rsidRPr="002F0313">
        <w:rPr>
          <w:rFonts w:ascii="Calibri" w:hAnsi="Calibri"/>
        </w:rPr>
        <w:t xml:space="preserve"> Tree</w:t>
      </w:r>
      <w:r>
        <w:rPr>
          <w:rFonts w:ascii="Calibri" w:hAnsi="Calibri"/>
        </w:rPr>
        <w:t xml:space="preserve"> species is defined by the species code (SPCD) in the TREE table. </w:t>
      </w:r>
    </w:p>
    <w:p w14:paraId="7D43AD74" w14:textId="77777777" w:rsidR="00BF2749" w:rsidRDefault="00BF2749" w:rsidP="00BF2749">
      <w:pPr>
        <w:rPr>
          <w:rFonts w:ascii="Calibri" w:hAnsi="Calibri"/>
        </w:rPr>
      </w:pPr>
      <w:r>
        <w:rPr>
          <w:rFonts w:ascii="Calibri" w:hAnsi="Calibri"/>
        </w:rPr>
        <w:t>The volume coefficients are available in Woodall et al. (2011). The other coefficients needed to calculate living tree biomass are available in the REF_SPECIES table from the FIA Database: stump volume coefficients from Raile (1982); specific gravities and bark percentages compiled by Miles and Smith (2009); coefficients for calculating diameter-based total aboveground biomass and biomass component ratios from Jenkins et al. (2003; 2004); and sapling adjustment factors from Heath et al. (2009).</w:t>
      </w:r>
    </w:p>
    <w:p w14:paraId="2862404A" w14:textId="77777777" w:rsidR="00BF2749" w:rsidRDefault="00BF2749" w:rsidP="00BF2749">
      <w:pPr>
        <w:rPr>
          <w:rFonts w:ascii="Calibri" w:hAnsi="Calibri"/>
        </w:rPr>
      </w:pPr>
      <w:r w:rsidRPr="00CC0EC7">
        <w:rPr>
          <w:rFonts w:ascii="Calibri" w:hAnsi="Calibri"/>
        </w:rPr>
        <w:t>Domke et al. (2011)</w:t>
      </w:r>
      <w:r>
        <w:rPr>
          <w:rFonts w:ascii="Calibri" w:hAnsi="Calibri"/>
        </w:rPr>
        <w:t xml:space="preserve"> describe the updated method for quantifying standing dead biomass for trees with diameter ≥ 5.0 inches, which takes into account reduced density and structural loss associated with decay. The degree of decay for each standing dead tree is defined by the decay code (DECAYCD, possible </w:t>
      </w:r>
      <w:r w:rsidRPr="003923D2">
        <w:rPr>
          <w:rFonts w:ascii="Calibri" w:hAnsi="Calibri"/>
        </w:rPr>
        <w:t>values 1–5</w:t>
      </w:r>
      <w:r>
        <w:rPr>
          <w:rFonts w:ascii="Calibri" w:hAnsi="Calibri"/>
        </w:rPr>
        <w:t xml:space="preserve">) available in the TREE table. Domke et al. (2011) provide density reduction factors for each of </w:t>
      </w:r>
      <w:r>
        <w:rPr>
          <w:rFonts w:ascii="Calibri" w:hAnsi="Calibri"/>
        </w:rPr>
        <w:lastRenderedPageBreak/>
        <w:t xml:space="preserve">the five decay codes for two tree species: quaking aspen and douglas-fir. We apply the quaking aspen density reduction factors to all hardwood trees (SPGRPCD=1–24) and the douglas-fir density reduction factors to all softwood trees (SPGRPCD=25–48). The calculation of biomass in standing dead saplings identically follows the calculation of biomass in living saplings, with no density or structural loss adjustments applied. For both aboveground and belowground components for living and standing dead trees of all sizes and tree types, the mass of carbon is calculated as 50% of the dry biomass, </w:t>
      </w:r>
      <w:r w:rsidRPr="00885C63">
        <w:rPr>
          <w:rFonts w:ascii="Calibri" w:hAnsi="Calibri"/>
        </w:rPr>
        <w:t>following IPCC (2006).</w:t>
      </w:r>
      <w:r>
        <w:rPr>
          <w:rFonts w:ascii="Calibri" w:hAnsi="Calibri"/>
        </w:rPr>
        <w:t xml:space="preserve"> These calculations provide the carbon mass (pounds C tree</w:t>
      </w:r>
      <w:r w:rsidRPr="00643A8B">
        <w:rPr>
          <w:rFonts w:ascii="Calibri" w:hAnsi="Calibri"/>
          <w:vertAlign w:val="superscript"/>
        </w:rPr>
        <w:t>-1</w:t>
      </w:r>
      <w:r>
        <w:rPr>
          <w:rFonts w:ascii="Calibri" w:hAnsi="Calibri"/>
        </w:rPr>
        <w:t>) for each tree in the dataset.</w:t>
      </w:r>
    </w:p>
    <w:p w14:paraId="5C49282E" w14:textId="4E793ED6" w:rsidR="00BF2749" w:rsidRDefault="00BF2749" w:rsidP="00BF2749">
      <w:pPr>
        <w:spacing w:line="240" w:lineRule="auto"/>
        <w:rPr>
          <w:rFonts w:ascii="Calibri" w:hAnsi="Calibri"/>
        </w:rPr>
      </w:pPr>
      <w:r w:rsidRPr="00FD6B69">
        <w:rPr>
          <w:rFonts w:ascii="Calibri" w:hAnsi="Calibri"/>
        </w:rPr>
        <w:t>For each tree record,</w:t>
      </w:r>
      <w:r>
        <w:rPr>
          <w:rFonts w:ascii="Calibri" w:hAnsi="Calibri"/>
        </w:rPr>
        <w:t xml:space="preserve"> tree-level carbon (pounds C tree</w:t>
      </w:r>
      <w:r w:rsidRPr="00643A8B">
        <w:rPr>
          <w:rFonts w:ascii="Calibri" w:hAnsi="Calibri"/>
          <w:vertAlign w:val="superscript"/>
        </w:rPr>
        <w:t>-1</w:t>
      </w:r>
      <w:r>
        <w:rPr>
          <w:rFonts w:ascii="Calibri" w:hAnsi="Calibri"/>
        </w:rPr>
        <w:t>) is multiplied by TPA_UNADJ (trees acre</w:t>
      </w:r>
      <w:r w:rsidRPr="00643A8B">
        <w:rPr>
          <w:rFonts w:ascii="Calibri" w:hAnsi="Calibri"/>
          <w:vertAlign w:val="superscript"/>
        </w:rPr>
        <w:t>-1</w:t>
      </w:r>
      <w:r>
        <w:rPr>
          <w:rFonts w:ascii="Calibri" w:hAnsi="Calibri"/>
        </w:rPr>
        <w:t>) to obtain the plot-level carbon density (pounds C acre</w:t>
      </w:r>
      <w:r w:rsidRPr="00643A8B">
        <w:rPr>
          <w:rFonts w:ascii="Calibri" w:hAnsi="Calibri"/>
          <w:vertAlign w:val="superscript"/>
        </w:rPr>
        <w:t>-1</w:t>
      </w:r>
      <w:r>
        <w:rPr>
          <w:rFonts w:ascii="Calibri" w:hAnsi="Calibri"/>
        </w:rPr>
        <w:t xml:space="preserve">) represented by the tree. Separately for the current and previous time periods, the tree-based carbon densities are aggregated over all FRF area on the plot. In our calculation, </w:t>
      </w:r>
      <w:r w:rsidR="00684A1C">
        <w:rPr>
          <w:rFonts w:ascii="Calibri" w:hAnsi="Calibri"/>
        </w:rPr>
        <w:t xml:space="preserve">carbon densities are aggregated by </w:t>
      </w:r>
      <w:r>
        <w:rPr>
          <w:rFonts w:ascii="Calibri" w:hAnsi="Calibri"/>
        </w:rPr>
        <w:t>FRF area, rather than by age class, to avoid unnecessary computational expense in the Monte Carlo analysis, details of which are provided below. For each plot, the previous period density is subtracted from the current period density, and the difference is divided by the plot-level re-measurement period in years (REMPER attribute from the PLOT table). In cases where there are no trees available on the plot for one of the time periods (e.g., non-stocked plots), the carbon density for that time period is simply zero pounds C acre</w:t>
      </w:r>
      <w:r>
        <w:rPr>
          <w:rFonts w:ascii="Calibri" w:hAnsi="Calibri"/>
          <w:vertAlign w:val="superscript"/>
        </w:rPr>
        <w:t>-</w:t>
      </w:r>
      <w:r w:rsidRPr="00643A8B">
        <w:rPr>
          <w:rFonts w:ascii="Calibri" w:hAnsi="Calibri"/>
          <w:vertAlign w:val="superscript"/>
        </w:rPr>
        <w:t>1</w:t>
      </w:r>
      <w:r>
        <w:rPr>
          <w:rFonts w:ascii="Calibri" w:hAnsi="Calibri"/>
        </w:rPr>
        <w:t>. For each plot, this process gives the annual carbon density change (pounds C acre</w:t>
      </w:r>
      <w:r w:rsidRPr="00643A8B">
        <w:rPr>
          <w:rFonts w:ascii="Calibri" w:hAnsi="Calibri"/>
          <w:vertAlign w:val="superscript"/>
        </w:rPr>
        <w:t>-1</w:t>
      </w:r>
      <w:r>
        <w:rPr>
          <w:rFonts w:ascii="Calibri" w:hAnsi="Calibri"/>
        </w:rPr>
        <w:t xml:space="preserve"> </w:t>
      </w:r>
      <w:r w:rsidRPr="00643A8B">
        <w:rPr>
          <w:rFonts w:ascii="Calibri" w:hAnsi="Calibri"/>
        </w:rPr>
        <w:t>year</w:t>
      </w:r>
      <w:r w:rsidRPr="00643A8B">
        <w:rPr>
          <w:rFonts w:ascii="Calibri" w:hAnsi="Calibri"/>
          <w:vertAlign w:val="superscript"/>
        </w:rPr>
        <w:t>-1</w:t>
      </w:r>
      <w:r>
        <w:rPr>
          <w:rFonts w:ascii="Calibri" w:hAnsi="Calibri"/>
        </w:rPr>
        <w:t>).</w:t>
      </w:r>
    </w:p>
    <w:p w14:paraId="7D97499E" w14:textId="77777777" w:rsidR="00BF2749" w:rsidRDefault="00BF2749" w:rsidP="00BF2749">
      <w:pPr>
        <w:spacing w:line="240" w:lineRule="auto"/>
        <w:rPr>
          <w:rFonts w:ascii="Calibri" w:hAnsi="Calibri"/>
        </w:rPr>
      </w:pPr>
      <w:r>
        <w:rPr>
          <w:rFonts w:ascii="Calibri" w:hAnsi="Calibri"/>
        </w:rPr>
        <w:t xml:space="preserve">We limit our carbon stock estimation to aboveground and belowground biomass in living and standing dead trees with diameter ≥ 1.0 inch. We do not include estimation of carbon in downed dead wood or understory vegetation to simplify the analysis. </w:t>
      </w:r>
    </w:p>
    <w:p w14:paraId="2FF03B98" w14:textId="2EF2BA0C" w:rsidR="00BF2749" w:rsidRDefault="00BF2749" w:rsidP="00BF2749">
      <w:pPr>
        <w:rPr>
          <w:rFonts w:ascii="Calibri" w:hAnsi="Calibri"/>
        </w:rPr>
      </w:pPr>
      <w:r>
        <w:rPr>
          <w:rFonts w:ascii="Calibri" w:hAnsi="Calibri"/>
        </w:rPr>
        <w:t xml:space="preserve">We use Monte Carlo </w:t>
      </w:r>
      <w:r w:rsidR="003D6858">
        <w:rPr>
          <w:rFonts w:ascii="Calibri" w:hAnsi="Calibri"/>
        </w:rPr>
        <w:t>simulation</w:t>
      </w:r>
      <w:r>
        <w:rPr>
          <w:rFonts w:ascii="Calibri" w:hAnsi="Calibri"/>
        </w:rPr>
        <w:t xml:space="preserve"> to estimate uncertainty of carbon stock change estimates in eastern Texas. We apply 10,0</w:t>
      </w:r>
      <w:r w:rsidRPr="00B87641">
        <w:rPr>
          <w:rFonts w:ascii="Calibri" w:hAnsi="Calibri"/>
        </w:rPr>
        <w:t>00</w:t>
      </w:r>
      <w:r>
        <w:rPr>
          <w:rFonts w:ascii="Calibri" w:hAnsi="Calibri"/>
        </w:rPr>
        <w:t xml:space="preserve"> Monte Carlo iterations to the derivation of the plot-level carbon density changes for the 2,236 FRF plots in eastern Texas that have trees in either or both of the measurement periods. To estimate the fraction of uncertainty associated with </w:t>
      </w:r>
      <w:r w:rsidRPr="00FE3776">
        <w:rPr>
          <w:rFonts w:ascii="Calibri" w:hAnsi="Calibri"/>
        </w:rPr>
        <w:t>nine</w:t>
      </w:r>
      <w:r>
        <w:rPr>
          <w:rFonts w:ascii="Calibri" w:hAnsi="Calibri"/>
        </w:rPr>
        <w:t xml:space="preserve"> different model parameters or parameter groups, we repeat the full set of 10,000 iterations ten times (variously allowing one parameter group to vary while all other parameters are held to their mean values plus one set of iterations where all parameters are allowed to vary). Note that this method diverges from </w:t>
      </w:r>
      <w:r w:rsidR="003D6858">
        <w:rPr>
          <w:rFonts w:ascii="Calibri" w:hAnsi="Calibri"/>
        </w:rPr>
        <w:t xml:space="preserve">contribution index </w:t>
      </w:r>
      <w:r>
        <w:rPr>
          <w:rFonts w:ascii="Calibri" w:hAnsi="Calibri"/>
        </w:rPr>
        <w:t xml:space="preserve">methods used </w:t>
      </w:r>
      <w:r w:rsidR="003D6858">
        <w:rPr>
          <w:rFonts w:ascii="Calibri" w:hAnsi="Calibri"/>
        </w:rPr>
        <w:t>for other inventory categories</w:t>
      </w:r>
      <w:r>
        <w:rPr>
          <w:rFonts w:ascii="Calibri" w:hAnsi="Calibri"/>
        </w:rPr>
        <w:t xml:space="preserve">, wherein the contribution index for element </w:t>
      </w:r>
      <w:r w:rsidRPr="00447A15">
        <w:rPr>
          <w:rFonts w:ascii="Calibri" w:hAnsi="Calibri"/>
          <w:i/>
        </w:rPr>
        <w:t>i</w:t>
      </w:r>
      <w:r>
        <w:rPr>
          <w:rFonts w:ascii="Calibri" w:hAnsi="Calibri"/>
        </w:rPr>
        <w:t xml:space="preserve"> is determined by holding element </w:t>
      </w:r>
      <w:r w:rsidRPr="00447A15">
        <w:rPr>
          <w:rFonts w:ascii="Calibri" w:hAnsi="Calibri"/>
          <w:i/>
        </w:rPr>
        <w:t>i</w:t>
      </w:r>
      <w:r>
        <w:rPr>
          <w:rFonts w:ascii="Calibri" w:hAnsi="Calibri"/>
        </w:rPr>
        <w:t xml:space="preserve"> constant and varying all other elements. We use this modified approach for forest biomass due to the complexity of the calculations, which results in compensating variation when only holding one element constant, and makes interpretation of results difficult. Each Monte Carlo simulation results in 10,000 iterates of carbon density change (units: pounds C acre</w:t>
      </w:r>
      <w:r w:rsidRPr="007772CE">
        <w:rPr>
          <w:rFonts w:ascii="Calibri" w:hAnsi="Calibri"/>
          <w:vertAlign w:val="superscript"/>
        </w:rPr>
        <w:t>-1</w:t>
      </w:r>
      <w:r>
        <w:rPr>
          <w:rFonts w:ascii="Calibri" w:hAnsi="Calibri"/>
        </w:rPr>
        <w:t xml:space="preserve"> y</w:t>
      </w:r>
      <w:r w:rsidRPr="007772CE">
        <w:rPr>
          <w:rFonts w:ascii="Calibri" w:hAnsi="Calibri"/>
          <w:vertAlign w:val="superscript"/>
        </w:rPr>
        <w:t>-1</w:t>
      </w:r>
      <w:r>
        <w:rPr>
          <w:rFonts w:ascii="Calibri" w:hAnsi="Calibri"/>
        </w:rPr>
        <w:t>) for each of the 2,236 eastern Texas plots. Note that for each Monte Carlo iteration, the same parameters are used for both measurement periods.</w:t>
      </w:r>
      <w:r w:rsidR="003D6858">
        <w:rPr>
          <w:rFonts w:ascii="Calibri" w:hAnsi="Calibri"/>
        </w:rPr>
        <w:t xml:space="preserve"> </w:t>
      </w:r>
      <w:r w:rsidR="00211B5D">
        <w:rPr>
          <w:rFonts w:ascii="Calibri" w:hAnsi="Calibri"/>
        </w:rPr>
        <w:t>Previous analyses have assumed parameter correlation &lt;1 across time steps</w:t>
      </w:r>
      <w:r w:rsidR="003D6858">
        <w:rPr>
          <w:rFonts w:ascii="Calibri" w:hAnsi="Calibri"/>
        </w:rPr>
        <w:t xml:space="preserve"> (Harmon et al. 2015, Phillips et al. 2000), </w:t>
      </w:r>
      <w:r w:rsidR="00211B5D">
        <w:rPr>
          <w:rFonts w:ascii="Calibri" w:hAnsi="Calibri"/>
        </w:rPr>
        <w:t xml:space="preserve">to avoid underestimating flux uncertainty, </w:t>
      </w:r>
      <w:r w:rsidR="003D6858">
        <w:rPr>
          <w:rFonts w:ascii="Calibri" w:hAnsi="Calibri"/>
        </w:rPr>
        <w:t xml:space="preserve">but for purposes of this project a conservative approach will </w:t>
      </w:r>
      <w:r w:rsidR="00211B5D">
        <w:rPr>
          <w:rFonts w:ascii="Calibri" w:hAnsi="Calibri"/>
        </w:rPr>
        <w:t>err on the side of underestimating</w:t>
      </w:r>
      <w:r w:rsidR="003D6858">
        <w:rPr>
          <w:rFonts w:ascii="Calibri" w:hAnsi="Calibri"/>
        </w:rPr>
        <w:t xml:space="preserve"> the contribution of each uncertainty element. </w:t>
      </w:r>
    </w:p>
    <w:p w14:paraId="2E2B002D" w14:textId="1C0BCD57" w:rsidR="00BF2749" w:rsidRDefault="00BF2749" w:rsidP="00BF2749">
      <w:pPr>
        <w:rPr>
          <w:rFonts w:ascii="Calibri" w:hAnsi="Calibri"/>
        </w:rPr>
      </w:pPr>
      <w:r>
        <w:rPr>
          <w:rFonts w:ascii="Calibri" w:hAnsi="Calibri"/>
        </w:rPr>
        <w:t xml:space="preserve">We apply </w:t>
      </w:r>
      <w:r w:rsidR="00211B5D">
        <w:rPr>
          <w:rFonts w:ascii="Calibri" w:hAnsi="Calibri"/>
        </w:rPr>
        <w:t>the Monte Carlo output</w:t>
      </w:r>
      <w:r>
        <w:rPr>
          <w:rFonts w:ascii="Calibri" w:hAnsi="Calibri"/>
        </w:rPr>
        <w:t xml:space="preserve"> in which all parameters are allowed to vary to equations 1–6</w:t>
      </w:r>
      <w:r w:rsidRPr="00205D4E">
        <w:rPr>
          <w:rFonts w:ascii="Calibri" w:hAnsi="Calibri"/>
        </w:rPr>
        <w:t xml:space="preserve"> from Ogle et al. (2010) to estimate the </w:t>
      </w:r>
      <w:r>
        <w:rPr>
          <w:rFonts w:ascii="Calibri" w:hAnsi="Calibri"/>
        </w:rPr>
        <w:t xml:space="preserve">total annual </w:t>
      </w:r>
      <w:r w:rsidRPr="00205D4E">
        <w:rPr>
          <w:rFonts w:ascii="Calibri" w:hAnsi="Calibri"/>
        </w:rPr>
        <w:t>carbon stock change</w:t>
      </w:r>
      <w:r>
        <w:rPr>
          <w:rFonts w:ascii="Calibri" w:hAnsi="Calibri"/>
        </w:rPr>
        <w:t xml:space="preserve"> for eastern Texas</w:t>
      </w:r>
      <w:r w:rsidRPr="00205D4E">
        <w:rPr>
          <w:rFonts w:ascii="Calibri" w:hAnsi="Calibri"/>
        </w:rPr>
        <w:t xml:space="preserve"> and the associated </w:t>
      </w:r>
      <w:r w:rsidR="00211B5D">
        <w:rPr>
          <w:rFonts w:ascii="Calibri" w:hAnsi="Calibri"/>
        </w:rPr>
        <w:t>95% confidence interval</w:t>
      </w:r>
      <w:r w:rsidRPr="00205D4E">
        <w:rPr>
          <w:rFonts w:ascii="Calibri" w:hAnsi="Calibri"/>
        </w:rPr>
        <w:t>.</w:t>
      </w:r>
      <w:r>
        <w:rPr>
          <w:rFonts w:ascii="Calibri" w:hAnsi="Calibri"/>
        </w:rPr>
        <w:t xml:space="preserve"> T</w:t>
      </w:r>
      <w:r w:rsidRPr="00205D4E">
        <w:rPr>
          <w:rFonts w:ascii="Calibri" w:hAnsi="Calibri"/>
        </w:rPr>
        <w:t xml:space="preserve">he </w:t>
      </w:r>
      <w:r>
        <w:rPr>
          <w:rFonts w:ascii="Calibri" w:hAnsi="Calibri"/>
        </w:rPr>
        <w:t xml:space="preserve">total eastern Texas </w:t>
      </w:r>
      <w:r w:rsidRPr="00205D4E">
        <w:rPr>
          <w:rFonts w:ascii="Calibri" w:hAnsi="Calibri"/>
        </w:rPr>
        <w:t xml:space="preserve">carbon stock change for any individual Monte Carlo iterate (units: </w:t>
      </w:r>
      <w:r>
        <w:rPr>
          <w:rFonts w:ascii="Calibri" w:hAnsi="Calibri"/>
        </w:rPr>
        <w:t>pounds</w:t>
      </w:r>
      <w:r w:rsidRPr="00205D4E">
        <w:rPr>
          <w:rFonts w:ascii="Calibri" w:hAnsi="Calibri"/>
        </w:rPr>
        <w:t xml:space="preserve"> C y</w:t>
      </w:r>
      <w:r w:rsidRPr="00205D4E">
        <w:rPr>
          <w:rFonts w:ascii="Calibri" w:hAnsi="Calibri"/>
          <w:vertAlign w:val="superscript"/>
        </w:rPr>
        <w:t>-1</w:t>
      </w:r>
      <w:r w:rsidRPr="00205D4E">
        <w:rPr>
          <w:rFonts w:ascii="Calibri" w:hAnsi="Calibri"/>
        </w:rPr>
        <w:t>) was calculated by multiplying, for each plot, the plot-level stock</w:t>
      </w:r>
      <w:r>
        <w:rPr>
          <w:rFonts w:ascii="Calibri" w:hAnsi="Calibri"/>
        </w:rPr>
        <w:t xml:space="preserve"> density</w:t>
      </w:r>
      <w:r w:rsidRPr="00205D4E">
        <w:rPr>
          <w:rFonts w:ascii="Calibri" w:hAnsi="Calibri"/>
        </w:rPr>
        <w:t xml:space="preserve"> change for that iterate (units: </w:t>
      </w:r>
      <w:r>
        <w:rPr>
          <w:rFonts w:ascii="Calibri" w:hAnsi="Calibri"/>
        </w:rPr>
        <w:t>pounds</w:t>
      </w:r>
      <w:r w:rsidRPr="00205D4E">
        <w:rPr>
          <w:rFonts w:ascii="Calibri" w:hAnsi="Calibri"/>
        </w:rPr>
        <w:t xml:space="preserve"> C </w:t>
      </w:r>
      <w:r>
        <w:rPr>
          <w:rFonts w:ascii="Calibri" w:hAnsi="Calibri"/>
        </w:rPr>
        <w:t>acre</w:t>
      </w:r>
      <w:r w:rsidRPr="00205D4E">
        <w:rPr>
          <w:rFonts w:ascii="Calibri" w:hAnsi="Calibri"/>
          <w:vertAlign w:val="superscript"/>
        </w:rPr>
        <w:t>-1</w:t>
      </w:r>
      <w:r w:rsidRPr="00205D4E">
        <w:rPr>
          <w:rFonts w:ascii="Calibri" w:hAnsi="Calibri"/>
        </w:rPr>
        <w:t xml:space="preserve"> y</w:t>
      </w:r>
      <w:r w:rsidRPr="00205D4E">
        <w:rPr>
          <w:rFonts w:ascii="Calibri" w:hAnsi="Calibri"/>
          <w:vertAlign w:val="superscript"/>
        </w:rPr>
        <w:t>-1</w:t>
      </w:r>
      <w:r w:rsidRPr="00205D4E">
        <w:rPr>
          <w:rFonts w:ascii="Calibri" w:hAnsi="Calibri"/>
        </w:rPr>
        <w:t>) by that plot’s area weight (units:</w:t>
      </w:r>
      <w:r>
        <w:rPr>
          <w:rFonts w:ascii="Calibri" w:hAnsi="Calibri"/>
        </w:rPr>
        <w:t xml:space="preserve"> acres; derivation described below</w:t>
      </w:r>
      <w:r w:rsidRPr="00205D4E">
        <w:rPr>
          <w:rFonts w:ascii="Calibri" w:hAnsi="Calibri"/>
        </w:rPr>
        <w:t xml:space="preserve">) and then summing this product over all </w:t>
      </w:r>
      <w:r>
        <w:rPr>
          <w:rFonts w:ascii="Calibri" w:hAnsi="Calibri"/>
        </w:rPr>
        <w:t xml:space="preserve">2,242 </w:t>
      </w:r>
      <w:r w:rsidRPr="00205D4E">
        <w:rPr>
          <w:rFonts w:ascii="Calibri" w:hAnsi="Calibri"/>
        </w:rPr>
        <w:t>plots (equation 1 of Ogle et al., 2010).</w:t>
      </w:r>
      <w:r>
        <w:rPr>
          <w:rFonts w:ascii="Calibri" w:hAnsi="Calibri"/>
        </w:rPr>
        <w:t xml:space="preserve"> </w:t>
      </w:r>
      <w:r>
        <w:rPr>
          <w:rFonts w:ascii="Calibri" w:hAnsi="Calibri"/>
        </w:rPr>
        <w:lastRenderedPageBreak/>
        <w:t>The 6 plots in eastern Texas that are classified as FRF but lack trees in both measurement periods are taken into account in these calculations; for application of Ogle et al. (2010) equation 1, all 10,000 iterates assume a stock density change of zero pounds</w:t>
      </w:r>
      <w:r w:rsidRPr="00205D4E">
        <w:rPr>
          <w:rFonts w:ascii="Calibri" w:hAnsi="Calibri"/>
        </w:rPr>
        <w:t xml:space="preserve"> C </w:t>
      </w:r>
      <w:r>
        <w:rPr>
          <w:rFonts w:ascii="Calibri" w:hAnsi="Calibri"/>
        </w:rPr>
        <w:t>acre</w:t>
      </w:r>
      <w:r w:rsidRPr="00205D4E">
        <w:rPr>
          <w:rFonts w:ascii="Calibri" w:hAnsi="Calibri"/>
          <w:vertAlign w:val="superscript"/>
        </w:rPr>
        <w:t>-1</w:t>
      </w:r>
      <w:r w:rsidRPr="00205D4E">
        <w:rPr>
          <w:rFonts w:ascii="Calibri" w:hAnsi="Calibri"/>
        </w:rPr>
        <w:t xml:space="preserve"> y</w:t>
      </w:r>
      <w:r w:rsidRPr="00205D4E">
        <w:rPr>
          <w:rFonts w:ascii="Calibri" w:hAnsi="Calibri"/>
          <w:vertAlign w:val="superscript"/>
        </w:rPr>
        <w:t>-1</w:t>
      </w:r>
      <w:r>
        <w:rPr>
          <w:rFonts w:ascii="Calibri" w:hAnsi="Calibri"/>
        </w:rPr>
        <w:t xml:space="preserve"> for these 6 plots.</w:t>
      </w:r>
      <w:r w:rsidRPr="00205D4E">
        <w:rPr>
          <w:rFonts w:ascii="Calibri" w:hAnsi="Calibri"/>
        </w:rPr>
        <w:t xml:space="preserve"> This process was repeated for each </w:t>
      </w:r>
      <w:r>
        <w:rPr>
          <w:rFonts w:ascii="Calibri" w:hAnsi="Calibri"/>
        </w:rPr>
        <w:t>of the 10,0</w:t>
      </w:r>
      <w:r w:rsidRPr="00205D4E">
        <w:rPr>
          <w:rFonts w:ascii="Calibri" w:hAnsi="Calibri"/>
        </w:rPr>
        <w:t>00 Monte Carlo iterates.</w:t>
      </w:r>
      <w:r>
        <w:rPr>
          <w:rFonts w:ascii="Calibri" w:hAnsi="Calibri"/>
        </w:rPr>
        <w:t xml:space="preserve"> T</w:t>
      </w:r>
      <w:r w:rsidRPr="0064138A">
        <w:rPr>
          <w:rFonts w:ascii="Calibri" w:hAnsi="Calibri"/>
        </w:rPr>
        <w:t>he</w:t>
      </w:r>
      <w:r w:rsidRPr="00205D4E">
        <w:rPr>
          <w:rFonts w:ascii="Calibri" w:hAnsi="Calibri"/>
        </w:rPr>
        <w:t xml:space="preserve"> mean annual carbon stock change for eastern Texas</w:t>
      </w:r>
      <w:r>
        <w:rPr>
          <w:rFonts w:ascii="Calibri" w:hAnsi="Calibri"/>
        </w:rPr>
        <w:t xml:space="preserve"> (units: pounds C y</w:t>
      </w:r>
      <w:r w:rsidRPr="00B87641">
        <w:rPr>
          <w:rFonts w:ascii="Calibri" w:hAnsi="Calibri"/>
          <w:vertAlign w:val="superscript"/>
        </w:rPr>
        <w:t>-1</w:t>
      </w:r>
      <w:r>
        <w:rPr>
          <w:rFonts w:ascii="Calibri" w:hAnsi="Calibri"/>
        </w:rPr>
        <w:t>)</w:t>
      </w:r>
      <w:r w:rsidRPr="00205D4E">
        <w:rPr>
          <w:rFonts w:ascii="Calibri" w:hAnsi="Calibri"/>
        </w:rPr>
        <w:t xml:space="preserve"> was calculated by taking the average </w:t>
      </w:r>
      <w:r>
        <w:rPr>
          <w:rFonts w:ascii="Calibri" w:hAnsi="Calibri"/>
        </w:rPr>
        <w:t>of the 10,0</w:t>
      </w:r>
      <w:r w:rsidRPr="00205D4E">
        <w:rPr>
          <w:rFonts w:ascii="Calibri" w:hAnsi="Calibri"/>
        </w:rPr>
        <w:t xml:space="preserve">00 </w:t>
      </w:r>
      <w:r>
        <w:rPr>
          <w:rFonts w:ascii="Calibri" w:hAnsi="Calibri"/>
        </w:rPr>
        <w:t xml:space="preserve">iterates of eastern Texas carbon </w:t>
      </w:r>
      <w:r w:rsidRPr="00205D4E">
        <w:rPr>
          <w:rFonts w:ascii="Calibri" w:hAnsi="Calibri"/>
        </w:rPr>
        <w:t xml:space="preserve">stock change (equation 2 of Ogle et al., 2010). </w:t>
      </w:r>
    </w:p>
    <w:p w14:paraId="42B27C8A" w14:textId="77777777" w:rsidR="00BF2749" w:rsidRDefault="00BF2749" w:rsidP="00BF2749">
      <w:pPr>
        <w:rPr>
          <w:rFonts w:ascii="Calibri" w:hAnsi="Calibri"/>
        </w:rPr>
      </w:pPr>
      <w:r>
        <w:rPr>
          <w:rFonts w:ascii="Calibri" w:hAnsi="Calibri"/>
        </w:rPr>
        <w:t>For stratification, e</w:t>
      </w:r>
      <w:r w:rsidRPr="00421852">
        <w:rPr>
          <w:rFonts w:ascii="Calibri" w:hAnsi="Calibri"/>
        </w:rPr>
        <w:t xml:space="preserve">astern Texas is </w:t>
      </w:r>
      <w:r>
        <w:rPr>
          <w:rFonts w:ascii="Calibri" w:hAnsi="Calibri"/>
        </w:rPr>
        <w:t>divided</w:t>
      </w:r>
      <w:r w:rsidRPr="00421852">
        <w:rPr>
          <w:rFonts w:ascii="Calibri" w:hAnsi="Calibri"/>
        </w:rPr>
        <w:t xml:space="preserve"> into three non-overlap</w:t>
      </w:r>
      <w:r>
        <w:rPr>
          <w:rFonts w:ascii="Calibri" w:hAnsi="Calibri"/>
        </w:rPr>
        <w:t>ping geographic areas known as “</w:t>
      </w:r>
      <w:r w:rsidRPr="00421852">
        <w:rPr>
          <w:rFonts w:ascii="Calibri" w:hAnsi="Calibri"/>
        </w:rPr>
        <w:t>estimation units</w:t>
      </w:r>
      <w:r>
        <w:rPr>
          <w:rFonts w:ascii="Calibri" w:hAnsi="Calibri"/>
        </w:rPr>
        <w:t>” (ESTN_UNIT) in the FIA Database: (1) National Forest Service (NFS) land, which accounts for 2.9% of the area of eastern Texas; (2) Southeast Texas, excluding NFS land, which accounts for 53.2% of the area of eastern Texas; and (3) Northeast Texas, excluding NFS land, which accounts for 43.9% of the area of eastern Texas. In the FIA Database, e</w:t>
      </w:r>
      <w:r w:rsidRPr="00421852">
        <w:rPr>
          <w:rFonts w:ascii="Calibri" w:hAnsi="Calibri"/>
        </w:rPr>
        <w:t>ach estimation unit is stratified into canopy cover bins</w:t>
      </w:r>
      <w:r>
        <w:rPr>
          <w:rFonts w:ascii="Calibri" w:hAnsi="Calibri"/>
        </w:rPr>
        <w:t>, following the 2011 National Land Cover Database (Homer et al., 2015)</w:t>
      </w:r>
      <w:r w:rsidRPr="00421852">
        <w:rPr>
          <w:rFonts w:ascii="Calibri" w:hAnsi="Calibri"/>
        </w:rPr>
        <w:t xml:space="preserve">. </w:t>
      </w:r>
      <w:r>
        <w:rPr>
          <w:rFonts w:ascii="Calibri" w:hAnsi="Calibri"/>
        </w:rPr>
        <w:t xml:space="preserve">The NFS land is divided into two strata: (1) </w:t>
      </w:r>
      <w:r w:rsidRPr="00421852">
        <w:rPr>
          <w:rFonts w:ascii="Calibri" w:hAnsi="Calibri"/>
        </w:rPr>
        <w:t xml:space="preserve">37.5% of </w:t>
      </w:r>
      <w:r>
        <w:rPr>
          <w:rFonts w:ascii="Calibri" w:hAnsi="Calibri"/>
        </w:rPr>
        <w:t xml:space="preserve">total </w:t>
      </w:r>
      <w:r w:rsidRPr="00421852">
        <w:rPr>
          <w:rFonts w:ascii="Calibri" w:hAnsi="Calibri"/>
        </w:rPr>
        <w:t>area has 0–98% canopy cover and (2) 62.5% has 99–100% canopy cover</w:t>
      </w:r>
      <w:r>
        <w:rPr>
          <w:rFonts w:ascii="Calibri" w:hAnsi="Calibri"/>
        </w:rPr>
        <w:t xml:space="preserve">. Southeast Texas is divided into four strata: </w:t>
      </w:r>
      <w:r w:rsidRPr="00421852">
        <w:rPr>
          <w:rFonts w:ascii="Calibri" w:hAnsi="Calibri"/>
        </w:rPr>
        <w:t xml:space="preserve">(1) 28.8% of </w:t>
      </w:r>
      <w:r>
        <w:rPr>
          <w:rFonts w:ascii="Calibri" w:hAnsi="Calibri"/>
        </w:rPr>
        <w:t xml:space="preserve">total </w:t>
      </w:r>
      <w:r w:rsidRPr="00421852">
        <w:rPr>
          <w:rFonts w:ascii="Calibri" w:hAnsi="Calibri"/>
        </w:rPr>
        <w:t xml:space="preserve">area has 0–10% canopy cover; (2) 18.1% has 11–47% canopy cover; (3) 14.2% has 48–84% canopy cover; and (4) 39.0% has 85–100% canopy cover. </w:t>
      </w:r>
      <w:r>
        <w:rPr>
          <w:rFonts w:ascii="Calibri" w:hAnsi="Calibri"/>
        </w:rPr>
        <w:t>Northeast Texas is divided into three strata</w:t>
      </w:r>
      <w:r w:rsidRPr="00421852">
        <w:rPr>
          <w:rFonts w:ascii="Calibri" w:hAnsi="Calibri"/>
        </w:rPr>
        <w:t xml:space="preserve">: (1) 43.6% of </w:t>
      </w:r>
      <w:r>
        <w:rPr>
          <w:rFonts w:ascii="Calibri" w:hAnsi="Calibri"/>
        </w:rPr>
        <w:t xml:space="preserve">total </w:t>
      </w:r>
      <w:r w:rsidRPr="00421852">
        <w:rPr>
          <w:rFonts w:ascii="Calibri" w:hAnsi="Calibri"/>
        </w:rPr>
        <w:t>area has 0–47% canopy cover; (2) 17.7% has 48–84% canopy cover; and (3) 38.7% has 85–100% canopy cover.</w:t>
      </w:r>
      <w:r>
        <w:rPr>
          <w:rFonts w:ascii="Calibri" w:hAnsi="Calibri"/>
        </w:rPr>
        <w:t xml:space="preserve"> Overall, there are nine estimation unit–stratum combinations in eastern Texas, and e</w:t>
      </w:r>
      <w:r w:rsidRPr="00205D4E">
        <w:rPr>
          <w:rFonts w:ascii="Calibri" w:hAnsi="Calibri"/>
        </w:rPr>
        <w:t xml:space="preserve">ach plot in eastern Texas is assigned to one of </w:t>
      </w:r>
      <w:r>
        <w:rPr>
          <w:rFonts w:ascii="Calibri" w:hAnsi="Calibri"/>
        </w:rPr>
        <w:t xml:space="preserve">these </w:t>
      </w:r>
      <w:r w:rsidRPr="00205D4E">
        <w:rPr>
          <w:rFonts w:ascii="Calibri" w:hAnsi="Calibri"/>
        </w:rPr>
        <w:t>nine estimation</w:t>
      </w:r>
      <w:r>
        <w:rPr>
          <w:rFonts w:ascii="Calibri" w:hAnsi="Calibri"/>
        </w:rPr>
        <w:t xml:space="preserve"> unit–stratum combinations (henceforth</w:t>
      </w:r>
      <w:r w:rsidRPr="00205D4E">
        <w:rPr>
          <w:rFonts w:ascii="Calibri" w:hAnsi="Calibri"/>
        </w:rPr>
        <w:t>, simply referred to as “stratum”).</w:t>
      </w:r>
    </w:p>
    <w:p w14:paraId="54608AD4" w14:textId="0A523240" w:rsidR="00BF2749" w:rsidRDefault="00BF2749" w:rsidP="00BF2749">
      <w:pPr>
        <w:rPr>
          <w:rFonts w:ascii="Calibri" w:hAnsi="Calibri"/>
        </w:rPr>
      </w:pPr>
      <w:r>
        <w:rPr>
          <w:rFonts w:ascii="Calibri" w:hAnsi="Calibri"/>
        </w:rPr>
        <w:t>In the Ogle et al. (2010)</w:t>
      </w:r>
      <w:r w:rsidR="00211B5D">
        <w:rPr>
          <w:rFonts w:ascii="Calibri" w:hAnsi="Calibri"/>
        </w:rPr>
        <w:t xml:space="preserve"> equations</w:t>
      </w:r>
      <w:r>
        <w:rPr>
          <w:rFonts w:ascii="Calibri" w:hAnsi="Calibri"/>
        </w:rPr>
        <w:t>, the area weight assigned to each plot indicates the number of acres of FRF area in all of eastern Texas that is represented by that plot. The area weight for each plot depends both on the stratum to which the plot belongs and the FRF area on that plot. The total area of FRF in each stratum is reported in FIA</w:t>
      </w:r>
      <w:r w:rsidRPr="00B331F1">
        <w:rPr>
          <w:rFonts w:ascii="Calibri" w:hAnsi="Calibri"/>
        </w:rPr>
        <w:t>: (1)</w:t>
      </w:r>
      <w:r>
        <w:rPr>
          <w:rFonts w:ascii="Calibri" w:hAnsi="Calibri"/>
        </w:rPr>
        <w:t xml:space="preserve"> 218,413 acres of NFS land with 0–98% canopy cover; (2) 397,919 acres of NFS land with 99–100% canopy cover; (3) 46,004 acres in Southeast Texas with 0–10% canopy cover; (4) 523,504 acres in Southeast Texas with 11–47% canopy cover; (5) 1,101,242 acres in Southeast Texas with 48–84% canopy cover; (6) 4,405,042 acres in Southeast Texas with 85–100% canopy cover; (7) 356,070 acres in Northeast Texas with 0–47% canopy cover; (8) 1,112,189 acres in Northeast Texas with 48–84% canopy cover; and (9) 3,579,941 acres in Northeast Texas with 85–100% canopy cover. Within a stratum, each plot in the stratum is assigned an area weight in proportion to the size of the plot’s FRF area, as determined by the subplot type proportion change (</w:t>
      </w:r>
      <w:r w:rsidRPr="00415129">
        <w:rPr>
          <w:rFonts w:ascii="Calibri" w:hAnsi="Calibri"/>
        </w:rPr>
        <w:t>SUBPTYP_PROP_CHNG) attribute</w:t>
      </w:r>
      <w:r>
        <w:rPr>
          <w:rFonts w:ascii="Calibri" w:hAnsi="Calibri"/>
        </w:rPr>
        <w:t xml:space="preserve"> of the </w:t>
      </w:r>
      <w:r w:rsidRPr="00415129">
        <w:rPr>
          <w:rFonts w:ascii="Calibri" w:hAnsi="Calibri"/>
        </w:rPr>
        <w:t>SUBP_COND_CHNG_MTRX table, which details the proportion of the subplot that remains in the sam</w:t>
      </w:r>
      <w:r>
        <w:rPr>
          <w:rFonts w:ascii="Calibri" w:hAnsi="Calibri"/>
        </w:rPr>
        <w:t xml:space="preserve">e land use category or changes category </w:t>
      </w:r>
      <w:r w:rsidRPr="00415129">
        <w:rPr>
          <w:rFonts w:ascii="Calibri" w:hAnsi="Calibri"/>
        </w:rPr>
        <w:t>over the re-measurement period.</w:t>
      </w:r>
      <w:r>
        <w:rPr>
          <w:rFonts w:ascii="Calibri" w:hAnsi="Calibri"/>
        </w:rPr>
        <w:t xml:space="preserve"> Area weights were calculated for each of the 2,242 eastern Texas plots that had any FRF area over the re-measurement period.</w:t>
      </w:r>
    </w:p>
    <w:p w14:paraId="16BAD8E9" w14:textId="3B73619B" w:rsidR="00BF2749" w:rsidRDefault="00BF2749" w:rsidP="00BF2749">
      <w:pPr>
        <w:rPr>
          <w:rFonts w:ascii="Calibri" w:hAnsi="Calibri"/>
        </w:rPr>
      </w:pPr>
      <w:r>
        <w:rPr>
          <w:rFonts w:ascii="Calibri" w:hAnsi="Calibri"/>
        </w:rPr>
        <w:t>The</w:t>
      </w:r>
      <w:r w:rsidRPr="00205D4E">
        <w:rPr>
          <w:rFonts w:ascii="Calibri" w:hAnsi="Calibri"/>
        </w:rPr>
        <w:t xml:space="preserve"> model-based variance</w:t>
      </w:r>
      <w:r>
        <w:rPr>
          <w:rFonts w:ascii="Calibri" w:hAnsi="Calibri"/>
        </w:rPr>
        <w:t xml:space="preserve"> was calculated using equation 3 of Ogle et al. (2010), and the sample-based variance</w:t>
      </w:r>
      <w:r w:rsidRPr="00205D4E">
        <w:rPr>
          <w:rFonts w:ascii="Calibri" w:hAnsi="Calibri"/>
        </w:rPr>
        <w:t xml:space="preserve"> was calculated using </w:t>
      </w:r>
      <w:r w:rsidR="00DE65F2">
        <w:rPr>
          <w:rFonts w:ascii="Calibri" w:hAnsi="Calibri"/>
        </w:rPr>
        <w:t>a post-stratified estimator (</w:t>
      </w:r>
      <w:r>
        <w:rPr>
          <w:rFonts w:ascii="Calibri" w:hAnsi="Calibri"/>
        </w:rPr>
        <w:t>equations 4 and 5</w:t>
      </w:r>
      <w:r w:rsidR="00DE65F2">
        <w:rPr>
          <w:rFonts w:ascii="Calibri" w:hAnsi="Calibri"/>
        </w:rPr>
        <w:t>,</w:t>
      </w:r>
      <w:r>
        <w:rPr>
          <w:rFonts w:ascii="Calibri" w:hAnsi="Calibri"/>
        </w:rPr>
        <w:t xml:space="preserve"> Ogle et al. (2010)</w:t>
      </w:r>
      <w:r w:rsidR="00DE65F2">
        <w:rPr>
          <w:rFonts w:ascii="Calibri" w:hAnsi="Calibri"/>
        </w:rPr>
        <w:t>)</w:t>
      </w:r>
      <w:r>
        <w:rPr>
          <w:rFonts w:ascii="Calibri" w:hAnsi="Calibri"/>
        </w:rPr>
        <w:t>. The total variance is calculated by summing the model and sample variances (equation 6 of Ogle et al., 2010), which follows NGHGI</w:t>
      </w:r>
      <w:r w:rsidR="00211B5D">
        <w:rPr>
          <w:rFonts w:ascii="Calibri" w:hAnsi="Calibri"/>
        </w:rPr>
        <w:t xml:space="preserve"> methods</w:t>
      </w:r>
      <w:r>
        <w:rPr>
          <w:rFonts w:ascii="Calibri" w:hAnsi="Calibri"/>
        </w:rPr>
        <w:t xml:space="preserve">, in which the model and sample variances are assumed to be independent (Annex 3.13 of NGHGI, 2018). </w:t>
      </w:r>
      <w:r w:rsidRPr="005F182A">
        <w:rPr>
          <w:rFonts w:ascii="Calibri" w:hAnsi="Calibri"/>
        </w:rPr>
        <w:t xml:space="preserve">We </w:t>
      </w:r>
      <w:r>
        <w:rPr>
          <w:rFonts w:ascii="Calibri" w:hAnsi="Calibri"/>
        </w:rPr>
        <w:t xml:space="preserve">use this combined variance to </w:t>
      </w:r>
      <w:r w:rsidRPr="005F182A">
        <w:rPr>
          <w:rFonts w:ascii="Calibri" w:hAnsi="Calibri"/>
        </w:rPr>
        <w:t xml:space="preserve">derive the total 95% confidence interval for eastern Texas carbon stock change associated with living and </w:t>
      </w:r>
      <w:r>
        <w:rPr>
          <w:rFonts w:ascii="Calibri" w:hAnsi="Calibri"/>
        </w:rPr>
        <w:t xml:space="preserve">standing </w:t>
      </w:r>
      <w:r w:rsidRPr="005F182A">
        <w:rPr>
          <w:rFonts w:ascii="Calibri" w:hAnsi="Calibri"/>
        </w:rPr>
        <w:t xml:space="preserve">dead </w:t>
      </w:r>
      <w:r>
        <w:rPr>
          <w:rFonts w:ascii="Calibri" w:hAnsi="Calibri"/>
        </w:rPr>
        <w:t xml:space="preserve">tree </w:t>
      </w:r>
      <w:r w:rsidRPr="005F182A">
        <w:rPr>
          <w:rFonts w:ascii="Calibri" w:hAnsi="Calibri"/>
        </w:rPr>
        <w:t>biomass.</w:t>
      </w:r>
      <w:r>
        <w:rPr>
          <w:rFonts w:ascii="Calibri" w:hAnsi="Calibri"/>
        </w:rPr>
        <w:t xml:space="preserve"> </w:t>
      </w:r>
    </w:p>
    <w:p w14:paraId="192019B8" w14:textId="77777777" w:rsidR="00BF2749" w:rsidRDefault="00BF2749" w:rsidP="00BF2749">
      <w:pPr>
        <w:spacing w:after="0" w:line="240" w:lineRule="auto"/>
        <w:rPr>
          <w:rFonts w:ascii="Calibri" w:hAnsi="Calibri"/>
        </w:rPr>
      </w:pPr>
      <w:r w:rsidRPr="00411F55">
        <w:rPr>
          <w:rFonts w:ascii="Calibri" w:hAnsi="Calibri"/>
        </w:rPr>
        <w:lastRenderedPageBreak/>
        <w:t xml:space="preserve">The </w:t>
      </w:r>
      <w:r>
        <w:rPr>
          <w:rFonts w:ascii="Calibri" w:hAnsi="Calibri"/>
        </w:rPr>
        <w:t xml:space="preserve">plot-level </w:t>
      </w:r>
      <w:r w:rsidRPr="00411F55">
        <w:rPr>
          <w:rFonts w:ascii="Calibri" w:hAnsi="Calibri"/>
        </w:rPr>
        <w:t>carbon density change</w:t>
      </w:r>
      <w:r>
        <w:rPr>
          <w:rFonts w:ascii="Calibri" w:hAnsi="Calibri"/>
        </w:rPr>
        <w:t>s</w:t>
      </w:r>
      <w:r w:rsidRPr="00411F55">
        <w:rPr>
          <w:rFonts w:ascii="Calibri" w:hAnsi="Calibri"/>
        </w:rPr>
        <w:t xml:space="preserve"> </w:t>
      </w:r>
      <w:r>
        <w:rPr>
          <w:rFonts w:ascii="Calibri" w:hAnsi="Calibri"/>
        </w:rPr>
        <w:t>and area weights</w:t>
      </w:r>
      <w:r w:rsidRPr="00411F55">
        <w:rPr>
          <w:rFonts w:ascii="Calibri" w:hAnsi="Calibri"/>
        </w:rPr>
        <w:t xml:space="preserve"> are derived from re-measurements at each plot. </w:t>
      </w:r>
      <w:r w:rsidRPr="00331D98">
        <w:rPr>
          <w:rFonts w:ascii="Calibri" w:hAnsi="Calibri"/>
        </w:rPr>
        <w:t xml:space="preserve">Only 20% of eastern Texas ground plots are measured each year in the rotating panel design used by FIA, which means that it takes on the order of five years to measure the full set of plots. For eastern Texas, the mean re-measurement period for our dataset is 5.4 years. </w:t>
      </w:r>
      <w:r w:rsidRPr="00411F55">
        <w:rPr>
          <w:rFonts w:ascii="Calibri" w:hAnsi="Calibri"/>
        </w:rPr>
        <w:t>Th</w:t>
      </w:r>
      <w:r>
        <w:rPr>
          <w:rFonts w:ascii="Calibri" w:hAnsi="Calibri"/>
        </w:rPr>
        <w:t xml:space="preserve">us, our </w:t>
      </w:r>
      <w:r w:rsidRPr="00411F55">
        <w:rPr>
          <w:rFonts w:ascii="Calibri" w:hAnsi="Calibri"/>
        </w:rPr>
        <w:t xml:space="preserve">estimate </w:t>
      </w:r>
      <w:r>
        <w:rPr>
          <w:rFonts w:ascii="Calibri" w:hAnsi="Calibri"/>
        </w:rPr>
        <w:t>of annual carbon stock change for all of eastern Texas is</w:t>
      </w:r>
      <w:r w:rsidRPr="00411F55">
        <w:rPr>
          <w:rFonts w:ascii="Calibri" w:hAnsi="Calibri"/>
        </w:rPr>
        <w:t xml:space="preserve"> not specific to a certain year, but instead </w:t>
      </w:r>
      <w:r>
        <w:rPr>
          <w:rFonts w:ascii="Calibri" w:hAnsi="Calibri"/>
        </w:rPr>
        <w:t>is</w:t>
      </w:r>
      <w:r w:rsidRPr="00411F55">
        <w:rPr>
          <w:rFonts w:ascii="Calibri" w:hAnsi="Calibri"/>
        </w:rPr>
        <w:t xml:space="preserve"> assumed to be representative of average</w:t>
      </w:r>
      <w:r>
        <w:rPr>
          <w:rFonts w:ascii="Calibri" w:hAnsi="Calibri"/>
        </w:rPr>
        <w:t xml:space="preserve"> annual</w:t>
      </w:r>
      <w:r w:rsidRPr="00411F55">
        <w:rPr>
          <w:rFonts w:ascii="Calibri" w:hAnsi="Calibri"/>
        </w:rPr>
        <w:t xml:space="preserve"> trends</w:t>
      </w:r>
      <w:r>
        <w:rPr>
          <w:rFonts w:ascii="Calibri" w:hAnsi="Calibri"/>
        </w:rPr>
        <w:t xml:space="preserve"> for the region.</w:t>
      </w:r>
    </w:p>
    <w:p w14:paraId="7F876EB9" w14:textId="77777777" w:rsidR="00BF2749" w:rsidRDefault="00BF2749" w:rsidP="00BF2749">
      <w:pPr>
        <w:spacing w:after="0" w:line="240" w:lineRule="auto"/>
        <w:rPr>
          <w:rFonts w:ascii="Calibri" w:hAnsi="Calibri"/>
        </w:rPr>
      </w:pPr>
    </w:p>
    <w:p w14:paraId="09AFA8F8" w14:textId="20CD9451" w:rsidR="00BF2749" w:rsidRDefault="00BF2749" w:rsidP="00BF2749">
      <w:pPr>
        <w:rPr>
          <w:rFonts w:ascii="Calibri" w:hAnsi="Calibri"/>
        </w:rPr>
      </w:pPr>
      <w:r>
        <w:rPr>
          <w:rFonts w:ascii="Calibri" w:hAnsi="Calibri"/>
        </w:rPr>
        <w:t xml:space="preserve">We use nine </w:t>
      </w:r>
      <w:r w:rsidR="00211B5D">
        <w:rPr>
          <w:rFonts w:ascii="Calibri" w:hAnsi="Calibri"/>
        </w:rPr>
        <w:t xml:space="preserve">additional </w:t>
      </w:r>
      <w:r>
        <w:rPr>
          <w:rFonts w:ascii="Calibri" w:hAnsi="Calibri"/>
        </w:rPr>
        <w:t xml:space="preserve">Monte Carlo simulations to </w:t>
      </w:r>
      <w:r w:rsidR="00211B5D">
        <w:rPr>
          <w:rFonts w:ascii="Calibri" w:hAnsi="Calibri"/>
        </w:rPr>
        <w:t xml:space="preserve">estimate </w:t>
      </w:r>
      <w:r>
        <w:rPr>
          <w:rFonts w:ascii="Calibri" w:hAnsi="Calibri"/>
        </w:rPr>
        <w:t xml:space="preserve">the contribution to uncertainty from </w:t>
      </w:r>
      <w:r w:rsidR="00211B5D">
        <w:rPr>
          <w:rFonts w:ascii="Calibri" w:hAnsi="Calibri"/>
        </w:rPr>
        <w:t>each model parameter group. For each of these simulation</w:t>
      </w:r>
      <w:r>
        <w:rPr>
          <w:rFonts w:ascii="Calibri" w:hAnsi="Calibri"/>
        </w:rPr>
        <w:t xml:space="preserve">, one of </w:t>
      </w:r>
      <w:r w:rsidR="00211B5D">
        <w:rPr>
          <w:rFonts w:ascii="Calibri" w:hAnsi="Calibri"/>
        </w:rPr>
        <w:t xml:space="preserve">the </w:t>
      </w:r>
      <w:r>
        <w:rPr>
          <w:rFonts w:ascii="Calibri" w:hAnsi="Calibri"/>
        </w:rPr>
        <w:t>nine model parameters or parameter groups is allowed to vary while all other parameters are held to their mean values. For each of the nine Monte Carlo simulations, we apply equations 1–3 of Ogle et al. (2010) to estimate the model variance based on variation of a single parameter or parameter group.</w:t>
      </w:r>
    </w:p>
    <w:p w14:paraId="05F81898" w14:textId="77777777" w:rsidR="00BF2749" w:rsidRDefault="00BF2749" w:rsidP="00BF2749">
      <w:pPr>
        <w:rPr>
          <w:rFonts w:ascii="Calibri" w:hAnsi="Calibri"/>
        </w:rPr>
      </w:pPr>
      <w:r>
        <w:rPr>
          <w:rFonts w:ascii="Calibri" w:hAnsi="Calibri"/>
        </w:rPr>
        <w:t>The nine parameters groups we assess are briefly described below.</w:t>
      </w:r>
      <w:r w:rsidRPr="006E26D7">
        <w:rPr>
          <w:rFonts w:ascii="Calibri" w:hAnsi="Calibri"/>
        </w:rPr>
        <w:t xml:space="preserve"> </w:t>
      </w:r>
      <w:r>
        <w:rPr>
          <w:rFonts w:ascii="Calibri" w:hAnsi="Calibri"/>
        </w:rPr>
        <w:t>More information is available in Woodall et al. (2011) and references therein, notably: Domke et al. (2011), Heath et al. (2009), Jenkins et al. (2003, 2004), Miles and Smith (2009), and Raile (1982).</w:t>
      </w:r>
    </w:p>
    <w:p w14:paraId="19D4291B" w14:textId="77777777" w:rsidR="00BF2749" w:rsidRPr="003D5FF4" w:rsidRDefault="00BF2749" w:rsidP="000B2554">
      <w:pPr>
        <w:pStyle w:val="ListParagraph"/>
        <w:numPr>
          <w:ilvl w:val="0"/>
          <w:numId w:val="15"/>
        </w:numPr>
        <w:rPr>
          <w:rFonts w:ascii="Calibri" w:hAnsi="Calibri"/>
        </w:rPr>
      </w:pPr>
      <w:r w:rsidRPr="003D5FF4">
        <w:rPr>
          <w:rFonts w:ascii="Calibri" w:hAnsi="Calibri"/>
          <w:b/>
        </w:rPr>
        <w:t>Volume coefficients</w:t>
      </w:r>
      <w:r w:rsidRPr="003D5FF4">
        <w:rPr>
          <w:rFonts w:ascii="Calibri" w:hAnsi="Calibri"/>
        </w:rPr>
        <w:t>: Used to calculate gross bole volume from measurements of height and diameter.</w:t>
      </w:r>
      <w:r>
        <w:rPr>
          <w:rFonts w:ascii="Calibri" w:hAnsi="Calibri"/>
        </w:rPr>
        <w:t xml:space="preserve"> Directly a</w:t>
      </w:r>
      <w:r w:rsidRPr="001C0E88">
        <w:rPr>
          <w:rFonts w:ascii="Calibri" w:hAnsi="Calibri"/>
        </w:rPr>
        <w:t xml:space="preserve">pplied </w:t>
      </w:r>
      <w:r>
        <w:rPr>
          <w:rFonts w:ascii="Calibri" w:hAnsi="Calibri"/>
        </w:rPr>
        <w:t xml:space="preserve">only </w:t>
      </w:r>
      <w:r w:rsidRPr="001C0E88">
        <w:rPr>
          <w:rFonts w:ascii="Calibri" w:hAnsi="Calibri"/>
        </w:rPr>
        <w:t xml:space="preserve">to trees with diameter ≥ 5.0 inches. </w:t>
      </w:r>
      <w:r>
        <w:rPr>
          <w:rFonts w:ascii="Calibri" w:hAnsi="Calibri"/>
        </w:rPr>
        <w:t>Considering the full set of trees in</w:t>
      </w:r>
      <w:r w:rsidRPr="00133F9E">
        <w:rPr>
          <w:rFonts w:ascii="Calibri" w:hAnsi="Calibri"/>
        </w:rPr>
        <w:t xml:space="preserve"> this </w:t>
      </w:r>
      <w:r w:rsidRPr="003D5FF4">
        <w:rPr>
          <w:rFonts w:ascii="Calibri" w:hAnsi="Calibri"/>
        </w:rPr>
        <w:t>eastern Texas dataset, 81 different sets of species-specific volume coefficients are applied.</w:t>
      </w:r>
      <w:r>
        <w:rPr>
          <w:rFonts w:ascii="Calibri" w:hAnsi="Calibri"/>
        </w:rPr>
        <w:t xml:space="preserve"> Two coefficients are reported for each timber tree species in this dataset. Six coefficients are reported for each woodland tree species.</w:t>
      </w:r>
    </w:p>
    <w:p w14:paraId="7B39B8E3" w14:textId="77777777" w:rsidR="00BF2749" w:rsidRDefault="00BF2749" w:rsidP="000B2554">
      <w:pPr>
        <w:pStyle w:val="ListParagraph"/>
        <w:numPr>
          <w:ilvl w:val="0"/>
          <w:numId w:val="15"/>
        </w:numPr>
        <w:rPr>
          <w:rFonts w:ascii="Calibri" w:hAnsi="Calibri"/>
        </w:rPr>
      </w:pPr>
      <w:r w:rsidRPr="003D5FF4">
        <w:rPr>
          <w:rFonts w:ascii="Calibri" w:hAnsi="Calibri"/>
          <w:b/>
        </w:rPr>
        <w:t>Wood and bark specific gravities</w:t>
      </w:r>
      <w:r w:rsidRPr="003D5FF4">
        <w:rPr>
          <w:rFonts w:ascii="Calibri" w:hAnsi="Calibri"/>
        </w:rPr>
        <w:t>: Used to convert bole volume to biomass.</w:t>
      </w:r>
      <w:r>
        <w:rPr>
          <w:rFonts w:ascii="Calibri" w:hAnsi="Calibri"/>
        </w:rPr>
        <w:t xml:space="preserve"> Directly applied only to </w:t>
      </w:r>
      <w:r w:rsidRPr="001C0E88">
        <w:rPr>
          <w:rFonts w:ascii="Calibri" w:hAnsi="Calibri"/>
        </w:rPr>
        <w:t>trees with diameter ≥ 5.0 inches</w:t>
      </w:r>
      <w:r>
        <w:rPr>
          <w:rFonts w:ascii="Calibri" w:hAnsi="Calibri"/>
        </w:rPr>
        <w:t xml:space="preserve">. Considering the full set of trees in this eastern Texas dataset, 30 different values of species-specific wood specific gravity are applied and 27 different values of species-specific bark specific gravity are applied. </w:t>
      </w:r>
    </w:p>
    <w:p w14:paraId="7076D2A0" w14:textId="77777777" w:rsidR="00BF2749" w:rsidRDefault="00BF2749" w:rsidP="000B2554">
      <w:pPr>
        <w:pStyle w:val="ListParagraph"/>
        <w:numPr>
          <w:ilvl w:val="0"/>
          <w:numId w:val="15"/>
        </w:numPr>
        <w:rPr>
          <w:rFonts w:ascii="Calibri" w:hAnsi="Calibri"/>
        </w:rPr>
      </w:pPr>
      <w:r w:rsidRPr="003D5FF4">
        <w:rPr>
          <w:rFonts w:ascii="Calibri" w:hAnsi="Calibri"/>
          <w:b/>
        </w:rPr>
        <w:t>Bark as a percentage of wood volume</w:t>
      </w:r>
      <w:r w:rsidRPr="003D5FF4">
        <w:rPr>
          <w:rFonts w:ascii="Calibri" w:hAnsi="Calibri"/>
        </w:rPr>
        <w:t>: Used to convert bole volume to biomass.</w:t>
      </w:r>
      <w:r>
        <w:rPr>
          <w:rFonts w:ascii="Calibri" w:hAnsi="Calibri"/>
        </w:rPr>
        <w:t xml:space="preserve"> Directly applied only to </w:t>
      </w:r>
      <w:r w:rsidRPr="001C0E88">
        <w:rPr>
          <w:rFonts w:ascii="Calibri" w:hAnsi="Calibri"/>
        </w:rPr>
        <w:t>trees with diameter ≥ 5.0 inches</w:t>
      </w:r>
      <w:r>
        <w:rPr>
          <w:rFonts w:ascii="Calibri" w:hAnsi="Calibri"/>
        </w:rPr>
        <w:t>. Considering the full set of trees in the eastern Texas dataset, 20 different values of species-specific bark percentage are applied.</w:t>
      </w:r>
    </w:p>
    <w:p w14:paraId="197B2F33" w14:textId="77777777" w:rsidR="00BF2749" w:rsidRDefault="00BF2749" w:rsidP="000B2554">
      <w:pPr>
        <w:pStyle w:val="ListParagraph"/>
        <w:numPr>
          <w:ilvl w:val="0"/>
          <w:numId w:val="15"/>
        </w:numPr>
        <w:rPr>
          <w:rFonts w:ascii="Calibri" w:hAnsi="Calibri"/>
        </w:rPr>
      </w:pPr>
      <w:r w:rsidRPr="003D5FF4">
        <w:rPr>
          <w:rFonts w:ascii="Calibri" w:hAnsi="Calibri"/>
          <w:b/>
        </w:rPr>
        <w:t>Stump volume coefficients</w:t>
      </w:r>
      <w:r w:rsidRPr="003D5FF4">
        <w:rPr>
          <w:rFonts w:ascii="Calibri" w:hAnsi="Calibri"/>
        </w:rPr>
        <w:t>: Used to quantify the volume of the tree stump from measured diameter.</w:t>
      </w:r>
      <w:r>
        <w:rPr>
          <w:rFonts w:ascii="Calibri" w:hAnsi="Calibri"/>
        </w:rPr>
        <w:t xml:space="preserve"> Directly applied only to timber trees with diameter ≥ 5.0 inches. Considering the full set of trees in this eastern Texas dataset, 6 different sets of species group-specific stump volume coefficients are applied.</w:t>
      </w:r>
    </w:p>
    <w:p w14:paraId="25CE80BC" w14:textId="3F9FD265" w:rsidR="00BF2749" w:rsidRPr="003D5FF4" w:rsidRDefault="003668EE" w:rsidP="00652BD5">
      <w:pPr>
        <w:pStyle w:val="ListParagraph"/>
        <w:numPr>
          <w:ilvl w:val="0"/>
          <w:numId w:val="15"/>
        </w:numPr>
        <w:contextualSpacing w:val="0"/>
        <w:rPr>
          <w:rFonts w:ascii="Calibri" w:hAnsi="Calibri"/>
        </w:rPr>
      </w:pPr>
      <w:r>
        <w:rPr>
          <w:rFonts w:ascii="Calibri" w:hAnsi="Calibri"/>
          <w:b/>
        </w:rPr>
        <w:t>A</w:t>
      </w:r>
      <w:r w:rsidR="00BF2749" w:rsidRPr="003D5FF4">
        <w:rPr>
          <w:rFonts w:ascii="Calibri" w:hAnsi="Calibri"/>
          <w:b/>
        </w:rPr>
        <w:t>boveground biomass</w:t>
      </w:r>
      <w:r w:rsidR="00BF2749" w:rsidRPr="00C506C5">
        <w:rPr>
          <w:rFonts w:ascii="Calibri" w:hAnsi="Calibri"/>
        </w:rPr>
        <w:t xml:space="preserve"> </w:t>
      </w:r>
      <w:r w:rsidRPr="000B2554">
        <w:rPr>
          <w:rFonts w:ascii="Calibri" w:hAnsi="Calibri"/>
          <w:b/>
        </w:rPr>
        <w:t>adjustment factor</w:t>
      </w:r>
      <w:r>
        <w:rPr>
          <w:rFonts w:ascii="Calibri" w:hAnsi="Calibri"/>
        </w:rPr>
        <w:t xml:space="preserve"> </w:t>
      </w:r>
      <w:r w:rsidR="00BF2749" w:rsidRPr="00C506C5">
        <w:rPr>
          <w:rFonts w:ascii="Calibri" w:hAnsi="Calibri"/>
        </w:rPr>
        <w:t>following Jenkins et al. (2003)</w:t>
      </w:r>
      <w:r w:rsidR="00BF2749" w:rsidRPr="00496F63">
        <w:rPr>
          <w:rFonts w:ascii="Calibri" w:hAnsi="Calibri"/>
        </w:rPr>
        <w:t>: Total aboveground biomass calculated from measured diameter using regression equations. Used to estimate an ad</w:t>
      </w:r>
      <w:r w:rsidR="00BF2749" w:rsidRPr="003D5FF4">
        <w:rPr>
          <w:rFonts w:ascii="Calibri" w:hAnsi="Calibri"/>
        </w:rPr>
        <w:t>justment factor applied in the C</w:t>
      </w:r>
      <w:r w:rsidR="00BF2749" w:rsidRPr="00C506C5">
        <w:rPr>
          <w:rFonts w:ascii="Calibri" w:hAnsi="Calibri"/>
        </w:rPr>
        <w:t xml:space="preserve">omponent </w:t>
      </w:r>
      <w:r w:rsidR="00BF2749" w:rsidRPr="003D5FF4">
        <w:rPr>
          <w:rFonts w:ascii="Calibri" w:hAnsi="Calibri"/>
        </w:rPr>
        <w:t>Ratio M</w:t>
      </w:r>
      <w:r w:rsidR="00BF2749" w:rsidRPr="00C506C5">
        <w:rPr>
          <w:rFonts w:ascii="Calibri" w:hAnsi="Calibri"/>
        </w:rPr>
        <w:t>ethod</w:t>
      </w:r>
      <w:r>
        <w:rPr>
          <w:rFonts w:ascii="Calibri" w:hAnsi="Calibri"/>
        </w:rPr>
        <w:t xml:space="preserve"> and is also used to estimate sapling aboveground biomass (for trees with 1.0</w:t>
      </w:r>
      <w:r>
        <w:rPr>
          <w:rFonts w:ascii="Calibri" w:hAnsi="Calibri" w:cs="Calibri"/>
        </w:rPr>
        <w:t>≤</w:t>
      </w:r>
      <w:r>
        <w:rPr>
          <w:rFonts w:ascii="Calibri" w:hAnsi="Calibri"/>
        </w:rPr>
        <w:t>DBH</w:t>
      </w:r>
      <w:r>
        <w:rPr>
          <w:rFonts w:ascii="Calibri" w:hAnsi="Calibri" w:cs="Calibri"/>
        </w:rPr>
        <w:t>≤</w:t>
      </w:r>
      <w:r>
        <w:rPr>
          <w:rFonts w:ascii="Calibri" w:hAnsi="Calibri"/>
        </w:rPr>
        <w:t>5.0 inches)</w:t>
      </w:r>
      <w:r w:rsidR="00BF2749" w:rsidRPr="00C506C5">
        <w:rPr>
          <w:rFonts w:ascii="Calibri" w:hAnsi="Calibri"/>
        </w:rPr>
        <w:t>.</w:t>
      </w:r>
      <w:r w:rsidR="00BF2749" w:rsidRPr="00496F63">
        <w:rPr>
          <w:rFonts w:ascii="Calibri" w:hAnsi="Calibri"/>
        </w:rPr>
        <w:t xml:space="preserve"> </w:t>
      </w:r>
      <w:r w:rsidR="00BF2749" w:rsidRPr="003D5FF4">
        <w:rPr>
          <w:rFonts w:ascii="Calibri" w:hAnsi="Calibri"/>
        </w:rPr>
        <w:t xml:space="preserve">Considering the full set of trees in this eastern Texas dataset, 7 different sets of species group-specific coefficients are applied. A set of coefficients includes 2 coefficients. When this parameter is allowed to vary, the prescribed variance (error bar) is applied directly </w:t>
      </w:r>
      <w:r w:rsidR="00BF2749">
        <w:rPr>
          <w:rFonts w:ascii="Calibri" w:hAnsi="Calibri"/>
        </w:rPr>
        <w:t>to</w:t>
      </w:r>
      <w:r w:rsidR="00BF2749" w:rsidRPr="003D5FF4">
        <w:rPr>
          <w:rFonts w:ascii="Calibri" w:hAnsi="Calibri"/>
        </w:rPr>
        <w:t xml:space="preserve"> the calculated diameter-dependent biomass for each tree, rather than on the coefficients used to calculate the biomass</w:t>
      </w:r>
      <w:r w:rsidR="00BF2749" w:rsidRPr="00496F63">
        <w:rPr>
          <w:rFonts w:ascii="Calibri" w:hAnsi="Calibri"/>
        </w:rPr>
        <w:t xml:space="preserve"> (see description </w:t>
      </w:r>
      <w:r w:rsidR="00BF2749" w:rsidRPr="00FA3E4F">
        <w:rPr>
          <w:rFonts w:ascii="Calibri" w:hAnsi="Calibri"/>
        </w:rPr>
        <w:t xml:space="preserve">in </w:t>
      </w:r>
      <w:r w:rsidR="00BF2749" w:rsidRPr="00A013B4">
        <w:rPr>
          <w:rFonts w:ascii="Calibri" w:hAnsi="Calibri"/>
        </w:rPr>
        <w:t xml:space="preserve">Table </w:t>
      </w:r>
      <w:r w:rsidR="005E4D1E">
        <w:rPr>
          <w:rFonts w:ascii="Calibri" w:hAnsi="Calibri"/>
        </w:rPr>
        <w:t>2</w:t>
      </w:r>
      <w:r w:rsidR="00BF2749">
        <w:rPr>
          <w:rFonts w:ascii="Calibri" w:hAnsi="Calibri"/>
        </w:rPr>
        <w:t>-</w:t>
      </w:r>
      <w:r w:rsidR="0081544B">
        <w:rPr>
          <w:rFonts w:ascii="Calibri" w:hAnsi="Calibri"/>
        </w:rPr>
        <w:t>2</w:t>
      </w:r>
      <w:r w:rsidR="00BF2749" w:rsidRPr="00A013B4">
        <w:rPr>
          <w:rFonts w:ascii="Calibri" w:hAnsi="Calibri"/>
        </w:rPr>
        <w:t>).</w:t>
      </w:r>
    </w:p>
    <w:p w14:paraId="7E2D7187" w14:textId="77777777" w:rsidR="00BF2749" w:rsidRPr="00DF0A71" w:rsidRDefault="00BF2749" w:rsidP="000B2554">
      <w:pPr>
        <w:pStyle w:val="ListParagraph"/>
        <w:numPr>
          <w:ilvl w:val="0"/>
          <w:numId w:val="15"/>
        </w:numPr>
        <w:rPr>
          <w:rFonts w:ascii="Calibri" w:hAnsi="Calibri"/>
        </w:rPr>
      </w:pPr>
      <w:r w:rsidRPr="003D5FF4">
        <w:rPr>
          <w:rFonts w:ascii="Calibri" w:hAnsi="Calibri"/>
          <w:b/>
        </w:rPr>
        <w:t>Component ratio coefficients:</w:t>
      </w:r>
      <w:r w:rsidRPr="003D5FF4">
        <w:rPr>
          <w:rFonts w:ascii="Calibri" w:hAnsi="Calibri"/>
        </w:rPr>
        <w:t xml:space="preserve"> Used in calculation of component ratios (i.e., ratio of tree component biomass to total aboveground biomass) following diameter-dependent regression equations of Jenkins et al. (2003).</w:t>
      </w:r>
      <w:r w:rsidRPr="00DF0A71">
        <w:rPr>
          <w:rFonts w:ascii="Calibri" w:hAnsi="Calibri"/>
        </w:rPr>
        <w:t xml:space="preserve"> </w:t>
      </w:r>
      <w:r w:rsidRPr="00B211D3">
        <w:rPr>
          <w:rFonts w:ascii="Calibri" w:hAnsi="Calibri"/>
        </w:rPr>
        <w:t>Two</w:t>
      </w:r>
      <w:r w:rsidRPr="008F33E8">
        <w:rPr>
          <w:rFonts w:ascii="Calibri" w:hAnsi="Calibri"/>
        </w:rPr>
        <w:t xml:space="preserve"> different sets of component ratio coefficients are applied (1 set for all hardwoods and 1 set for all softwoods). </w:t>
      </w:r>
      <w:r w:rsidRPr="003D5FF4">
        <w:rPr>
          <w:rFonts w:ascii="Calibri" w:hAnsi="Calibri"/>
        </w:rPr>
        <w:t xml:space="preserve">For timber trees with diameter ≥ 5.0 inches, </w:t>
      </w:r>
      <w:r w:rsidRPr="003D5FF4">
        <w:rPr>
          <w:rFonts w:ascii="Calibri" w:hAnsi="Calibri"/>
        </w:rPr>
        <w:lastRenderedPageBreak/>
        <w:t>a set of coefficients includes 8 coefficients: 2 each for foliage, coarse roots, stem wood, and stem bark. For woodland trees and saplings, a set of coefficients includes 4 coefficients: 2 each for foliage and coarse roots.</w:t>
      </w:r>
    </w:p>
    <w:p w14:paraId="306941F4" w14:textId="77777777" w:rsidR="00BF2749" w:rsidRDefault="00BF2749" w:rsidP="000B2554">
      <w:pPr>
        <w:pStyle w:val="ListParagraph"/>
        <w:numPr>
          <w:ilvl w:val="0"/>
          <w:numId w:val="15"/>
        </w:numPr>
        <w:rPr>
          <w:rFonts w:ascii="Calibri" w:hAnsi="Calibri"/>
        </w:rPr>
      </w:pPr>
      <w:r w:rsidRPr="003D5FF4">
        <w:rPr>
          <w:rFonts w:ascii="Calibri" w:hAnsi="Calibri"/>
          <w:b/>
        </w:rPr>
        <w:t>Sapling adjustment factor</w:t>
      </w:r>
      <w:r w:rsidRPr="00A71C94">
        <w:rPr>
          <w:rFonts w:ascii="Calibri" w:hAnsi="Calibri"/>
        </w:rPr>
        <w:t>:</w:t>
      </w:r>
      <w:r w:rsidRPr="003D5FF4">
        <w:rPr>
          <w:rFonts w:ascii="Calibri" w:hAnsi="Calibri"/>
        </w:rPr>
        <w:t xml:space="preserve"> </w:t>
      </w:r>
      <w:r>
        <w:rPr>
          <w:rFonts w:ascii="Calibri" w:hAnsi="Calibri"/>
        </w:rPr>
        <w:t>Used only for saplings to account for differences in the volume-based biomass estimation method of the Component Ratio Method and the Jenkins et al. (2003) diameter-based regression equations for biomass estimation. For the eastern Texas dataset, 22 different values of species group-specific sapling adjustment factors are applied.</w:t>
      </w:r>
    </w:p>
    <w:p w14:paraId="5113F57F" w14:textId="77777777" w:rsidR="00BF2749" w:rsidRDefault="00BF2749" w:rsidP="000B2554">
      <w:pPr>
        <w:pStyle w:val="ListParagraph"/>
        <w:numPr>
          <w:ilvl w:val="0"/>
          <w:numId w:val="15"/>
        </w:numPr>
        <w:rPr>
          <w:rFonts w:ascii="Calibri" w:hAnsi="Calibri"/>
        </w:rPr>
      </w:pPr>
      <w:r w:rsidRPr="003D5FF4">
        <w:rPr>
          <w:rFonts w:ascii="Calibri" w:hAnsi="Calibri"/>
          <w:b/>
        </w:rPr>
        <w:t>Density reduction factor</w:t>
      </w:r>
      <w:r w:rsidRPr="00920E8C">
        <w:rPr>
          <w:rFonts w:ascii="Calibri" w:hAnsi="Calibri"/>
        </w:rPr>
        <w:t>:</w:t>
      </w:r>
      <w:r w:rsidRPr="003D5FF4">
        <w:rPr>
          <w:rFonts w:ascii="Calibri" w:hAnsi="Calibri"/>
        </w:rPr>
        <w:t xml:space="preserve"> </w:t>
      </w:r>
      <w:r w:rsidRPr="00920E8C">
        <w:rPr>
          <w:rFonts w:ascii="Calibri" w:hAnsi="Calibri"/>
        </w:rPr>
        <w:t xml:space="preserve">Scaling </w:t>
      </w:r>
      <w:r w:rsidRPr="003D5FF4">
        <w:rPr>
          <w:rFonts w:ascii="Calibri" w:hAnsi="Calibri"/>
        </w:rPr>
        <w:t>factor</w:t>
      </w:r>
      <w:r w:rsidRPr="00920E8C">
        <w:rPr>
          <w:rFonts w:ascii="Calibri" w:hAnsi="Calibri"/>
        </w:rPr>
        <w:t xml:space="preserve"> used to</w:t>
      </w:r>
      <w:r>
        <w:rPr>
          <w:rFonts w:ascii="Calibri" w:hAnsi="Calibri"/>
        </w:rPr>
        <w:t xml:space="preserve"> account for reduced density from decay of standing dead trees.</w:t>
      </w:r>
      <w:r w:rsidRPr="003D5FF4">
        <w:rPr>
          <w:rFonts w:ascii="Calibri" w:hAnsi="Calibri"/>
        </w:rPr>
        <w:t xml:space="preserve"> </w:t>
      </w:r>
      <w:r>
        <w:rPr>
          <w:rFonts w:ascii="Calibri" w:hAnsi="Calibri"/>
        </w:rPr>
        <w:t>For the eastern Texas dataset, 10 different values of density reduction factor are applied (depending on degree of decay and whether tree is hardwood or softwood).</w:t>
      </w:r>
    </w:p>
    <w:p w14:paraId="05BDEA66" w14:textId="77777777" w:rsidR="00BF2749" w:rsidRPr="003D5FF4" w:rsidRDefault="00BF2749" w:rsidP="000B2554">
      <w:pPr>
        <w:pStyle w:val="ListParagraph"/>
        <w:numPr>
          <w:ilvl w:val="0"/>
          <w:numId w:val="15"/>
        </w:numPr>
        <w:rPr>
          <w:rFonts w:ascii="Calibri" w:hAnsi="Calibri"/>
        </w:rPr>
      </w:pPr>
      <w:r w:rsidRPr="003D5FF4">
        <w:rPr>
          <w:rFonts w:ascii="Calibri" w:hAnsi="Calibri"/>
          <w:b/>
        </w:rPr>
        <w:t>Structural loss adjustment factors</w:t>
      </w:r>
      <w:r w:rsidRPr="000B2D1B">
        <w:rPr>
          <w:rFonts w:ascii="Calibri" w:hAnsi="Calibri"/>
        </w:rPr>
        <w:t>:</w:t>
      </w:r>
      <w:r w:rsidRPr="003D5FF4">
        <w:rPr>
          <w:rFonts w:ascii="Calibri" w:hAnsi="Calibri"/>
        </w:rPr>
        <w:t xml:space="preserve">  </w:t>
      </w:r>
      <w:r>
        <w:rPr>
          <w:rFonts w:ascii="Calibri" w:hAnsi="Calibri"/>
        </w:rPr>
        <w:t>Scaling factor used to account for structural loss of standing dead trees. For the eastern Texas dataset, 5 different sets of structural loss adjustment factors are applied (depending on degree of decay of the tree).</w:t>
      </w:r>
    </w:p>
    <w:p w14:paraId="61D5F5B0" w14:textId="71573FA2" w:rsidR="00BF2749" w:rsidRDefault="00BF2749" w:rsidP="00BF2749">
      <w:pPr>
        <w:rPr>
          <w:rFonts w:ascii="Calibri" w:hAnsi="Calibri"/>
        </w:rPr>
      </w:pPr>
      <w:r>
        <w:rPr>
          <w:rFonts w:ascii="Calibri" w:hAnsi="Calibri"/>
        </w:rPr>
        <w:t xml:space="preserve">The distribution and coefficient of variation (standard </w:t>
      </w:r>
      <w:r w:rsidR="006A6C58">
        <w:rPr>
          <w:rFonts w:ascii="Calibri" w:hAnsi="Calibri"/>
        </w:rPr>
        <w:t>error</w:t>
      </w:r>
      <w:r>
        <w:rPr>
          <w:rFonts w:ascii="Calibri" w:hAnsi="Calibri"/>
        </w:rPr>
        <w:t xml:space="preserve"> as a </w:t>
      </w:r>
      <w:r w:rsidR="00211B5D">
        <w:rPr>
          <w:rFonts w:ascii="Calibri" w:hAnsi="Calibri"/>
        </w:rPr>
        <w:t>proportion</w:t>
      </w:r>
      <w:r>
        <w:rPr>
          <w:rFonts w:ascii="Calibri" w:hAnsi="Calibri"/>
        </w:rPr>
        <w:t xml:space="preserve"> of the mean) assigned to each of the variable parameters are summarized in </w:t>
      </w:r>
      <w:r w:rsidRPr="002C7FD1">
        <w:rPr>
          <w:rFonts w:ascii="Calibri" w:hAnsi="Calibri"/>
        </w:rPr>
        <w:t xml:space="preserve">Table </w:t>
      </w:r>
      <w:r w:rsidR="005E4D1E">
        <w:rPr>
          <w:rFonts w:ascii="Calibri" w:hAnsi="Calibri"/>
        </w:rPr>
        <w:t>2</w:t>
      </w:r>
      <w:r w:rsidRPr="002C7FD1">
        <w:rPr>
          <w:rFonts w:ascii="Calibri" w:hAnsi="Calibri"/>
        </w:rPr>
        <w:t>-</w:t>
      </w:r>
      <w:r w:rsidR="0081544B">
        <w:rPr>
          <w:rFonts w:ascii="Calibri" w:hAnsi="Calibri"/>
        </w:rPr>
        <w:t>2</w:t>
      </w:r>
      <w:r>
        <w:rPr>
          <w:rFonts w:ascii="Calibri" w:hAnsi="Calibri"/>
        </w:rPr>
        <w:t>. Parameters for which a literature-based</w:t>
      </w:r>
      <w:r w:rsidR="00211B5D">
        <w:rPr>
          <w:rFonts w:ascii="Calibri" w:hAnsi="Calibri"/>
        </w:rPr>
        <w:t xml:space="preserve"> or empirically-</w:t>
      </w:r>
      <w:r>
        <w:rPr>
          <w:rFonts w:ascii="Calibri" w:hAnsi="Calibri"/>
        </w:rPr>
        <w:t xml:space="preserve">derived estimate of the coefficient of variation could not be </w:t>
      </w:r>
      <w:r w:rsidR="00211B5D">
        <w:rPr>
          <w:rFonts w:ascii="Calibri" w:hAnsi="Calibri"/>
        </w:rPr>
        <w:t xml:space="preserve">retrieved </w:t>
      </w:r>
      <w:r>
        <w:rPr>
          <w:rFonts w:ascii="Calibri" w:hAnsi="Calibri"/>
        </w:rPr>
        <w:t>(i.e., volume coefficients, stump volume coefficients, and structural loss adjustment factors) were assigned a coefficient of variation of 10%. In the Discussion section</w:t>
      </w:r>
      <w:r w:rsidR="00211B5D">
        <w:rPr>
          <w:rFonts w:ascii="Calibri" w:hAnsi="Calibri"/>
        </w:rPr>
        <w:t xml:space="preserve"> below</w:t>
      </w:r>
      <w:r>
        <w:rPr>
          <w:rFonts w:ascii="Calibri" w:hAnsi="Calibri"/>
        </w:rPr>
        <w:t xml:space="preserve">, we provide the results of a sensitivity analysis </w:t>
      </w:r>
      <w:r w:rsidR="00211B5D">
        <w:rPr>
          <w:rFonts w:ascii="Calibri" w:hAnsi="Calibri"/>
        </w:rPr>
        <w:t xml:space="preserve">for volume parameter </w:t>
      </w:r>
      <w:r>
        <w:rPr>
          <w:rFonts w:ascii="Calibri" w:hAnsi="Calibri"/>
        </w:rPr>
        <w:t>coefficient of variation.</w:t>
      </w:r>
    </w:p>
    <w:p w14:paraId="683F4856" w14:textId="0EACC959" w:rsidR="00BF2749" w:rsidRDefault="0081544B" w:rsidP="00BF2749">
      <w:pPr>
        <w:rPr>
          <w:rFonts w:ascii="Calibri" w:hAnsi="Calibri"/>
        </w:rPr>
      </w:pPr>
      <w:r>
        <w:rPr>
          <w:rFonts w:ascii="Calibri" w:hAnsi="Calibri"/>
        </w:rPr>
        <w:t>T</w:t>
      </w:r>
      <w:r w:rsidR="00BF2749">
        <w:rPr>
          <w:rFonts w:ascii="Calibri" w:hAnsi="Calibri"/>
        </w:rPr>
        <w:t>he random deviate</w:t>
      </w:r>
      <w:r>
        <w:rPr>
          <w:rFonts w:ascii="Calibri" w:hAnsi="Calibri"/>
        </w:rPr>
        <w:t xml:space="preserve">s of any variable parameter </w:t>
      </w:r>
      <w:r w:rsidR="00BF2749">
        <w:rPr>
          <w:rFonts w:ascii="Calibri" w:hAnsi="Calibri"/>
        </w:rPr>
        <w:t>are not separately generated for each tree</w:t>
      </w:r>
      <w:r w:rsidR="00211B5D">
        <w:rPr>
          <w:rFonts w:ascii="Calibri" w:hAnsi="Calibri"/>
        </w:rPr>
        <w:t xml:space="preserve"> </w:t>
      </w:r>
      <w:r w:rsidR="00BF2749">
        <w:rPr>
          <w:rFonts w:ascii="Calibri" w:hAnsi="Calibri"/>
        </w:rPr>
        <w:t>(</w:t>
      </w:r>
      <w:r w:rsidR="00211B5D">
        <w:rPr>
          <w:rFonts w:ascii="Calibri" w:hAnsi="Calibri"/>
        </w:rPr>
        <w:t>t</w:t>
      </w:r>
      <w:r w:rsidR="00BF2749">
        <w:rPr>
          <w:rFonts w:ascii="Calibri" w:hAnsi="Calibri"/>
        </w:rPr>
        <w:t xml:space="preserve">he </w:t>
      </w:r>
      <w:r w:rsidR="00256A9A">
        <w:rPr>
          <w:rFonts w:ascii="Calibri" w:hAnsi="Calibri"/>
        </w:rPr>
        <w:t xml:space="preserve">aboveground biomass adjustment factor </w:t>
      </w:r>
      <w:r w:rsidR="00BF2749">
        <w:rPr>
          <w:rFonts w:ascii="Calibri" w:hAnsi="Calibri"/>
        </w:rPr>
        <w:t xml:space="preserve">based on Jenkins et al. (2003) is an exception to this framework, as described in </w:t>
      </w:r>
      <w:r w:rsidR="00BF2749" w:rsidRPr="002C7FD1">
        <w:rPr>
          <w:rFonts w:ascii="Calibri" w:hAnsi="Calibri"/>
        </w:rPr>
        <w:t xml:space="preserve">Table </w:t>
      </w:r>
      <w:r w:rsidR="005E4D1E">
        <w:rPr>
          <w:rFonts w:ascii="Calibri" w:hAnsi="Calibri"/>
        </w:rPr>
        <w:t>2</w:t>
      </w:r>
      <w:r w:rsidR="00BF2749" w:rsidRPr="002C7FD1">
        <w:rPr>
          <w:rFonts w:ascii="Calibri" w:hAnsi="Calibri"/>
        </w:rPr>
        <w:t>-</w:t>
      </w:r>
      <w:r>
        <w:rPr>
          <w:rFonts w:ascii="Calibri" w:hAnsi="Calibri"/>
        </w:rPr>
        <w:t>2</w:t>
      </w:r>
      <w:r w:rsidR="00BF2749">
        <w:rPr>
          <w:rFonts w:ascii="Calibri" w:hAnsi="Calibri"/>
        </w:rPr>
        <w:t>)</w:t>
      </w:r>
      <w:r w:rsidR="00DE65F2">
        <w:rPr>
          <w:rFonts w:ascii="Calibri" w:hAnsi="Calibri"/>
        </w:rPr>
        <w:t xml:space="preserve">. </w:t>
      </w:r>
      <w:r w:rsidR="00DE65F2">
        <w:t>In other words, all trees that are assigned the same mean value of a given parameter when that parameter is not allowed to vary are likewise assigned the same 10,000 iterates of that parameter when that parameter is allowed to vary.</w:t>
      </w:r>
      <w:r w:rsidR="00DE65F2">
        <w:rPr>
          <w:rFonts w:ascii="Calibri" w:hAnsi="Calibri"/>
        </w:rPr>
        <w:t xml:space="preserve"> </w:t>
      </w:r>
      <w:r w:rsidR="00BF2749">
        <w:rPr>
          <w:rFonts w:ascii="Calibri" w:hAnsi="Calibri"/>
        </w:rPr>
        <w:t xml:space="preserve">This </w:t>
      </w:r>
      <w:r>
        <w:rPr>
          <w:rFonts w:ascii="Calibri" w:hAnsi="Calibri"/>
        </w:rPr>
        <w:t xml:space="preserve">approach </w:t>
      </w:r>
      <w:r w:rsidR="00BF2749">
        <w:rPr>
          <w:rFonts w:ascii="Calibri" w:hAnsi="Calibri"/>
        </w:rPr>
        <w:t xml:space="preserve">was </w:t>
      </w:r>
      <w:r>
        <w:rPr>
          <w:rFonts w:ascii="Calibri" w:hAnsi="Calibri"/>
        </w:rPr>
        <w:t xml:space="preserve">chosen </w:t>
      </w:r>
      <w:r w:rsidR="00BF2749">
        <w:rPr>
          <w:rFonts w:ascii="Calibri" w:hAnsi="Calibri"/>
        </w:rPr>
        <w:t xml:space="preserve">for its computational efficiency and mimics the imposition of a high degree of positive covariance between trees of the same species or species group. </w:t>
      </w:r>
      <w:r w:rsidR="00DE65F2">
        <w:rPr>
          <w:rFonts w:ascii="Calibri" w:hAnsi="Calibri"/>
        </w:rPr>
        <w:t>W</w:t>
      </w:r>
      <w:r w:rsidR="00BF2749">
        <w:rPr>
          <w:rFonts w:ascii="Calibri" w:hAnsi="Calibri"/>
        </w:rPr>
        <w:t xml:space="preserve">e </w:t>
      </w:r>
      <w:r w:rsidR="00DE65F2">
        <w:rPr>
          <w:rFonts w:ascii="Calibri" w:hAnsi="Calibri"/>
        </w:rPr>
        <w:t xml:space="preserve">also </w:t>
      </w:r>
      <w:r w:rsidR="00BF2749">
        <w:rPr>
          <w:rFonts w:ascii="Calibri" w:hAnsi="Calibri"/>
        </w:rPr>
        <w:t xml:space="preserve">assume independence of all parameters, </w:t>
      </w:r>
      <w:r w:rsidR="00DE65F2">
        <w:rPr>
          <w:rFonts w:ascii="Calibri" w:hAnsi="Calibri"/>
        </w:rPr>
        <w:t xml:space="preserve">across and within </w:t>
      </w:r>
      <w:r w:rsidR="00BF2749">
        <w:rPr>
          <w:rFonts w:ascii="Calibri" w:hAnsi="Calibri"/>
        </w:rPr>
        <w:t>parameter groups.</w:t>
      </w:r>
    </w:p>
    <w:p w14:paraId="5EC6FE8E" w14:textId="5D9A852B" w:rsidR="00BF2749" w:rsidRDefault="0081544B" w:rsidP="00BF2749">
      <w:pPr>
        <w:rPr>
          <w:rFonts w:ascii="Calibri" w:hAnsi="Calibri"/>
        </w:rPr>
      </w:pPr>
      <w:r>
        <w:rPr>
          <w:rFonts w:ascii="Calibri" w:hAnsi="Calibri"/>
        </w:rPr>
        <w:t>W</w:t>
      </w:r>
      <w:r w:rsidR="00BF2749">
        <w:rPr>
          <w:rFonts w:ascii="Calibri" w:hAnsi="Calibri"/>
        </w:rPr>
        <w:t xml:space="preserve">e impose </w:t>
      </w:r>
      <w:r>
        <w:rPr>
          <w:rFonts w:ascii="Calibri" w:hAnsi="Calibri"/>
        </w:rPr>
        <w:t xml:space="preserve">additional restrictions on the </w:t>
      </w:r>
      <w:r w:rsidR="00BF2749">
        <w:rPr>
          <w:rFonts w:ascii="Calibri" w:hAnsi="Calibri"/>
        </w:rPr>
        <w:t xml:space="preserve">component ratio </w:t>
      </w:r>
      <w:r>
        <w:rPr>
          <w:rFonts w:ascii="Calibri" w:hAnsi="Calibri"/>
        </w:rPr>
        <w:t>Monte Carlo simulation</w:t>
      </w:r>
      <w:r w:rsidR="00BF2749">
        <w:rPr>
          <w:rFonts w:ascii="Calibri" w:hAnsi="Calibri"/>
        </w:rPr>
        <w:t xml:space="preserve">: (1) if the resulting foliage ratio + stem ratio + bark ratio &lt; 0.6, then we </w:t>
      </w:r>
      <w:r>
        <w:rPr>
          <w:rFonts w:ascii="Calibri" w:hAnsi="Calibri"/>
        </w:rPr>
        <w:t xml:space="preserve">proportionally </w:t>
      </w:r>
      <w:r w:rsidR="00BF2749">
        <w:rPr>
          <w:rFonts w:ascii="Calibri" w:hAnsi="Calibri"/>
        </w:rPr>
        <w:t>scale up each ratios so that the sum is 0.6</w:t>
      </w:r>
      <w:r>
        <w:rPr>
          <w:rFonts w:ascii="Calibri" w:hAnsi="Calibri"/>
        </w:rPr>
        <w:t>,</w:t>
      </w:r>
      <w:r w:rsidR="00BF2749">
        <w:rPr>
          <w:rFonts w:ascii="Calibri" w:hAnsi="Calibri"/>
        </w:rPr>
        <w:t xml:space="preserve"> or (2) if the resulting foliage ratio + stem ratio + bark ratio &gt; 0.9, then we scale down each of these ratios so that the sum is 0.9. We institute these thresholds in order to force the branch ratio to be in the range 0.1–0.4 </w:t>
      </w:r>
      <w:r>
        <w:rPr>
          <w:rFonts w:ascii="Calibri" w:hAnsi="Calibri"/>
        </w:rPr>
        <w:t>(Jenkins et al., 2003</w:t>
      </w:r>
      <w:r w:rsidR="00BF2749">
        <w:rPr>
          <w:rFonts w:ascii="Calibri" w:hAnsi="Calibri"/>
        </w:rPr>
        <w:t>)</w:t>
      </w:r>
      <w:r w:rsidR="00BF2749" w:rsidRPr="00714AF5">
        <w:rPr>
          <w:rFonts w:ascii="Calibri" w:hAnsi="Calibri"/>
        </w:rPr>
        <w:t>.</w:t>
      </w:r>
      <w:r w:rsidR="00BF2749">
        <w:rPr>
          <w:rFonts w:ascii="Calibri" w:hAnsi="Calibri"/>
        </w:rPr>
        <w:t xml:space="preserve"> </w:t>
      </w:r>
      <w:r w:rsidR="00BF2749" w:rsidRPr="00C17F5B">
        <w:rPr>
          <w:rFonts w:ascii="Calibri" w:hAnsi="Calibri"/>
        </w:rPr>
        <w:t xml:space="preserve">This </w:t>
      </w:r>
      <w:r w:rsidR="00BF2749">
        <w:rPr>
          <w:rFonts w:ascii="Calibri" w:hAnsi="Calibri"/>
        </w:rPr>
        <w:t>restriction is only applied for</w:t>
      </w:r>
      <w:r w:rsidR="00BF2749" w:rsidRPr="00C17F5B">
        <w:rPr>
          <w:rFonts w:ascii="Calibri" w:hAnsi="Calibri"/>
        </w:rPr>
        <w:t xml:space="preserve"> </w:t>
      </w:r>
      <w:r w:rsidR="00BF2749">
        <w:rPr>
          <w:rFonts w:ascii="Calibri" w:hAnsi="Calibri"/>
        </w:rPr>
        <w:t>timber trees with diameter</w:t>
      </w:r>
      <w:r w:rsidR="00BF2749" w:rsidRPr="00C17F5B">
        <w:rPr>
          <w:rFonts w:ascii="Calibri" w:hAnsi="Calibri"/>
        </w:rPr>
        <w:t xml:space="preserve"> ≥ 5.0 inches since it is only these trees for which ratios</w:t>
      </w:r>
      <w:r w:rsidR="00BF2749">
        <w:rPr>
          <w:rFonts w:ascii="Calibri" w:hAnsi="Calibri"/>
        </w:rPr>
        <w:t xml:space="preserve"> are calculated for all components.</w:t>
      </w:r>
    </w:p>
    <w:p w14:paraId="13207C55" w14:textId="77777777" w:rsidR="00BF2749" w:rsidRDefault="00BF2749" w:rsidP="00BF2749">
      <w:pPr>
        <w:rPr>
          <w:rFonts w:ascii="Calibri" w:hAnsi="Calibri"/>
        </w:rPr>
      </w:pPr>
    </w:p>
    <w:p w14:paraId="604E8E30" w14:textId="15B50991" w:rsidR="00BF2749" w:rsidRPr="002C7FD1" w:rsidRDefault="00BF2749" w:rsidP="00BF2749">
      <w:pPr>
        <w:pStyle w:val="Caption"/>
        <w:keepNext/>
        <w:rPr>
          <w:b/>
          <w:sz w:val="22"/>
          <w:szCs w:val="22"/>
        </w:rPr>
      </w:pPr>
      <w:r w:rsidRPr="002C7FD1">
        <w:rPr>
          <w:b/>
          <w:sz w:val="22"/>
          <w:szCs w:val="22"/>
        </w:rPr>
        <w:lastRenderedPageBreak/>
        <w:t xml:space="preserve">Table </w:t>
      </w:r>
      <w:r w:rsidR="005E4D1E">
        <w:rPr>
          <w:b/>
          <w:sz w:val="22"/>
          <w:szCs w:val="22"/>
        </w:rPr>
        <w:t>2</w:t>
      </w:r>
      <w:r w:rsidRPr="002C7FD1">
        <w:rPr>
          <w:b/>
          <w:sz w:val="22"/>
          <w:szCs w:val="22"/>
        </w:rPr>
        <w:t>-</w:t>
      </w:r>
      <w:r w:rsidR="0081544B">
        <w:rPr>
          <w:b/>
          <w:sz w:val="22"/>
          <w:szCs w:val="22"/>
        </w:rPr>
        <w:t>2</w:t>
      </w:r>
      <w:r w:rsidRPr="002C7FD1">
        <w:rPr>
          <w:b/>
          <w:sz w:val="22"/>
          <w:szCs w:val="22"/>
        </w:rPr>
        <w:t>: Input parameters for contribution index analysis of forest biomass</w:t>
      </w:r>
    </w:p>
    <w:tbl>
      <w:tblPr>
        <w:tblStyle w:val="TableGrid"/>
        <w:tblW w:w="5000" w:type="pct"/>
        <w:tblLook w:val="04A0" w:firstRow="1" w:lastRow="0" w:firstColumn="1" w:lastColumn="0" w:noHBand="0" w:noVBand="1"/>
      </w:tblPr>
      <w:tblGrid>
        <w:gridCol w:w="1686"/>
        <w:gridCol w:w="2988"/>
        <w:gridCol w:w="2338"/>
        <w:gridCol w:w="2338"/>
      </w:tblGrid>
      <w:tr w:rsidR="00BF2749" w:rsidRPr="00ED4794" w14:paraId="1949DCBA" w14:textId="77777777" w:rsidTr="003D59CA">
        <w:trPr>
          <w:tblHeader/>
        </w:trPr>
        <w:tc>
          <w:tcPr>
            <w:tcW w:w="902" w:type="pct"/>
            <w:shd w:val="clear" w:color="auto" w:fill="FFC000"/>
            <w:vAlign w:val="center"/>
          </w:tcPr>
          <w:p w14:paraId="40B1A1F3" w14:textId="77777777" w:rsidR="00BF2749" w:rsidRPr="00674237" w:rsidRDefault="00BF2749" w:rsidP="003D59CA">
            <w:pPr>
              <w:spacing w:line="276" w:lineRule="auto"/>
              <w:jc w:val="center"/>
              <w:rPr>
                <w:b/>
                <w:sz w:val="18"/>
                <w:szCs w:val="18"/>
              </w:rPr>
            </w:pPr>
            <w:r>
              <w:rPr>
                <w:b/>
                <w:sz w:val="18"/>
                <w:szCs w:val="18"/>
              </w:rPr>
              <w:t>Group number</w:t>
            </w:r>
          </w:p>
        </w:tc>
        <w:tc>
          <w:tcPr>
            <w:tcW w:w="1598" w:type="pct"/>
            <w:shd w:val="clear" w:color="auto" w:fill="FFC000"/>
            <w:vAlign w:val="center"/>
          </w:tcPr>
          <w:p w14:paraId="799ED14C" w14:textId="77777777" w:rsidR="00BF2749" w:rsidRPr="00674237" w:rsidRDefault="00BF2749" w:rsidP="003D59CA">
            <w:pPr>
              <w:spacing w:line="276" w:lineRule="auto"/>
              <w:jc w:val="center"/>
              <w:rPr>
                <w:b/>
                <w:sz w:val="18"/>
                <w:szCs w:val="18"/>
              </w:rPr>
            </w:pPr>
            <w:r>
              <w:rPr>
                <w:b/>
                <w:sz w:val="18"/>
                <w:szCs w:val="18"/>
              </w:rPr>
              <w:t>Variable p</w:t>
            </w:r>
            <w:r w:rsidRPr="00674237">
              <w:rPr>
                <w:b/>
                <w:sz w:val="18"/>
                <w:szCs w:val="18"/>
              </w:rPr>
              <w:t>arameter</w:t>
            </w:r>
            <w:r>
              <w:rPr>
                <w:b/>
                <w:sz w:val="18"/>
                <w:szCs w:val="18"/>
              </w:rPr>
              <w:t>(s)</w:t>
            </w:r>
          </w:p>
        </w:tc>
        <w:tc>
          <w:tcPr>
            <w:tcW w:w="1250" w:type="pct"/>
            <w:shd w:val="clear" w:color="auto" w:fill="FFC000"/>
            <w:vAlign w:val="center"/>
          </w:tcPr>
          <w:p w14:paraId="5CD051A2" w14:textId="77777777" w:rsidR="00BF2749" w:rsidRPr="00674237" w:rsidRDefault="00BF2749" w:rsidP="003D59CA">
            <w:pPr>
              <w:spacing w:line="276" w:lineRule="auto"/>
              <w:jc w:val="center"/>
              <w:rPr>
                <w:b/>
                <w:sz w:val="18"/>
                <w:szCs w:val="18"/>
              </w:rPr>
            </w:pPr>
            <w:r>
              <w:rPr>
                <w:b/>
                <w:sz w:val="18"/>
                <w:szCs w:val="18"/>
              </w:rPr>
              <w:t>Probability distribution</w:t>
            </w:r>
          </w:p>
        </w:tc>
        <w:tc>
          <w:tcPr>
            <w:tcW w:w="1250" w:type="pct"/>
            <w:shd w:val="clear" w:color="auto" w:fill="FFC000"/>
            <w:vAlign w:val="center"/>
          </w:tcPr>
          <w:p w14:paraId="3ED8ABF6" w14:textId="77777777" w:rsidR="00BF2749" w:rsidRPr="00674237" w:rsidRDefault="00BF2749" w:rsidP="003D59CA">
            <w:pPr>
              <w:spacing w:line="276" w:lineRule="auto"/>
              <w:jc w:val="center"/>
              <w:rPr>
                <w:b/>
                <w:sz w:val="18"/>
                <w:szCs w:val="18"/>
              </w:rPr>
            </w:pPr>
            <w:r>
              <w:rPr>
                <w:b/>
                <w:sz w:val="18"/>
                <w:szCs w:val="18"/>
              </w:rPr>
              <w:t xml:space="preserve">Coefficient of variation (%) </w:t>
            </w:r>
            <w:r w:rsidRPr="00226291">
              <w:rPr>
                <w:b/>
                <w:sz w:val="18"/>
                <w:szCs w:val="18"/>
                <w:vertAlign w:val="superscript"/>
              </w:rPr>
              <w:t>a</w:t>
            </w:r>
          </w:p>
        </w:tc>
      </w:tr>
      <w:tr w:rsidR="00BF2749" w:rsidRPr="00ED4794" w14:paraId="27CCECEF" w14:textId="77777777" w:rsidTr="003D59CA">
        <w:trPr>
          <w:tblHeader/>
        </w:trPr>
        <w:tc>
          <w:tcPr>
            <w:tcW w:w="902" w:type="pct"/>
            <w:vAlign w:val="center"/>
          </w:tcPr>
          <w:p w14:paraId="41A595AD" w14:textId="77777777" w:rsidR="00BF2749" w:rsidRPr="00174CAB" w:rsidRDefault="00BF2749" w:rsidP="003D59CA">
            <w:pPr>
              <w:spacing w:line="276" w:lineRule="auto"/>
              <w:jc w:val="center"/>
              <w:rPr>
                <w:b/>
                <w:sz w:val="18"/>
                <w:szCs w:val="18"/>
              </w:rPr>
            </w:pPr>
            <w:r>
              <w:rPr>
                <w:b/>
                <w:sz w:val="18"/>
                <w:szCs w:val="18"/>
              </w:rPr>
              <w:t>1</w:t>
            </w:r>
          </w:p>
        </w:tc>
        <w:tc>
          <w:tcPr>
            <w:tcW w:w="1598" w:type="pct"/>
            <w:vAlign w:val="center"/>
          </w:tcPr>
          <w:p w14:paraId="086BD9FB" w14:textId="77777777" w:rsidR="00BF2749" w:rsidRPr="00174CAB" w:rsidRDefault="00BF2749" w:rsidP="003D59CA">
            <w:pPr>
              <w:spacing w:line="276" w:lineRule="auto"/>
              <w:rPr>
                <w:b/>
                <w:sz w:val="18"/>
                <w:szCs w:val="18"/>
              </w:rPr>
            </w:pPr>
            <w:r>
              <w:rPr>
                <w:b/>
                <w:sz w:val="18"/>
                <w:szCs w:val="18"/>
              </w:rPr>
              <w:t>Bole gross volume coefficients</w:t>
            </w:r>
          </w:p>
        </w:tc>
        <w:tc>
          <w:tcPr>
            <w:tcW w:w="1250" w:type="pct"/>
            <w:vAlign w:val="center"/>
          </w:tcPr>
          <w:p w14:paraId="2C961447" w14:textId="77777777" w:rsidR="00BF2749" w:rsidRPr="00ED4794" w:rsidRDefault="00BF2749" w:rsidP="003D59CA">
            <w:pPr>
              <w:spacing w:line="276" w:lineRule="auto"/>
              <w:jc w:val="center"/>
              <w:rPr>
                <w:sz w:val="18"/>
                <w:szCs w:val="18"/>
              </w:rPr>
            </w:pPr>
            <w:r>
              <w:rPr>
                <w:sz w:val="18"/>
                <w:szCs w:val="18"/>
              </w:rPr>
              <w:t>Normal</w:t>
            </w:r>
          </w:p>
        </w:tc>
        <w:tc>
          <w:tcPr>
            <w:tcW w:w="1250" w:type="pct"/>
            <w:vAlign w:val="center"/>
          </w:tcPr>
          <w:p w14:paraId="1494B413" w14:textId="77777777" w:rsidR="00BF2749" w:rsidRPr="00ED4794" w:rsidRDefault="00BF2749" w:rsidP="003D59CA">
            <w:pPr>
              <w:spacing w:line="276" w:lineRule="auto"/>
              <w:jc w:val="center"/>
              <w:rPr>
                <w:sz w:val="18"/>
                <w:szCs w:val="18"/>
              </w:rPr>
            </w:pPr>
            <w:r>
              <w:rPr>
                <w:sz w:val="18"/>
                <w:szCs w:val="18"/>
              </w:rPr>
              <w:t>10%</w:t>
            </w:r>
          </w:p>
        </w:tc>
      </w:tr>
      <w:tr w:rsidR="00BF2749" w:rsidRPr="00ED4794" w14:paraId="25721F00" w14:textId="77777777" w:rsidTr="003D59CA">
        <w:trPr>
          <w:tblHeader/>
        </w:trPr>
        <w:tc>
          <w:tcPr>
            <w:tcW w:w="902" w:type="pct"/>
            <w:vAlign w:val="center"/>
          </w:tcPr>
          <w:p w14:paraId="7BAA50DB" w14:textId="77777777" w:rsidR="00BF2749" w:rsidRPr="00174CAB" w:rsidRDefault="00BF2749" w:rsidP="003D59CA">
            <w:pPr>
              <w:spacing w:line="276" w:lineRule="auto"/>
              <w:jc w:val="center"/>
              <w:rPr>
                <w:b/>
                <w:sz w:val="18"/>
                <w:szCs w:val="18"/>
              </w:rPr>
            </w:pPr>
            <w:r>
              <w:rPr>
                <w:b/>
                <w:sz w:val="18"/>
                <w:szCs w:val="18"/>
              </w:rPr>
              <w:t>2</w:t>
            </w:r>
          </w:p>
        </w:tc>
        <w:tc>
          <w:tcPr>
            <w:tcW w:w="1598" w:type="pct"/>
            <w:vAlign w:val="center"/>
          </w:tcPr>
          <w:p w14:paraId="4FECDF10" w14:textId="77777777" w:rsidR="00BF2749" w:rsidRPr="00174CAB" w:rsidRDefault="00BF2749" w:rsidP="003D59CA">
            <w:pPr>
              <w:spacing w:line="276" w:lineRule="auto"/>
              <w:rPr>
                <w:b/>
                <w:sz w:val="18"/>
                <w:szCs w:val="18"/>
              </w:rPr>
            </w:pPr>
            <w:r>
              <w:rPr>
                <w:b/>
                <w:sz w:val="18"/>
                <w:szCs w:val="18"/>
              </w:rPr>
              <w:t>Wood and bark specific gravities</w:t>
            </w:r>
          </w:p>
        </w:tc>
        <w:tc>
          <w:tcPr>
            <w:tcW w:w="1250" w:type="pct"/>
            <w:vAlign w:val="center"/>
          </w:tcPr>
          <w:p w14:paraId="4D364C3E" w14:textId="77777777" w:rsidR="00BF2749" w:rsidRPr="00ED4794" w:rsidRDefault="00BF2749" w:rsidP="003D59CA">
            <w:pPr>
              <w:spacing w:line="276" w:lineRule="auto"/>
              <w:jc w:val="center"/>
              <w:rPr>
                <w:sz w:val="18"/>
                <w:szCs w:val="18"/>
              </w:rPr>
            </w:pPr>
            <w:r>
              <w:rPr>
                <w:sz w:val="18"/>
                <w:szCs w:val="18"/>
              </w:rPr>
              <w:t>Truncated normal with lower limit of 0</w:t>
            </w:r>
          </w:p>
        </w:tc>
        <w:tc>
          <w:tcPr>
            <w:tcW w:w="1250" w:type="pct"/>
            <w:vAlign w:val="center"/>
          </w:tcPr>
          <w:p w14:paraId="3717C1C9" w14:textId="77777777" w:rsidR="00BF2749" w:rsidRPr="00ED4794" w:rsidRDefault="00BF2749" w:rsidP="003D59CA">
            <w:pPr>
              <w:spacing w:line="276" w:lineRule="auto"/>
              <w:jc w:val="center"/>
              <w:rPr>
                <w:sz w:val="18"/>
                <w:szCs w:val="18"/>
              </w:rPr>
            </w:pPr>
            <w:r>
              <w:rPr>
                <w:sz w:val="18"/>
                <w:szCs w:val="18"/>
              </w:rPr>
              <w:t xml:space="preserve">10% </w:t>
            </w:r>
            <w:r>
              <w:rPr>
                <w:sz w:val="18"/>
                <w:szCs w:val="18"/>
                <w:vertAlign w:val="superscript"/>
              </w:rPr>
              <w:t>b</w:t>
            </w:r>
          </w:p>
        </w:tc>
      </w:tr>
      <w:tr w:rsidR="00BF2749" w:rsidRPr="00ED4794" w14:paraId="084BA444" w14:textId="77777777" w:rsidTr="003D59CA">
        <w:trPr>
          <w:tblHeader/>
        </w:trPr>
        <w:tc>
          <w:tcPr>
            <w:tcW w:w="902" w:type="pct"/>
            <w:vAlign w:val="center"/>
          </w:tcPr>
          <w:p w14:paraId="261C1AD1" w14:textId="77777777" w:rsidR="00BF2749" w:rsidRPr="00174CAB" w:rsidRDefault="00BF2749" w:rsidP="003D59CA">
            <w:pPr>
              <w:spacing w:line="276" w:lineRule="auto"/>
              <w:jc w:val="center"/>
              <w:rPr>
                <w:b/>
                <w:sz w:val="18"/>
                <w:szCs w:val="18"/>
              </w:rPr>
            </w:pPr>
            <w:r>
              <w:rPr>
                <w:b/>
                <w:sz w:val="18"/>
                <w:szCs w:val="18"/>
              </w:rPr>
              <w:t>3</w:t>
            </w:r>
          </w:p>
        </w:tc>
        <w:tc>
          <w:tcPr>
            <w:tcW w:w="1598" w:type="pct"/>
            <w:vAlign w:val="center"/>
          </w:tcPr>
          <w:p w14:paraId="1F3D9945" w14:textId="77777777" w:rsidR="00BF2749" w:rsidRPr="00174CAB" w:rsidRDefault="00BF2749" w:rsidP="003D59CA">
            <w:pPr>
              <w:spacing w:line="276" w:lineRule="auto"/>
              <w:rPr>
                <w:b/>
                <w:sz w:val="18"/>
                <w:szCs w:val="18"/>
              </w:rPr>
            </w:pPr>
            <w:r>
              <w:rPr>
                <w:b/>
                <w:sz w:val="18"/>
                <w:szCs w:val="18"/>
              </w:rPr>
              <w:t>Bark as a percentage of wood volume</w:t>
            </w:r>
          </w:p>
        </w:tc>
        <w:tc>
          <w:tcPr>
            <w:tcW w:w="1250" w:type="pct"/>
            <w:vAlign w:val="center"/>
          </w:tcPr>
          <w:p w14:paraId="192DC1A3" w14:textId="77777777" w:rsidR="00BF2749" w:rsidRPr="00ED4794" w:rsidRDefault="00BF2749" w:rsidP="003D59CA">
            <w:pPr>
              <w:spacing w:line="276" w:lineRule="auto"/>
              <w:jc w:val="center"/>
              <w:rPr>
                <w:sz w:val="18"/>
                <w:szCs w:val="18"/>
              </w:rPr>
            </w:pPr>
            <w:r>
              <w:rPr>
                <w:sz w:val="18"/>
                <w:szCs w:val="18"/>
              </w:rPr>
              <w:t>Truncated normal with lower limit of 0</w:t>
            </w:r>
          </w:p>
        </w:tc>
        <w:tc>
          <w:tcPr>
            <w:tcW w:w="1250" w:type="pct"/>
            <w:vAlign w:val="center"/>
          </w:tcPr>
          <w:p w14:paraId="0B6A4E54" w14:textId="77777777" w:rsidR="00BF2749" w:rsidRPr="00ED4794" w:rsidRDefault="00BF2749" w:rsidP="003D59CA">
            <w:pPr>
              <w:spacing w:line="276" w:lineRule="auto"/>
              <w:jc w:val="center"/>
              <w:rPr>
                <w:sz w:val="18"/>
                <w:szCs w:val="18"/>
              </w:rPr>
            </w:pPr>
            <w:r>
              <w:rPr>
                <w:sz w:val="18"/>
                <w:szCs w:val="18"/>
              </w:rPr>
              <w:t xml:space="preserve">5% </w:t>
            </w:r>
            <w:r>
              <w:rPr>
                <w:sz w:val="18"/>
                <w:szCs w:val="18"/>
                <w:vertAlign w:val="superscript"/>
              </w:rPr>
              <w:t>c</w:t>
            </w:r>
          </w:p>
        </w:tc>
      </w:tr>
      <w:tr w:rsidR="00BF2749" w:rsidRPr="00ED4794" w14:paraId="704680D1" w14:textId="77777777" w:rsidTr="003D59CA">
        <w:trPr>
          <w:tblHeader/>
        </w:trPr>
        <w:tc>
          <w:tcPr>
            <w:tcW w:w="902" w:type="pct"/>
            <w:vAlign w:val="center"/>
          </w:tcPr>
          <w:p w14:paraId="58E97D93" w14:textId="77777777" w:rsidR="00BF2749" w:rsidRPr="00174CAB" w:rsidRDefault="00BF2749" w:rsidP="003D59CA">
            <w:pPr>
              <w:spacing w:line="276" w:lineRule="auto"/>
              <w:jc w:val="center"/>
              <w:rPr>
                <w:b/>
                <w:sz w:val="18"/>
                <w:szCs w:val="18"/>
              </w:rPr>
            </w:pPr>
            <w:r>
              <w:rPr>
                <w:b/>
                <w:sz w:val="18"/>
                <w:szCs w:val="18"/>
              </w:rPr>
              <w:t>4</w:t>
            </w:r>
          </w:p>
        </w:tc>
        <w:tc>
          <w:tcPr>
            <w:tcW w:w="1598" w:type="pct"/>
            <w:vAlign w:val="center"/>
          </w:tcPr>
          <w:p w14:paraId="10834513" w14:textId="77777777" w:rsidR="00BF2749" w:rsidRPr="00174CAB" w:rsidRDefault="00BF2749" w:rsidP="003D59CA">
            <w:pPr>
              <w:spacing w:line="276" w:lineRule="auto"/>
              <w:rPr>
                <w:b/>
                <w:sz w:val="18"/>
                <w:szCs w:val="18"/>
              </w:rPr>
            </w:pPr>
            <w:r>
              <w:rPr>
                <w:b/>
                <w:sz w:val="18"/>
                <w:szCs w:val="18"/>
              </w:rPr>
              <w:t>Stump volume coefficients</w:t>
            </w:r>
          </w:p>
        </w:tc>
        <w:tc>
          <w:tcPr>
            <w:tcW w:w="1250" w:type="pct"/>
            <w:vAlign w:val="center"/>
          </w:tcPr>
          <w:p w14:paraId="16FDA71F" w14:textId="77777777" w:rsidR="00BF2749" w:rsidRPr="00ED4794" w:rsidRDefault="00BF2749" w:rsidP="003D59CA">
            <w:pPr>
              <w:spacing w:line="276" w:lineRule="auto"/>
              <w:jc w:val="center"/>
              <w:rPr>
                <w:sz w:val="18"/>
                <w:szCs w:val="18"/>
              </w:rPr>
            </w:pPr>
            <w:r>
              <w:rPr>
                <w:sz w:val="18"/>
                <w:szCs w:val="18"/>
              </w:rPr>
              <w:t>Normal</w:t>
            </w:r>
          </w:p>
        </w:tc>
        <w:tc>
          <w:tcPr>
            <w:tcW w:w="1250" w:type="pct"/>
            <w:vAlign w:val="center"/>
          </w:tcPr>
          <w:p w14:paraId="1C01131A" w14:textId="77777777" w:rsidR="00BF2749" w:rsidRPr="00ED4794" w:rsidRDefault="00BF2749" w:rsidP="003D59CA">
            <w:pPr>
              <w:spacing w:line="276" w:lineRule="auto"/>
              <w:jc w:val="center"/>
              <w:rPr>
                <w:sz w:val="18"/>
                <w:szCs w:val="18"/>
              </w:rPr>
            </w:pPr>
            <w:r>
              <w:rPr>
                <w:sz w:val="18"/>
                <w:szCs w:val="18"/>
              </w:rPr>
              <w:t>10%</w:t>
            </w:r>
          </w:p>
        </w:tc>
      </w:tr>
      <w:tr w:rsidR="00BF2749" w:rsidRPr="00ED4794" w14:paraId="5E5D75C5" w14:textId="77777777" w:rsidTr="003D59CA">
        <w:trPr>
          <w:tblHeader/>
        </w:trPr>
        <w:tc>
          <w:tcPr>
            <w:tcW w:w="902" w:type="pct"/>
            <w:vAlign w:val="center"/>
          </w:tcPr>
          <w:p w14:paraId="5BC8D0DA" w14:textId="77777777" w:rsidR="00BF2749" w:rsidRPr="00174CAB" w:rsidRDefault="00BF2749" w:rsidP="003D59CA">
            <w:pPr>
              <w:spacing w:line="276" w:lineRule="auto"/>
              <w:jc w:val="center"/>
              <w:rPr>
                <w:b/>
                <w:sz w:val="18"/>
                <w:szCs w:val="18"/>
              </w:rPr>
            </w:pPr>
            <w:r>
              <w:rPr>
                <w:b/>
                <w:sz w:val="18"/>
                <w:szCs w:val="18"/>
              </w:rPr>
              <w:t>5</w:t>
            </w:r>
          </w:p>
        </w:tc>
        <w:tc>
          <w:tcPr>
            <w:tcW w:w="1598" w:type="pct"/>
            <w:vAlign w:val="center"/>
          </w:tcPr>
          <w:p w14:paraId="42013002" w14:textId="409C22EF" w:rsidR="00BF2749" w:rsidRPr="00174CAB" w:rsidRDefault="003668EE">
            <w:pPr>
              <w:spacing w:line="276" w:lineRule="auto"/>
              <w:rPr>
                <w:b/>
                <w:sz w:val="18"/>
                <w:szCs w:val="18"/>
              </w:rPr>
            </w:pPr>
            <w:r w:rsidRPr="000B2554">
              <w:rPr>
                <w:rFonts w:ascii="Calibri" w:hAnsi="Calibri"/>
                <w:b/>
                <w:sz w:val="18"/>
                <w:szCs w:val="18"/>
              </w:rPr>
              <w:t>Aboveground biomass</w:t>
            </w:r>
            <w:r w:rsidRPr="000B2554">
              <w:rPr>
                <w:rFonts w:ascii="Calibri" w:hAnsi="Calibri"/>
                <w:sz w:val="18"/>
                <w:szCs w:val="18"/>
              </w:rPr>
              <w:t xml:space="preserve"> </w:t>
            </w:r>
            <w:r w:rsidRPr="000B2554">
              <w:rPr>
                <w:rFonts w:ascii="Calibri" w:hAnsi="Calibri"/>
                <w:b/>
                <w:sz w:val="18"/>
                <w:szCs w:val="18"/>
              </w:rPr>
              <w:t>adjustment factor</w:t>
            </w:r>
            <w:r w:rsidRPr="003668EE">
              <w:rPr>
                <w:b/>
                <w:sz w:val="18"/>
                <w:szCs w:val="18"/>
              </w:rPr>
              <w:t xml:space="preserve"> </w:t>
            </w:r>
            <w:r w:rsidR="00256A9A">
              <w:rPr>
                <w:b/>
                <w:sz w:val="18"/>
                <w:szCs w:val="18"/>
              </w:rPr>
              <w:t>(</w:t>
            </w:r>
            <w:r w:rsidR="00BF2749">
              <w:rPr>
                <w:b/>
                <w:sz w:val="18"/>
                <w:szCs w:val="18"/>
              </w:rPr>
              <w:t>Jenkins et al. 2003</w:t>
            </w:r>
            <w:r w:rsidR="00256A9A">
              <w:rPr>
                <w:b/>
                <w:sz w:val="18"/>
                <w:szCs w:val="18"/>
              </w:rPr>
              <w:t>)</w:t>
            </w:r>
          </w:p>
        </w:tc>
        <w:tc>
          <w:tcPr>
            <w:tcW w:w="1250" w:type="pct"/>
            <w:vAlign w:val="center"/>
          </w:tcPr>
          <w:p w14:paraId="429B9D62" w14:textId="77777777" w:rsidR="00BF2749" w:rsidRPr="00ED4794" w:rsidRDefault="00BF2749" w:rsidP="003D59CA">
            <w:pPr>
              <w:spacing w:line="276" w:lineRule="auto"/>
              <w:jc w:val="center"/>
              <w:rPr>
                <w:sz w:val="18"/>
                <w:szCs w:val="18"/>
              </w:rPr>
            </w:pPr>
            <w:r w:rsidRPr="00BD0273">
              <w:rPr>
                <w:sz w:val="18"/>
                <w:szCs w:val="18"/>
              </w:rPr>
              <w:t>Truncated normal with lower limit of 0</w:t>
            </w:r>
          </w:p>
        </w:tc>
        <w:tc>
          <w:tcPr>
            <w:tcW w:w="1250" w:type="pct"/>
            <w:vAlign w:val="center"/>
          </w:tcPr>
          <w:p w14:paraId="66F19E94" w14:textId="77777777" w:rsidR="00BF2749" w:rsidRPr="00ED4794" w:rsidRDefault="00BF2749" w:rsidP="003D59CA">
            <w:pPr>
              <w:spacing w:line="276" w:lineRule="auto"/>
              <w:jc w:val="center"/>
              <w:rPr>
                <w:sz w:val="18"/>
                <w:szCs w:val="18"/>
              </w:rPr>
            </w:pPr>
            <w:r>
              <w:rPr>
                <w:sz w:val="18"/>
                <w:szCs w:val="18"/>
              </w:rPr>
              <w:t>d</w:t>
            </w:r>
          </w:p>
        </w:tc>
      </w:tr>
      <w:tr w:rsidR="00BF2749" w:rsidRPr="00ED4794" w14:paraId="043CBE4F" w14:textId="77777777" w:rsidTr="003D59CA">
        <w:trPr>
          <w:tblHeader/>
        </w:trPr>
        <w:tc>
          <w:tcPr>
            <w:tcW w:w="902" w:type="pct"/>
            <w:vAlign w:val="center"/>
          </w:tcPr>
          <w:p w14:paraId="427BF6E2" w14:textId="77777777" w:rsidR="00BF2749" w:rsidRPr="00174CAB" w:rsidRDefault="00BF2749" w:rsidP="003D59CA">
            <w:pPr>
              <w:spacing w:line="276" w:lineRule="auto"/>
              <w:jc w:val="center"/>
              <w:rPr>
                <w:b/>
                <w:sz w:val="18"/>
                <w:szCs w:val="18"/>
              </w:rPr>
            </w:pPr>
            <w:r>
              <w:rPr>
                <w:b/>
                <w:sz w:val="18"/>
                <w:szCs w:val="18"/>
              </w:rPr>
              <w:t>6</w:t>
            </w:r>
          </w:p>
        </w:tc>
        <w:tc>
          <w:tcPr>
            <w:tcW w:w="1598" w:type="pct"/>
            <w:vAlign w:val="center"/>
          </w:tcPr>
          <w:p w14:paraId="28BB20A8" w14:textId="77777777" w:rsidR="00BF2749" w:rsidRPr="00174CAB" w:rsidRDefault="00BF2749" w:rsidP="003D59CA">
            <w:pPr>
              <w:spacing w:line="276" w:lineRule="auto"/>
              <w:rPr>
                <w:b/>
                <w:sz w:val="18"/>
                <w:szCs w:val="18"/>
              </w:rPr>
            </w:pPr>
            <w:r>
              <w:rPr>
                <w:b/>
                <w:sz w:val="18"/>
                <w:szCs w:val="18"/>
              </w:rPr>
              <w:t>Component ratio coefficients</w:t>
            </w:r>
          </w:p>
        </w:tc>
        <w:tc>
          <w:tcPr>
            <w:tcW w:w="1250" w:type="pct"/>
            <w:vAlign w:val="center"/>
          </w:tcPr>
          <w:p w14:paraId="2DE09DBB" w14:textId="77777777" w:rsidR="00BF2749" w:rsidRPr="00ED4794" w:rsidRDefault="00BF2749" w:rsidP="003D59CA">
            <w:pPr>
              <w:spacing w:line="276" w:lineRule="auto"/>
              <w:jc w:val="center"/>
              <w:rPr>
                <w:sz w:val="18"/>
                <w:szCs w:val="18"/>
              </w:rPr>
            </w:pPr>
            <w:r>
              <w:rPr>
                <w:sz w:val="18"/>
                <w:szCs w:val="18"/>
              </w:rPr>
              <w:t>Normal</w:t>
            </w:r>
          </w:p>
        </w:tc>
        <w:tc>
          <w:tcPr>
            <w:tcW w:w="1250" w:type="pct"/>
            <w:vAlign w:val="center"/>
          </w:tcPr>
          <w:p w14:paraId="1D0FDA77" w14:textId="77777777" w:rsidR="00BF2749" w:rsidRPr="00ED4794" w:rsidRDefault="00BF2749" w:rsidP="003D59CA">
            <w:pPr>
              <w:spacing w:line="276" w:lineRule="auto"/>
              <w:jc w:val="center"/>
              <w:rPr>
                <w:sz w:val="18"/>
                <w:szCs w:val="18"/>
              </w:rPr>
            </w:pPr>
            <w:r>
              <w:rPr>
                <w:sz w:val="18"/>
                <w:szCs w:val="18"/>
              </w:rPr>
              <w:t xml:space="preserve">10% </w:t>
            </w:r>
            <w:r>
              <w:rPr>
                <w:sz w:val="18"/>
                <w:szCs w:val="18"/>
                <w:vertAlign w:val="superscript"/>
              </w:rPr>
              <w:t>e</w:t>
            </w:r>
          </w:p>
        </w:tc>
      </w:tr>
      <w:tr w:rsidR="00BF2749" w:rsidRPr="00ED4794" w14:paraId="51E45D15" w14:textId="77777777" w:rsidTr="003D59CA">
        <w:trPr>
          <w:tblHeader/>
        </w:trPr>
        <w:tc>
          <w:tcPr>
            <w:tcW w:w="902" w:type="pct"/>
            <w:vAlign w:val="center"/>
          </w:tcPr>
          <w:p w14:paraId="295D7D38" w14:textId="77777777" w:rsidR="00BF2749" w:rsidRPr="00174CAB" w:rsidRDefault="00BF2749" w:rsidP="003D59CA">
            <w:pPr>
              <w:spacing w:line="276" w:lineRule="auto"/>
              <w:jc w:val="center"/>
              <w:rPr>
                <w:b/>
                <w:sz w:val="18"/>
                <w:szCs w:val="18"/>
              </w:rPr>
            </w:pPr>
            <w:r>
              <w:rPr>
                <w:b/>
                <w:sz w:val="18"/>
                <w:szCs w:val="18"/>
              </w:rPr>
              <w:t>7</w:t>
            </w:r>
          </w:p>
        </w:tc>
        <w:tc>
          <w:tcPr>
            <w:tcW w:w="1598" w:type="pct"/>
            <w:vAlign w:val="center"/>
          </w:tcPr>
          <w:p w14:paraId="0299A0BE" w14:textId="77777777" w:rsidR="00BF2749" w:rsidRPr="00174CAB" w:rsidRDefault="00BF2749" w:rsidP="003D59CA">
            <w:pPr>
              <w:spacing w:line="276" w:lineRule="auto"/>
              <w:rPr>
                <w:b/>
                <w:sz w:val="18"/>
                <w:szCs w:val="18"/>
              </w:rPr>
            </w:pPr>
            <w:r>
              <w:rPr>
                <w:b/>
                <w:sz w:val="18"/>
                <w:szCs w:val="18"/>
              </w:rPr>
              <w:t>Sapling adjustment factor</w:t>
            </w:r>
          </w:p>
        </w:tc>
        <w:tc>
          <w:tcPr>
            <w:tcW w:w="1250" w:type="pct"/>
            <w:vAlign w:val="center"/>
          </w:tcPr>
          <w:p w14:paraId="5AB852DE" w14:textId="77777777" w:rsidR="00BF2749" w:rsidRPr="00ED4794" w:rsidRDefault="00BF2749" w:rsidP="003D59CA">
            <w:pPr>
              <w:spacing w:line="276" w:lineRule="auto"/>
              <w:jc w:val="center"/>
              <w:rPr>
                <w:sz w:val="18"/>
                <w:szCs w:val="18"/>
              </w:rPr>
            </w:pPr>
            <w:r>
              <w:rPr>
                <w:sz w:val="18"/>
                <w:szCs w:val="18"/>
              </w:rPr>
              <w:t>Truncated normal with lower limit of 0</w:t>
            </w:r>
          </w:p>
        </w:tc>
        <w:tc>
          <w:tcPr>
            <w:tcW w:w="1250" w:type="pct"/>
            <w:vAlign w:val="center"/>
          </w:tcPr>
          <w:p w14:paraId="6C4FF12E" w14:textId="77777777" w:rsidR="00BF2749" w:rsidRPr="00ED4794" w:rsidRDefault="00BF2749" w:rsidP="003D59CA">
            <w:pPr>
              <w:spacing w:line="276" w:lineRule="auto"/>
              <w:jc w:val="center"/>
              <w:rPr>
                <w:sz w:val="18"/>
                <w:szCs w:val="18"/>
              </w:rPr>
            </w:pPr>
            <w:r>
              <w:rPr>
                <w:sz w:val="18"/>
                <w:szCs w:val="18"/>
              </w:rPr>
              <w:t xml:space="preserve">30% </w:t>
            </w:r>
            <w:r>
              <w:rPr>
                <w:sz w:val="18"/>
                <w:szCs w:val="18"/>
                <w:vertAlign w:val="superscript"/>
              </w:rPr>
              <w:t>f</w:t>
            </w:r>
          </w:p>
        </w:tc>
      </w:tr>
      <w:tr w:rsidR="00BF2749" w:rsidRPr="00ED4794" w14:paraId="30217204" w14:textId="77777777" w:rsidTr="003D59CA">
        <w:trPr>
          <w:tblHeader/>
        </w:trPr>
        <w:tc>
          <w:tcPr>
            <w:tcW w:w="902" w:type="pct"/>
            <w:vAlign w:val="center"/>
          </w:tcPr>
          <w:p w14:paraId="40D3D3B5" w14:textId="77777777" w:rsidR="00BF2749" w:rsidRPr="00174CAB" w:rsidRDefault="00BF2749" w:rsidP="003D59CA">
            <w:pPr>
              <w:spacing w:line="276" w:lineRule="auto"/>
              <w:jc w:val="center"/>
              <w:rPr>
                <w:b/>
                <w:sz w:val="18"/>
                <w:szCs w:val="18"/>
              </w:rPr>
            </w:pPr>
            <w:r>
              <w:rPr>
                <w:b/>
                <w:sz w:val="18"/>
                <w:szCs w:val="18"/>
              </w:rPr>
              <w:t>8</w:t>
            </w:r>
          </w:p>
        </w:tc>
        <w:tc>
          <w:tcPr>
            <w:tcW w:w="1598" w:type="pct"/>
            <w:vAlign w:val="center"/>
          </w:tcPr>
          <w:p w14:paraId="196DA1DF" w14:textId="77777777" w:rsidR="00BF2749" w:rsidRPr="00174CAB" w:rsidRDefault="00BF2749" w:rsidP="003D59CA">
            <w:pPr>
              <w:spacing w:line="276" w:lineRule="auto"/>
              <w:rPr>
                <w:b/>
                <w:sz w:val="18"/>
                <w:szCs w:val="18"/>
              </w:rPr>
            </w:pPr>
            <w:r>
              <w:rPr>
                <w:b/>
                <w:sz w:val="18"/>
                <w:szCs w:val="18"/>
              </w:rPr>
              <w:t>Density reduction factor</w:t>
            </w:r>
          </w:p>
        </w:tc>
        <w:tc>
          <w:tcPr>
            <w:tcW w:w="1250" w:type="pct"/>
            <w:vAlign w:val="center"/>
          </w:tcPr>
          <w:p w14:paraId="1DE796B2" w14:textId="77777777" w:rsidR="00BF2749" w:rsidRPr="00ED4794" w:rsidRDefault="00BF2749" w:rsidP="003D59CA">
            <w:pPr>
              <w:spacing w:line="276" w:lineRule="auto"/>
              <w:jc w:val="center"/>
              <w:rPr>
                <w:sz w:val="18"/>
                <w:szCs w:val="18"/>
              </w:rPr>
            </w:pPr>
            <w:r>
              <w:rPr>
                <w:sz w:val="18"/>
                <w:szCs w:val="18"/>
              </w:rPr>
              <w:t>Truncated normal with lower limit of 0 and upper limit of 1</w:t>
            </w:r>
          </w:p>
        </w:tc>
        <w:tc>
          <w:tcPr>
            <w:tcW w:w="1250" w:type="pct"/>
            <w:vAlign w:val="center"/>
          </w:tcPr>
          <w:p w14:paraId="588CE45C" w14:textId="77777777" w:rsidR="00BF2749" w:rsidRPr="00BD0273" w:rsidRDefault="00BF2749" w:rsidP="003D59CA">
            <w:pPr>
              <w:spacing w:after="160" w:line="276" w:lineRule="auto"/>
              <w:jc w:val="center"/>
              <w:rPr>
                <w:sz w:val="18"/>
                <w:szCs w:val="18"/>
                <w:vertAlign w:val="superscript"/>
              </w:rPr>
            </w:pPr>
            <w:r w:rsidRPr="00BD0273">
              <w:rPr>
                <w:sz w:val="18"/>
                <w:szCs w:val="18"/>
              </w:rPr>
              <w:t xml:space="preserve">4% </w:t>
            </w:r>
            <w:r>
              <w:rPr>
                <w:sz w:val="18"/>
                <w:szCs w:val="18"/>
                <w:vertAlign w:val="superscript"/>
              </w:rPr>
              <w:t>g</w:t>
            </w:r>
          </w:p>
        </w:tc>
      </w:tr>
      <w:tr w:rsidR="00BF2749" w:rsidRPr="00ED4794" w14:paraId="46860666" w14:textId="77777777" w:rsidTr="003D59CA">
        <w:trPr>
          <w:tblHeader/>
        </w:trPr>
        <w:tc>
          <w:tcPr>
            <w:tcW w:w="902" w:type="pct"/>
            <w:vAlign w:val="center"/>
          </w:tcPr>
          <w:p w14:paraId="0E1FE011" w14:textId="77777777" w:rsidR="00BF2749" w:rsidRPr="00174CAB" w:rsidRDefault="00BF2749" w:rsidP="003D59CA">
            <w:pPr>
              <w:spacing w:line="276" w:lineRule="auto"/>
              <w:jc w:val="center"/>
              <w:rPr>
                <w:b/>
                <w:sz w:val="18"/>
                <w:szCs w:val="18"/>
              </w:rPr>
            </w:pPr>
            <w:r>
              <w:rPr>
                <w:b/>
                <w:sz w:val="18"/>
                <w:szCs w:val="18"/>
              </w:rPr>
              <w:t>9</w:t>
            </w:r>
          </w:p>
        </w:tc>
        <w:tc>
          <w:tcPr>
            <w:tcW w:w="1598" w:type="pct"/>
            <w:vAlign w:val="center"/>
          </w:tcPr>
          <w:p w14:paraId="77E3B321" w14:textId="77777777" w:rsidR="00BF2749" w:rsidRPr="00174CAB" w:rsidRDefault="00BF2749" w:rsidP="003D59CA">
            <w:pPr>
              <w:spacing w:line="276" w:lineRule="auto"/>
              <w:rPr>
                <w:b/>
                <w:sz w:val="18"/>
                <w:szCs w:val="18"/>
              </w:rPr>
            </w:pPr>
            <w:r>
              <w:rPr>
                <w:b/>
                <w:sz w:val="18"/>
                <w:szCs w:val="18"/>
              </w:rPr>
              <w:t>Structural loss adjustment</w:t>
            </w:r>
          </w:p>
        </w:tc>
        <w:tc>
          <w:tcPr>
            <w:tcW w:w="1250" w:type="pct"/>
            <w:vAlign w:val="center"/>
          </w:tcPr>
          <w:p w14:paraId="755BF9B6" w14:textId="77777777" w:rsidR="00BF2749" w:rsidRPr="00ED4794" w:rsidRDefault="00BF2749" w:rsidP="003D59CA">
            <w:pPr>
              <w:spacing w:line="276" w:lineRule="auto"/>
              <w:jc w:val="center"/>
              <w:rPr>
                <w:sz w:val="18"/>
                <w:szCs w:val="18"/>
              </w:rPr>
            </w:pPr>
            <w:r>
              <w:rPr>
                <w:sz w:val="18"/>
                <w:szCs w:val="18"/>
              </w:rPr>
              <w:t>Truncated normal with lower limit of 0 and upper limit of 1</w:t>
            </w:r>
          </w:p>
        </w:tc>
        <w:tc>
          <w:tcPr>
            <w:tcW w:w="1250" w:type="pct"/>
            <w:vAlign w:val="center"/>
          </w:tcPr>
          <w:p w14:paraId="6487BDB7" w14:textId="77777777" w:rsidR="00BF2749" w:rsidRPr="00ED4794" w:rsidRDefault="00BF2749" w:rsidP="003D59CA">
            <w:pPr>
              <w:spacing w:line="276" w:lineRule="auto"/>
              <w:jc w:val="center"/>
              <w:rPr>
                <w:sz w:val="18"/>
                <w:szCs w:val="18"/>
              </w:rPr>
            </w:pPr>
            <w:r>
              <w:rPr>
                <w:sz w:val="18"/>
                <w:szCs w:val="18"/>
              </w:rPr>
              <w:t>10%</w:t>
            </w:r>
          </w:p>
        </w:tc>
      </w:tr>
    </w:tbl>
    <w:p w14:paraId="1EB046A2" w14:textId="4FC2251E" w:rsidR="00BF2749" w:rsidRDefault="00BF2749" w:rsidP="00BF2749">
      <w:pPr>
        <w:spacing w:after="0" w:line="240" w:lineRule="auto"/>
        <w:jc w:val="both"/>
        <w:rPr>
          <w:i/>
          <w:sz w:val="18"/>
          <w:szCs w:val="18"/>
        </w:rPr>
      </w:pPr>
      <w:r>
        <w:rPr>
          <w:i/>
          <w:sz w:val="18"/>
          <w:szCs w:val="18"/>
        </w:rPr>
        <w:t xml:space="preserve">a) Coefficient of variation is the standard </w:t>
      </w:r>
      <w:r w:rsidR="006A6C58">
        <w:rPr>
          <w:i/>
          <w:sz w:val="18"/>
          <w:szCs w:val="18"/>
        </w:rPr>
        <w:t>error</w:t>
      </w:r>
      <w:r>
        <w:rPr>
          <w:i/>
          <w:sz w:val="18"/>
          <w:szCs w:val="18"/>
        </w:rPr>
        <w:t xml:space="preserve"> of the parameter as a percentage of the parameter </w:t>
      </w:r>
      <w:r w:rsidR="006A6C58">
        <w:rPr>
          <w:i/>
          <w:sz w:val="18"/>
          <w:szCs w:val="18"/>
        </w:rPr>
        <w:t>point estimate</w:t>
      </w:r>
      <w:r>
        <w:rPr>
          <w:i/>
          <w:sz w:val="18"/>
          <w:szCs w:val="18"/>
        </w:rPr>
        <w:t>.</w:t>
      </w:r>
    </w:p>
    <w:p w14:paraId="6B926494" w14:textId="77777777" w:rsidR="00BF2749" w:rsidRPr="005D2E4A" w:rsidRDefault="00BF2749" w:rsidP="00BF2749">
      <w:pPr>
        <w:spacing w:after="0" w:line="240" w:lineRule="auto"/>
        <w:jc w:val="both"/>
        <w:rPr>
          <w:i/>
          <w:sz w:val="18"/>
          <w:szCs w:val="18"/>
        </w:rPr>
      </w:pPr>
      <w:r>
        <w:rPr>
          <w:i/>
          <w:sz w:val="18"/>
          <w:szCs w:val="18"/>
        </w:rPr>
        <w:t>b</w:t>
      </w:r>
      <w:r w:rsidRPr="005D2E4A">
        <w:rPr>
          <w:i/>
          <w:sz w:val="18"/>
          <w:szCs w:val="18"/>
        </w:rPr>
        <w:t xml:space="preserve">) </w:t>
      </w:r>
      <w:r>
        <w:rPr>
          <w:i/>
          <w:sz w:val="18"/>
          <w:szCs w:val="18"/>
        </w:rPr>
        <w:t>Forest Products Laboratory (2010)</w:t>
      </w:r>
      <w:r w:rsidRPr="005D2E4A">
        <w:rPr>
          <w:i/>
          <w:sz w:val="18"/>
          <w:szCs w:val="18"/>
        </w:rPr>
        <w:t>.</w:t>
      </w:r>
    </w:p>
    <w:p w14:paraId="6A2976A7" w14:textId="77777777" w:rsidR="00BF2749" w:rsidRPr="007613FB" w:rsidRDefault="00BF2749" w:rsidP="00BF2749">
      <w:pPr>
        <w:spacing w:after="0" w:line="240" w:lineRule="auto"/>
        <w:jc w:val="both"/>
        <w:rPr>
          <w:i/>
          <w:sz w:val="18"/>
          <w:szCs w:val="18"/>
        </w:rPr>
      </w:pPr>
      <w:r>
        <w:rPr>
          <w:i/>
          <w:sz w:val="18"/>
          <w:szCs w:val="18"/>
        </w:rPr>
        <w:t>c</w:t>
      </w:r>
      <w:r w:rsidRPr="00CA413D">
        <w:rPr>
          <w:i/>
          <w:sz w:val="18"/>
          <w:szCs w:val="18"/>
        </w:rPr>
        <w:t xml:space="preserve">) </w:t>
      </w:r>
      <w:r>
        <w:rPr>
          <w:i/>
          <w:sz w:val="18"/>
          <w:szCs w:val="18"/>
        </w:rPr>
        <w:t>Estimated from 95% confidence intervals for bark as a percentage of wood volume for five different species given in Marden et al. (1975).</w:t>
      </w:r>
    </w:p>
    <w:p w14:paraId="53B9CC4B" w14:textId="34275474" w:rsidR="00BF2749" w:rsidRPr="005D2E4A" w:rsidRDefault="00BF2749" w:rsidP="00BF2749">
      <w:pPr>
        <w:spacing w:after="0" w:line="240" w:lineRule="auto"/>
        <w:jc w:val="both"/>
        <w:rPr>
          <w:i/>
          <w:sz w:val="18"/>
          <w:szCs w:val="18"/>
        </w:rPr>
      </w:pPr>
      <w:r>
        <w:rPr>
          <w:i/>
          <w:sz w:val="18"/>
          <w:szCs w:val="18"/>
        </w:rPr>
        <w:t>d</w:t>
      </w:r>
      <w:r w:rsidRPr="00B3131A">
        <w:rPr>
          <w:i/>
          <w:sz w:val="18"/>
          <w:szCs w:val="18"/>
        </w:rPr>
        <w:t>)</w:t>
      </w:r>
      <w:r w:rsidRPr="002C7FD1">
        <w:rPr>
          <w:i/>
          <w:sz w:val="18"/>
          <w:szCs w:val="18"/>
        </w:rPr>
        <w:t xml:space="preserve"> </w:t>
      </w:r>
      <w:r w:rsidRPr="00B3131A">
        <w:rPr>
          <w:i/>
          <w:sz w:val="18"/>
          <w:szCs w:val="18"/>
        </w:rPr>
        <w:t>Table 5</w:t>
      </w:r>
      <w:r>
        <w:rPr>
          <w:i/>
          <w:sz w:val="18"/>
          <w:szCs w:val="18"/>
        </w:rPr>
        <w:t xml:space="preserve"> of Jenkins et al. (2003) provides the 10</w:t>
      </w:r>
      <w:r w:rsidRPr="002C7FD1">
        <w:rPr>
          <w:i/>
          <w:sz w:val="18"/>
          <w:szCs w:val="18"/>
          <w:vertAlign w:val="superscript"/>
        </w:rPr>
        <w:t>th</w:t>
      </w:r>
      <w:r>
        <w:rPr>
          <w:i/>
          <w:sz w:val="18"/>
          <w:szCs w:val="18"/>
        </w:rPr>
        <w:t xml:space="preserve"> and 90</w:t>
      </w:r>
      <w:r w:rsidRPr="002C7FD1">
        <w:rPr>
          <w:i/>
          <w:sz w:val="18"/>
          <w:szCs w:val="18"/>
          <w:vertAlign w:val="superscript"/>
        </w:rPr>
        <w:t>th</w:t>
      </w:r>
      <w:r>
        <w:rPr>
          <w:i/>
          <w:sz w:val="18"/>
          <w:szCs w:val="18"/>
        </w:rPr>
        <w:t xml:space="preserve"> percentiles of the percentage of predicated biomass for each of 10 species groups (7 of which are present in the eastern Texas dataset). For each of the 7 species groups, we calculated the mean of the absolute values of the 10</w:t>
      </w:r>
      <w:r w:rsidRPr="002C7FD1">
        <w:rPr>
          <w:i/>
          <w:sz w:val="18"/>
          <w:szCs w:val="18"/>
          <w:vertAlign w:val="superscript"/>
        </w:rPr>
        <w:t>th</w:t>
      </w:r>
      <w:r>
        <w:rPr>
          <w:i/>
          <w:sz w:val="18"/>
          <w:szCs w:val="18"/>
        </w:rPr>
        <w:t xml:space="preserve"> and 90</w:t>
      </w:r>
      <w:r w:rsidRPr="002C7FD1">
        <w:rPr>
          <w:i/>
          <w:sz w:val="18"/>
          <w:szCs w:val="18"/>
          <w:vertAlign w:val="superscript"/>
        </w:rPr>
        <w:t>th</w:t>
      </w:r>
      <w:r>
        <w:rPr>
          <w:i/>
          <w:sz w:val="18"/>
          <w:szCs w:val="18"/>
        </w:rPr>
        <w:t xml:space="preserve"> percentiles and, from this, derived the standard </w:t>
      </w:r>
      <w:r w:rsidR="004C0B7C">
        <w:rPr>
          <w:i/>
          <w:sz w:val="18"/>
          <w:szCs w:val="18"/>
        </w:rPr>
        <w:t>error</w:t>
      </w:r>
      <w:r>
        <w:rPr>
          <w:i/>
          <w:sz w:val="18"/>
          <w:szCs w:val="18"/>
        </w:rPr>
        <w:t xml:space="preserve"> of the percentage of predicted biomass. For each tree in the species group, we applied this standard </w:t>
      </w:r>
      <w:r w:rsidR="004C0B7C">
        <w:rPr>
          <w:i/>
          <w:sz w:val="18"/>
          <w:szCs w:val="18"/>
        </w:rPr>
        <w:t>error</w:t>
      </w:r>
      <w:r>
        <w:rPr>
          <w:i/>
          <w:sz w:val="18"/>
          <w:szCs w:val="18"/>
        </w:rPr>
        <w:t xml:space="preserve"> in the generation of the 10,000 deviates of total aboveground biomass for each tree.</w:t>
      </w:r>
    </w:p>
    <w:p w14:paraId="19DF3B1B" w14:textId="40F4F36E" w:rsidR="00BF2749" w:rsidRPr="002C7FD1" w:rsidRDefault="00BF2749" w:rsidP="00BF2749">
      <w:pPr>
        <w:pStyle w:val="NoSpacing"/>
        <w:rPr>
          <w:i/>
          <w:sz w:val="18"/>
          <w:szCs w:val="18"/>
        </w:rPr>
      </w:pPr>
      <w:r>
        <w:rPr>
          <w:i/>
          <w:sz w:val="18"/>
          <w:szCs w:val="18"/>
        </w:rPr>
        <w:t>e</w:t>
      </w:r>
      <w:r w:rsidRPr="002C7FD1">
        <w:rPr>
          <w:i/>
          <w:sz w:val="18"/>
          <w:szCs w:val="18"/>
        </w:rPr>
        <w:t xml:space="preserve">) </w:t>
      </w:r>
      <w:r>
        <w:rPr>
          <w:i/>
          <w:sz w:val="18"/>
          <w:szCs w:val="18"/>
        </w:rPr>
        <w:t>Coefficient</w:t>
      </w:r>
      <w:r w:rsidR="004C0B7C">
        <w:rPr>
          <w:i/>
          <w:sz w:val="18"/>
          <w:szCs w:val="18"/>
        </w:rPr>
        <w:t xml:space="preserve"> of</w:t>
      </w:r>
      <w:r>
        <w:rPr>
          <w:i/>
          <w:sz w:val="18"/>
          <w:szCs w:val="18"/>
        </w:rPr>
        <w:t xml:space="preserve"> variance was derived from summary statistics in tables 6 and 7 from Jenkins et al. (2003), using the parameter variance equation for</w:t>
      </w:r>
      <w:r w:rsidRPr="002C7FD1">
        <w:rPr>
          <w:i/>
          <w:sz w:val="18"/>
          <w:szCs w:val="18"/>
        </w:rPr>
        <w:t xml:space="preserve"> </w:t>
      </w:r>
      <w:r>
        <w:rPr>
          <w:i/>
          <w:sz w:val="18"/>
          <w:szCs w:val="18"/>
        </w:rPr>
        <w:t xml:space="preserve">linear regression with </w:t>
      </w:r>
      <w:proofErr w:type="spellStart"/>
      <w:r>
        <w:rPr>
          <w:i/>
          <w:sz w:val="18"/>
          <w:szCs w:val="18"/>
        </w:rPr>
        <w:t>homos</w:t>
      </w:r>
      <w:r w:rsidR="00A46DFF">
        <w:rPr>
          <w:i/>
          <w:sz w:val="18"/>
          <w:szCs w:val="18"/>
        </w:rPr>
        <w:t>k</w:t>
      </w:r>
      <w:r>
        <w:rPr>
          <w:i/>
          <w:sz w:val="18"/>
          <w:szCs w:val="18"/>
        </w:rPr>
        <w:t>edastic</w:t>
      </w:r>
      <w:proofErr w:type="spellEnd"/>
      <w:r>
        <w:rPr>
          <w:i/>
          <w:sz w:val="18"/>
          <w:szCs w:val="18"/>
        </w:rPr>
        <w:t xml:space="preserve"> errors. </w:t>
      </w:r>
    </w:p>
    <w:p w14:paraId="23EB36D4" w14:textId="5B5B21CA" w:rsidR="00BF2749" w:rsidRPr="005D2E4A" w:rsidRDefault="00BF2749" w:rsidP="00BF2749">
      <w:pPr>
        <w:pStyle w:val="NoSpacing"/>
        <w:rPr>
          <w:i/>
          <w:sz w:val="18"/>
          <w:szCs w:val="18"/>
        </w:rPr>
      </w:pPr>
      <w:r>
        <w:rPr>
          <w:i/>
          <w:sz w:val="18"/>
          <w:szCs w:val="18"/>
        </w:rPr>
        <w:t>f</w:t>
      </w:r>
      <w:r w:rsidRPr="002C7FD1">
        <w:rPr>
          <w:i/>
          <w:sz w:val="18"/>
          <w:szCs w:val="18"/>
        </w:rPr>
        <w:t xml:space="preserve">) </w:t>
      </w:r>
      <w:r w:rsidRPr="007D2AB8">
        <w:rPr>
          <w:i/>
          <w:sz w:val="18"/>
          <w:szCs w:val="18"/>
        </w:rPr>
        <w:t>For</w:t>
      </w:r>
      <w:r>
        <w:rPr>
          <w:i/>
          <w:sz w:val="18"/>
          <w:szCs w:val="18"/>
        </w:rPr>
        <w:t xml:space="preserve"> all 852 trees in the eastern Texas dataset in the current measurement period that have diameter = 5.0 inches, we calculated the sapling adjustment factor by dividing the biomass based on the Component Ratio Method by that based on the method of Jenkins et al. (2003) (see Heath et al., 2009). We grouped the trees into species groups according to Table 3 of Heath et al. (2009) and estimated the mean and standard </w:t>
      </w:r>
      <w:r w:rsidR="004C0B7C">
        <w:rPr>
          <w:i/>
          <w:sz w:val="18"/>
          <w:szCs w:val="18"/>
        </w:rPr>
        <w:t>error</w:t>
      </w:r>
      <w:r>
        <w:rPr>
          <w:i/>
          <w:sz w:val="18"/>
          <w:szCs w:val="18"/>
        </w:rPr>
        <w:t xml:space="preserve"> of the sapling adjustment factors for each species group. We estimated the coefficient of variation for each species group; the mean of these coefficients of variation is </w:t>
      </w:r>
      <w:r w:rsidR="004C0B7C">
        <w:rPr>
          <w:i/>
          <w:sz w:val="18"/>
          <w:szCs w:val="18"/>
        </w:rPr>
        <w:t>~</w:t>
      </w:r>
      <w:r>
        <w:rPr>
          <w:i/>
          <w:sz w:val="18"/>
          <w:szCs w:val="18"/>
        </w:rPr>
        <w:t>30%.</w:t>
      </w:r>
    </w:p>
    <w:p w14:paraId="11A32974" w14:textId="77777777" w:rsidR="00BF2749" w:rsidRDefault="00BF2749" w:rsidP="00BF2749">
      <w:pPr>
        <w:pStyle w:val="NoSpacing"/>
        <w:rPr>
          <w:i/>
          <w:sz w:val="18"/>
          <w:szCs w:val="18"/>
        </w:rPr>
      </w:pPr>
      <w:r>
        <w:rPr>
          <w:i/>
          <w:sz w:val="18"/>
          <w:szCs w:val="18"/>
        </w:rPr>
        <w:t>g</w:t>
      </w:r>
      <w:r w:rsidRPr="005D2E4A">
        <w:rPr>
          <w:i/>
          <w:sz w:val="18"/>
          <w:szCs w:val="18"/>
        </w:rPr>
        <w:t xml:space="preserve">) </w:t>
      </w:r>
      <w:r w:rsidRPr="002C7FD1">
        <w:rPr>
          <w:i/>
          <w:sz w:val="18"/>
          <w:szCs w:val="18"/>
        </w:rPr>
        <w:t>Estimated from data in Ta</w:t>
      </w:r>
      <w:r w:rsidRPr="00B44ED5">
        <w:rPr>
          <w:i/>
          <w:sz w:val="18"/>
          <w:szCs w:val="18"/>
        </w:rPr>
        <w:t>ble 6</w:t>
      </w:r>
      <w:r w:rsidRPr="002C7FD1">
        <w:rPr>
          <w:i/>
          <w:sz w:val="18"/>
          <w:szCs w:val="18"/>
        </w:rPr>
        <w:t xml:space="preserve"> of </w:t>
      </w:r>
      <w:r>
        <w:rPr>
          <w:i/>
          <w:sz w:val="18"/>
          <w:szCs w:val="18"/>
        </w:rPr>
        <w:t>Harmon et al. (2011).</w:t>
      </w:r>
    </w:p>
    <w:p w14:paraId="3B79F0BA" w14:textId="77777777" w:rsidR="00BF2749" w:rsidRDefault="00BF2749" w:rsidP="00BF2749">
      <w:pPr>
        <w:pStyle w:val="NoSpacing"/>
        <w:rPr>
          <w:i/>
          <w:sz w:val="18"/>
          <w:szCs w:val="18"/>
        </w:rPr>
      </w:pPr>
    </w:p>
    <w:p w14:paraId="5014E224" w14:textId="77777777" w:rsidR="00BF2749" w:rsidRDefault="00BF2749" w:rsidP="00BF2749">
      <w:pPr>
        <w:pStyle w:val="NoSpacing"/>
        <w:rPr>
          <w:i/>
          <w:sz w:val="18"/>
          <w:szCs w:val="18"/>
        </w:rPr>
      </w:pPr>
    </w:p>
    <w:p w14:paraId="4C345F5C" w14:textId="613DDFE7" w:rsidR="00BF2749" w:rsidRDefault="00BF2749" w:rsidP="00BF2749">
      <w:pPr>
        <w:rPr>
          <w:rFonts w:ascii="Calibri" w:hAnsi="Calibri"/>
        </w:rPr>
      </w:pPr>
      <w:r>
        <w:rPr>
          <w:rFonts w:ascii="Calibri" w:hAnsi="Calibri"/>
        </w:rPr>
        <w:t>The NGHGI (2018) reports for 2016 a national total net sequestration of 420.2 MMT CO</w:t>
      </w:r>
      <w:r w:rsidRPr="00773212">
        <w:rPr>
          <w:rFonts w:ascii="Calibri" w:hAnsi="Calibri"/>
          <w:vertAlign w:val="subscript"/>
        </w:rPr>
        <w:t>2</w:t>
      </w:r>
      <w:r>
        <w:rPr>
          <w:rFonts w:ascii="Calibri" w:hAnsi="Calibri"/>
        </w:rPr>
        <w:t xml:space="preserve"> from aboveground biomass (315.3 MMT CO</w:t>
      </w:r>
      <w:r w:rsidRPr="00773212">
        <w:rPr>
          <w:rFonts w:ascii="Calibri" w:hAnsi="Calibri"/>
          <w:vertAlign w:val="subscript"/>
        </w:rPr>
        <w:t>2</w:t>
      </w:r>
      <w:r>
        <w:rPr>
          <w:rFonts w:ascii="Calibri" w:hAnsi="Calibri"/>
        </w:rPr>
        <w:t>), belowground biomass (65.7 MMT CO</w:t>
      </w:r>
      <w:r w:rsidRPr="00773212">
        <w:rPr>
          <w:rFonts w:ascii="Calibri" w:hAnsi="Calibri"/>
          <w:vertAlign w:val="subscript"/>
        </w:rPr>
        <w:t>2</w:t>
      </w:r>
      <w:r>
        <w:rPr>
          <w:rFonts w:ascii="Calibri" w:hAnsi="Calibri"/>
        </w:rPr>
        <w:t>), and dead wood (39.2 MMT CO</w:t>
      </w:r>
      <w:r w:rsidRPr="00773212">
        <w:rPr>
          <w:rFonts w:ascii="Calibri" w:hAnsi="Calibri"/>
          <w:vertAlign w:val="subscript"/>
        </w:rPr>
        <w:t>2</w:t>
      </w:r>
      <w:r>
        <w:rPr>
          <w:rFonts w:ascii="Calibri" w:hAnsi="Calibri"/>
        </w:rPr>
        <w:t xml:space="preserve">). These figures include both understory vegetation and downed dead wood, which we do not include in our analysis. To </w:t>
      </w:r>
      <w:r w:rsidR="0081544B">
        <w:rPr>
          <w:rFonts w:ascii="Calibri" w:hAnsi="Calibri"/>
        </w:rPr>
        <w:t xml:space="preserve">scale our 95% confidence interval </w:t>
      </w:r>
      <w:r>
        <w:rPr>
          <w:rFonts w:ascii="Calibri" w:hAnsi="Calibri"/>
        </w:rPr>
        <w:t xml:space="preserve">estimate </w:t>
      </w:r>
      <w:r w:rsidR="0081544B">
        <w:rPr>
          <w:rFonts w:ascii="Calibri" w:hAnsi="Calibri"/>
        </w:rPr>
        <w:t xml:space="preserve">to a “national equivalent”, to allow comparison with other inventory categories, </w:t>
      </w:r>
      <w:r>
        <w:rPr>
          <w:rFonts w:ascii="Calibri" w:hAnsi="Calibri"/>
        </w:rPr>
        <w:t>we calculate the percentage error for the eastern Texas analysis (100 x [0.5 x range of 95% confidence interval for eastern Texas] / mean carbon stock change for eastern Texas) and then apply this percentage error to the national mean carbon stock change reported by the NGHGI (2018). We quantify the contribution to uncertainty in units of MMT CO</w:t>
      </w:r>
      <w:r w:rsidRPr="007669A1">
        <w:rPr>
          <w:rFonts w:ascii="Calibri" w:hAnsi="Calibri"/>
          <w:vertAlign w:val="subscript"/>
        </w:rPr>
        <w:t>2</w:t>
      </w:r>
      <w:r>
        <w:rPr>
          <w:rFonts w:ascii="Calibri" w:hAnsi="Calibri"/>
        </w:rPr>
        <w:t xml:space="preserve"> for each of the nine model parameters and the sampling error by multiplying the percentage contribution to uncertainty for each uncertainty element by the range of the 95% confidence interval (97.5</w:t>
      </w:r>
      <w:r w:rsidRPr="007669A1">
        <w:rPr>
          <w:rFonts w:ascii="Calibri" w:hAnsi="Calibri"/>
          <w:vertAlign w:val="superscript"/>
        </w:rPr>
        <w:t>th</w:t>
      </w:r>
      <w:r>
        <w:rPr>
          <w:rFonts w:ascii="Calibri" w:hAnsi="Calibri"/>
        </w:rPr>
        <w:t xml:space="preserve"> percentile minus 2.5</w:t>
      </w:r>
      <w:r w:rsidRPr="007669A1">
        <w:rPr>
          <w:rFonts w:ascii="Calibri" w:hAnsi="Calibri"/>
          <w:vertAlign w:val="superscript"/>
        </w:rPr>
        <w:t>th</w:t>
      </w:r>
      <w:r>
        <w:rPr>
          <w:rFonts w:ascii="Calibri" w:hAnsi="Calibri"/>
        </w:rPr>
        <w:t xml:space="preserve"> percentile) for national carbon stock change. We report our results in aggregate across living tree biomass and standing dead tree carbon pools.</w:t>
      </w:r>
    </w:p>
    <w:p w14:paraId="70356AEB" w14:textId="77777777" w:rsidR="00BF2749" w:rsidRPr="003B4036" w:rsidRDefault="00BF2749" w:rsidP="003B4036"/>
    <w:p w14:paraId="53D5C859" w14:textId="7D74E868" w:rsidR="00E6714E" w:rsidRDefault="00E6714E" w:rsidP="00E6714E">
      <w:pPr>
        <w:pStyle w:val="Heading2"/>
        <w:numPr>
          <w:ilvl w:val="0"/>
          <w:numId w:val="0"/>
        </w:numPr>
        <w:ind w:left="576" w:hanging="576"/>
        <w:rPr>
          <w:rStyle w:val="Strong"/>
          <w:b w:val="0"/>
        </w:rPr>
      </w:pPr>
      <w:r w:rsidRPr="00195F4D">
        <w:rPr>
          <w:rStyle w:val="Strong"/>
          <w:b w:val="0"/>
        </w:rPr>
        <w:t>Results</w:t>
      </w:r>
    </w:p>
    <w:p w14:paraId="093DADB0" w14:textId="3AF8EB45" w:rsidR="0081544B" w:rsidRDefault="0081544B" w:rsidP="0081544B">
      <w:pPr>
        <w:rPr>
          <w:rFonts w:ascii="Calibri" w:hAnsi="Calibri"/>
        </w:rPr>
      </w:pPr>
      <w:r w:rsidRPr="00D31F15">
        <w:t>We estimate a net sequestration</w:t>
      </w:r>
      <w:r>
        <w:t xml:space="preserve"> in aboveground and belowground living tree biomass and standing dead trees</w:t>
      </w:r>
      <w:r w:rsidRPr="00D31F15">
        <w:t xml:space="preserve"> for eastern Texas of 5.3 MMT CO</w:t>
      </w:r>
      <w:r w:rsidRPr="00D31F15">
        <w:rPr>
          <w:vertAlign w:val="subscript"/>
        </w:rPr>
        <w:t>2</w:t>
      </w:r>
      <w:r w:rsidRPr="00D31F15">
        <w:t>. This corresponds to the order of magnitude for 2016</w:t>
      </w:r>
      <w:r>
        <w:t xml:space="preserve"> (~2 MMT CO</w:t>
      </w:r>
      <w:r w:rsidRPr="00D31F15">
        <w:rPr>
          <w:vertAlign w:val="subscript"/>
        </w:rPr>
        <w:t>2</w:t>
      </w:r>
      <w:r>
        <w:t>)</w:t>
      </w:r>
      <w:r w:rsidRPr="00D31F15">
        <w:t xml:space="preserve"> suggested by </w:t>
      </w:r>
      <w:r>
        <w:t>the reported change</w:t>
      </w:r>
      <w:r w:rsidRPr="00D31F15">
        <w:t xml:space="preserve"> in aboveground biomass for live trees in eastern Texas (</w:t>
      </w:r>
      <w:r w:rsidRPr="00593C10">
        <w:t>Dooley, 2018</w:t>
      </w:r>
      <w:r w:rsidRPr="00D31F15">
        <w:t>)</w:t>
      </w:r>
      <w:r>
        <w:t>; we expect some discrepancy based on the differences in carbon pools considered (Dooley (2018) does not consider belowground biomass or standing dead trees) and the difference in timeframe between our analysis and the Dooley (2018) analysis</w:t>
      </w:r>
      <w:r w:rsidRPr="00D31F15">
        <w:t>.</w:t>
      </w:r>
      <w:r>
        <w:t xml:space="preserve"> </w:t>
      </w:r>
      <w:r w:rsidRPr="00D31F15">
        <w:t>Based on the Monte Carlo analysis where all parameters are allowed to vary, we estimate a model</w:t>
      </w:r>
      <w:r>
        <w:t>-based</w:t>
      </w:r>
      <w:r w:rsidRPr="00D31F15">
        <w:t xml:space="preserve"> variance of 0.8</w:t>
      </w:r>
      <w:r>
        <w:t>0</w:t>
      </w:r>
      <w:r w:rsidRPr="00D31F15">
        <w:t xml:space="preserve"> [MMT CO</w:t>
      </w:r>
      <w:r w:rsidRPr="00D31F15">
        <w:rPr>
          <w:vertAlign w:val="subscript"/>
        </w:rPr>
        <w:t>2</w:t>
      </w:r>
      <w:r w:rsidRPr="00D31F15">
        <w:t>]</w:t>
      </w:r>
      <w:r w:rsidRPr="00D31F15">
        <w:rPr>
          <w:vertAlign w:val="superscript"/>
        </w:rPr>
        <w:t>2</w:t>
      </w:r>
      <w:r w:rsidRPr="00D31F15">
        <w:t>, a sample variance of 2.5</w:t>
      </w:r>
      <w:r>
        <w:t>5</w:t>
      </w:r>
      <w:r w:rsidRPr="00D31F15">
        <w:t xml:space="preserve"> [MMT CO</w:t>
      </w:r>
      <w:r w:rsidRPr="00D31F15">
        <w:rPr>
          <w:vertAlign w:val="subscript"/>
        </w:rPr>
        <w:t>2</w:t>
      </w:r>
      <w:r w:rsidRPr="00D31F15">
        <w:t>]</w:t>
      </w:r>
      <w:r w:rsidRPr="00D31F15">
        <w:rPr>
          <w:vertAlign w:val="superscript"/>
        </w:rPr>
        <w:t>2</w:t>
      </w:r>
      <w:r w:rsidRPr="00D31F15">
        <w:t>, and a total combined variance of 3.</w:t>
      </w:r>
      <w:r>
        <w:t>35</w:t>
      </w:r>
      <w:r w:rsidRPr="00D31F15">
        <w:t xml:space="preserve"> [MMT CO</w:t>
      </w:r>
      <w:r w:rsidRPr="00D31F15">
        <w:rPr>
          <w:vertAlign w:val="subscript"/>
        </w:rPr>
        <w:t>2</w:t>
      </w:r>
      <w:r w:rsidRPr="00D31F15">
        <w:t>]</w:t>
      </w:r>
      <w:r w:rsidRPr="00D31F15">
        <w:rPr>
          <w:vertAlign w:val="superscript"/>
        </w:rPr>
        <w:t>2</w:t>
      </w:r>
      <w:r w:rsidRPr="00D31F15">
        <w:t xml:space="preserve">. The 95% confidence interval for eastern Texas carbon stock change associated with living and dead tree biomass is </w:t>
      </w:r>
      <w:r>
        <w:t>-8.9 MMT CO</w:t>
      </w:r>
      <w:r w:rsidRPr="00A3018D">
        <w:rPr>
          <w:vertAlign w:val="subscript"/>
        </w:rPr>
        <w:t>2</w:t>
      </w:r>
      <w:r>
        <w:t xml:space="preserve"> to -1.7 MMT CO</w:t>
      </w:r>
      <w:r w:rsidRPr="00256E05">
        <w:rPr>
          <w:vertAlign w:val="subscript"/>
        </w:rPr>
        <w:t>2</w:t>
      </w:r>
      <w:r>
        <w:t>, where negative values indicate sequestration. The total percentage error for eastern Texas (</w:t>
      </w:r>
      <w:r>
        <w:rPr>
          <w:rFonts w:ascii="Calibri" w:hAnsi="Calibri"/>
        </w:rPr>
        <w:t>100 x [0.5 x range of 95% confidence interval] / mean carbon stock change) is 67.9%.</w:t>
      </w:r>
    </w:p>
    <w:p w14:paraId="21355C78" w14:textId="43C4CD1A" w:rsidR="0081544B" w:rsidRDefault="0081544B" w:rsidP="0081544B">
      <w:pPr>
        <w:rPr>
          <w:rFonts w:ascii="Calibri" w:hAnsi="Calibri"/>
        </w:rPr>
      </w:pPr>
      <w:r w:rsidRPr="00D31F15">
        <w:t>The contribution</w:t>
      </w:r>
      <w:r>
        <w:t>s</w:t>
      </w:r>
      <w:r w:rsidRPr="00D31F15">
        <w:t xml:space="preserve"> to uncertainty for the nine model parameters and </w:t>
      </w:r>
      <w:r>
        <w:t>sampl</w:t>
      </w:r>
      <w:r w:rsidR="00A46DFF">
        <w:t>ing</w:t>
      </w:r>
      <w:r>
        <w:t xml:space="preserve"> error are shown in </w:t>
      </w:r>
      <w:r w:rsidRPr="002C7FD1">
        <w:t xml:space="preserve">Table </w:t>
      </w:r>
      <w:r w:rsidR="005E4D1E">
        <w:t>2</w:t>
      </w:r>
      <w:r>
        <w:t>-3. The total contribution to uncertainty for this forest ecosystem carbon pool is 571 MMT CO</w:t>
      </w:r>
      <w:r w:rsidRPr="002C7FD1">
        <w:rPr>
          <w:vertAlign w:val="subscript"/>
        </w:rPr>
        <w:t>2</w:t>
      </w:r>
      <w:r>
        <w:t>. The sampl</w:t>
      </w:r>
      <w:r w:rsidR="00A46DFF">
        <w:t>ing</w:t>
      </w:r>
      <w:r>
        <w:t xml:space="preserve"> error is the dominant contributor to uncertainty for this carbon pool. Among the model parameters, the volume coefficients and specific gravities make the largest contributions to uncertainty, followed by the biomass component ratio coefficients, sapling adjustment factor, and </w:t>
      </w:r>
      <w:r w:rsidR="00256A9A">
        <w:t xml:space="preserve">aboveground biomass adjustment factor </w:t>
      </w:r>
      <w:r>
        <w:t xml:space="preserve">based on allometric equations from Jenkins et al. (2003). Negligible uncertainty is contributed by bark as a percentage of wood volume, stump volume coefficients, density reduction factors, and structural loss adjustment factors. </w:t>
      </w:r>
    </w:p>
    <w:p w14:paraId="1729227D" w14:textId="6FFD4971" w:rsidR="0081544B" w:rsidRPr="009505DE" w:rsidRDefault="0081544B" w:rsidP="0081544B">
      <w:pPr>
        <w:pStyle w:val="Caption"/>
        <w:keepNext/>
        <w:rPr>
          <w:b/>
          <w:sz w:val="22"/>
          <w:szCs w:val="22"/>
        </w:rPr>
      </w:pPr>
      <w:r w:rsidRPr="007F1C52">
        <w:rPr>
          <w:b/>
          <w:sz w:val="22"/>
          <w:szCs w:val="22"/>
        </w:rPr>
        <w:t xml:space="preserve">Table </w:t>
      </w:r>
      <w:r w:rsidR="005E4D1E">
        <w:rPr>
          <w:b/>
          <w:sz w:val="22"/>
          <w:szCs w:val="22"/>
        </w:rPr>
        <w:t>2</w:t>
      </w:r>
      <w:r>
        <w:rPr>
          <w:b/>
          <w:sz w:val="22"/>
          <w:szCs w:val="22"/>
        </w:rPr>
        <w:t>-3</w:t>
      </w:r>
      <w:r w:rsidRPr="007F1C52">
        <w:rPr>
          <w:b/>
          <w:sz w:val="22"/>
          <w:szCs w:val="22"/>
        </w:rPr>
        <w:t xml:space="preserve">: </w:t>
      </w:r>
      <w:r>
        <w:rPr>
          <w:b/>
          <w:sz w:val="22"/>
          <w:szCs w:val="22"/>
        </w:rPr>
        <w:t xml:space="preserve">RESULTS - </w:t>
      </w:r>
      <w:r w:rsidRPr="009C49E3">
        <w:rPr>
          <w:b/>
          <w:sz w:val="22"/>
          <w:szCs w:val="22"/>
        </w:rPr>
        <w:t>Contributions to uncertainty for</w:t>
      </w:r>
      <w:r>
        <w:rPr>
          <w:b/>
          <w:sz w:val="22"/>
          <w:szCs w:val="22"/>
        </w:rPr>
        <w:t xml:space="preserve"> aboveground, belowground, and standing dead biomass, scaled to national level</w:t>
      </w:r>
    </w:p>
    <w:tbl>
      <w:tblPr>
        <w:tblStyle w:val="TableGrid"/>
        <w:tblW w:w="5000" w:type="pct"/>
        <w:tblLook w:val="04A0" w:firstRow="1" w:lastRow="0" w:firstColumn="1" w:lastColumn="0" w:noHBand="0" w:noVBand="1"/>
      </w:tblPr>
      <w:tblGrid>
        <w:gridCol w:w="3118"/>
        <w:gridCol w:w="3117"/>
        <w:gridCol w:w="3115"/>
      </w:tblGrid>
      <w:tr w:rsidR="0081544B" w:rsidRPr="00ED4794" w14:paraId="76131C67" w14:textId="77777777" w:rsidTr="003D59CA">
        <w:trPr>
          <w:tblHeader/>
        </w:trPr>
        <w:tc>
          <w:tcPr>
            <w:tcW w:w="1667" w:type="pct"/>
            <w:shd w:val="clear" w:color="auto" w:fill="FFC000"/>
            <w:vAlign w:val="center"/>
          </w:tcPr>
          <w:p w14:paraId="201CE669" w14:textId="77777777" w:rsidR="0081544B" w:rsidRPr="00674237" w:rsidRDefault="0081544B" w:rsidP="003D59CA">
            <w:pPr>
              <w:spacing w:line="276" w:lineRule="auto"/>
              <w:jc w:val="center"/>
              <w:rPr>
                <w:b/>
                <w:sz w:val="18"/>
                <w:szCs w:val="18"/>
              </w:rPr>
            </w:pPr>
            <w:r>
              <w:rPr>
                <w:b/>
                <w:sz w:val="18"/>
                <w:szCs w:val="18"/>
              </w:rPr>
              <w:t>Uncertainty element</w:t>
            </w:r>
          </w:p>
        </w:tc>
        <w:tc>
          <w:tcPr>
            <w:tcW w:w="1667" w:type="pct"/>
            <w:shd w:val="clear" w:color="auto" w:fill="FFC000"/>
            <w:vAlign w:val="center"/>
          </w:tcPr>
          <w:p w14:paraId="0FC00B30" w14:textId="77777777" w:rsidR="0081544B" w:rsidRPr="00674237" w:rsidRDefault="0081544B" w:rsidP="003D59CA">
            <w:pPr>
              <w:spacing w:line="276" w:lineRule="auto"/>
              <w:jc w:val="center"/>
              <w:rPr>
                <w:b/>
                <w:sz w:val="18"/>
                <w:szCs w:val="18"/>
              </w:rPr>
            </w:pPr>
            <w:r w:rsidRPr="00ED4794">
              <w:rPr>
                <w:rFonts w:ascii="Calibri" w:eastAsia="Times New Roman" w:hAnsi="Calibri" w:cs="Calibri"/>
                <w:b/>
                <w:color w:val="000000"/>
                <w:sz w:val="18"/>
                <w:szCs w:val="18"/>
              </w:rPr>
              <w:t>Contribution to uncertainty (%)</w:t>
            </w:r>
          </w:p>
        </w:tc>
        <w:tc>
          <w:tcPr>
            <w:tcW w:w="1666" w:type="pct"/>
            <w:shd w:val="clear" w:color="auto" w:fill="FFC000"/>
            <w:vAlign w:val="center"/>
          </w:tcPr>
          <w:p w14:paraId="5579D706" w14:textId="77777777" w:rsidR="0081544B" w:rsidRPr="00ED4794" w:rsidRDefault="0081544B" w:rsidP="003D59CA">
            <w:pPr>
              <w:jc w:val="center"/>
              <w:rPr>
                <w:rFonts w:ascii="Calibri" w:eastAsia="Times New Roman" w:hAnsi="Calibri" w:cs="Calibri"/>
                <w:b/>
                <w:color w:val="000000"/>
                <w:sz w:val="18"/>
                <w:szCs w:val="18"/>
              </w:rPr>
            </w:pPr>
            <w:r w:rsidRPr="00ED4794">
              <w:rPr>
                <w:rFonts w:ascii="Calibri" w:eastAsia="Times New Roman" w:hAnsi="Calibri" w:cs="Calibri"/>
                <w:b/>
                <w:color w:val="000000"/>
                <w:sz w:val="18"/>
                <w:szCs w:val="18"/>
              </w:rPr>
              <w:t>Contribution to uncertainty</w:t>
            </w:r>
          </w:p>
          <w:p w14:paraId="3E3AEFED" w14:textId="77777777" w:rsidR="0081544B" w:rsidRPr="00674237" w:rsidRDefault="0081544B" w:rsidP="003D59CA">
            <w:pPr>
              <w:spacing w:line="276" w:lineRule="auto"/>
              <w:jc w:val="center"/>
              <w:rPr>
                <w:b/>
                <w:sz w:val="18"/>
                <w:szCs w:val="18"/>
              </w:rPr>
            </w:pPr>
            <w:r w:rsidRPr="00ED4794">
              <w:rPr>
                <w:rFonts w:ascii="Calibri" w:eastAsia="Times New Roman" w:hAnsi="Calibri" w:cs="Calibri"/>
                <w:b/>
                <w:color w:val="000000"/>
                <w:sz w:val="18"/>
                <w:szCs w:val="18"/>
              </w:rPr>
              <w:t>(MMT CO</w:t>
            </w:r>
            <w:r w:rsidRPr="00ED4794">
              <w:rPr>
                <w:rFonts w:ascii="Calibri" w:eastAsia="Times New Roman" w:hAnsi="Calibri" w:cs="Calibri"/>
                <w:b/>
                <w:color w:val="000000"/>
                <w:sz w:val="18"/>
                <w:szCs w:val="18"/>
                <w:vertAlign w:val="subscript"/>
              </w:rPr>
              <w:t>2</w:t>
            </w:r>
            <w:r w:rsidRPr="00ED4794">
              <w:rPr>
                <w:rFonts w:ascii="Calibri" w:eastAsia="Times New Roman" w:hAnsi="Calibri" w:cs="Calibri"/>
                <w:b/>
                <w:color w:val="000000"/>
                <w:sz w:val="18"/>
                <w:szCs w:val="18"/>
              </w:rPr>
              <w:t>e)</w:t>
            </w:r>
          </w:p>
        </w:tc>
      </w:tr>
      <w:tr w:rsidR="0081544B" w:rsidRPr="00ED4794" w14:paraId="7ABCE6D3" w14:textId="77777777" w:rsidTr="009D44AB">
        <w:trPr>
          <w:tblHeader/>
        </w:trPr>
        <w:tc>
          <w:tcPr>
            <w:tcW w:w="1667" w:type="pct"/>
            <w:vAlign w:val="center"/>
          </w:tcPr>
          <w:p w14:paraId="56359C4B" w14:textId="62F75C93" w:rsidR="0081544B" w:rsidRDefault="0081544B" w:rsidP="00A46DFF">
            <w:pPr>
              <w:rPr>
                <w:b/>
                <w:sz w:val="18"/>
                <w:szCs w:val="18"/>
              </w:rPr>
            </w:pPr>
            <w:r>
              <w:rPr>
                <w:b/>
                <w:sz w:val="18"/>
                <w:szCs w:val="18"/>
              </w:rPr>
              <w:t>Sampl</w:t>
            </w:r>
            <w:r w:rsidR="00A46DFF">
              <w:rPr>
                <w:b/>
                <w:sz w:val="18"/>
                <w:szCs w:val="18"/>
              </w:rPr>
              <w:t>ing</w:t>
            </w:r>
            <w:r>
              <w:rPr>
                <w:b/>
                <w:sz w:val="18"/>
                <w:szCs w:val="18"/>
              </w:rPr>
              <w:t xml:space="preserve"> error</w:t>
            </w:r>
          </w:p>
        </w:tc>
        <w:tc>
          <w:tcPr>
            <w:tcW w:w="1667" w:type="pct"/>
            <w:vAlign w:val="center"/>
          </w:tcPr>
          <w:p w14:paraId="61B9D345" w14:textId="77777777" w:rsidR="0081544B" w:rsidRDefault="0081544B" w:rsidP="009D44AB">
            <w:pPr>
              <w:spacing w:line="276" w:lineRule="auto"/>
              <w:jc w:val="center"/>
              <w:rPr>
                <w:sz w:val="18"/>
                <w:szCs w:val="18"/>
              </w:rPr>
            </w:pPr>
            <w:r>
              <w:rPr>
                <w:sz w:val="18"/>
                <w:szCs w:val="18"/>
              </w:rPr>
              <w:t>76.1%</w:t>
            </w:r>
          </w:p>
        </w:tc>
        <w:tc>
          <w:tcPr>
            <w:tcW w:w="1666" w:type="pct"/>
            <w:vAlign w:val="center"/>
          </w:tcPr>
          <w:p w14:paraId="3C894F88" w14:textId="06B0D816" w:rsidR="0081544B" w:rsidRDefault="0081544B" w:rsidP="009D44AB">
            <w:pPr>
              <w:spacing w:line="276" w:lineRule="auto"/>
              <w:jc w:val="center"/>
              <w:rPr>
                <w:sz w:val="18"/>
                <w:szCs w:val="18"/>
              </w:rPr>
            </w:pPr>
            <w:r>
              <w:rPr>
                <w:sz w:val="18"/>
                <w:szCs w:val="18"/>
              </w:rPr>
              <w:t>434.3</w:t>
            </w:r>
          </w:p>
        </w:tc>
      </w:tr>
      <w:tr w:rsidR="0081544B" w:rsidRPr="00ED4794" w14:paraId="05E1497F" w14:textId="77777777" w:rsidTr="003D59CA">
        <w:trPr>
          <w:tblHeader/>
        </w:trPr>
        <w:tc>
          <w:tcPr>
            <w:tcW w:w="1667" w:type="pct"/>
          </w:tcPr>
          <w:p w14:paraId="3BF0255D" w14:textId="77777777" w:rsidR="0081544B" w:rsidRPr="00174CAB" w:rsidRDefault="0081544B" w:rsidP="003D59CA">
            <w:pPr>
              <w:spacing w:line="276" w:lineRule="auto"/>
              <w:rPr>
                <w:b/>
                <w:sz w:val="18"/>
                <w:szCs w:val="18"/>
              </w:rPr>
            </w:pPr>
            <w:r>
              <w:rPr>
                <w:b/>
                <w:sz w:val="18"/>
                <w:szCs w:val="18"/>
              </w:rPr>
              <w:t>Bole gross volume coefficients</w:t>
            </w:r>
          </w:p>
        </w:tc>
        <w:tc>
          <w:tcPr>
            <w:tcW w:w="1667" w:type="pct"/>
            <w:vAlign w:val="center"/>
          </w:tcPr>
          <w:p w14:paraId="06D62C3E" w14:textId="77777777" w:rsidR="0081544B" w:rsidRPr="00ED4794" w:rsidRDefault="0081544B" w:rsidP="003D59CA">
            <w:pPr>
              <w:spacing w:line="276" w:lineRule="auto"/>
              <w:jc w:val="center"/>
              <w:rPr>
                <w:sz w:val="18"/>
                <w:szCs w:val="18"/>
              </w:rPr>
            </w:pPr>
            <w:r>
              <w:rPr>
                <w:sz w:val="18"/>
                <w:szCs w:val="18"/>
              </w:rPr>
              <w:t>13.6%</w:t>
            </w:r>
          </w:p>
        </w:tc>
        <w:tc>
          <w:tcPr>
            <w:tcW w:w="1666" w:type="pct"/>
            <w:vAlign w:val="center"/>
          </w:tcPr>
          <w:p w14:paraId="616BF6A0" w14:textId="77777777" w:rsidR="0081544B" w:rsidRPr="00ED4794" w:rsidRDefault="0081544B" w:rsidP="003D59CA">
            <w:pPr>
              <w:spacing w:line="276" w:lineRule="auto"/>
              <w:jc w:val="center"/>
              <w:rPr>
                <w:sz w:val="18"/>
                <w:szCs w:val="18"/>
              </w:rPr>
            </w:pPr>
            <w:r>
              <w:rPr>
                <w:sz w:val="18"/>
                <w:szCs w:val="18"/>
              </w:rPr>
              <w:t>77.7</w:t>
            </w:r>
          </w:p>
        </w:tc>
      </w:tr>
      <w:tr w:rsidR="0081544B" w:rsidRPr="00ED4794" w14:paraId="0BF0A438" w14:textId="77777777" w:rsidTr="003D59CA">
        <w:trPr>
          <w:tblHeader/>
        </w:trPr>
        <w:tc>
          <w:tcPr>
            <w:tcW w:w="1667" w:type="pct"/>
          </w:tcPr>
          <w:p w14:paraId="2ECD39CC" w14:textId="77777777" w:rsidR="0081544B" w:rsidRPr="00174CAB" w:rsidRDefault="0081544B" w:rsidP="003D59CA">
            <w:pPr>
              <w:spacing w:line="276" w:lineRule="auto"/>
              <w:rPr>
                <w:b/>
                <w:sz w:val="18"/>
                <w:szCs w:val="18"/>
              </w:rPr>
            </w:pPr>
            <w:r>
              <w:rPr>
                <w:b/>
                <w:sz w:val="18"/>
                <w:szCs w:val="18"/>
              </w:rPr>
              <w:t>Wood and bark specific gravities</w:t>
            </w:r>
          </w:p>
        </w:tc>
        <w:tc>
          <w:tcPr>
            <w:tcW w:w="1667" w:type="pct"/>
            <w:vAlign w:val="center"/>
          </w:tcPr>
          <w:p w14:paraId="122F047B" w14:textId="77777777" w:rsidR="0081544B" w:rsidRPr="00ED4794" w:rsidRDefault="0081544B" w:rsidP="003D59CA">
            <w:pPr>
              <w:spacing w:line="276" w:lineRule="auto"/>
              <w:jc w:val="center"/>
              <w:rPr>
                <w:sz w:val="18"/>
                <w:szCs w:val="18"/>
              </w:rPr>
            </w:pPr>
            <w:r>
              <w:rPr>
                <w:sz w:val="18"/>
                <w:szCs w:val="18"/>
              </w:rPr>
              <w:t>9.5%</w:t>
            </w:r>
          </w:p>
        </w:tc>
        <w:tc>
          <w:tcPr>
            <w:tcW w:w="1666" w:type="pct"/>
            <w:vAlign w:val="center"/>
          </w:tcPr>
          <w:p w14:paraId="30CB8D18" w14:textId="77777777" w:rsidR="0081544B" w:rsidRPr="00ED4794" w:rsidRDefault="0081544B" w:rsidP="003D59CA">
            <w:pPr>
              <w:spacing w:line="276" w:lineRule="auto"/>
              <w:jc w:val="center"/>
              <w:rPr>
                <w:sz w:val="18"/>
                <w:szCs w:val="18"/>
              </w:rPr>
            </w:pPr>
            <w:r>
              <w:rPr>
                <w:sz w:val="18"/>
                <w:szCs w:val="18"/>
              </w:rPr>
              <w:t>54.2</w:t>
            </w:r>
          </w:p>
        </w:tc>
      </w:tr>
      <w:tr w:rsidR="0081544B" w:rsidRPr="00ED4794" w14:paraId="4CA4756F" w14:textId="77777777" w:rsidTr="003D59CA">
        <w:trPr>
          <w:tblHeader/>
        </w:trPr>
        <w:tc>
          <w:tcPr>
            <w:tcW w:w="1667" w:type="pct"/>
          </w:tcPr>
          <w:p w14:paraId="29D8AB4C" w14:textId="77777777" w:rsidR="0081544B" w:rsidRPr="00174CAB" w:rsidRDefault="0081544B" w:rsidP="003D59CA">
            <w:pPr>
              <w:spacing w:line="276" w:lineRule="auto"/>
              <w:rPr>
                <w:b/>
                <w:sz w:val="18"/>
                <w:szCs w:val="18"/>
              </w:rPr>
            </w:pPr>
            <w:r>
              <w:rPr>
                <w:b/>
                <w:sz w:val="18"/>
                <w:szCs w:val="18"/>
              </w:rPr>
              <w:t>Bark as a percentage of wood volume</w:t>
            </w:r>
          </w:p>
        </w:tc>
        <w:tc>
          <w:tcPr>
            <w:tcW w:w="1667" w:type="pct"/>
            <w:vAlign w:val="center"/>
          </w:tcPr>
          <w:p w14:paraId="783049DD" w14:textId="77777777" w:rsidR="0081544B" w:rsidRPr="00ED4794" w:rsidRDefault="0081544B" w:rsidP="003D59CA">
            <w:pPr>
              <w:spacing w:line="276" w:lineRule="auto"/>
              <w:jc w:val="center"/>
              <w:rPr>
                <w:sz w:val="18"/>
                <w:szCs w:val="18"/>
              </w:rPr>
            </w:pPr>
            <w:r>
              <w:rPr>
                <w:sz w:val="18"/>
                <w:szCs w:val="18"/>
              </w:rPr>
              <w:t>0.0%</w:t>
            </w:r>
          </w:p>
        </w:tc>
        <w:tc>
          <w:tcPr>
            <w:tcW w:w="1666" w:type="pct"/>
            <w:vAlign w:val="center"/>
          </w:tcPr>
          <w:p w14:paraId="6F8E9985" w14:textId="77777777" w:rsidR="0081544B" w:rsidRPr="00ED4794" w:rsidRDefault="0081544B" w:rsidP="003D59CA">
            <w:pPr>
              <w:spacing w:line="276" w:lineRule="auto"/>
              <w:jc w:val="center"/>
              <w:rPr>
                <w:sz w:val="18"/>
                <w:szCs w:val="18"/>
              </w:rPr>
            </w:pPr>
            <w:r>
              <w:rPr>
                <w:sz w:val="18"/>
                <w:szCs w:val="18"/>
              </w:rPr>
              <w:t>0.2</w:t>
            </w:r>
          </w:p>
        </w:tc>
      </w:tr>
      <w:tr w:rsidR="0081544B" w:rsidRPr="00ED4794" w14:paraId="33DC581D" w14:textId="77777777" w:rsidTr="003D59CA">
        <w:trPr>
          <w:tblHeader/>
        </w:trPr>
        <w:tc>
          <w:tcPr>
            <w:tcW w:w="1667" w:type="pct"/>
          </w:tcPr>
          <w:p w14:paraId="5C39EF60" w14:textId="77777777" w:rsidR="0081544B" w:rsidRPr="00174CAB" w:rsidRDefault="0081544B" w:rsidP="003D59CA">
            <w:pPr>
              <w:spacing w:line="276" w:lineRule="auto"/>
              <w:rPr>
                <w:b/>
                <w:sz w:val="18"/>
                <w:szCs w:val="18"/>
              </w:rPr>
            </w:pPr>
            <w:r>
              <w:rPr>
                <w:b/>
                <w:sz w:val="18"/>
                <w:szCs w:val="18"/>
              </w:rPr>
              <w:t>Stump volume coefficients</w:t>
            </w:r>
          </w:p>
        </w:tc>
        <w:tc>
          <w:tcPr>
            <w:tcW w:w="1667" w:type="pct"/>
            <w:vAlign w:val="center"/>
          </w:tcPr>
          <w:p w14:paraId="35A11DBA" w14:textId="77777777" w:rsidR="0081544B" w:rsidRPr="00ED4794" w:rsidRDefault="0081544B" w:rsidP="003D59CA">
            <w:pPr>
              <w:spacing w:line="276" w:lineRule="auto"/>
              <w:jc w:val="center"/>
              <w:rPr>
                <w:sz w:val="18"/>
                <w:szCs w:val="18"/>
              </w:rPr>
            </w:pPr>
            <w:r>
              <w:rPr>
                <w:sz w:val="18"/>
                <w:szCs w:val="18"/>
              </w:rPr>
              <w:t>0.0%</w:t>
            </w:r>
          </w:p>
        </w:tc>
        <w:tc>
          <w:tcPr>
            <w:tcW w:w="1666" w:type="pct"/>
            <w:vAlign w:val="center"/>
          </w:tcPr>
          <w:p w14:paraId="00FE38F9" w14:textId="77777777" w:rsidR="0081544B" w:rsidRPr="00ED4794" w:rsidRDefault="0081544B" w:rsidP="003D59CA">
            <w:pPr>
              <w:spacing w:line="276" w:lineRule="auto"/>
              <w:jc w:val="center"/>
              <w:rPr>
                <w:sz w:val="18"/>
                <w:szCs w:val="18"/>
              </w:rPr>
            </w:pPr>
            <w:r>
              <w:rPr>
                <w:sz w:val="18"/>
                <w:szCs w:val="18"/>
              </w:rPr>
              <w:t>0.0</w:t>
            </w:r>
          </w:p>
        </w:tc>
      </w:tr>
      <w:tr w:rsidR="0081544B" w:rsidRPr="00ED4794" w14:paraId="4AC61C37" w14:textId="77777777" w:rsidTr="003D59CA">
        <w:trPr>
          <w:tblHeader/>
        </w:trPr>
        <w:tc>
          <w:tcPr>
            <w:tcW w:w="1667" w:type="pct"/>
          </w:tcPr>
          <w:p w14:paraId="272D1818" w14:textId="517BB2AF" w:rsidR="0081544B" w:rsidRPr="00174CAB" w:rsidRDefault="00256A9A">
            <w:pPr>
              <w:spacing w:line="276" w:lineRule="auto"/>
              <w:rPr>
                <w:b/>
                <w:sz w:val="18"/>
                <w:szCs w:val="18"/>
              </w:rPr>
            </w:pPr>
            <w:r>
              <w:rPr>
                <w:b/>
                <w:sz w:val="18"/>
                <w:szCs w:val="18"/>
              </w:rPr>
              <w:t>A</w:t>
            </w:r>
            <w:r w:rsidR="0081544B">
              <w:rPr>
                <w:b/>
                <w:sz w:val="18"/>
                <w:szCs w:val="18"/>
              </w:rPr>
              <w:t xml:space="preserve">boveground biomass </w:t>
            </w:r>
            <w:r>
              <w:rPr>
                <w:b/>
                <w:sz w:val="18"/>
                <w:szCs w:val="18"/>
              </w:rPr>
              <w:t>adjustment factor (</w:t>
            </w:r>
            <w:r w:rsidR="0081544B">
              <w:rPr>
                <w:b/>
                <w:sz w:val="18"/>
                <w:szCs w:val="18"/>
              </w:rPr>
              <w:t>Jenkins et al. 2003)</w:t>
            </w:r>
          </w:p>
        </w:tc>
        <w:tc>
          <w:tcPr>
            <w:tcW w:w="1667" w:type="pct"/>
            <w:vAlign w:val="center"/>
          </w:tcPr>
          <w:p w14:paraId="0802219C" w14:textId="77777777" w:rsidR="0081544B" w:rsidRPr="00ED4794" w:rsidRDefault="0081544B" w:rsidP="003D59CA">
            <w:pPr>
              <w:spacing w:line="276" w:lineRule="auto"/>
              <w:jc w:val="center"/>
              <w:rPr>
                <w:sz w:val="18"/>
                <w:szCs w:val="18"/>
              </w:rPr>
            </w:pPr>
            <w:r>
              <w:rPr>
                <w:sz w:val="18"/>
                <w:szCs w:val="18"/>
              </w:rPr>
              <w:t>0.1%</w:t>
            </w:r>
          </w:p>
        </w:tc>
        <w:tc>
          <w:tcPr>
            <w:tcW w:w="1666" w:type="pct"/>
            <w:vAlign w:val="center"/>
          </w:tcPr>
          <w:p w14:paraId="54D00113" w14:textId="77777777" w:rsidR="0081544B" w:rsidRPr="00ED4794" w:rsidRDefault="0081544B" w:rsidP="003D59CA">
            <w:pPr>
              <w:spacing w:line="276" w:lineRule="auto"/>
              <w:jc w:val="center"/>
              <w:rPr>
                <w:sz w:val="18"/>
                <w:szCs w:val="18"/>
              </w:rPr>
            </w:pPr>
            <w:r>
              <w:rPr>
                <w:sz w:val="18"/>
                <w:szCs w:val="18"/>
              </w:rPr>
              <w:t>0.7</w:t>
            </w:r>
          </w:p>
        </w:tc>
      </w:tr>
      <w:tr w:rsidR="0081544B" w:rsidRPr="00ED4794" w14:paraId="111285A8" w14:textId="77777777" w:rsidTr="003D59CA">
        <w:trPr>
          <w:tblHeader/>
        </w:trPr>
        <w:tc>
          <w:tcPr>
            <w:tcW w:w="1667" w:type="pct"/>
          </w:tcPr>
          <w:p w14:paraId="2D355820" w14:textId="77777777" w:rsidR="0081544B" w:rsidRPr="00174CAB" w:rsidRDefault="0081544B" w:rsidP="003D59CA">
            <w:pPr>
              <w:spacing w:line="276" w:lineRule="auto"/>
              <w:rPr>
                <w:b/>
                <w:sz w:val="18"/>
                <w:szCs w:val="18"/>
              </w:rPr>
            </w:pPr>
            <w:r>
              <w:rPr>
                <w:b/>
                <w:sz w:val="18"/>
                <w:szCs w:val="18"/>
              </w:rPr>
              <w:t>Component ratio coefficients</w:t>
            </w:r>
          </w:p>
        </w:tc>
        <w:tc>
          <w:tcPr>
            <w:tcW w:w="1667" w:type="pct"/>
            <w:vAlign w:val="center"/>
          </w:tcPr>
          <w:p w14:paraId="72829DE9" w14:textId="77777777" w:rsidR="0081544B" w:rsidRPr="00ED4794" w:rsidRDefault="0081544B" w:rsidP="003D59CA">
            <w:pPr>
              <w:spacing w:line="276" w:lineRule="auto"/>
              <w:jc w:val="center"/>
              <w:rPr>
                <w:sz w:val="18"/>
                <w:szCs w:val="18"/>
              </w:rPr>
            </w:pPr>
            <w:r>
              <w:rPr>
                <w:sz w:val="18"/>
                <w:szCs w:val="18"/>
              </w:rPr>
              <w:t>0.4%</w:t>
            </w:r>
          </w:p>
        </w:tc>
        <w:tc>
          <w:tcPr>
            <w:tcW w:w="1666" w:type="pct"/>
            <w:vAlign w:val="center"/>
          </w:tcPr>
          <w:p w14:paraId="17F0EF21" w14:textId="77777777" w:rsidR="0081544B" w:rsidRPr="00ED4794" w:rsidRDefault="0081544B" w:rsidP="003D59CA">
            <w:pPr>
              <w:spacing w:line="276" w:lineRule="auto"/>
              <w:jc w:val="center"/>
              <w:rPr>
                <w:sz w:val="18"/>
                <w:szCs w:val="18"/>
              </w:rPr>
            </w:pPr>
            <w:r>
              <w:rPr>
                <w:sz w:val="18"/>
                <w:szCs w:val="18"/>
              </w:rPr>
              <w:t>2.2</w:t>
            </w:r>
          </w:p>
        </w:tc>
      </w:tr>
      <w:tr w:rsidR="0081544B" w:rsidRPr="00ED4794" w14:paraId="7FD499CA" w14:textId="77777777" w:rsidTr="003D59CA">
        <w:trPr>
          <w:tblHeader/>
        </w:trPr>
        <w:tc>
          <w:tcPr>
            <w:tcW w:w="1667" w:type="pct"/>
          </w:tcPr>
          <w:p w14:paraId="0E9E2825" w14:textId="77777777" w:rsidR="0081544B" w:rsidRPr="00174CAB" w:rsidRDefault="0081544B" w:rsidP="003D59CA">
            <w:pPr>
              <w:spacing w:line="276" w:lineRule="auto"/>
              <w:rPr>
                <w:b/>
                <w:sz w:val="18"/>
                <w:szCs w:val="18"/>
              </w:rPr>
            </w:pPr>
            <w:r>
              <w:rPr>
                <w:b/>
                <w:sz w:val="18"/>
                <w:szCs w:val="18"/>
              </w:rPr>
              <w:t>Sapling adjustment factor</w:t>
            </w:r>
          </w:p>
        </w:tc>
        <w:tc>
          <w:tcPr>
            <w:tcW w:w="1667" w:type="pct"/>
            <w:vAlign w:val="center"/>
          </w:tcPr>
          <w:p w14:paraId="6476CA10" w14:textId="77777777" w:rsidR="0081544B" w:rsidRPr="00ED4794" w:rsidRDefault="0081544B" w:rsidP="003D59CA">
            <w:pPr>
              <w:spacing w:line="276" w:lineRule="auto"/>
              <w:jc w:val="center"/>
              <w:rPr>
                <w:sz w:val="18"/>
                <w:szCs w:val="18"/>
              </w:rPr>
            </w:pPr>
            <w:r>
              <w:rPr>
                <w:sz w:val="18"/>
                <w:szCs w:val="18"/>
              </w:rPr>
              <w:t>0.3%</w:t>
            </w:r>
          </w:p>
        </w:tc>
        <w:tc>
          <w:tcPr>
            <w:tcW w:w="1666" w:type="pct"/>
            <w:vAlign w:val="center"/>
          </w:tcPr>
          <w:p w14:paraId="3C32B19D" w14:textId="77777777" w:rsidR="0081544B" w:rsidRPr="00ED4794" w:rsidRDefault="0081544B" w:rsidP="003D59CA">
            <w:pPr>
              <w:spacing w:line="276" w:lineRule="auto"/>
              <w:jc w:val="center"/>
              <w:rPr>
                <w:sz w:val="18"/>
                <w:szCs w:val="18"/>
              </w:rPr>
            </w:pPr>
            <w:r>
              <w:rPr>
                <w:sz w:val="18"/>
                <w:szCs w:val="18"/>
              </w:rPr>
              <w:t>1.6</w:t>
            </w:r>
          </w:p>
        </w:tc>
      </w:tr>
      <w:tr w:rsidR="0081544B" w:rsidRPr="00ED4794" w14:paraId="2716BF77" w14:textId="77777777" w:rsidTr="003D59CA">
        <w:trPr>
          <w:tblHeader/>
        </w:trPr>
        <w:tc>
          <w:tcPr>
            <w:tcW w:w="1667" w:type="pct"/>
          </w:tcPr>
          <w:p w14:paraId="1A1CDEB5" w14:textId="77777777" w:rsidR="0081544B" w:rsidRPr="00174CAB" w:rsidRDefault="0081544B" w:rsidP="009D44AB">
            <w:pPr>
              <w:rPr>
                <w:b/>
                <w:sz w:val="18"/>
                <w:szCs w:val="18"/>
              </w:rPr>
            </w:pPr>
            <w:r>
              <w:rPr>
                <w:b/>
                <w:sz w:val="18"/>
                <w:szCs w:val="18"/>
              </w:rPr>
              <w:t>Density reduction factor</w:t>
            </w:r>
          </w:p>
        </w:tc>
        <w:tc>
          <w:tcPr>
            <w:tcW w:w="1667" w:type="pct"/>
            <w:vAlign w:val="center"/>
          </w:tcPr>
          <w:p w14:paraId="60989733" w14:textId="77777777" w:rsidR="0081544B" w:rsidRPr="00ED4794" w:rsidRDefault="0081544B" w:rsidP="009D44AB">
            <w:pPr>
              <w:jc w:val="center"/>
              <w:rPr>
                <w:sz w:val="18"/>
                <w:szCs w:val="18"/>
              </w:rPr>
            </w:pPr>
            <w:r>
              <w:rPr>
                <w:sz w:val="18"/>
                <w:szCs w:val="18"/>
              </w:rPr>
              <w:t>0.0%</w:t>
            </w:r>
          </w:p>
        </w:tc>
        <w:tc>
          <w:tcPr>
            <w:tcW w:w="1666" w:type="pct"/>
            <w:vAlign w:val="center"/>
          </w:tcPr>
          <w:p w14:paraId="58ED6A60" w14:textId="77777777" w:rsidR="0081544B" w:rsidRPr="00BD0273" w:rsidRDefault="0081544B" w:rsidP="009D44AB">
            <w:pPr>
              <w:jc w:val="center"/>
              <w:rPr>
                <w:sz w:val="18"/>
                <w:szCs w:val="18"/>
                <w:vertAlign w:val="superscript"/>
              </w:rPr>
            </w:pPr>
            <w:r>
              <w:rPr>
                <w:sz w:val="18"/>
                <w:szCs w:val="18"/>
              </w:rPr>
              <w:t>0.0</w:t>
            </w:r>
          </w:p>
        </w:tc>
      </w:tr>
      <w:tr w:rsidR="0081544B" w:rsidRPr="00ED4794" w14:paraId="4D4A0CF1" w14:textId="77777777" w:rsidTr="003D59CA">
        <w:trPr>
          <w:tblHeader/>
        </w:trPr>
        <w:tc>
          <w:tcPr>
            <w:tcW w:w="1667" w:type="pct"/>
          </w:tcPr>
          <w:p w14:paraId="2EBC02DC" w14:textId="77777777" w:rsidR="0081544B" w:rsidRPr="00174CAB" w:rsidRDefault="0081544B" w:rsidP="003D59CA">
            <w:pPr>
              <w:spacing w:line="276" w:lineRule="auto"/>
              <w:rPr>
                <w:b/>
                <w:sz w:val="18"/>
                <w:szCs w:val="18"/>
              </w:rPr>
            </w:pPr>
            <w:r>
              <w:rPr>
                <w:b/>
                <w:sz w:val="18"/>
                <w:szCs w:val="18"/>
              </w:rPr>
              <w:t>Structural loss adjustment</w:t>
            </w:r>
          </w:p>
        </w:tc>
        <w:tc>
          <w:tcPr>
            <w:tcW w:w="1667" w:type="pct"/>
            <w:vAlign w:val="center"/>
          </w:tcPr>
          <w:p w14:paraId="7DC68876" w14:textId="77777777" w:rsidR="0081544B" w:rsidRPr="00ED4794" w:rsidRDefault="0081544B" w:rsidP="003D59CA">
            <w:pPr>
              <w:spacing w:line="276" w:lineRule="auto"/>
              <w:jc w:val="center"/>
              <w:rPr>
                <w:sz w:val="18"/>
                <w:szCs w:val="18"/>
              </w:rPr>
            </w:pPr>
            <w:r>
              <w:rPr>
                <w:sz w:val="18"/>
                <w:szCs w:val="18"/>
              </w:rPr>
              <w:t>0.0%</w:t>
            </w:r>
          </w:p>
        </w:tc>
        <w:tc>
          <w:tcPr>
            <w:tcW w:w="1666" w:type="pct"/>
            <w:vAlign w:val="center"/>
          </w:tcPr>
          <w:p w14:paraId="446E0F34" w14:textId="77777777" w:rsidR="0081544B" w:rsidRPr="00ED4794" w:rsidRDefault="0081544B" w:rsidP="003D59CA">
            <w:pPr>
              <w:spacing w:line="276" w:lineRule="auto"/>
              <w:jc w:val="center"/>
              <w:rPr>
                <w:sz w:val="18"/>
                <w:szCs w:val="18"/>
              </w:rPr>
            </w:pPr>
            <w:r>
              <w:rPr>
                <w:sz w:val="18"/>
                <w:szCs w:val="18"/>
              </w:rPr>
              <w:t>0.1</w:t>
            </w:r>
          </w:p>
        </w:tc>
      </w:tr>
    </w:tbl>
    <w:p w14:paraId="2CDF453B" w14:textId="77777777" w:rsidR="0081544B" w:rsidRDefault="0081544B" w:rsidP="0081544B">
      <w:pPr>
        <w:rPr>
          <w:highlight w:val="cyan"/>
        </w:rPr>
      </w:pPr>
    </w:p>
    <w:p w14:paraId="6455B5CE" w14:textId="4EFEEFFD" w:rsidR="0081544B" w:rsidRDefault="0081544B" w:rsidP="0081544B">
      <w:r>
        <w:rPr>
          <w:rFonts w:ascii="Calibri" w:hAnsi="Calibri"/>
        </w:rPr>
        <w:t>The national equivalent 95% confidence interval, calculated by applying the percentage error from eastern Texas to the national carbon stock change for above- and belowground biomass for living and dead trees (-420.2 MMT CO</w:t>
      </w:r>
      <w:r w:rsidRPr="0081703E">
        <w:rPr>
          <w:rFonts w:ascii="Calibri" w:hAnsi="Calibri"/>
          <w:vertAlign w:val="subscript"/>
        </w:rPr>
        <w:t>2</w:t>
      </w:r>
      <w:r>
        <w:rPr>
          <w:rFonts w:ascii="Calibri" w:hAnsi="Calibri"/>
        </w:rPr>
        <w:t>) (NGHGI 2018), is -705.6 MMT CO</w:t>
      </w:r>
      <w:r w:rsidRPr="0081703E">
        <w:rPr>
          <w:rFonts w:ascii="Calibri" w:hAnsi="Calibri"/>
          <w:vertAlign w:val="subscript"/>
        </w:rPr>
        <w:t>2</w:t>
      </w:r>
      <w:r>
        <w:rPr>
          <w:rFonts w:ascii="Calibri" w:hAnsi="Calibri"/>
        </w:rPr>
        <w:t xml:space="preserve"> to -134.8 MMT CO</w:t>
      </w:r>
      <w:r w:rsidRPr="0081703E">
        <w:rPr>
          <w:rFonts w:ascii="Calibri" w:hAnsi="Calibri"/>
          <w:vertAlign w:val="subscript"/>
        </w:rPr>
        <w:t>2</w:t>
      </w:r>
      <w:r>
        <w:rPr>
          <w:rFonts w:ascii="Calibri" w:hAnsi="Calibri"/>
        </w:rPr>
        <w:t>.</w:t>
      </w:r>
    </w:p>
    <w:p w14:paraId="5C26CEE2" w14:textId="3235DFEB" w:rsidR="00D23C9C" w:rsidRDefault="00D23C9C" w:rsidP="00E6714E"/>
    <w:p w14:paraId="40664F59" w14:textId="13B0825E" w:rsidR="005F1603" w:rsidRPr="00195F4D" w:rsidRDefault="00E6714E" w:rsidP="006331D7">
      <w:pPr>
        <w:pStyle w:val="Heading2"/>
        <w:numPr>
          <w:ilvl w:val="0"/>
          <w:numId w:val="0"/>
        </w:numPr>
        <w:ind w:left="576" w:hanging="576"/>
        <w:rPr>
          <w:b/>
        </w:rPr>
      </w:pPr>
      <w:r w:rsidRPr="00195F4D">
        <w:rPr>
          <w:rStyle w:val="Strong"/>
          <w:b w:val="0"/>
        </w:rPr>
        <w:lastRenderedPageBreak/>
        <w:t>Discussion</w:t>
      </w:r>
    </w:p>
    <w:p w14:paraId="403B86EE" w14:textId="435FA41A" w:rsidR="0081544B" w:rsidRDefault="0081544B" w:rsidP="0081544B">
      <w:r>
        <w:t xml:space="preserve">For our uncertainty analysis of carbon stock changes in aboveground and belowground living tree biomass and standing dead trees, we have attempted to re-create the carbon estimation framework used by the NGHGI (2018) insofar as we understand it from the descriptions provided in NGHGI (2018), Woodall et al. (2015), and the references therein. Our estimation does not account for any nuances in the NGHGI estimation framework that are not specified in the methodological description provided in the NGHGI (2018). Furthermore, in light of the computationally-intensive nature of the Monte Carlo framework, it was necessary to choose a subset of FIA ground plots as inputs to the carbon model, as using the full set of national ground plots would have been intractable given available computational resources. </w:t>
      </w:r>
    </w:p>
    <w:p w14:paraId="46B439B8" w14:textId="178DB383" w:rsidR="0081544B" w:rsidRDefault="0081544B" w:rsidP="0081544B">
      <w:r>
        <w:t>We initially chose to analyze Texas because of the different calculation methodologies applied to the eastern and western parts of the state; however, because a full set of re-measurements are now available in western Texas and are used in the most recent NGHGI (2019) estimates, we chose to focus our efforts on only eastern Texas as a tractable subset of ground plots. We posit that eastern Texas is a useful region for assessing national forest carbon flux trends: the mean annual sequestration rate for eastern Texas, attributable to aboveground and belowground living tree biomass and standing dead trees, FRF is 1.11 metric tons CO</w:t>
      </w:r>
      <w:r w:rsidRPr="00FA6CC8">
        <w:rPr>
          <w:vertAlign w:val="subscript"/>
        </w:rPr>
        <w:t>2</w:t>
      </w:r>
      <w:r>
        <w:t xml:space="preserve"> [ha of FRF land]</w:t>
      </w:r>
      <w:r w:rsidRPr="00FA6CC8">
        <w:rPr>
          <w:vertAlign w:val="superscript"/>
        </w:rPr>
        <w:t>-1</w:t>
      </w:r>
      <w:r>
        <w:t>. This is reasonably close to the national mean sequestration rate for 2016 for FRF: 1.44 metric tons CO</w:t>
      </w:r>
      <w:r w:rsidRPr="00FA6CC8">
        <w:rPr>
          <w:vertAlign w:val="subscript"/>
        </w:rPr>
        <w:t>2</w:t>
      </w:r>
      <w:r>
        <w:t xml:space="preserve"> [ha of FRF land]</w:t>
      </w:r>
      <w:r w:rsidRPr="00FA6CC8">
        <w:rPr>
          <w:vertAlign w:val="superscript"/>
        </w:rPr>
        <w:t>-1</w:t>
      </w:r>
      <w:r>
        <w:t xml:space="preserve">, a value which includes downed dead wood and understory vegetation fluxes, which are not included in our estimate for eastern Texas. </w:t>
      </w:r>
    </w:p>
    <w:p w14:paraId="0B1718D8" w14:textId="1182D65E" w:rsidR="0081544B" w:rsidRDefault="0081544B" w:rsidP="0081544B">
      <w:r>
        <w:t xml:space="preserve">Our forest carbon model is consistent with that used for the full United States, but the species distribution of the trees in the dataset is specific to eastern Texas. The variances of the model parameters, when based on literature, are likewise specific to that mix of trees (see Table </w:t>
      </w:r>
      <w:r w:rsidR="005E4D1E">
        <w:t>2</w:t>
      </w:r>
      <w:r>
        <w:t>-2 for sources and assumptions on parameter variance). For our uncertainty analysis, we are most interested in ranking the various uncertainty elements in terms of their contribution to total uncertainty. Given that the rankings of the various parameter contributions are so pronounced (56.8% of model uncertainty is associated with the volume coefficients and 39.7% with specific gravities), we doubt a different species distribution would significantly alter the rankings.</w:t>
      </w:r>
    </w:p>
    <w:p w14:paraId="1020D782" w14:textId="325EE58E" w:rsidR="0081544B" w:rsidRDefault="0081544B" w:rsidP="0081544B">
      <w:r>
        <w:t xml:space="preserve">The </w:t>
      </w:r>
      <w:r w:rsidRPr="00D131B6">
        <w:t>NGHGI (2018) reports the 95% confidence interval for the sum of carbon stock changes from forest ecosystems for FRF</w:t>
      </w:r>
      <w:r w:rsidRPr="00D4612C">
        <w:t xml:space="preserve"> for the United States</w:t>
      </w:r>
      <w:r w:rsidRPr="00EC475D">
        <w:t xml:space="preserve"> (-818.7 MMT CO</w:t>
      </w:r>
      <w:r w:rsidRPr="00EC475D">
        <w:rPr>
          <w:vertAlign w:val="subscript"/>
        </w:rPr>
        <w:t>2</w:t>
      </w:r>
      <w:r w:rsidRPr="00EC475D">
        <w:t xml:space="preserve"> to -324.7 MMT CO</w:t>
      </w:r>
      <w:r w:rsidRPr="00EC475D">
        <w:rPr>
          <w:vertAlign w:val="subscript"/>
        </w:rPr>
        <w:t>2</w:t>
      </w:r>
      <w:r w:rsidRPr="00EC475D">
        <w:t xml:space="preserve">), but does not report the confidence intervals by forest carbon pool. </w:t>
      </w:r>
      <w:r w:rsidRPr="005252B1">
        <w:t xml:space="preserve">Combining the results of our eastern Texas-based analyses for living </w:t>
      </w:r>
      <w:r w:rsidRPr="00226291">
        <w:t xml:space="preserve">tree biomass </w:t>
      </w:r>
      <w:r w:rsidRPr="005252B1">
        <w:t xml:space="preserve">and </w:t>
      </w:r>
      <w:r w:rsidRPr="00226291">
        <w:t xml:space="preserve">standing </w:t>
      </w:r>
      <w:r w:rsidRPr="005252B1">
        <w:t xml:space="preserve">dead </w:t>
      </w:r>
      <w:r w:rsidRPr="007B3C4A">
        <w:t>tree</w:t>
      </w:r>
      <w:r w:rsidRPr="00385367">
        <w:t xml:space="preserve">s (this </w:t>
      </w:r>
      <w:r w:rsidRPr="00BB18F6">
        <w:t>section</w:t>
      </w:r>
      <w:r w:rsidRPr="006D73E1">
        <w:t xml:space="preserve">), litter (Section </w:t>
      </w:r>
      <w:r w:rsidR="005E4D1E">
        <w:t xml:space="preserve">2, </w:t>
      </w:r>
      <w:r w:rsidR="00BE7458">
        <w:t xml:space="preserve">chapter </w:t>
      </w:r>
      <w:r w:rsidRPr="006D73E1">
        <w:t xml:space="preserve">2.2), and soil (Section </w:t>
      </w:r>
      <w:r w:rsidR="005E4D1E">
        <w:t xml:space="preserve">2, </w:t>
      </w:r>
      <w:r w:rsidR="00BE7458">
        <w:t xml:space="preserve">chapter </w:t>
      </w:r>
      <w:r w:rsidRPr="006D73E1">
        <w:t xml:space="preserve">2.3), </w:t>
      </w:r>
      <w:r w:rsidRPr="00FC2AA2">
        <w:t>we find a percentage error of 53.</w:t>
      </w:r>
      <w:r>
        <w:t>3</w:t>
      </w:r>
      <w:r w:rsidRPr="00BB18F6">
        <w:t xml:space="preserve">% for FRF, which is similar in magnitude to that reported by the NGHGI (2018): 43.2%. </w:t>
      </w:r>
      <w:r w:rsidRPr="006D73E1">
        <w:t xml:space="preserve">Applying our percentage error to the national mean net carbon stock change for 2016 for </w:t>
      </w:r>
      <w:r w:rsidRPr="00FC2AA2">
        <w:t>all forest ecosystem carbon pools (-571.6 MMT CO</w:t>
      </w:r>
      <w:r w:rsidRPr="00FC2AA2">
        <w:rPr>
          <w:vertAlign w:val="subscript"/>
        </w:rPr>
        <w:t>2</w:t>
      </w:r>
      <w:r w:rsidRPr="00FC2AA2">
        <w:t>) reported by NGHGI (2018), we estimate a 95% confidence interval of -87</w:t>
      </w:r>
      <w:r>
        <w:t>6</w:t>
      </w:r>
      <w:r w:rsidRPr="00FC2AA2">
        <w:t>.</w:t>
      </w:r>
      <w:r>
        <w:t>4</w:t>
      </w:r>
      <w:r w:rsidRPr="00FC2AA2">
        <w:t xml:space="preserve"> MMT CO</w:t>
      </w:r>
      <w:r w:rsidRPr="00FC2AA2">
        <w:rPr>
          <w:vertAlign w:val="subscript"/>
        </w:rPr>
        <w:t>2</w:t>
      </w:r>
      <w:r w:rsidRPr="00FC2AA2">
        <w:t xml:space="preserve"> to -26</w:t>
      </w:r>
      <w:r>
        <w:t>6</w:t>
      </w:r>
      <w:r w:rsidRPr="00FC2AA2">
        <w:t>.</w:t>
      </w:r>
      <w:r>
        <w:t>8</w:t>
      </w:r>
      <w:r w:rsidRPr="00FC2AA2">
        <w:t xml:space="preserve"> MMT CO</w:t>
      </w:r>
      <w:r w:rsidRPr="00FC2AA2">
        <w:rPr>
          <w:vertAlign w:val="subscript"/>
        </w:rPr>
        <w:t>2</w:t>
      </w:r>
      <w:r w:rsidRPr="00FC2AA2">
        <w:t>, which compares well t</w:t>
      </w:r>
      <w:r w:rsidRPr="004F53D0">
        <w:t>o that reported by NGHGI (2018)</w:t>
      </w:r>
      <w:r w:rsidRPr="00A23458">
        <w:t>.</w:t>
      </w:r>
    </w:p>
    <w:p w14:paraId="0CF20BA9" w14:textId="6EA0B68B" w:rsidR="0081544B" w:rsidRDefault="0081544B" w:rsidP="00942002">
      <w:r w:rsidRPr="00DF0BB1">
        <w:t xml:space="preserve">Our contribution </w:t>
      </w:r>
      <w:r>
        <w:t xml:space="preserve">index </w:t>
      </w:r>
      <w:r w:rsidRPr="00DF0BB1">
        <w:t xml:space="preserve">analysis finds that the coefficients used to calculate gross bole volume from measured height and diameter (for trees with diameter ≥ 5.0 inches) provide the largest contribution to </w:t>
      </w:r>
      <w:r>
        <w:t xml:space="preserve">modeling </w:t>
      </w:r>
      <w:r w:rsidRPr="00DF0BB1">
        <w:t xml:space="preserve">uncertainty for this carbon pool </w:t>
      </w:r>
      <w:r>
        <w:t>(aboveground and belowground biomass of living and standing dead trees)</w:t>
      </w:r>
      <w:r w:rsidRPr="00DF0BB1">
        <w:t>.</w:t>
      </w:r>
      <w:r>
        <w:t xml:space="preserve"> However, we lack literature or data on volume coefficient uncertainty. </w:t>
      </w:r>
    </w:p>
    <w:p w14:paraId="44CDF01C" w14:textId="6366921D" w:rsidR="0081544B" w:rsidRPr="00451933" w:rsidRDefault="0081544B" w:rsidP="00D35EC2">
      <w:r>
        <w:lastRenderedPageBreak/>
        <w:t xml:space="preserve">A sensitivity analysis of volume coefficient uncertainty, testing </w:t>
      </w:r>
      <w:r w:rsidRPr="00451933">
        <w:t>5%, 10% (</w:t>
      </w:r>
      <w:r>
        <w:t xml:space="preserve">the case presented </w:t>
      </w:r>
      <w:r w:rsidRPr="00451933">
        <w:t>in</w:t>
      </w:r>
      <w:r>
        <w:t xml:space="preserve"> the Results section), and 20% coefficients of variation, found this assumption has large </w:t>
      </w:r>
      <w:r w:rsidRPr="00451933">
        <w:t>impact</w:t>
      </w:r>
      <w:r>
        <w:t>s on</w:t>
      </w:r>
      <w:r w:rsidRPr="00451933">
        <w:t xml:space="preserve"> (1) the </w:t>
      </w:r>
      <w:r>
        <w:t xml:space="preserve">total </w:t>
      </w:r>
      <w:r w:rsidRPr="00451933">
        <w:t xml:space="preserve">95% confidence interval for this </w:t>
      </w:r>
      <w:r>
        <w:t>inventory category,</w:t>
      </w:r>
      <w:r w:rsidRPr="00451933">
        <w:t xml:space="preserve"> (2) the magnitude of the uncertainty contribution from the volume coefficients</w:t>
      </w:r>
      <w:r>
        <w:t xml:space="preserve">, and (3) </w:t>
      </w:r>
      <w:r w:rsidRPr="00451933">
        <w:t xml:space="preserve">the ranking of the </w:t>
      </w:r>
      <w:r>
        <w:t xml:space="preserve">parameter group contribution to </w:t>
      </w:r>
      <w:r w:rsidRPr="00451933">
        <w:t>uncertainty</w:t>
      </w:r>
      <w:r>
        <w:t xml:space="preserve"> (Table </w:t>
      </w:r>
      <w:r w:rsidR="005E4D1E">
        <w:t>2</w:t>
      </w:r>
      <w:r>
        <w:t>-4)</w:t>
      </w:r>
      <w:r w:rsidRPr="00451933">
        <w:t xml:space="preserve">. </w:t>
      </w:r>
      <w:r>
        <w:t>For the</w:t>
      </w:r>
      <w:bookmarkStart w:id="38" w:name="_GoBack"/>
      <w:bookmarkEnd w:id="38"/>
      <w:r>
        <w:t xml:space="preserve"> </w:t>
      </w:r>
      <w:r w:rsidRPr="00451933">
        <w:t xml:space="preserve">5% </w:t>
      </w:r>
      <w:r>
        <w:t>case</w:t>
      </w:r>
      <w:r w:rsidRPr="00451933">
        <w:t xml:space="preserve">, the </w:t>
      </w:r>
      <w:r>
        <w:t>parameter group ranking is</w:t>
      </w:r>
      <w:r w:rsidRPr="00451933">
        <w:t>: wood and bark specific gravities (71.1%</w:t>
      </w:r>
      <w:r>
        <w:t xml:space="preserve"> of model uncertainty</w:t>
      </w:r>
      <w:r w:rsidRPr="00451933">
        <w:t xml:space="preserve">), volume coefficients (22.6%), and component ratio coefficients (2.9%). </w:t>
      </w:r>
      <w:r>
        <w:t xml:space="preserve">For the </w:t>
      </w:r>
      <w:r w:rsidRPr="00451933">
        <w:t xml:space="preserve">20% </w:t>
      </w:r>
      <w:r>
        <w:t>case</w:t>
      </w:r>
      <w:r w:rsidRPr="00451933">
        <w:t xml:space="preserve">, volume coefficients </w:t>
      </w:r>
      <w:r>
        <w:t>account for 82.4% and</w:t>
      </w:r>
      <w:r w:rsidRPr="00451933">
        <w:t xml:space="preserve"> wood and bark specific gravities </w:t>
      </w:r>
      <w:r>
        <w:t xml:space="preserve">for </w:t>
      </w:r>
      <w:r w:rsidRPr="00451933">
        <w:t>16.2%</w:t>
      </w:r>
      <w:r>
        <w:t>.</w:t>
      </w:r>
      <w:r w:rsidRPr="00451933">
        <w:t xml:space="preserve"> </w:t>
      </w:r>
      <w:r>
        <w:t>Sampling error remains twice as large a contributor to uncertainty as the volume coefficients even in the 20% case.</w:t>
      </w:r>
    </w:p>
    <w:p w14:paraId="2B813CD6" w14:textId="710044B0" w:rsidR="0081544B" w:rsidRPr="00451933" w:rsidRDefault="0081544B" w:rsidP="0081544B">
      <w:pPr>
        <w:rPr>
          <w:rFonts w:ascii="Calibri" w:hAnsi="Calibri"/>
          <w:b/>
          <w:bCs/>
          <w:i/>
          <w:iCs/>
          <w:color w:val="44546A" w:themeColor="text2"/>
        </w:rPr>
      </w:pPr>
      <w:r w:rsidRPr="00451933">
        <w:rPr>
          <w:rFonts w:ascii="Calibri" w:hAnsi="Calibri"/>
          <w:b/>
          <w:i/>
          <w:iCs/>
          <w:color w:val="44546A" w:themeColor="text2"/>
        </w:rPr>
        <w:t xml:space="preserve">Table </w:t>
      </w:r>
      <w:r w:rsidR="005E4D1E">
        <w:rPr>
          <w:rFonts w:ascii="Calibri" w:hAnsi="Calibri"/>
          <w:b/>
          <w:i/>
          <w:iCs/>
          <w:color w:val="44546A" w:themeColor="text2"/>
        </w:rPr>
        <w:t>2</w:t>
      </w:r>
      <w:r w:rsidRPr="00451933">
        <w:rPr>
          <w:rFonts w:ascii="Calibri" w:hAnsi="Calibri"/>
          <w:b/>
          <w:i/>
          <w:iCs/>
          <w:color w:val="44546A" w:themeColor="text2"/>
        </w:rPr>
        <w:t>-</w:t>
      </w:r>
      <w:r>
        <w:rPr>
          <w:rFonts w:ascii="Calibri" w:hAnsi="Calibri"/>
          <w:b/>
          <w:i/>
          <w:iCs/>
          <w:color w:val="44546A" w:themeColor="text2"/>
        </w:rPr>
        <w:t>4</w:t>
      </w:r>
      <w:r w:rsidRPr="00451933">
        <w:rPr>
          <w:rFonts w:ascii="Calibri" w:hAnsi="Calibri"/>
          <w:b/>
          <w:i/>
          <w:iCs/>
          <w:color w:val="44546A" w:themeColor="text2"/>
        </w:rPr>
        <w:t>: Sensitivity of uncertainty results to error bar used for volume coefficients</w:t>
      </w:r>
    </w:p>
    <w:tbl>
      <w:tblPr>
        <w:tblStyle w:val="TableGrid"/>
        <w:tblW w:w="5000" w:type="pct"/>
        <w:tblLook w:val="04A0" w:firstRow="1" w:lastRow="0" w:firstColumn="1" w:lastColumn="0" w:noHBand="0" w:noVBand="1"/>
      </w:tblPr>
      <w:tblGrid>
        <w:gridCol w:w="1690"/>
        <w:gridCol w:w="2107"/>
        <w:gridCol w:w="1670"/>
        <w:gridCol w:w="1230"/>
        <w:gridCol w:w="1316"/>
        <w:gridCol w:w="1337"/>
      </w:tblGrid>
      <w:tr w:rsidR="0081544B" w:rsidRPr="00451933" w14:paraId="358477A0" w14:textId="77777777" w:rsidTr="003D59CA">
        <w:tc>
          <w:tcPr>
            <w:tcW w:w="903" w:type="pct"/>
            <w:vMerge w:val="restart"/>
            <w:shd w:val="clear" w:color="auto" w:fill="FFC000"/>
            <w:vAlign w:val="center"/>
          </w:tcPr>
          <w:p w14:paraId="1807AF58" w14:textId="77777777" w:rsidR="0081544B" w:rsidRPr="00451933" w:rsidRDefault="0081544B" w:rsidP="003D59CA">
            <w:pPr>
              <w:spacing w:after="160" w:line="259" w:lineRule="auto"/>
              <w:rPr>
                <w:rFonts w:ascii="Calibri" w:hAnsi="Calibri"/>
                <w:b/>
                <w:sz w:val="18"/>
                <w:szCs w:val="18"/>
              </w:rPr>
            </w:pPr>
            <w:r w:rsidRPr="00451933">
              <w:rPr>
                <w:rFonts w:ascii="Calibri" w:hAnsi="Calibri"/>
                <w:b/>
                <w:sz w:val="18"/>
                <w:szCs w:val="18"/>
              </w:rPr>
              <w:t>Coefficient of variation for volume coefficients (%)</w:t>
            </w:r>
          </w:p>
        </w:tc>
        <w:tc>
          <w:tcPr>
            <w:tcW w:w="1127" w:type="pct"/>
            <w:vMerge w:val="restart"/>
            <w:shd w:val="clear" w:color="auto" w:fill="FFC000"/>
            <w:vAlign w:val="center"/>
          </w:tcPr>
          <w:p w14:paraId="79DE6F06" w14:textId="26CD6F5E" w:rsidR="0081544B" w:rsidRPr="00451933" w:rsidRDefault="0081544B" w:rsidP="00942002">
            <w:pPr>
              <w:jc w:val="center"/>
              <w:rPr>
                <w:rFonts w:ascii="Calibri" w:hAnsi="Calibri"/>
                <w:b/>
                <w:sz w:val="18"/>
                <w:szCs w:val="18"/>
              </w:rPr>
            </w:pPr>
            <w:r w:rsidRPr="00451933">
              <w:rPr>
                <w:rFonts w:ascii="Calibri" w:hAnsi="Calibri"/>
                <w:b/>
                <w:sz w:val="18"/>
                <w:szCs w:val="18"/>
              </w:rPr>
              <w:t>Contribution of volume coefficient error to total uncertainty (%)</w:t>
            </w:r>
          </w:p>
        </w:tc>
        <w:tc>
          <w:tcPr>
            <w:tcW w:w="893" w:type="pct"/>
            <w:vMerge w:val="restart"/>
            <w:shd w:val="clear" w:color="auto" w:fill="FFC000"/>
            <w:vAlign w:val="center"/>
          </w:tcPr>
          <w:p w14:paraId="655631E3" w14:textId="77777777" w:rsidR="0081544B" w:rsidRPr="00451933" w:rsidRDefault="0081544B" w:rsidP="003D59CA">
            <w:pPr>
              <w:jc w:val="center"/>
              <w:rPr>
                <w:rFonts w:ascii="Calibri" w:hAnsi="Calibri"/>
                <w:b/>
                <w:sz w:val="18"/>
                <w:szCs w:val="18"/>
              </w:rPr>
            </w:pPr>
            <w:r w:rsidRPr="00451933">
              <w:rPr>
                <w:rFonts w:ascii="Calibri" w:hAnsi="Calibri"/>
                <w:b/>
                <w:sz w:val="18"/>
                <w:szCs w:val="18"/>
              </w:rPr>
              <w:t>Uncertainty contribution from volume coefficients (MMT CO</w:t>
            </w:r>
            <w:r w:rsidRPr="00451933">
              <w:rPr>
                <w:rFonts w:ascii="Calibri" w:hAnsi="Calibri"/>
                <w:b/>
                <w:sz w:val="18"/>
                <w:szCs w:val="18"/>
                <w:vertAlign w:val="subscript"/>
              </w:rPr>
              <w:t>2</w:t>
            </w:r>
            <w:r w:rsidRPr="00451933">
              <w:rPr>
                <w:rFonts w:ascii="Calibri" w:hAnsi="Calibri"/>
                <w:b/>
                <w:sz w:val="18"/>
                <w:szCs w:val="18"/>
              </w:rPr>
              <w:t>)</w:t>
            </w:r>
          </w:p>
        </w:tc>
        <w:tc>
          <w:tcPr>
            <w:tcW w:w="2077" w:type="pct"/>
            <w:gridSpan w:val="3"/>
            <w:shd w:val="clear" w:color="auto" w:fill="FFC000"/>
            <w:vAlign w:val="center"/>
          </w:tcPr>
          <w:p w14:paraId="36C4C348" w14:textId="77777777" w:rsidR="0081544B" w:rsidRPr="00451933" w:rsidRDefault="0081544B" w:rsidP="003D59CA">
            <w:pPr>
              <w:jc w:val="center"/>
              <w:rPr>
                <w:rFonts w:ascii="Calibri" w:hAnsi="Calibri"/>
                <w:b/>
                <w:sz w:val="18"/>
                <w:szCs w:val="18"/>
              </w:rPr>
            </w:pPr>
            <w:r w:rsidRPr="00451933">
              <w:rPr>
                <w:rFonts w:ascii="Calibri" w:hAnsi="Calibri"/>
                <w:b/>
                <w:sz w:val="18"/>
                <w:szCs w:val="18"/>
              </w:rPr>
              <w:t>95% confidence interval for United States</w:t>
            </w:r>
          </w:p>
        </w:tc>
      </w:tr>
      <w:tr w:rsidR="0081544B" w:rsidRPr="00451933" w14:paraId="7A67E541" w14:textId="77777777" w:rsidTr="003D59CA">
        <w:tc>
          <w:tcPr>
            <w:tcW w:w="903" w:type="pct"/>
            <w:vMerge/>
            <w:shd w:val="clear" w:color="auto" w:fill="FFC000"/>
            <w:vAlign w:val="center"/>
          </w:tcPr>
          <w:p w14:paraId="35EE0021" w14:textId="77777777" w:rsidR="0081544B" w:rsidRPr="00451933" w:rsidRDefault="0081544B" w:rsidP="003D59CA">
            <w:pPr>
              <w:spacing w:after="160" w:line="259" w:lineRule="auto"/>
              <w:rPr>
                <w:rFonts w:ascii="Calibri" w:hAnsi="Calibri"/>
                <w:b/>
                <w:sz w:val="18"/>
                <w:szCs w:val="18"/>
              </w:rPr>
            </w:pPr>
          </w:p>
        </w:tc>
        <w:tc>
          <w:tcPr>
            <w:tcW w:w="1127" w:type="pct"/>
            <w:vMerge/>
            <w:shd w:val="clear" w:color="auto" w:fill="FFC000"/>
            <w:vAlign w:val="center"/>
          </w:tcPr>
          <w:p w14:paraId="0687C503" w14:textId="77777777" w:rsidR="0081544B" w:rsidRPr="00451933" w:rsidRDefault="0081544B" w:rsidP="003D59CA">
            <w:pPr>
              <w:spacing w:after="160" w:line="259" w:lineRule="auto"/>
              <w:jc w:val="center"/>
              <w:rPr>
                <w:rFonts w:ascii="Calibri" w:hAnsi="Calibri"/>
                <w:b/>
                <w:sz w:val="18"/>
                <w:szCs w:val="18"/>
              </w:rPr>
            </w:pPr>
          </w:p>
        </w:tc>
        <w:tc>
          <w:tcPr>
            <w:tcW w:w="893" w:type="pct"/>
            <w:vMerge/>
            <w:shd w:val="clear" w:color="auto" w:fill="FFC000"/>
            <w:vAlign w:val="center"/>
          </w:tcPr>
          <w:p w14:paraId="219DC175" w14:textId="77777777" w:rsidR="0081544B" w:rsidRPr="00451933" w:rsidRDefault="0081544B" w:rsidP="003D59CA">
            <w:pPr>
              <w:spacing w:after="160" w:line="259" w:lineRule="auto"/>
              <w:jc w:val="center"/>
              <w:rPr>
                <w:b/>
                <w:sz w:val="18"/>
                <w:szCs w:val="18"/>
              </w:rPr>
            </w:pPr>
          </w:p>
        </w:tc>
        <w:tc>
          <w:tcPr>
            <w:tcW w:w="658" w:type="pct"/>
            <w:shd w:val="clear" w:color="auto" w:fill="FFC000"/>
            <w:vAlign w:val="center"/>
          </w:tcPr>
          <w:p w14:paraId="3C137647" w14:textId="77777777" w:rsidR="0081544B" w:rsidRPr="00451933" w:rsidRDefault="0081544B" w:rsidP="003D59CA">
            <w:pPr>
              <w:keepNext/>
              <w:keepLines/>
              <w:spacing w:before="40" w:line="259" w:lineRule="auto"/>
              <w:jc w:val="center"/>
              <w:outlineLvl w:val="3"/>
              <w:rPr>
                <w:b/>
                <w:sz w:val="18"/>
                <w:szCs w:val="18"/>
              </w:rPr>
            </w:pPr>
            <w:r w:rsidRPr="00451933">
              <w:rPr>
                <w:b/>
                <w:sz w:val="18"/>
                <w:szCs w:val="18"/>
              </w:rPr>
              <w:t>Lower bound</w:t>
            </w:r>
          </w:p>
          <w:p w14:paraId="51AD544A" w14:textId="77777777" w:rsidR="0081544B" w:rsidRPr="00451933" w:rsidRDefault="0081544B" w:rsidP="003D59CA">
            <w:pPr>
              <w:spacing w:after="160" w:line="259" w:lineRule="auto"/>
              <w:jc w:val="center"/>
              <w:rPr>
                <w:sz w:val="18"/>
                <w:szCs w:val="18"/>
              </w:rPr>
            </w:pPr>
            <w:r w:rsidRPr="00451933">
              <w:rPr>
                <w:b/>
                <w:sz w:val="18"/>
                <w:szCs w:val="18"/>
              </w:rPr>
              <w:t>(MMT CO</w:t>
            </w:r>
            <w:r w:rsidRPr="00451933">
              <w:rPr>
                <w:b/>
                <w:sz w:val="18"/>
                <w:szCs w:val="18"/>
                <w:vertAlign w:val="subscript"/>
              </w:rPr>
              <w:t>2</w:t>
            </w:r>
            <w:r w:rsidRPr="00451933">
              <w:rPr>
                <w:b/>
                <w:sz w:val="18"/>
                <w:szCs w:val="18"/>
              </w:rPr>
              <w:t>)</w:t>
            </w:r>
          </w:p>
        </w:tc>
        <w:tc>
          <w:tcPr>
            <w:tcW w:w="704" w:type="pct"/>
            <w:shd w:val="clear" w:color="auto" w:fill="FFC000"/>
            <w:vAlign w:val="center"/>
          </w:tcPr>
          <w:p w14:paraId="01877434" w14:textId="77777777" w:rsidR="0081544B" w:rsidRPr="00451933" w:rsidRDefault="0081544B" w:rsidP="003D59CA">
            <w:pPr>
              <w:keepNext/>
              <w:keepLines/>
              <w:spacing w:before="40" w:line="259" w:lineRule="auto"/>
              <w:jc w:val="center"/>
              <w:outlineLvl w:val="3"/>
              <w:rPr>
                <w:b/>
                <w:sz w:val="18"/>
                <w:szCs w:val="18"/>
              </w:rPr>
            </w:pPr>
            <w:r w:rsidRPr="00451933">
              <w:rPr>
                <w:b/>
                <w:sz w:val="18"/>
                <w:szCs w:val="18"/>
              </w:rPr>
              <w:t>Upper bound</w:t>
            </w:r>
          </w:p>
          <w:p w14:paraId="44818FC9" w14:textId="77777777" w:rsidR="0081544B" w:rsidRPr="00451933" w:rsidRDefault="0081544B" w:rsidP="003D59CA">
            <w:pPr>
              <w:keepNext/>
              <w:keepLines/>
              <w:spacing w:before="40" w:line="259" w:lineRule="auto"/>
              <w:jc w:val="center"/>
              <w:outlineLvl w:val="3"/>
              <w:rPr>
                <w:b/>
                <w:sz w:val="18"/>
                <w:szCs w:val="18"/>
              </w:rPr>
            </w:pPr>
            <w:r w:rsidRPr="00451933">
              <w:rPr>
                <w:b/>
                <w:sz w:val="18"/>
                <w:szCs w:val="18"/>
              </w:rPr>
              <w:t>(MMT CO</w:t>
            </w:r>
            <w:r w:rsidRPr="00451933">
              <w:rPr>
                <w:b/>
                <w:sz w:val="18"/>
                <w:szCs w:val="18"/>
                <w:vertAlign w:val="subscript"/>
              </w:rPr>
              <w:t>2</w:t>
            </w:r>
            <w:r w:rsidRPr="00451933">
              <w:rPr>
                <w:b/>
                <w:sz w:val="18"/>
                <w:szCs w:val="18"/>
              </w:rPr>
              <w:t>)</w:t>
            </w:r>
          </w:p>
        </w:tc>
        <w:tc>
          <w:tcPr>
            <w:tcW w:w="715" w:type="pct"/>
            <w:shd w:val="clear" w:color="auto" w:fill="FFC000"/>
            <w:vAlign w:val="center"/>
          </w:tcPr>
          <w:p w14:paraId="3975E1E5" w14:textId="77777777" w:rsidR="0081544B" w:rsidRPr="00451933" w:rsidRDefault="0081544B" w:rsidP="003D59CA">
            <w:pPr>
              <w:keepNext/>
              <w:keepLines/>
              <w:spacing w:before="40"/>
              <w:jc w:val="center"/>
              <w:outlineLvl w:val="3"/>
              <w:rPr>
                <w:b/>
                <w:sz w:val="18"/>
                <w:szCs w:val="18"/>
              </w:rPr>
            </w:pPr>
            <w:r>
              <w:rPr>
                <w:b/>
                <w:sz w:val="18"/>
                <w:szCs w:val="18"/>
              </w:rPr>
              <w:t>95% error bar, percentage of mean (%)</w:t>
            </w:r>
          </w:p>
        </w:tc>
      </w:tr>
      <w:tr w:rsidR="0081544B" w:rsidRPr="00451933" w14:paraId="3A201A63" w14:textId="77777777" w:rsidTr="003D59CA">
        <w:tc>
          <w:tcPr>
            <w:tcW w:w="903" w:type="pct"/>
            <w:vAlign w:val="center"/>
          </w:tcPr>
          <w:p w14:paraId="7ED2F15C" w14:textId="77777777" w:rsidR="0081544B" w:rsidRPr="00451933" w:rsidRDefault="0081544B" w:rsidP="003D59CA">
            <w:pPr>
              <w:spacing w:after="160" w:line="259" w:lineRule="auto"/>
              <w:jc w:val="center"/>
              <w:rPr>
                <w:rFonts w:ascii="Calibri" w:hAnsi="Calibri"/>
                <w:b/>
                <w:sz w:val="18"/>
                <w:szCs w:val="18"/>
              </w:rPr>
            </w:pPr>
            <w:r w:rsidRPr="00451933">
              <w:rPr>
                <w:rFonts w:ascii="Calibri" w:hAnsi="Calibri"/>
                <w:b/>
                <w:sz w:val="18"/>
                <w:szCs w:val="18"/>
              </w:rPr>
              <w:t>5%</w:t>
            </w:r>
          </w:p>
        </w:tc>
        <w:tc>
          <w:tcPr>
            <w:tcW w:w="1127" w:type="pct"/>
            <w:vAlign w:val="center"/>
          </w:tcPr>
          <w:p w14:paraId="7D825546" w14:textId="77777777" w:rsidR="0081544B" w:rsidRPr="00451933" w:rsidRDefault="0081544B" w:rsidP="003D59CA">
            <w:pPr>
              <w:spacing w:after="160" w:line="259" w:lineRule="auto"/>
              <w:jc w:val="center"/>
              <w:rPr>
                <w:rFonts w:ascii="Calibri" w:hAnsi="Calibri"/>
                <w:sz w:val="18"/>
                <w:szCs w:val="18"/>
              </w:rPr>
            </w:pPr>
            <w:r w:rsidRPr="00451933">
              <w:rPr>
                <w:rFonts w:ascii="Calibri" w:hAnsi="Calibri"/>
                <w:sz w:val="18"/>
                <w:szCs w:val="18"/>
              </w:rPr>
              <w:t>3.2%</w:t>
            </w:r>
          </w:p>
        </w:tc>
        <w:tc>
          <w:tcPr>
            <w:tcW w:w="893" w:type="pct"/>
            <w:vAlign w:val="center"/>
          </w:tcPr>
          <w:p w14:paraId="0C0E4C34" w14:textId="77777777" w:rsidR="0081544B" w:rsidRPr="00451933" w:rsidRDefault="0081544B" w:rsidP="003D59CA">
            <w:pPr>
              <w:jc w:val="center"/>
              <w:rPr>
                <w:rFonts w:ascii="Calibri" w:hAnsi="Calibri"/>
                <w:sz w:val="18"/>
                <w:szCs w:val="18"/>
              </w:rPr>
            </w:pPr>
            <w:r w:rsidRPr="00451933">
              <w:rPr>
                <w:rFonts w:ascii="Calibri" w:hAnsi="Calibri"/>
                <w:sz w:val="18"/>
                <w:szCs w:val="18"/>
              </w:rPr>
              <w:t>16.9</w:t>
            </w:r>
          </w:p>
        </w:tc>
        <w:tc>
          <w:tcPr>
            <w:tcW w:w="658" w:type="pct"/>
            <w:vAlign w:val="center"/>
          </w:tcPr>
          <w:p w14:paraId="1B8E1E6A" w14:textId="77777777" w:rsidR="0081544B" w:rsidRPr="00451933" w:rsidRDefault="0081544B" w:rsidP="003D59CA">
            <w:pPr>
              <w:spacing w:after="160" w:line="259" w:lineRule="auto"/>
              <w:jc w:val="center"/>
              <w:rPr>
                <w:rFonts w:ascii="Calibri" w:hAnsi="Calibri"/>
                <w:sz w:val="18"/>
                <w:szCs w:val="18"/>
              </w:rPr>
            </w:pPr>
            <w:r w:rsidRPr="00451933">
              <w:rPr>
                <w:rFonts w:ascii="Calibri" w:hAnsi="Calibri"/>
                <w:sz w:val="18"/>
                <w:szCs w:val="18"/>
              </w:rPr>
              <w:t>-687.7</w:t>
            </w:r>
          </w:p>
        </w:tc>
        <w:tc>
          <w:tcPr>
            <w:tcW w:w="704" w:type="pct"/>
            <w:vAlign w:val="center"/>
          </w:tcPr>
          <w:p w14:paraId="363192D6" w14:textId="77777777" w:rsidR="0081544B" w:rsidRPr="00451933" w:rsidRDefault="0081544B" w:rsidP="003D59CA">
            <w:pPr>
              <w:spacing w:after="160" w:line="259" w:lineRule="auto"/>
              <w:jc w:val="center"/>
              <w:rPr>
                <w:rFonts w:ascii="Calibri" w:hAnsi="Calibri"/>
                <w:sz w:val="18"/>
                <w:szCs w:val="18"/>
              </w:rPr>
            </w:pPr>
            <w:r w:rsidRPr="00451933">
              <w:rPr>
                <w:rFonts w:ascii="Calibri" w:hAnsi="Calibri"/>
                <w:sz w:val="18"/>
                <w:szCs w:val="18"/>
              </w:rPr>
              <w:t>-152.7</w:t>
            </w:r>
          </w:p>
        </w:tc>
        <w:tc>
          <w:tcPr>
            <w:tcW w:w="715" w:type="pct"/>
            <w:vAlign w:val="center"/>
          </w:tcPr>
          <w:p w14:paraId="26DAFCC7" w14:textId="77777777" w:rsidR="0081544B" w:rsidRPr="00451933" w:rsidRDefault="0081544B" w:rsidP="003D59CA">
            <w:pPr>
              <w:jc w:val="center"/>
              <w:rPr>
                <w:rFonts w:ascii="Calibri" w:hAnsi="Calibri"/>
                <w:sz w:val="18"/>
                <w:szCs w:val="18"/>
              </w:rPr>
            </w:pPr>
            <w:r>
              <w:rPr>
                <w:rFonts w:ascii="Calibri" w:hAnsi="Calibri"/>
                <w:sz w:val="18"/>
                <w:szCs w:val="18"/>
              </w:rPr>
              <w:t>63.7</w:t>
            </w:r>
          </w:p>
        </w:tc>
      </w:tr>
      <w:tr w:rsidR="0081544B" w:rsidRPr="00451933" w14:paraId="2B981BB9" w14:textId="77777777" w:rsidTr="003D59CA">
        <w:tc>
          <w:tcPr>
            <w:tcW w:w="903" w:type="pct"/>
            <w:vAlign w:val="center"/>
          </w:tcPr>
          <w:p w14:paraId="7CA1155D" w14:textId="77777777" w:rsidR="0081544B" w:rsidRPr="00451933" w:rsidRDefault="0081544B" w:rsidP="003D59CA">
            <w:pPr>
              <w:spacing w:after="160" w:line="259" w:lineRule="auto"/>
              <w:jc w:val="center"/>
              <w:rPr>
                <w:rFonts w:ascii="Calibri" w:hAnsi="Calibri"/>
                <w:b/>
                <w:sz w:val="18"/>
                <w:szCs w:val="18"/>
              </w:rPr>
            </w:pPr>
            <w:r w:rsidRPr="00451933">
              <w:rPr>
                <w:rFonts w:ascii="Calibri" w:hAnsi="Calibri"/>
                <w:b/>
                <w:sz w:val="18"/>
                <w:szCs w:val="18"/>
              </w:rPr>
              <w:t xml:space="preserve">10% </w:t>
            </w:r>
            <w:r w:rsidRPr="00451933">
              <w:rPr>
                <w:rFonts w:ascii="Calibri" w:hAnsi="Calibri"/>
                <w:b/>
                <w:sz w:val="18"/>
                <w:szCs w:val="18"/>
                <w:vertAlign w:val="superscript"/>
              </w:rPr>
              <w:t>a</w:t>
            </w:r>
          </w:p>
        </w:tc>
        <w:tc>
          <w:tcPr>
            <w:tcW w:w="1127" w:type="pct"/>
            <w:vAlign w:val="center"/>
          </w:tcPr>
          <w:p w14:paraId="4ABD82FA" w14:textId="77777777" w:rsidR="0081544B" w:rsidRPr="00451933" w:rsidRDefault="0081544B" w:rsidP="003D59CA">
            <w:pPr>
              <w:spacing w:after="160" w:line="259" w:lineRule="auto"/>
              <w:jc w:val="center"/>
              <w:rPr>
                <w:rFonts w:ascii="Calibri" w:hAnsi="Calibri"/>
                <w:sz w:val="18"/>
                <w:szCs w:val="18"/>
              </w:rPr>
            </w:pPr>
            <w:r w:rsidRPr="00451933">
              <w:rPr>
                <w:rFonts w:ascii="Calibri" w:hAnsi="Calibri"/>
                <w:sz w:val="18"/>
                <w:szCs w:val="18"/>
              </w:rPr>
              <w:t>12.1%</w:t>
            </w:r>
          </w:p>
        </w:tc>
        <w:tc>
          <w:tcPr>
            <w:tcW w:w="893" w:type="pct"/>
            <w:vAlign w:val="center"/>
          </w:tcPr>
          <w:p w14:paraId="635683C4" w14:textId="77777777" w:rsidR="0081544B" w:rsidRPr="00451933" w:rsidRDefault="0081544B" w:rsidP="003D59CA">
            <w:pPr>
              <w:jc w:val="center"/>
              <w:rPr>
                <w:rFonts w:ascii="Calibri" w:hAnsi="Calibri"/>
                <w:sz w:val="18"/>
                <w:szCs w:val="18"/>
              </w:rPr>
            </w:pPr>
            <w:r w:rsidRPr="00451933">
              <w:rPr>
                <w:rFonts w:ascii="Calibri" w:hAnsi="Calibri"/>
                <w:sz w:val="18"/>
                <w:szCs w:val="18"/>
              </w:rPr>
              <w:t>68.1</w:t>
            </w:r>
          </w:p>
        </w:tc>
        <w:tc>
          <w:tcPr>
            <w:tcW w:w="658" w:type="pct"/>
            <w:vAlign w:val="center"/>
          </w:tcPr>
          <w:p w14:paraId="0909D2F8" w14:textId="77777777" w:rsidR="0081544B" w:rsidRPr="00451933" w:rsidRDefault="0081544B" w:rsidP="003D59CA">
            <w:pPr>
              <w:spacing w:after="160" w:line="259" w:lineRule="auto"/>
              <w:jc w:val="center"/>
              <w:rPr>
                <w:rFonts w:ascii="Calibri" w:hAnsi="Calibri"/>
                <w:sz w:val="18"/>
                <w:szCs w:val="18"/>
              </w:rPr>
            </w:pPr>
            <w:r w:rsidRPr="00451933">
              <w:rPr>
                <w:rFonts w:ascii="Calibri" w:hAnsi="Calibri"/>
                <w:sz w:val="18"/>
                <w:szCs w:val="18"/>
              </w:rPr>
              <w:t>-701.9</w:t>
            </w:r>
          </w:p>
        </w:tc>
        <w:tc>
          <w:tcPr>
            <w:tcW w:w="704" w:type="pct"/>
            <w:vAlign w:val="center"/>
          </w:tcPr>
          <w:p w14:paraId="58EF229F" w14:textId="77777777" w:rsidR="0081544B" w:rsidRPr="00451933" w:rsidRDefault="0081544B" w:rsidP="003D59CA">
            <w:pPr>
              <w:spacing w:after="160" w:line="259" w:lineRule="auto"/>
              <w:jc w:val="center"/>
              <w:rPr>
                <w:rFonts w:ascii="Calibri" w:hAnsi="Calibri"/>
                <w:sz w:val="18"/>
                <w:szCs w:val="18"/>
              </w:rPr>
            </w:pPr>
            <w:r w:rsidRPr="00451933">
              <w:rPr>
                <w:rFonts w:ascii="Calibri" w:hAnsi="Calibri"/>
                <w:sz w:val="18"/>
                <w:szCs w:val="18"/>
              </w:rPr>
              <w:t>-138.5</w:t>
            </w:r>
          </w:p>
        </w:tc>
        <w:tc>
          <w:tcPr>
            <w:tcW w:w="715" w:type="pct"/>
            <w:vAlign w:val="center"/>
          </w:tcPr>
          <w:p w14:paraId="6910263F" w14:textId="77777777" w:rsidR="0081544B" w:rsidRPr="00451933" w:rsidRDefault="0081544B" w:rsidP="003D59CA">
            <w:pPr>
              <w:jc w:val="center"/>
              <w:rPr>
                <w:rFonts w:ascii="Calibri" w:hAnsi="Calibri"/>
                <w:sz w:val="18"/>
                <w:szCs w:val="18"/>
              </w:rPr>
            </w:pPr>
            <w:r>
              <w:rPr>
                <w:rFonts w:ascii="Calibri" w:hAnsi="Calibri"/>
                <w:sz w:val="18"/>
                <w:szCs w:val="18"/>
              </w:rPr>
              <w:t>67.0</w:t>
            </w:r>
          </w:p>
        </w:tc>
      </w:tr>
      <w:tr w:rsidR="0081544B" w:rsidRPr="00451933" w14:paraId="3E7E9F97" w14:textId="77777777" w:rsidTr="003D59CA">
        <w:tc>
          <w:tcPr>
            <w:tcW w:w="903" w:type="pct"/>
            <w:vAlign w:val="center"/>
          </w:tcPr>
          <w:p w14:paraId="056C6413" w14:textId="77777777" w:rsidR="0081544B" w:rsidRPr="00451933" w:rsidRDefault="0081544B" w:rsidP="003D59CA">
            <w:pPr>
              <w:spacing w:after="160" w:line="259" w:lineRule="auto"/>
              <w:jc w:val="center"/>
              <w:rPr>
                <w:rFonts w:ascii="Calibri" w:hAnsi="Calibri"/>
                <w:b/>
                <w:sz w:val="18"/>
                <w:szCs w:val="18"/>
              </w:rPr>
            </w:pPr>
            <w:r w:rsidRPr="00451933">
              <w:rPr>
                <w:rFonts w:ascii="Calibri" w:hAnsi="Calibri"/>
                <w:b/>
                <w:sz w:val="18"/>
                <w:szCs w:val="18"/>
              </w:rPr>
              <w:t>20%</w:t>
            </w:r>
          </w:p>
        </w:tc>
        <w:tc>
          <w:tcPr>
            <w:tcW w:w="1127" w:type="pct"/>
            <w:vAlign w:val="center"/>
          </w:tcPr>
          <w:p w14:paraId="2A47D48B" w14:textId="77777777" w:rsidR="0081544B" w:rsidRPr="00451933" w:rsidRDefault="0081544B" w:rsidP="003D59CA">
            <w:pPr>
              <w:spacing w:after="160" w:line="259" w:lineRule="auto"/>
              <w:jc w:val="center"/>
              <w:rPr>
                <w:rFonts w:ascii="Calibri" w:hAnsi="Calibri"/>
                <w:sz w:val="18"/>
                <w:szCs w:val="18"/>
              </w:rPr>
            </w:pPr>
            <w:r w:rsidRPr="00451933">
              <w:rPr>
                <w:rFonts w:ascii="Calibri" w:hAnsi="Calibri"/>
                <w:sz w:val="18"/>
                <w:szCs w:val="18"/>
              </w:rPr>
              <w:t>37.1%</w:t>
            </w:r>
          </w:p>
        </w:tc>
        <w:tc>
          <w:tcPr>
            <w:tcW w:w="893" w:type="pct"/>
            <w:vAlign w:val="center"/>
          </w:tcPr>
          <w:p w14:paraId="20B18F59" w14:textId="77777777" w:rsidR="0081544B" w:rsidRPr="00451933" w:rsidRDefault="0081544B" w:rsidP="003D59CA">
            <w:pPr>
              <w:jc w:val="center"/>
              <w:rPr>
                <w:rFonts w:ascii="Calibri" w:hAnsi="Calibri"/>
                <w:sz w:val="18"/>
                <w:szCs w:val="18"/>
              </w:rPr>
            </w:pPr>
            <w:r w:rsidRPr="00451933">
              <w:rPr>
                <w:rFonts w:ascii="Calibri" w:hAnsi="Calibri"/>
                <w:sz w:val="18"/>
                <w:szCs w:val="18"/>
              </w:rPr>
              <w:t>248.1</w:t>
            </w:r>
          </w:p>
        </w:tc>
        <w:tc>
          <w:tcPr>
            <w:tcW w:w="658" w:type="pct"/>
            <w:vAlign w:val="center"/>
          </w:tcPr>
          <w:p w14:paraId="56D4FB4F" w14:textId="77777777" w:rsidR="0081544B" w:rsidRPr="00451933" w:rsidRDefault="0081544B" w:rsidP="003D59CA">
            <w:pPr>
              <w:spacing w:after="160" w:line="259" w:lineRule="auto"/>
              <w:jc w:val="center"/>
              <w:rPr>
                <w:rFonts w:ascii="Calibri" w:hAnsi="Calibri"/>
                <w:sz w:val="18"/>
                <w:szCs w:val="18"/>
              </w:rPr>
            </w:pPr>
            <w:r w:rsidRPr="00451933">
              <w:rPr>
                <w:rFonts w:ascii="Calibri" w:hAnsi="Calibri"/>
                <w:sz w:val="18"/>
                <w:szCs w:val="18"/>
              </w:rPr>
              <w:t>-754.8</w:t>
            </w:r>
          </w:p>
        </w:tc>
        <w:tc>
          <w:tcPr>
            <w:tcW w:w="704" w:type="pct"/>
            <w:vAlign w:val="center"/>
          </w:tcPr>
          <w:p w14:paraId="43B9E575" w14:textId="77777777" w:rsidR="0081544B" w:rsidRPr="00451933" w:rsidRDefault="0081544B" w:rsidP="003D59CA">
            <w:pPr>
              <w:spacing w:after="160" w:line="259" w:lineRule="auto"/>
              <w:jc w:val="center"/>
              <w:rPr>
                <w:rFonts w:ascii="Calibri" w:hAnsi="Calibri"/>
                <w:sz w:val="18"/>
                <w:szCs w:val="18"/>
              </w:rPr>
            </w:pPr>
            <w:r w:rsidRPr="00451933">
              <w:rPr>
                <w:rFonts w:ascii="Calibri" w:hAnsi="Calibri"/>
                <w:sz w:val="18"/>
                <w:szCs w:val="18"/>
              </w:rPr>
              <w:t>-85.6</w:t>
            </w:r>
          </w:p>
        </w:tc>
        <w:tc>
          <w:tcPr>
            <w:tcW w:w="715" w:type="pct"/>
            <w:vAlign w:val="center"/>
          </w:tcPr>
          <w:p w14:paraId="4DA49896" w14:textId="77777777" w:rsidR="0081544B" w:rsidRPr="00451933" w:rsidRDefault="0081544B" w:rsidP="003D59CA">
            <w:pPr>
              <w:jc w:val="center"/>
              <w:rPr>
                <w:rFonts w:ascii="Calibri" w:hAnsi="Calibri"/>
                <w:sz w:val="18"/>
                <w:szCs w:val="18"/>
              </w:rPr>
            </w:pPr>
            <w:r>
              <w:rPr>
                <w:rFonts w:ascii="Calibri" w:hAnsi="Calibri"/>
                <w:sz w:val="18"/>
                <w:szCs w:val="18"/>
              </w:rPr>
              <w:t>79.6</w:t>
            </w:r>
          </w:p>
        </w:tc>
      </w:tr>
    </w:tbl>
    <w:p w14:paraId="1ABD2951" w14:textId="32581231" w:rsidR="0081544B" w:rsidRPr="0026461F" w:rsidRDefault="0081544B" w:rsidP="0081544B">
      <w:pPr>
        <w:rPr>
          <w:i/>
          <w:sz w:val="18"/>
          <w:szCs w:val="18"/>
        </w:rPr>
      </w:pPr>
      <w:r w:rsidRPr="00451933">
        <w:rPr>
          <w:i/>
          <w:sz w:val="18"/>
          <w:szCs w:val="18"/>
        </w:rPr>
        <w:t>a) These results correspond to the main uncertainty analysis presented in the Results section, but have been derived from simulations run with 500 iterations rather than 10,000 iterations. The percentage contribution to uncertainty from volume coefficient error is slightly lower when based on the simulations using 500 iterations (12.1%) than when based on the simulations u</w:t>
      </w:r>
      <w:r>
        <w:rPr>
          <w:i/>
          <w:sz w:val="18"/>
          <w:szCs w:val="18"/>
        </w:rPr>
        <w:t xml:space="preserve">sing 10,000 iterations (13.6%) as shown in Table </w:t>
      </w:r>
      <w:r w:rsidR="005E4D1E">
        <w:rPr>
          <w:i/>
          <w:sz w:val="18"/>
          <w:szCs w:val="18"/>
        </w:rPr>
        <w:t>2</w:t>
      </w:r>
      <w:r>
        <w:rPr>
          <w:i/>
          <w:sz w:val="18"/>
          <w:szCs w:val="18"/>
        </w:rPr>
        <w:t>-3. T</w:t>
      </w:r>
      <w:r w:rsidRPr="00451933">
        <w:rPr>
          <w:i/>
          <w:sz w:val="18"/>
          <w:szCs w:val="18"/>
        </w:rPr>
        <w:t>he volume coefficient ranks as the highest contributor to uncertainty among all model parameters regardless of whether 500 or 10,000 iterations are applied.</w:t>
      </w:r>
    </w:p>
    <w:p w14:paraId="65E6CA83" w14:textId="77777777" w:rsidR="0081544B" w:rsidRDefault="0081544B" w:rsidP="0081544B">
      <w:pPr>
        <w:rPr>
          <w:highlight w:val="lightGray"/>
        </w:rPr>
      </w:pPr>
    </w:p>
    <w:p w14:paraId="61F3E55F" w14:textId="403C302E" w:rsidR="0081544B" w:rsidRDefault="0081544B" w:rsidP="0081544B">
      <w:r w:rsidRPr="006331D7">
        <w:t xml:space="preserve">In </w:t>
      </w:r>
      <w:r>
        <w:t>our</w:t>
      </w:r>
      <w:r w:rsidRPr="006331D7">
        <w:t xml:space="preserve"> analysis, we do not capture all errors associated with the estimation of carbon stock change in this </w:t>
      </w:r>
      <w:r>
        <w:t xml:space="preserve">aggregated </w:t>
      </w:r>
      <w:r w:rsidRPr="006331D7">
        <w:t>forest carbon pool</w:t>
      </w:r>
      <w:r>
        <w:t xml:space="preserve"> (aboveground and belowground carbon in living and standing dead trees)</w:t>
      </w:r>
      <w:r w:rsidRPr="006331D7">
        <w:t xml:space="preserve">. For example, we do not consider errors associated with (among others): (1) the stratification applied to the land base; (2) measurement errors; </w:t>
      </w:r>
      <w:r>
        <w:t>(3) expansion factors, such as the TPA_UNADJ variable from the FIA Database; or (4</w:t>
      </w:r>
      <w:r w:rsidRPr="006331D7">
        <w:t xml:space="preserve">) model structure (e.g., the impact on carbon stock estimates associated with the transition to the volume-based Component Ratio Method for tree biomass from the allometric regression models of Jenkins et al. (2003) is considered by Domke et al. (2012)). </w:t>
      </w:r>
    </w:p>
    <w:p w14:paraId="38CDD580" w14:textId="46494CA0" w:rsidR="0081544B" w:rsidRDefault="0081544B" w:rsidP="0081544B"/>
    <w:p w14:paraId="29DC849E" w14:textId="77777777" w:rsidR="0081544B" w:rsidRDefault="0081544B" w:rsidP="0081544B">
      <w:pPr>
        <w:sectPr w:rsidR="0081544B">
          <w:pgSz w:w="12240" w:h="15840"/>
          <w:pgMar w:top="1440" w:right="1440" w:bottom="1440" w:left="1440" w:header="720" w:footer="720" w:gutter="0"/>
          <w:cols w:space="720"/>
          <w:docGrid w:linePitch="360"/>
        </w:sectPr>
      </w:pPr>
    </w:p>
    <w:p w14:paraId="04500BD3" w14:textId="4B862319" w:rsidR="000569E1" w:rsidRDefault="000569E1" w:rsidP="000569E1">
      <w:pPr>
        <w:pStyle w:val="Heading2"/>
        <w:numPr>
          <w:ilvl w:val="0"/>
          <w:numId w:val="0"/>
        </w:numPr>
        <w:ind w:left="576" w:hanging="576"/>
      </w:pPr>
      <w:r>
        <w:lastRenderedPageBreak/>
        <w:t xml:space="preserve">2.2 </w:t>
      </w:r>
      <w:r w:rsidR="008F6D5A">
        <w:t>Carbon stock change in</w:t>
      </w:r>
      <w:r w:rsidR="00195F4D">
        <w:t xml:space="preserve"> forest</w:t>
      </w:r>
      <w:r w:rsidR="008F6D5A">
        <w:t xml:space="preserve"> l</w:t>
      </w:r>
      <w:r>
        <w:t>itter</w:t>
      </w:r>
    </w:p>
    <w:p w14:paraId="7224CE22" w14:textId="6B19F59F" w:rsidR="00D27A40" w:rsidRPr="00195F4D" w:rsidRDefault="00D27A40" w:rsidP="00D27A40">
      <w:pPr>
        <w:pStyle w:val="Heading2"/>
        <w:numPr>
          <w:ilvl w:val="0"/>
          <w:numId w:val="0"/>
        </w:numPr>
        <w:ind w:left="576" w:hanging="576"/>
        <w:rPr>
          <w:b/>
          <w:bCs/>
        </w:rPr>
      </w:pPr>
      <w:r w:rsidRPr="00195F4D">
        <w:rPr>
          <w:rStyle w:val="Strong"/>
          <w:b w:val="0"/>
        </w:rPr>
        <w:t>NGHGI Methods</w:t>
      </w:r>
    </w:p>
    <w:p w14:paraId="03D21429" w14:textId="77BEBE2F" w:rsidR="00D27A40" w:rsidRPr="00D27A40" w:rsidRDefault="003D59CA" w:rsidP="00D27A40">
      <w:pPr>
        <w:rPr>
          <w:rFonts w:ascii="Calibri" w:hAnsi="Calibri"/>
        </w:rPr>
      </w:pPr>
      <w:r>
        <w:rPr>
          <w:rFonts w:ascii="Calibri" w:hAnsi="Calibri"/>
        </w:rPr>
        <w:t xml:space="preserve">The forest litter carbon pool is </w:t>
      </w:r>
      <w:r w:rsidR="00D54B06">
        <w:rPr>
          <w:rFonts w:ascii="Calibri" w:hAnsi="Calibri"/>
        </w:rPr>
        <w:t xml:space="preserve">comprised of duff, humus, and fine woody debris that is found on the forest floor above the soil. The NGHGI defines litter to include woody fragments with diameters up to 7.5cm (NGHGI, 2018). </w:t>
      </w:r>
      <w:r w:rsidR="00D27A40" w:rsidRPr="00D27A40">
        <w:rPr>
          <w:rFonts w:ascii="Calibri" w:hAnsi="Calibri"/>
        </w:rPr>
        <w:t>The</w:t>
      </w:r>
      <w:r>
        <w:rPr>
          <w:rFonts w:ascii="Calibri" w:hAnsi="Calibri"/>
        </w:rPr>
        <w:t xml:space="preserve"> FIA program collects litter measurements on 1/16 of total national plots (Phase 3 plots) as of 2011 (Domke et al., 2016).</w:t>
      </w:r>
      <w:r w:rsidR="00D27A40" w:rsidRPr="00D27A40">
        <w:rPr>
          <w:rFonts w:ascii="Calibri" w:hAnsi="Calibri"/>
        </w:rPr>
        <w:t xml:space="preserve"> At each sample point, multiple litter thickness measurements are taken, and the litter layer within sampling frames are removed for lab analysis to determine carbon content (Domke et al., 2016). Since 96% of FIA plo</w:t>
      </w:r>
      <w:r w:rsidR="0011789D">
        <w:rPr>
          <w:rFonts w:ascii="Calibri" w:hAnsi="Calibri"/>
        </w:rPr>
        <w:t>ts do not have litter samples, Domke et al. (2016) developed a</w:t>
      </w:r>
      <w:r w:rsidR="00D27A40" w:rsidRPr="00D27A40">
        <w:rPr>
          <w:rFonts w:ascii="Calibri" w:hAnsi="Calibri"/>
        </w:rPr>
        <w:t xml:space="preserve"> machine learning model to predict litter carbon stocks on un-sampled plots, using predictive variables </w:t>
      </w:r>
      <w:r>
        <w:rPr>
          <w:rFonts w:ascii="Calibri" w:hAnsi="Calibri"/>
        </w:rPr>
        <w:t xml:space="preserve">including </w:t>
      </w:r>
      <w:r w:rsidR="00D27A40" w:rsidRPr="00D27A40">
        <w:rPr>
          <w:rFonts w:ascii="Calibri" w:hAnsi="Calibri"/>
        </w:rPr>
        <w:t xml:space="preserve">latitude, longitude, elevation, forest type, stand age, site index, aboveground live tree carbon, </w:t>
      </w:r>
      <w:r>
        <w:rPr>
          <w:rFonts w:ascii="Calibri" w:hAnsi="Calibri"/>
        </w:rPr>
        <w:t>etc</w:t>
      </w:r>
      <w:r w:rsidR="00D27A40" w:rsidRPr="00D27A40">
        <w:rPr>
          <w:rFonts w:ascii="Calibri" w:hAnsi="Calibri"/>
        </w:rPr>
        <w:t>. Model predictions were combined with a randomly generated variable to represent sampl</w:t>
      </w:r>
      <w:r w:rsidR="00A46DFF">
        <w:rPr>
          <w:rFonts w:ascii="Calibri" w:hAnsi="Calibri"/>
        </w:rPr>
        <w:t>ing</w:t>
      </w:r>
      <w:r w:rsidR="00D27A40" w:rsidRPr="00D27A40">
        <w:rPr>
          <w:rFonts w:ascii="Calibri" w:hAnsi="Calibri"/>
        </w:rPr>
        <w:t xml:space="preserve"> error. Plot estimates are then </w:t>
      </w:r>
      <w:r>
        <w:rPr>
          <w:rFonts w:ascii="Calibri" w:hAnsi="Calibri"/>
        </w:rPr>
        <w:t>multiplied</w:t>
      </w:r>
      <w:r w:rsidRPr="00D27A40">
        <w:rPr>
          <w:rFonts w:ascii="Calibri" w:hAnsi="Calibri"/>
        </w:rPr>
        <w:t xml:space="preserve"> </w:t>
      </w:r>
      <w:r w:rsidR="00D27A40" w:rsidRPr="00D27A40">
        <w:rPr>
          <w:rFonts w:ascii="Calibri" w:hAnsi="Calibri"/>
        </w:rPr>
        <w:t xml:space="preserve">by area weights to </w:t>
      </w:r>
      <w:r>
        <w:rPr>
          <w:rFonts w:ascii="Calibri" w:hAnsi="Calibri"/>
        </w:rPr>
        <w:t xml:space="preserve">expand estimates to </w:t>
      </w:r>
      <w:r w:rsidR="00D27A40" w:rsidRPr="00D27A40">
        <w:rPr>
          <w:rFonts w:ascii="Calibri" w:hAnsi="Calibri"/>
        </w:rPr>
        <w:t xml:space="preserve">total forest area. </w:t>
      </w:r>
      <w:r>
        <w:rPr>
          <w:rFonts w:ascii="Calibri" w:hAnsi="Calibri"/>
        </w:rPr>
        <w:t>As with other forest carbon pools, a</w:t>
      </w:r>
      <w:r w:rsidRPr="00D27A40">
        <w:rPr>
          <w:rFonts w:ascii="Calibri" w:hAnsi="Calibri"/>
        </w:rPr>
        <w:t>nnual litter CO</w:t>
      </w:r>
      <w:r w:rsidRPr="00D27A40">
        <w:rPr>
          <w:rFonts w:ascii="Calibri" w:hAnsi="Calibri"/>
          <w:vertAlign w:val="subscript"/>
        </w:rPr>
        <w:t>2</w:t>
      </w:r>
      <w:r w:rsidRPr="00D27A40">
        <w:rPr>
          <w:rFonts w:ascii="Calibri" w:hAnsi="Calibri"/>
        </w:rPr>
        <w:t xml:space="preserve"> flux is calculated as the </w:t>
      </w:r>
      <w:r>
        <w:rPr>
          <w:rFonts w:ascii="Calibri" w:hAnsi="Calibri"/>
        </w:rPr>
        <w:t xml:space="preserve">national </w:t>
      </w:r>
      <w:r w:rsidRPr="00D27A40">
        <w:rPr>
          <w:rFonts w:ascii="Calibri" w:hAnsi="Calibri"/>
        </w:rPr>
        <w:t xml:space="preserve">litter carbon stock change between year </w:t>
      </w:r>
      <w:r w:rsidRPr="00D27A40">
        <w:rPr>
          <w:rFonts w:ascii="Calibri" w:hAnsi="Calibri"/>
          <w:i/>
        </w:rPr>
        <w:t>t</w:t>
      </w:r>
      <w:r w:rsidRPr="00D27A40">
        <w:rPr>
          <w:rFonts w:ascii="Calibri" w:hAnsi="Calibri"/>
        </w:rPr>
        <w:t xml:space="preserve"> and </w:t>
      </w:r>
      <w:r w:rsidRPr="00D27A40">
        <w:rPr>
          <w:rFonts w:ascii="Calibri" w:hAnsi="Calibri"/>
          <w:i/>
        </w:rPr>
        <w:t>t-1</w:t>
      </w:r>
      <w:r w:rsidRPr="00D27A40">
        <w:rPr>
          <w:rFonts w:ascii="Calibri" w:hAnsi="Calibri"/>
        </w:rPr>
        <w:t xml:space="preserve">. </w:t>
      </w:r>
      <w:r w:rsidR="00D27A40" w:rsidRPr="00D27A40">
        <w:rPr>
          <w:rFonts w:ascii="Calibri" w:hAnsi="Calibri"/>
        </w:rPr>
        <w:t xml:space="preserve"> </w:t>
      </w:r>
    </w:p>
    <w:p w14:paraId="43DB619D" w14:textId="4904EC4D" w:rsidR="00D27A40" w:rsidRPr="00195F4D" w:rsidRDefault="00942B20" w:rsidP="00D00409">
      <w:pPr>
        <w:pStyle w:val="Heading2"/>
        <w:numPr>
          <w:ilvl w:val="0"/>
          <w:numId w:val="0"/>
        </w:numPr>
        <w:ind w:left="576" w:hanging="576"/>
        <w:rPr>
          <w:b/>
          <w:bCs/>
        </w:rPr>
      </w:pPr>
      <w:r w:rsidRPr="00195F4D">
        <w:rPr>
          <w:rStyle w:val="Strong"/>
          <w:b w:val="0"/>
        </w:rPr>
        <w:t>Project Methods</w:t>
      </w:r>
    </w:p>
    <w:p w14:paraId="781487FA" w14:textId="3BB58906" w:rsidR="00D27A40" w:rsidRPr="00D27A40" w:rsidRDefault="00D27A40" w:rsidP="00D27A40">
      <w:pPr>
        <w:rPr>
          <w:rFonts w:ascii="Calibri" w:hAnsi="Calibri"/>
        </w:rPr>
      </w:pPr>
      <w:r w:rsidRPr="00D27A40">
        <w:rPr>
          <w:rFonts w:ascii="Calibri" w:hAnsi="Calibri"/>
        </w:rPr>
        <w:t xml:space="preserve">We are not able to replicate the method described by Domke et al. (2016) because their data is not yet available in FIA and recreating the Random Forests machine learning model described above was outside the scope of our project. Instead, we </w:t>
      </w:r>
      <w:r w:rsidR="005D310B">
        <w:rPr>
          <w:rFonts w:ascii="Calibri" w:hAnsi="Calibri"/>
        </w:rPr>
        <w:t xml:space="preserve">employ </w:t>
      </w:r>
      <w:r w:rsidRPr="00D27A40">
        <w:rPr>
          <w:rFonts w:ascii="Calibri" w:hAnsi="Calibri"/>
        </w:rPr>
        <w:t>a simplified method using summary data from Domke et al. (2016). A significant shortcoming of our approach is that it requires assuming the covariance of litter carbon stocks between two time periods</w:t>
      </w:r>
      <w:r w:rsidR="005D310B">
        <w:rPr>
          <w:rFonts w:ascii="Calibri" w:hAnsi="Calibri"/>
        </w:rPr>
        <w:t>, because the NGHGI does not report 95% confidence intervals by forest carbon pool</w:t>
      </w:r>
      <w:r w:rsidRPr="00D27A40">
        <w:rPr>
          <w:rFonts w:ascii="Calibri" w:hAnsi="Calibri"/>
        </w:rPr>
        <w:t xml:space="preserve">. </w:t>
      </w:r>
    </w:p>
    <w:p w14:paraId="23EFA541" w14:textId="48539149" w:rsidR="00D27A40" w:rsidRPr="00D27A40" w:rsidRDefault="00D27A40" w:rsidP="00D27A40">
      <w:pPr>
        <w:rPr>
          <w:rFonts w:ascii="Calibri" w:hAnsi="Calibri"/>
        </w:rPr>
      </w:pPr>
      <w:r w:rsidRPr="00D27A40">
        <w:rPr>
          <w:rFonts w:ascii="Calibri" w:hAnsi="Calibri"/>
        </w:rPr>
        <w:t>For the litter carbon</w:t>
      </w:r>
      <w:r w:rsidR="00D5365F">
        <w:rPr>
          <w:rFonts w:ascii="Calibri" w:hAnsi="Calibri"/>
        </w:rPr>
        <w:t xml:space="preserve"> analysis</w:t>
      </w:r>
      <w:r w:rsidRPr="00D27A40">
        <w:rPr>
          <w:rFonts w:ascii="Calibri" w:hAnsi="Calibri"/>
        </w:rPr>
        <w:t xml:space="preserve">, we use </w:t>
      </w:r>
      <w:r w:rsidR="005D310B">
        <w:rPr>
          <w:rFonts w:ascii="Calibri" w:hAnsi="Calibri"/>
        </w:rPr>
        <w:t xml:space="preserve">eastern Texas </w:t>
      </w:r>
      <w:r w:rsidRPr="00D27A40">
        <w:rPr>
          <w:rFonts w:ascii="Calibri" w:hAnsi="Calibri"/>
        </w:rPr>
        <w:t xml:space="preserve">FIA </w:t>
      </w:r>
      <w:r w:rsidR="005D310B">
        <w:rPr>
          <w:rFonts w:ascii="Calibri" w:hAnsi="Calibri"/>
        </w:rPr>
        <w:t xml:space="preserve">plot </w:t>
      </w:r>
      <w:r w:rsidRPr="00D27A40">
        <w:rPr>
          <w:rFonts w:ascii="Calibri" w:hAnsi="Calibri"/>
        </w:rPr>
        <w:t>data to identify the distribution of forest</w:t>
      </w:r>
      <w:r w:rsidR="005D310B">
        <w:rPr>
          <w:rFonts w:ascii="Calibri" w:hAnsi="Calibri"/>
        </w:rPr>
        <w:t xml:space="preserve"> </w:t>
      </w:r>
      <w:r w:rsidRPr="00D27A40">
        <w:rPr>
          <w:rFonts w:ascii="Calibri" w:hAnsi="Calibri"/>
        </w:rPr>
        <w:t>type</w:t>
      </w:r>
      <w:r w:rsidR="005D310B">
        <w:rPr>
          <w:rFonts w:ascii="Calibri" w:hAnsi="Calibri"/>
        </w:rPr>
        <w:t>s as defined in Domke et al. (2016).</w:t>
      </w:r>
      <w:r w:rsidRPr="00D27A40">
        <w:rPr>
          <w:rFonts w:ascii="Calibri" w:hAnsi="Calibri"/>
        </w:rPr>
        <w:t xml:space="preserve"> We focus our analysis on forest</w:t>
      </w:r>
      <w:r w:rsidR="005E586E">
        <w:rPr>
          <w:rFonts w:ascii="Calibri" w:hAnsi="Calibri"/>
        </w:rPr>
        <w:t xml:space="preserve"> </w:t>
      </w:r>
      <w:r w:rsidRPr="00D27A40">
        <w:rPr>
          <w:rFonts w:ascii="Calibri" w:hAnsi="Calibri"/>
        </w:rPr>
        <w:t>land remaining forest</w:t>
      </w:r>
      <w:r w:rsidR="005E586E">
        <w:rPr>
          <w:rFonts w:ascii="Calibri" w:hAnsi="Calibri"/>
        </w:rPr>
        <w:t xml:space="preserve"> </w:t>
      </w:r>
      <w:r w:rsidRPr="00D27A40">
        <w:rPr>
          <w:rFonts w:ascii="Calibri" w:hAnsi="Calibri"/>
        </w:rPr>
        <w:t xml:space="preserve">land (FRF) </w:t>
      </w:r>
      <w:r w:rsidR="00FA097E">
        <w:rPr>
          <w:rFonts w:ascii="Calibri" w:hAnsi="Calibri"/>
        </w:rPr>
        <w:t>only</w:t>
      </w:r>
      <w:r w:rsidRPr="00D27A40">
        <w:rPr>
          <w:rFonts w:ascii="Calibri" w:hAnsi="Calibri"/>
        </w:rPr>
        <w:t xml:space="preserve">. </w:t>
      </w:r>
    </w:p>
    <w:p w14:paraId="09A8937C" w14:textId="1F033C91" w:rsidR="00D27A40" w:rsidRPr="00D27A40" w:rsidRDefault="00FA097E" w:rsidP="00D27A40">
      <w:pPr>
        <w:rPr>
          <w:rFonts w:ascii="Calibri" w:hAnsi="Calibri"/>
        </w:rPr>
      </w:pPr>
      <w:r>
        <w:rPr>
          <w:rFonts w:ascii="Calibri" w:hAnsi="Calibri"/>
        </w:rPr>
        <w:t>W</w:t>
      </w:r>
      <w:r w:rsidR="00D27A40" w:rsidRPr="00D27A40">
        <w:rPr>
          <w:rFonts w:ascii="Calibri" w:hAnsi="Calibri"/>
        </w:rPr>
        <w:t>e select all eastern Texas Phase 2 ground plots in the subplot–condition change matrix (SUBP_COND_CHNG_MTRX table of the FIA Database) that correspond to EVALID 481723 and have at least one geographic area that is FRF over the re-measurement interval (that is, the geographic area has COND_STATUS_CD=1, indicating accessible forest</w:t>
      </w:r>
      <w:r w:rsidR="005E586E">
        <w:rPr>
          <w:rFonts w:ascii="Calibri" w:hAnsi="Calibri"/>
        </w:rPr>
        <w:t xml:space="preserve"> </w:t>
      </w:r>
      <w:r w:rsidR="00D27A40" w:rsidRPr="00D27A40">
        <w:rPr>
          <w:rFonts w:ascii="Calibri" w:hAnsi="Calibri"/>
        </w:rPr>
        <w:t>land, in both the previous and current measurement periods). Of the 3,778</w:t>
      </w:r>
      <w:r w:rsidR="00D5365F">
        <w:rPr>
          <w:rFonts w:ascii="Calibri" w:hAnsi="Calibri"/>
        </w:rPr>
        <w:t xml:space="preserve"> eastern Texas</w:t>
      </w:r>
      <w:r w:rsidR="00D27A40" w:rsidRPr="00D27A40">
        <w:rPr>
          <w:rFonts w:ascii="Calibri" w:hAnsi="Calibri"/>
        </w:rPr>
        <w:t xml:space="preserve"> FIA ground plots having EVALID 481723, 2,242 plots have at least one geographic area that is FRF. For each of these plots, we identify the forest type using the FORTYPCD attribute in the condition (COND) table. FIA aggregates the individual forest types defined by FORTYPCD into supergroups (Appendix D of Burrill et al., 2017). For example, the willow forest type (FORTYPCD=704) is assigned to the elm–ash–cottonwood supergroup (code 700). In the FRF dataset for eastern Texas, 37 individual forest types (FORTYPCD values) correspond to 11 FIA forest-type supergroups: longleaf–slash pine, loblolly–shortleaf pine, other eastern softwoods, oak–pine, oak–hickory, oak–gum–cypress, elm–ash–cottonwood, other hardwoods, woodland hardwoods, exotic hardwoods, and non-stocked.</w:t>
      </w:r>
    </w:p>
    <w:p w14:paraId="4F0830C2" w14:textId="6B930FDA" w:rsidR="00D27A40" w:rsidRPr="00D27A40" w:rsidRDefault="00D27A40" w:rsidP="00D27A40">
      <w:pPr>
        <w:rPr>
          <w:rFonts w:ascii="Calibri" w:hAnsi="Calibri"/>
        </w:rPr>
      </w:pPr>
      <w:r w:rsidRPr="00D27A40">
        <w:rPr>
          <w:rFonts w:ascii="Calibri" w:hAnsi="Calibri"/>
        </w:rPr>
        <w:t xml:space="preserve">Smith et al. (2003) aggregate the </w:t>
      </w:r>
      <w:r w:rsidR="005D310B">
        <w:rPr>
          <w:rFonts w:ascii="Calibri" w:hAnsi="Calibri"/>
        </w:rPr>
        <w:t xml:space="preserve">FIA </w:t>
      </w:r>
      <w:r w:rsidRPr="00D27A40">
        <w:rPr>
          <w:rFonts w:ascii="Calibri" w:hAnsi="Calibri"/>
        </w:rPr>
        <w:t xml:space="preserve">forest-type </w:t>
      </w:r>
      <w:r w:rsidR="005D310B">
        <w:rPr>
          <w:rFonts w:ascii="Calibri" w:hAnsi="Calibri"/>
        </w:rPr>
        <w:t>super</w:t>
      </w:r>
      <w:r w:rsidRPr="00D27A40">
        <w:rPr>
          <w:rFonts w:ascii="Calibri" w:hAnsi="Calibri"/>
        </w:rPr>
        <w:t xml:space="preserve">groups into a smaller set of forest types. For the south central region of the United States, which includes Texas, Smith et al. (2003) </w:t>
      </w:r>
      <w:r w:rsidR="005D310B">
        <w:rPr>
          <w:rFonts w:ascii="Calibri" w:hAnsi="Calibri"/>
        </w:rPr>
        <w:t>define</w:t>
      </w:r>
      <w:r w:rsidR="005D310B" w:rsidRPr="00D27A40">
        <w:rPr>
          <w:rFonts w:ascii="Calibri" w:hAnsi="Calibri"/>
        </w:rPr>
        <w:t xml:space="preserve"> </w:t>
      </w:r>
      <w:r w:rsidRPr="00D27A40">
        <w:rPr>
          <w:rFonts w:ascii="Calibri" w:hAnsi="Calibri"/>
        </w:rPr>
        <w:t xml:space="preserve">seven forest-type groups (their Table 1). </w:t>
      </w:r>
      <w:r w:rsidR="00FA097E">
        <w:rPr>
          <w:rFonts w:ascii="Calibri" w:hAnsi="Calibri"/>
        </w:rPr>
        <w:t xml:space="preserve">As shown in Table </w:t>
      </w:r>
      <w:r w:rsidR="005E4D1E">
        <w:rPr>
          <w:rFonts w:ascii="Calibri" w:hAnsi="Calibri"/>
        </w:rPr>
        <w:t>2</w:t>
      </w:r>
      <w:r w:rsidR="00FA097E">
        <w:rPr>
          <w:rFonts w:ascii="Calibri" w:hAnsi="Calibri"/>
        </w:rPr>
        <w:t>-5, w</w:t>
      </w:r>
      <w:r w:rsidR="00FA097E" w:rsidRPr="00D27A40">
        <w:rPr>
          <w:rFonts w:ascii="Calibri" w:hAnsi="Calibri"/>
        </w:rPr>
        <w:t xml:space="preserve">e </w:t>
      </w:r>
      <w:r w:rsidRPr="00D27A40">
        <w:rPr>
          <w:rFonts w:ascii="Calibri" w:hAnsi="Calibri"/>
        </w:rPr>
        <w:t xml:space="preserve">further aggregate the Smith et al. (2003) groups </w:t>
      </w:r>
      <w:r w:rsidR="00FA097E">
        <w:rPr>
          <w:rFonts w:ascii="Calibri" w:hAnsi="Calibri"/>
        </w:rPr>
        <w:lastRenderedPageBreak/>
        <w:t xml:space="preserve">into </w:t>
      </w:r>
      <w:r w:rsidRPr="00D27A40">
        <w:rPr>
          <w:rFonts w:ascii="Calibri" w:hAnsi="Calibri"/>
        </w:rPr>
        <w:t>the four forest</w:t>
      </w:r>
      <w:r w:rsidR="005D310B">
        <w:rPr>
          <w:rFonts w:ascii="Calibri" w:hAnsi="Calibri"/>
        </w:rPr>
        <w:t xml:space="preserve"> </w:t>
      </w:r>
      <w:r w:rsidRPr="00D27A40">
        <w:rPr>
          <w:rFonts w:ascii="Calibri" w:hAnsi="Calibri"/>
        </w:rPr>
        <w:t>type</w:t>
      </w:r>
      <w:r w:rsidR="005D310B">
        <w:rPr>
          <w:rFonts w:ascii="Calibri" w:hAnsi="Calibri"/>
        </w:rPr>
        <w:t>s</w:t>
      </w:r>
      <w:r w:rsidRPr="00D27A40">
        <w:rPr>
          <w:rFonts w:ascii="Calibri" w:hAnsi="Calibri"/>
        </w:rPr>
        <w:t xml:space="preserve"> for which Domke et al. (2016) report </w:t>
      </w:r>
      <w:r w:rsidR="00FA097E">
        <w:rPr>
          <w:rFonts w:ascii="Calibri" w:hAnsi="Calibri"/>
        </w:rPr>
        <w:t xml:space="preserve">litter carbon stock </w:t>
      </w:r>
      <w:r w:rsidRPr="00D27A40">
        <w:rPr>
          <w:rFonts w:ascii="Calibri" w:hAnsi="Calibri"/>
        </w:rPr>
        <w:t xml:space="preserve">summary statistics (their Table 1): non-stocked, hardwood, pine, and mixed conifer. </w:t>
      </w:r>
    </w:p>
    <w:p w14:paraId="1DB4A485" w14:textId="46B8DB6D" w:rsidR="00D27A40" w:rsidRPr="00D00409" w:rsidRDefault="00FA097E" w:rsidP="00D27A40">
      <w:pPr>
        <w:rPr>
          <w:rFonts w:ascii="Calibri" w:hAnsi="Calibri"/>
          <w:bCs/>
        </w:rPr>
      </w:pPr>
      <w:r>
        <w:rPr>
          <w:rFonts w:ascii="Calibri" w:hAnsi="Calibri"/>
        </w:rPr>
        <w:t xml:space="preserve">For each plot we find the FRF area covered by each </w:t>
      </w:r>
      <w:r w:rsidR="005D310B">
        <w:rPr>
          <w:rFonts w:ascii="Calibri" w:hAnsi="Calibri"/>
        </w:rPr>
        <w:t xml:space="preserve">Domke </w:t>
      </w:r>
      <w:r>
        <w:rPr>
          <w:rFonts w:ascii="Calibri" w:hAnsi="Calibri"/>
        </w:rPr>
        <w:t>forest</w:t>
      </w:r>
      <w:r w:rsidR="005D310B">
        <w:rPr>
          <w:rFonts w:ascii="Calibri" w:hAnsi="Calibri"/>
        </w:rPr>
        <w:t xml:space="preserve"> </w:t>
      </w:r>
      <w:r>
        <w:rPr>
          <w:rFonts w:ascii="Calibri" w:hAnsi="Calibri"/>
        </w:rPr>
        <w:t>type</w:t>
      </w:r>
      <w:r>
        <w:rPr>
          <w:rFonts w:ascii="Calibri" w:hAnsi="Calibri"/>
          <w:bCs/>
        </w:rPr>
        <w:t xml:space="preserve"> and assign the entire plot to the </w:t>
      </w:r>
      <w:r w:rsidR="005D310B">
        <w:rPr>
          <w:rFonts w:ascii="Calibri" w:hAnsi="Calibri"/>
          <w:bCs/>
        </w:rPr>
        <w:t>type</w:t>
      </w:r>
      <w:r>
        <w:rPr>
          <w:rFonts w:ascii="Calibri" w:hAnsi="Calibri"/>
          <w:bCs/>
        </w:rPr>
        <w:t xml:space="preserve"> covering the largest area</w:t>
      </w:r>
      <w:r w:rsidR="00D27A40" w:rsidRPr="00D27A40">
        <w:rPr>
          <w:rFonts w:ascii="Calibri" w:hAnsi="Calibri"/>
          <w:bCs/>
        </w:rPr>
        <w:t>. In a limited number of cases (9 plots in the previous measurement period), multiple forest types account for identical fractions of the plot area. In such cases, we institute the preferred order of assignment: pine &gt; hardwood &gt; mixed conifer &gt; non-stocked. That is, we preferentially assign the plot as stocked forest rather than non-stocked forest; among the stocked forest types, we preferentially assign the forest type with the smallest standard deviation for litter carbon stock as given by Domke et al. (2016).</w:t>
      </w:r>
    </w:p>
    <w:p w14:paraId="5B418DFE" w14:textId="4AEA6619" w:rsidR="00D27A40" w:rsidRPr="00D27A40" w:rsidRDefault="00D27A40" w:rsidP="00D27A40">
      <w:pPr>
        <w:rPr>
          <w:rFonts w:ascii="Calibri" w:hAnsi="Calibri"/>
        </w:rPr>
      </w:pPr>
      <w:r w:rsidRPr="00D27A40">
        <w:rPr>
          <w:rFonts w:ascii="Calibri" w:hAnsi="Calibri"/>
        </w:rPr>
        <w:t xml:space="preserve">To estimate model-based </w:t>
      </w:r>
      <w:r w:rsidR="00FA097E">
        <w:rPr>
          <w:rFonts w:ascii="Calibri" w:hAnsi="Calibri"/>
        </w:rPr>
        <w:t>uncertainty</w:t>
      </w:r>
      <w:r w:rsidRPr="00D27A40">
        <w:rPr>
          <w:rFonts w:ascii="Calibri" w:hAnsi="Calibri"/>
        </w:rPr>
        <w:t xml:space="preserve">, we </w:t>
      </w:r>
      <w:r w:rsidR="00FA097E">
        <w:rPr>
          <w:rFonts w:ascii="Calibri" w:hAnsi="Calibri"/>
        </w:rPr>
        <w:t xml:space="preserve">use </w:t>
      </w:r>
      <w:r w:rsidRPr="00D27A40">
        <w:rPr>
          <w:rFonts w:ascii="Calibri" w:hAnsi="Calibri"/>
        </w:rPr>
        <w:t xml:space="preserve">Monte Carlo </w:t>
      </w:r>
      <w:r w:rsidR="00FA097E">
        <w:rPr>
          <w:rFonts w:ascii="Calibri" w:hAnsi="Calibri"/>
        </w:rPr>
        <w:t xml:space="preserve">simulation to </w:t>
      </w:r>
      <w:r w:rsidRPr="00D27A40">
        <w:rPr>
          <w:rFonts w:ascii="Calibri" w:hAnsi="Calibri"/>
        </w:rPr>
        <w:t xml:space="preserve">generate distributions of litter carbon stock for </w:t>
      </w:r>
      <w:r w:rsidR="00FA097E">
        <w:rPr>
          <w:rFonts w:ascii="Calibri" w:hAnsi="Calibri"/>
        </w:rPr>
        <w:t xml:space="preserve">time step </w:t>
      </w:r>
      <w:r w:rsidR="00FA097E" w:rsidRPr="003B4036">
        <w:rPr>
          <w:rFonts w:ascii="Calibri" w:hAnsi="Calibri"/>
          <w:i/>
        </w:rPr>
        <w:t>t</w:t>
      </w:r>
      <w:r w:rsidR="00FA097E">
        <w:rPr>
          <w:rFonts w:ascii="Calibri" w:hAnsi="Calibri"/>
        </w:rPr>
        <w:t xml:space="preserve"> and </w:t>
      </w:r>
      <w:r w:rsidR="00FA097E" w:rsidRPr="003B4036">
        <w:rPr>
          <w:rFonts w:ascii="Calibri" w:hAnsi="Calibri"/>
          <w:i/>
        </w:rPr>
        <w:t>t+1</w:t>
      </w:r>
      <w:r w:rsidR="00FA097E">
        <w:rPr>
          <w:rFonts w:ascii="Calibri" w:hAnsi="Calibri"/>
        </w:rPr>
        <w:t xml:space="preserve"> for each plot</w:t>
      </w:r>
      <w:r w:rsidRPr="00D27A40">
        <w:rPr>
          <w:rFonts w:ascii="Calibri" w:hAnsi="Calibri"/>
        </w:rPr>
        <w:t xml:space="preserve">. We assume that plot-level carbon stocks in the two </w:t>
      </w:r>
      <w:r w:rsidR="005D310B">
        <w:rPr>
          <w:rFonts w:ascii="Calibri" w:hAnsi="Calibri"/>
        </w:rPr>
        <w:t xml:space="preserve">time steps </w:t>
      </w:r>
      <w:r w:rsidRPr="00D27A40">
        <w:rPr>
          <w:rFonts w:ascii="Calibri" w:hAnsi="Calibri"/>
        </w:rPr>
        <w:t>are jointly</w:t>
      </w:r>
      <w:r w:rsidR="00FA097E">
        <w:rPr>
          <w:rFonts w:ascii="Calibri" w:hAnsi="Calibri"/>
        </w:rPr>
        <w:t xml:space="preserve"> normally</w:t>
      </w:r>
      <w:r w:rsidRPr="00D27A40">
        <w:rPr>
          <w:rFonts w:ascii="Calibri" w:hAnsi="Calibri"/>
        </w:rPr>
        <w:t xml:space="preserve"> distributed with positive covariance</w:t>
      </w:r>
      <w:r w:rsidR="005D310B">
        <w:rPr>
          <w:rFonts w:ascii="Calibri" w:hAnsi="Calibri"/>
        </w:rPr>
        <w:t>, using</w:t>
      </w:r>
      <w:r w:rsidRPr="00D27A40">
        <w:rPr>
          <w:rFonts w:ascii="Calibri" w:hAnsi="Calibri"/>
        </w:rPr>
        <w:t xml:space="preserve"> mean carbon stock by forest type given by Table 1 of Domke et al. (2016) for the southern United States. </w:t>
      </w:r>
    </w:p>
    <w:p w14:paraId="4BD9AA51" w14:textId="7FBE51C5" w:rsidR="00D27A40" w:rsidRPr="00D27A40" w:rsidRDefault="00D27A40" w:rsidP="00D27A40">
      <w:pPr>
        <w:rPr>
          <w:rFonts w:ascii="Calibri" w:hAnsi="Calibri"/>
        </w:rPr>
      </w:pPr>
      <w:r w:rsidRPr="00D27A40">
        <w:rPr>
          <w:rFonts w:ascii="Calibri" w:hAnsi="Calibri"/>
        </w:rPr>
        <w:t>The</w:t>
      </w:r>
      <w:r w:rsidR="00FA097E">
        <w:rPr>
          <w:rFonts w:ascii="Calibri" w:hAnsi="Calibri"/>
        </w:rPr>
        <w:t xml:space="preserve"> </w:t>
      </w:r>
      <w:r w:rsidR="00FA097E" w:rsidRPr="003B4036">
        <w:rPr>
          <w:rFonts w:ascii="Calibri" w:hAnsi="Calibri"/>
          <w:i/>
        </w:rPr>
        <w:t>t+1</w:t>
      </w:r>
      <w:r w:rsidRPr="00D27A40">
        <w:rPr>
          <w:rFonts w:ascii="Calibri" w:hAnsi="Calibri"/>
        </w:rPr>
        <w:t xml:space="preserve"> litter carbon stock </w:t>
      </w:r>
      <w:r w:rsidR="005D310B">
        <w:rPr>
          <w:rFonts w:ascii="Calibri" w:hAnsi="Calibri"/>
        </w:rPr>
        <w:t xml:space="preserve">mean </w:t>
      </w:r>
      <w:r w:rsidRPr="00D27A40">
        <w:rPr>
          <w:rFonts w:ascii="Calibri" w:hAnsi="Calibri"/>
        </w:rPr>
        <w:t>is increased by 0.06 metric tons CO</w:t>
      </w:r>
      <w:r w:rsidRPr="00D27A40">
        <w:rPr>
          <w:rFonts w:ascii="Calibri" w:hAnsi="Calibri"/>
          <w:vertAlign w:val="subscript"/>
        </w:rPr>
        <w:t>2</w:t>
      </w:r>
      <w:r w:rsidRPr="00D27A40">
        <w:rPr>
          <w:rFonts w:ascii="Calibri" w:hAnsi="Calibri"/>
        </w:rPr>
        <w:t xml:space="preserve"> ha</w:t>
      </w:r>
      <w:r w:rsidRPr="00D27A40">
        <w:rPr>
          <w:rFonts w:ascii="Calibri" w:hAnsi="Calibri"/>
          <w:vertAlign w:val="superscript"/>
        </w:rPr>
        <w:t>-1</w:t>
      </w:r>
      <w:r w:rsidR="005D310B">
        <w:rPr>
          <w:rFonts w:ascii="Calibri" w:hAnsi="Calibri"/>
        </w:rPr>
        <w:t xml:space="preserve"> for each forest type,</w:t>
      </w:r>
      <w:r w:rsidRPr="00D27A40">
        <w:rPr>
          <w:rFonts w:ascii="Calibri" w:hAnsi="Calibri"/>
        </w:rPr>
        <w:t xml:space="preserve"> </w:t>
      </w:r>
      <w:r w:rsidR="005D310B">
        <w:rPr>
          <w:rFonts w:ascii="Calibri" w:hAnsi="Calibri"/>
        </w:rPr>
        <w:t>such</w:t>
      </w:r>
      <w:r w:rsidR="005D310B" w:rsidRPr="00D27A40">
        <w:rPr>
          <w:rFonts w:ascii="Calibri" w:hAnsi="Calibri"/>
        </w:rPr>
        <w:t xml:space="preserve"> </w:t>
      </w:r>
      <w:r w:rsidRPr="00D27A40">
        <w:rPr>
          <w:rFonts w:ascii="Calibri" w:hAnsi="Calibri"/>
        </w:rPr>
        <w:t xml:space="preserve">that the </w:t>
      </w:r>
      <w:r w:rsidR="00BA5DAA">
        <w:rPr>
          <w:rFonts w:ascii="Calibri" w:hAnsi="Calibri"/>
        </w:rPr>
        <w:t xml:space="preserve">plot-level </w:t>
      </w:r>
      <w:r w:rsidRPr="00D27A40">
        <w:rPr>
          <w:rFonts w:ascii="Calibri" w:hAnsi="Calibri"/>
        </w:rPr>
        <w:t>sequestration rate wi</w:t>
      </w:r>
      <w:r w:rsidR="00C93E96">
        <w:rPr>
          <w:rFonts w:ascii="Calibri" w:hAnsi="Calibri"/>
        </w:rPr>
        <w:t xml:space="preserve">ll be identical to the national </w:t>
      </w:r>
      <w:r w:rsidRPr="00D27A40">
        <w:rPr>
          <w:rFonts w:ascii="Calibri" w:hAnsi="Calibri"/>
        </w:rPr>
        <w:t xml:space="preserve">average </w:t>
      </w:r>
      <w:r w:rsidR="00C93E96">
        <w:rPr>
          <w:rFonts w:ascii="Calibri" w:hAnsi="Calibri"/>
        </w:rPr>
        <w:t xml:space="preserve">litter carbon </w:t>
      </w:r>
      <w:r w:rsidRPr="00D27A40">
        <w:rPr>
          <w:rFonts w:ascii="Calibri" w:hAnsi="Calibri"/>
        </w:rPr>
        <w:t>sequestration rate</w:t>
      </w:r>
      <w:r w:rsidR="00C93E96">
        <w:rPr>
          <w:rFonts w:ascii="Calibri" w:hAnsi="Calibri"/>
        </w:rPr>
        <w:t xml:space="preserve">. We estimated the national </w:t>
      </w:r>
      <w:r w:rsidRPr="00D27A40">
        <w:rPr>
          <w:rFonts w:ascii="Calibri" w:hAnsi="Calibri"/>
        </w:rPr>
        <w:t>average annual carbon flux per ha (sequestration of 0.06 metric tons CO</w:t>
      </w:r>
      <w:r w:rsidRPr="00D27A40">
        <w:rPr>
          <w:rFonts w:ascii="Calibri" w:hAnsi="Calibri"/>
          <w:vertAlign w:val="subscript"/>
        </w:rPr>
        <w:t>2</w:t>
      </w:r>
      <w:r w:rsidRPr="00D27A40">
        <w:rPr>
          <w:rFonts w:ascii="Calibri" w:hAnsi="Calibri"/>
        </w:rPr>
        <w:t xml:space="preserve"> ha</w:t>
      </w:r>
      <w:r w:rsidRPr="00D27A40">
        <w:rPr>
          <w:rFonts w:ascii="Calibri" w:hAnsi="Calibri"/>
          <w:vertAlign w:val="superscript"/>
        </w:rPr>
        <w:t>-1</w:t>
      </w:r>
      <w:r w:rsidRPr="00D27A40">
        <w:rPr>
          <w:rFonts w:ascii="Calibri" w:hAnsi="Calibri"/>
        </w:rPr>
        <w:t xml:space="preserve"> y</w:t>
      </w:r>
      <w:r w:rsidRPr="00D27A40">
        <w:rPr>
          <w:rFonts w:ascii="Calibri" w:hAnsi="Calibri"/>
          <w:vertAlign w:val="superscript"/>
        </w:rPr>
        <w:t>-1</w:t>
      </w:r>
      <w:r w:rsidRPr="00D27A40">
        <w:rPr>
          <w:rFonts w:ascii="Calibri" w:hAnsi="Calibri"/>
        </w:rPr>
        <w:t xml:space="preserve">) from forest litter for FRF by dividing the total national carbon sequestration for 2016 for FRF </w:t>
      </w:r>
      <w:r w:rsidR="00C93E96">
        <w:rPr>
          <w:rFonts w:ascii="Calibri" w:hAnsi="Calibri"/>
        </w:rPr>
        <w:t xml:space="preserve">litter </w:t>
      </w:r>
      <w:r w:rsidRPr="00D27A40">
        <w:rPr>
          <w:rFonts w:ascii="Calibri" w:hAnsi="Calibri"/>
        </w:rPr>
        <w:t>(16.1 MMT CO</w:t>
      </w:r>
      <w:r w:rsidRPr="00D27A40">
        <w:rPr>
          <w:rFonts w:ascii="Calibri" w:hAnsi="Calibri"/>
          <w:vertAlign w:val="subscript"/>
        </w:rPr>
        <w:t>2</w:t>
      </w:r>
      <w:r w:rsidRPr="00D27A40">
        <w:rPr>
          <w:rFonts w:ascii="Calibri" w:hAnsi="Calibri"/>
        </w:rPr>
        <w:t xml:space="preserve"> y</w:t>
      </w:r>
      <w:r w:rsidRPr="00D27A40">
        <w:rPr>
          <w:rFonts w:ascii="Calibri" w:hAnsi="Calibri"/>
          <w:vertAlign w:val="superscript"/>
        </w:rPr>
        <w:t>-1</w:t>
      </w:r>
      <w:r w:rsidRPr="00D27A40">
        <w:rPr>
          <w:rFonts w:ascii="Calibri" w:hAnsi="Calibri"/>
        </w:rPr>
        <w:t xml:space="preserve">; Table 6.10 of NGHGI, 2018) by the total national FRF area in 2016 (272,260,000 ha; Table 6.12 of NGHGI, 2018). </w:t>
      </w:r>
    </w:p>
    <w:p w14:paraId="3EFEE6ED" w14:textId="59546315" w:rsidR="00D27A40" w:rsidRPr="00D27A40" w:rsidRDefault="00D27A40" w:rsidP="00D27A40">
      <w:pPr>
        <w:rPr>
          <w:rFonts w:ascii="Calibri" w:hAnsi="Calibri"/>
        </w:rPr>
      </w:pPr>
      <w:r w:rsidRPr="00D27A40">
        <w:rPr>
          <w:rFonts w:ascii="Calibri" w:hAnsi="Calibri"/>
        </w:rPr>
        <w:t>For each forest type, we assign the variance of the litter carbon stock as the modeling mean-squared error for litter carbon reported by the NGHGI (Annex 3.13</w:t>
      </w:r>
      <w:r w:rsidR="005E11D2">
        <w:rPr>
          <w:rFonts w:ascii="Calibri" w:hAnsi="Calibri"/>
        </w:rPr>
        <w:t>, NGHGI, 2018</w:t>
      </w:r>
      <w:r w:rsidRPr="00D27A40">
        <w:rPr>
          <w:rFonts w:ascii="Calibri" w:hAnsi="Calibri"/>
        </w:rPr>
        <w:t>): 1050 [metric tons CO</w:t>
      </w:r>
      <w:r w:rsidRPr="00D27A40">
        <w:rPr>
          <w:rFonts w:ascii="Calibri" w:hAnsi="Calibri"/>
          <w:vertAlign w:val="subscript"/>
        </w:rPr>
        <w:t>2</w:t>
      </w:r>
      <w:r w:rsidRPr="00D27A40">
        <w:rPr>
          <w:rFonts w:ascii="Calibri" w:hAnsi="Calibri"/>
        </w:rPr>
        <w:t xml:space="preserve"> ha</w:t>
      </w:r>
      <w:r w:rsidRPr="00D27A40">
        <w:rPr>
          <w:rFonts w:ascii="Calibri" w:hAnsi="Calibri"/>
          <w:vertAlign w:val="superscript"/>
        </w:rPr>
        <w:t>-1</w:t>
      </w:r>
      <w:r w:rsidRPr="00D27A40">
        <w:rPr>
          <w:rFonts w:ascii="Calibri" w:hAnsi="Calibri"/>
        </w:rPr>
        <w:t>]</w:t>
      </w:r>
      <w:r w:rsidRPr="00D27A40">
        <w:rPr>
          <w:rFonts w:ascii="Calibri" w:hAnsi="Calibri"/>
          <w:vertAlign w:val="superscript"/>
        </w:rPr>
        <w:t>2</w:t>
      </w:r>
      <w:r w:rsidRPr="00D27A40">
        <w:rPr>
          <w:rFonts w:ascii="Calibri" w:hAnsi="Calibri"/>
        </w:rPr>
        <w:t xml:space="preserve">. </w:t>
      </w:r>
      <w:r w:rsidR="00EE0892">
        <w:rPr>
          <w:rFonts w:ascii="Calibri" w:hAnsi="Calibri"/>
        </w:rPr>
        <w:t>In the base case w</w:t>
      </w:r>
      <w:r w:rsidR="00EE0892" w:rsidRPr="00D27A40">
        <w:rPr>
          <w:rFonts w:ascii="Calibri" w:hAnsi="Calibri"/>
        </w:rPr>
        <w:t xml:space="preserve">e </w:t>
      </w:r>
      <w:r w:rsidRPr="00D27A40">
        <w:rPr>
          <w:rFonts w:ascii="Calibri" w:hAnsi="Calibri"/>
        </w:rPr>
        <w:t>assume a covariance that is 0.999 times the magnitude of the variance</w:t>
      </w:r>
      <w:r w:rsidR="00EE0892">
        <w:rPr>
          <w:rFonts w:ascii="Calibri" w:hAnsi="Calibri"/>
        </w:rPr>
        <w:t xml:space="preserve"> and perform sensitivity analysis on this assumption</w:t>
      </w:r>
      <w:r w:rsidRPr="00D27A40">
        <w:rPr>
          <w:rFonts w:ascii="Calibri" w:hAnsi="Calibri"/>
        </w:rPr>
        <w:t xml:space="preserve">. </w:t>
      </w:r>
    </w:p>
    <w:p w14:paraId="6B1F153C" w14:textId="53CCF826" w:rsidR="00D27A40" w:rsidRPr="00D27A40" w:rsidRDefault="00F322E1" w:rsidP="00D27A40">
      <w:pPr>
        <w:rPr>
          <w:rFonts w:ascii="Calibri" w:hAnsi="Calibri"/>
        </w:rPr>
      </w:pPr>
      <w:r>
        <w:rPr>
          <w:rFonts w:ascii="Calibri" w:hAnsi="Calibri"/>
        </w:rPr>
        <w:t xml:space="preserve">Using the R programming language, we employ </w:t>
      </w:r>
      <w:r w:rsidR="00EE0892">
        <w:rPr>
          <w:rFonts w:ascii="Calibri" w:hAnsi="Calibri"/>
        </w:rPr>
        <w:t xml:space="preserve">the </w:t>
      </w:r>
      <w:r w:rsidR="00D27A40" w:rsidRPr="00D27A40">
        <w:rPr>
          <w:rFonts w:ascii="Calibri" w:hAnsi="Calibri"/>
        </w:rPr>
        <w:t>“rmvnorm” func</w:t>
      </w:r>
      <w:r w:rsidR="00BD016B">
        <w:rPr>
          <w:rFonts w:ascii="Calibri" w:hAnsi="Calibri"/>
        </w:rPr>
        <w:t>tion from the “mvtnorm” package</w:t>
      </w:r>
      <w:r>
        <w:rPr>
          <w:rFonts w:ascii="Calibri" w:hAnsi="Calibri"/>
        </w:rPr>
        <w:t xml:space="preserve"> to generate</w:t>
      </w:r>
      <w:r w:rsidR="00D27A40" w:rsidRPr="00D27A40">
        <w:rPr>
          <w:rFonts w:ascii="Calibri" w:hAnsi="Calibri"/>
        </w:rPr>
        <w:t xml:space="preserve"> 10,000 pairs of litter carbon stock for each plot. Element-by-element subtraction results in a plot-level distribution of annual carbon flux (metric tons CO</w:t>
      </w:r>
      <w:r w:rsidR="00D27A40" w:rsidRPr="00D27A40">
        <w:rPr>
          <w:rFonts w:ascii="Calibri" w:hAnsi="Calibri"/>
          <w:vertAlign w:val="subscript"/>
        </w:rPr>
        <w:t>2</w:t>
      </w:r>
      <w:r w:rsidR="00D27A40" w:rsidRPr="00D27A40">
        <w:rPr>
          <w:rFonts w:ascii="Calibri" w:hAnsi="Calibri"/>
        </w:rPr>
        <w:t xml:space="preserve"> ha</w:t>
      </w:r>
      <w:r w:rsidR="00D27A40" w:rsidRPr="00D27A40">
        <w:rPr>
          <w:rFonts w:ascii="Calibri" w:hAnsi="Calibri"/>
          <w:vertAlign w:val="superscript"/>
        </w:rPr>
        <w:t>-1</w:t>
      </w:r>
      <w:r w:rsidR="00D27A40" w:rsidRPr="00D27A40">
        <w:rPr>
          <w:rFonts w:ascii="Calibri" w:hAnsi="Calibri"/>
        </w:rPr>
        <w:t xml:space="preserve"> y</w:t>
      </w:r>
      <w:r w:rsidR="00D27A40" w:rsidRPr="00D27A40">
        <w:rPr>
          <w:rFonts w:ascii="Calibri" w:hAnsi="Calibri"/>
          <w:vertAlign w:val="superscript"/>
        </w:rPr>
        <w:t>-1</w:t>
      </w:r>
      <w:r w:rsidR="00D27A40" w:rsidRPr="00D27A40">
        <w:rPr>
          <w:rFonts w:ascii="Calibri" w:hAnsi="Calibri"/>
        </w:rPr>
        <w:t>)</w:t>
      </w:r>
      <w:r>
        <w:rPr>
          <w:rFonts w:ascii="Calibri" w:hAnsi="Calibri"/>
        </w:rPr>
        <w:t xml:space="preserve"> </w:t>
      </w:r>
      <w:r w:rsidRPr="00D27A40">
        <w:rPr>
          <w:rFonts w:ascii="Calibri" w:hAnsi="Calibri"/>
        </w:rPr>
        <w:t>(R Core Team, 2018</w:t>
      </w:r>
      <w:r>
        <w:rPr>
          <w:rFonts w:ascii="Calibri" w:hAnsi="Calibri"/>
        </w:rPr>
        <w:t xml:space="preserve">; </w:t>
      </w:r>
      <w:r w:rsidRPr="00D27A40">
        <w:rPr>
          <w:rFonts w:ascii="Calibri" w:hAnsi="Calibri"/>
        </w:rPr>
        <w:t>Genz et al., 2019)</w:t>
      </w:r>
      <w:r w:rsidR="00D27A40" w:rsidRPr="00D27A40">
        <w:rPr>
          <w:rFonts w:ascii="Calibri" w:hAnsi="Calibri"/>
        </w:rPr>
        <w:t xml:space="preserve">. </w:t>
      </w:r>
    </w:p>
    <w:p w14:paraId="02C574DD" w14:textId="35BF3103" w:rsidR="00F322E1" w:rsidRDefault="00D27A40" w:rsidP="00D27A40">
      <w:pPr>
        <w:rPr>
          <w:rFonts w:ascii="Calibri" w:hAnsi="Calibri"/>
        </w:rPr>
      </w:pPr>
      <w:r w:rsidRPr="00D27A40">
        <w:rPr>
          <w:rFonts w:ascii="Calibri" w:hAnsi="Calibri"/>
        </w:rPr>
        <w:t>We apply equations 1–3 from Ogle et al. (2010) to estimate litter carbon stock change for all of eastern Texas</w:t>
      </w:r>
      <w:r w:rsidR="00F322E1">
        <w:rPr>
          <w:rFonts w:ascii="Calibri" w:hAnsi="Calibri"/>
        </w:rPr>
        <w:t xml:space="preserve"> </w:t>
      </w:r>
      <w:r w:rsidRPr="00D27A40">
        <w:rPr>
          <w:rFonts w:ascii="Calibri" w:hAnsi="Calibri"/>
        </w:rPr>
        <w:t xml:space="preserve">and </w:t>
      </w:r>
      <w:r w:rsidR="00F322E1">
        <w:rPr>
          <w:rFonts w:ascii="Calibri" w:hAnsi="Calibri"/>
        </w:rPr>
        <w:t>95% confidence interval</w:t>
      </w:r>
      <w:r w:rsidRPr="00D27A40">
        <w:rPr>
          <w:rFonts w:ascii="Calibri" w:hAnsi="Calibri"/>
        </w:rPr>
        <w:t>. First, the litter carbon stock change</w:t>
      </w:r>
      <w:r w:rsidR="00F322E1">
        <w:rPr>
          <w:rFonts w:ascii="Calibri" w:hAnsi="Calibri"/>
        </w:rPr>
        <w:t xml:space="preserve"> value</w:t>
      </w:r>
      <w:r w:rsidRPr="00D27A40">
        <w:rPr>
          <w:rFonts w:ascii="Calibri" w:hAnsi="Calibri"/>
        </w:rPr>
        <w:t xml:space="preserve"> for </w:t>
      </w:r>
      <w:r w:rsidR="00F322E1">
        <w:rPr>
          <w:rFonts w:ascii="Calibri" w:hAnsi="Calibri"/>
        </w:rPr>
        <w:t xml:space="preserve">each </w:t>
      </w:r>
      <w:r w:rsidRPr="00D27A40">
        <w:rPr>
          <w:rFonts w:ascii="Calibri" w:hAnsi="Calibri"/>
        </w:rPr>
        <w:t xml:space="preserve">Monte Carlo iterate was calculated by multiplying plot-level stock change by </w:t>
      </w:r>
      <w:r w:rsidR="00F322E1">
        <w:rPr>
          <w:rFonts w:ascii="Calibri" w:hAnsi="Calibri"/>
        </w:rPr>
        <w:t xml:space="preserve">area weight </w:t>
      </w:r>
      <w:r w:rsidRPr="00D27A40">
        <w:rPr>
          <w:rFonts w:ascii="Calibri" w:hAnsi="Calibri"/>
        </w:rPr>
        <w:t xml:space="preserve">and then summing this product over all plots (equation 1 of Ogle et al., 2010). </w:t>
      </w:r>
      <w:r w:rsidR="007012CE">
        <w:rPr>
          <w:rFonts w:ascii="Calibri" w:hAnsi="Calibri"/>
        </w:rPr>
        <w:t>E</w:t>
      </w:r>
      <w:r w:rsidRPr="00D27A40">
        <w:rPr>
          <w:rFonts w:ascii="Calibri" w:hAnsi="Calibri"/>
        </w:rPr>
        <w:t xml:space="preserve">ach plot in eastern Texas is assigned to one of nine estimation unit–stratum combinations (here, referred to as “stratum”). For this analysis, </w:t>
      </w:r>
      <w:r w:rsidR="00F322E1">
        <w:rPr>
          <w:rFonts w:ascii="Calibri" w:hAnsi="Calibri"/>
        </w:rPr>
        <w:t xml:space="preserve">all </w:t>
      </w:r>
      <w:r w:rsidRPr="00D27A40">
        <w:rPr>
          <w:rFonts w:ascii="Calibri" w:hAnsi="Calibri"/>
        </w:rPr>
        <w:t>plot</w:t>
      </w:r>
      <w:r w:rsidR="00F322E1">
        <w:rPr>
          <w:rFonts w:ascii="Calibri" w:hAnsi="Calibri"/>
        </w:rPr>
        <w:t>s within</w:t>
      </w:r>
      <w:r w:rsidRPr="00D27A40">
        <w:rPr>
          <w:rFonts w:ascii="Calibri" w:hAnsi="Calibri"/>
        </w:rPr>
        <w:t xml:space="preserve"> a stratum </w:t>
      </w:r>
      <w:r w:rsidR="00F322E1">
        <w:rPr>
          <w:rFonts w:ascii="Calibri" w:hAnsi="Calibri"/>
        </w:rPr>
        <w:t xml:space="preserve">are </w:t>
      </w:r>
      <w:r w:rsidRPr="00D27A40">
        <w:rPr>
          <w:rFonts w:ascii="Calibri" w:hAnsi="Calibri"/>
        </w:rPr>
        <w:t xml:space="preserve">assigned the same area weight. The area weights for each stratum were calculated by dividing the area (ha) of FRF land by the number of FRF-containing plots in that stratum. </w:t>
      </w:r>
    </w:p>
    <w:p w14:paraId="6F1B774F" w14:textId="58502637" w:rsidR="00F322E1" w:rsidRDefault="00D27A40" w:rsidP="00D27A40">
      <w:pPr>
        <w:rPr>
          <w:rFonts w:ascii="Calibri" w:hAnsi="Calibri"/>
        </w:rPr>
      </w:pPr>
      <w:r w:rsidRPr="00D27A40">
        <w:rPr>
          <w:rFonts w:ascii="Calibri" w:hAnsi="Calibri"/>
        </w:rPr>
        <w:t xml:space="preserve">Second, the mean annual litter carbon stock change was calculated by taking the average of the 10,000 iterates (equation 2 of Ogle et al., 2010). </w:t>
      </w:r>
      <w:r w:rsidR="00F322E1">
        <w:rPr>
          <w:rFonts w:ascii="Calibri" w:hAnsi="Calibri"/>
        </w:rPr>
        <w:t>Third</w:t>
      </w:r>
      <w:r w:rsidRPr="00D27A40">
        <w:rPr>
          <w:rFonts w:ascii="Calibri" w:hAnsi="Calibri"/>
        </w:rPr>
        <w:t xml:space="preserve">, the model-based variance (equation 3 of Ogle et al., 2010) was calculated using the outputs of equations 1 and 2. </w:t>
      </w:r>
    </w:p>
    <w:p w14:paraId="6BE3748F" w14:textId="15D6E081" w:rsidR="00D27A40" w:rsidRPr="00D27A40" w:rsidRDefault="00D27A40" w:rsidP="00D27A40">
      <w:pPr>
        <w:rPr>
          <w:rFonts w:ascii="Calibri" w:hAnsi="Calibri"/>
        </w:rPr>
      </w:pPr>
      <w:r w:rsidRPr="00D27A40">
        <w:rPr>
          <w:rFonts w:ascii="Calibri" w:hAnsi="Calibri"/>
        </w:rPr>
        <w:t>In this analysis, the annual sequestration rate for every plot is forced to the national sequestration rate; therefore, we are unable to calculate a sampling error associated with litter carbon flux.</w:t>
      </w:r>
    </w:p>
    <w:p w14:paraId="406A7921" w14:textId="67E771AF" w:rsidR="00D27A40" w:rsidRPr="00D27A40" w:rsidRDefault="00D27A40" w:rsidP="00D27A40">
      <w:pPr>
        <w:rPr>
          <w:rFonts w:ascii="Calibri" w:hAnsi="Calibri"/>
        </w:rPr>
      </w:pPr>
      <w:r w:rsidRPr="00D27A40">
        <w:rPr>
          <w:rFonts w:ascii="Calibri" w:hAnsi="Calibri"/>
        </w:rPr>
        <w:lastRenderedPageBreak/>
        <w:t xml:space="preserve">We derive the 95% confidence interval </w:t>
      </w:r>
      <w:r w:rsidR="00EC0560">
        <w:rPr>
          <w:rFonts w:ascii="Calibri" w:hAnsi="Calibri"/>
        </w:rPr>
        <w:t>from the distribution of 10,000 iterates</w:t>
      </w:r>
      <w:r w:rsidRPr="00D27A40">
        <w:rPr>
          <w:rFonts w:ascii="Calibri" w:hAnsi="Calibri"/>
        </w:rPr>
        <w:t xml:space="preserve">. To estimate the 95% confidence interval for litter carbon stock change in the entire United States, we apply the </w:t>
      </w:r>
      <w:r w:rsidR="00EC0560">
        <w:rPr>
          <w:rFonts w:ascii="Calibri" w:hAnsi="Calibri"/>
        </w:rPr>
        <w:t>percentage</w:t>
      </w:r>
      <w:r w:rsidRPr="00D27A40">
        <w:rPr>
          <w:rFonts w:ascii="Calibri" w:hAnsi="Calibri"/>
        </w:rPr>
        <w:t xml:space="preserve"> error</w:t>
      </w:r>
      <w:r w:rsidR="00EC0560">
        <w:rPr>
          <w:rFonts w:ascii="Calibri" w:hAnsi="Calibri"/>
        </w:rPr>
        <w:t>s</w:t>
      </w:r>
      <w:r w:rsidRPr="00D27A40">
        <w:rPr>
          <w:rFonts w:ascii="Calibri" w:hAnsi="Calibri"/>
        </w:rPr>
        <w:t xml:space="preserve"> for eastern Texas to the mean U.S. litter carbon stock change for 2016 from NGHGI (2018). </w:t>
      </w:r>
    </w:p>
    <w:p w14:paraId="155B92AA" w14:textId="77777777" w:rsidR="00EE47F1" w:rsidRDefault="00EE47F1" w:rsidP="00183FB4">
      <w:pPr>
        <w:rPr>
          <w:rFonts w:ascii="Calibri" w:hAnsi="Calibri"/>
          <w:b/>
          <w:highlight w:val="lightGray"/>
        </w:rPr>
      </w:pPr>
    </w:p>
    <w:p w14:paraId="2E1819DA" w14:textId="03D404ED" w:rsidR="00183FB4" w:rsidRPr="00D27A40" w:rsidRDefault="00183FB4" w:rsidP="00183FB4">
      <w:pPr>
        <w:rPr>
          <w:rFonts w:ascii="Calibri" w:hAnsi="Calibri"/>
          <w:b/>
          <w:bCs/>
          <w:i/>
          <w:iCs/>
        </w:rPr>
      </w:pPr>
      <w:r w:rsidRPr="0026461F">
        <w:rPr>
          <w:rFonts w:ascii="Calibri" w:hAnsi="Calibri"/>
          <w:b/>
          <w:i/>
          <w:iCs/>
          <w:color w:val="44546A" w:themeColor="text2"/>
        </w:rPr>
        <w:t>Table</w:t>
      </w:r>
      <w:r w:rsidR="00E718F8">
        <w:rPr>
          <w:rFonts w:ascii="Calibri" w:hAnsi="Calibri"/>
          <w:b/>
          <w:i/>
          <w:iCs/>
          <w:color w:val="44546A" w:themeColor="text2"/>
        </w:rPr>
        <w:t xml:space="preserve"> </w:t>
      </w:r>
      <w:r w:rsidR="005E4D1E">
        <w:rPr>
          <w:rFonts w:ascii="Calibri" w:hAnsi="Calibri"/>
          <w:b/>
          <w:i/>
          <w:iCs/>
          <w:color w:val="44546A" w:themeColor="text2"/>
        </w:rPr>
        <w:t>2</w:t>
      </w:r>
      <w:r w:rsidR="0026461F" w:rsidRPr="0026461F">
        <w:rPr>
          <w:rFonts w:ascii="Calibri" w:hAnsi="Calibri"/>
          <w:b/>
          <w:i/>
          <w:iCs/>
          <w:color w:val="44546A" w:themeColor="text2"/>
        </w:rPr>
        <w:t>-</w:t>
      </w:r>
      <w:r w:rsidR="005D310B">
        <w:rPr>
          <w:rFonts w:ascii="Calibri" w:hAnsi="Calibri"/>
          <w:b/>
          <w:i/>
          <w:iCs/>
          <w:color w:val="44546A" w:themeColor="text2"/>
        </w:rPr>
        <w:t>5</w:t>
      </w:r>
      <w:r w:rsidRPr="0026461F">
        <w:rPr>
          <w:rFonts w:ascii="Calibri" w:hAnsi="Calibri"/>
          <w:b/>
          <w:i/>
          <w:iCs/>
          <w:color w:val="44546A" w:themeColor="text2"/>
        </w:rPr>
        <w:t xml:space="preserve">: </w:t>
      </w:r>
      <w:r w:rsidR="006639BB" w:rsidRPr="0026461F">
        <w:rPr>
          <w:rFonts w:ascii="Calibri" w:hAnsi="Calibri"/>
          <w:b/>
          <w:i/>
          <w:iCs/>
          <w:color w:val="44546A" w:themeColor="text2"/>
        </w:rPr>
        <w:t>Classification key used to assign</w:t>
      </w:r>
      <w:r w:rsidR="00F322E1">
        <w:rPr>
          <w:rFonts w:ascii="Calibri" w:hAnsi="Calibri"/>
          <w:b/>
          <w:i/>
          <w:iCs/>
          <w:color w:val="44546A" w:themeColor="text2"/>
        </w:rPr>
        <w:t xml:space="preserve"> plot</w:t>
      </w:r>
      <w:r w:rsidR="006639BB" w:rsidRPr="0026461F">
        <w:rPr>
          <w:rFonts w:ascii="Calibri" w:hAnsi="Calibri"/>
          <w:b/>
          <w:i/>
          <w:iCs/>
          <w:color w:val="44546A" w:themeColor="text2"/>
        </w:rPr>
        <w:t xml:space="preserve"> forest type</w:t>
      </w:r>
    </w:p>
    <w:tbl>
      <w:tblPr>
        <w:tblStyle w:val="TableGrid"/>
        <w:tblW w:w="5000" w:type="pct"/>
        <w:tblLook w:val="04A0" w:firstRow="1" w:lastRow="0" w:firstColumn="1" w:lastColumn="0" w:noHBand="0" w:noVBand="1"/>
      </w:tblPr>
      <w:tblGrid>
        <w:gridCol w:w="3420"/>
        <w:gridCol w:w="2964"/>
        <w:gridCol w:w="2966"/>
      </w:tblGrid>
      <w:tr w:rsidR="00183FB4" w:rsidRPr="00D27A40" w14:paraId="6284762A" w14:textId="1F66448F" w:rsidTr="00C93E96">
        <w:trPr>
          <w:trHeight w:val="1029"/>
        </w:trPr>
        <w:tc>
          <w:tcPr>
            <w:tcW w:w="1829" w:type="pct"/>
            <w:shd w:val="clear" w:color="auto" w:fill="FFC000"/>
            <w:vAlign w:val="center"/>
          </w:tcPr>
          <w:p w14:paraId="6DA4959C" w14:textId="04F36F8B" w:rsidR="00183FB4" w:rsidRPr="00BA185F" w:rsidRDefault="00183FB4" w:rsidP="00CE32DB">
            <w:pPr>
              <w:spacing w:after="160" w:line="259" w:lineRule="auto"/>
              <w:jc w:val="center"/>
              <w:rPr>
                <w:rFonts w:ascii="Calibri" w:hAnsi="Calibri"/>
                <w:b/>
                <w:sz w:val="18"/>
                <w:szCs w:val="18"/>
              </w:rPr>
            </w:pPr>
            <w:r w:rsidRPr="00BA185F">
              <w:rPr>
                <w:rFonts w:ascii="Calibri" w:hAnsi="Calibri"/>
                <w:b/>
                <w:sz w:val="18"/>
                <w:szCs w:val="18"/>
              </w:rPr>
              <w:t>Forest type from FIA Database</w:t>
            </w:r>
          </w:p>
        </w:tc>
        <w:tc>
          <w:tcPr>
            <w:tcW w:w="1585" w:type="pct"/>
            <w:shd w:val="clear" w:color="auto" w:fill="FFC000"/>
            <w:vAlign w:val="center"/>
          </w:tcPr>
          <w:p w14:paraId="5E0C8492" w14:textId="0A0AD49B" w:rsidR="00183FB4" w:rsidRPr="00BA185F" w:rsidRDefault="00183FB4" w:rsidP="00CE32DB">
            <w:pPr>
              <w:spacing w:after="160" w:line="259" w:lineRule="auto"/>
              <w:jc w:val="center"/>
              <w:rPr>
                <w:rFonts w:ascii="Calibri" w:hAnsi="Calibri"/>
                <w:b/>
                <w:sz w:val="18"/>
                <w:szCs w:val="18"/>
              </w:rPr>
            </w:pPr>
            <w:r w:rsidRPr="00BA185F">
              <w:rPr>
                <w:rFonts w:ascii="Calibri" w:hAnsi="Calibri"/>
                <w:b/>
                <w:sz w:val="18"/>
                <w:szCs w:val="18"/>
              </w:rPr>
              <w:t>Forest type from Smith et al. (2003)</w:t>
            </w:r>
          </w:p>
        </w:tc>
        <w:tc>
          <w:tcPr>
            <w:tcW w:w="1586" w:type="pct"/>
            <w:shd w:val="clear" w:color="auto" w:fill="FFC000"/>
            <w:vAlign w:val="center"/>
          </w:tcPr>
          <w:p w14:paraId="3160F5B8" w14:textId="073A90F0" w:rsidR="00183FB4" w:rsidRPr="00BA185F" w:rsidRDefault="00183FB4" w:rsidP="00942002">
            <w:pPr>
              <w:jc w:val="center"/>
              <w:rPr>
                <w:rFonts w:ascii="Calibri" w:hAnsi="Calibri"/>
                <w:b/>
                <w:sz w:val="18"/>
                <w:szCs w:val="18"/>
              </w:rPr>
            </w:pPr>
            <w:r w:rsidRPr="00BA185F">
              <w:rPr>
                <w:rFonts w:ascii="Calibri" w:hAnsi="Calibri"/>
                <w:b/>
                <w:sz w:val="18"/>
                <w:szCs w:val="18"/>
              </w:rPr>
              <w:t xml:space="preserve">Forest type </w:t>
            </w:r>
            <w:r w:rsidR="005D310B">
              <w:rPr>
                <w:rFonts w:ascii="Calibri" w:hAnsi="Calibri"/>
                <w:b/>
                <w:sz w:val="18"/>
                <w:szCs w:val="18"/>
              </w:rPr>
              <w:t>from Domke et al. (2016)</w:t>
            </w:r>
          </w:p>
        </w:tc>
      </w:tr>
      <w:tr w:rsidR="00183FB4" w:rsidRPr="00D27A40" w14:paraId="539C6DD7" w14:textId="06209620" w:rsidTr="00307EF9">
        <w:tc>
          <w:tcPr>
            <w:tcW w:w="1829" w:type="pct"/>
            <w:vAlign w:val="center"/>
          </w:tcPr>
          <w:p w14:paraId="63649FFB" w14:textId="5B6A26AC" w:rsidR="00183FB4" w:rsidRPr="00BA185F" w:rsidRDefault="00183FB4" w:rsidP="00307EF9">
            <w:pPr>
              <w:spacing w:after="160" w:line="259" w:lineRule="auto"/>
              <w:jc w:val="center"/>
              <w:rPr>
                <w:rFonts w:ascii="Calibri" w:hAnsi="Calibri"/>
                <w:b/>
                <w:sz w:val="18"/>
                <w:szCs w:val="18"/>
              </w:rPr>
            </w:pPr>
            <w:r w:rsidRPr="00BA185F">
              <w:rPr>
                <w:rFonts w:ascii="Calibri" w:hAnsi="Calibri"/>
                <w:sz w:val="18"/>
                <w:szCs w:val="18"/>
              </w:rPr>
              <w:t>Oak–Gum–Cypress</w:t>
            </w:r>
          </w:p>
        </w:tc>
        <w:tc>
          <w:tcPr>
            <w:tcW w:w="1585" w:type="pct"/>
            <w:vMerge w:val="restart"/>
            <w:vAlign w:val="center"/>
          </w:tcPr>
          <w:p w14:paraId="265A5E71" w14:textId="2B5CCC5D" w:rsidR="00183FB4" w:rsidRPr="00BA185F" w:rsidRDefault="00183FB4" w:rsidP="00307EF9">
            <w:pPr>
              <w:spacing w:after="160" w:line="259" w:lineRule="auto"/>
              <w:jc w:val="center"/>
              <w:rPr>
                <w:rFonts w:ascii="Calibri" w:hAnsi="Calibri"/>
                <w:sz w:val="18"/>
                <w:szCs w:val="18"/>
              </w:rPr>
            </w:pPr>
            <w:r w:rsidRPr="00BA185F">
              <w:rPr>
                <w:rFonts w:ascii="Calibri" w:hAnsi="Calibri"/>
                <w:sz w:val="18"/>
                <w:szCs w:val="18"/>
              </w:rPr>
              <w:t xml:space="preserve">Bottomland hardwood </w:t>
            </w:r>
            <w:r w:rsidRPr="00BA185F">
              <w:rPr>
                <w:rFonts w:ascii="Calibri" w:hAnsi="Calibri"/>
                <w:sz w:val="18"/>
                <w:szCs w:val="18"/>
                <w:vertAlign w:val="superscript"/>
              </w:rPr>
              <w:t>a</w:t>
            </w:r>
          </w:p>
        </w:tc>
        <w:tc>
          <w:tcPr>
            <w:tcW w:w="1586" w:type="pct"/>
            <w:vMerge w:val="restart"/>
            <w:vAlign w:val="center"/>
          </w:tcPr>
          <w:p w14:paraId="2B2BFFBA" w14:textId="25BC5E36" w:rsidR="00183FB4" w:rsidRPr="00BA185F" w:rsidRDefault="00183FB4" w:rsidP="00307EF9">
            <w:pPr>
              <w:jc w:val="center"/>
              <w:rPr>
                <w:rFonts w:ascii="Calibri" w:hAnsi="Calibri"/>
                <w:sz w:val="18"/>
                <w:szCs w:val="18"/>
              </w:rPr>
            </w:pPr>
            <w:r w:rsidRPr="00BA185F">
              <w:rPr>
                <w:rFonts w:ascii="Calibri" w:hAnsi="Calibri"/>
                <w:sz w:val="18"/>
                <w:szCs w:val="18"/>
              </w:rPr>
              <w:t>Hardwood</w:t>
            </w:r>
          </w:p>
        </w:tc>
      </w:tr>
      <w:tr w:rsidR="00183FB4" w:rsidRPr="00D27A40" w14:paraId="11F319F5" w14:textId="51FE3B97" w:rsidTr="00307EF9">
        <w:tc>
          <w:tcPr>
            <w:tcW w:w="1829" w:type="pct"/>
            <w:vAlign w:val="center"/>
          </w:tcPr>
          <w:p w14:paraId="332EBDD4" w14:textId="4A45ED6F" w:rsidR="00183FB4" w:rsidRPr="00BA185F" w:rsidRDefault="00183FB4" w:rsidP="00307EF9">
            <w:pPr>
              <w:spacing w:after="160" w:line="259" w:lineRule="auto"/>
              <w:jc w:val="center"/>
              <w:rPr>
                <w:rFonts w:ascii="Calibri" w:hAnsi="Calibri"/>
                <w:b/>
                <w:sz w:val="18"/>
                <w:szCs w:val="18"/>
              </w:rPr>
            </w:pPr>
            <w:r w:rsidRPr="00BA185F">
              <w:rPr>
                <w:rFonts w:ascii="Calibri" w:hAnsi="Calibri"/>
                <w:sz w:val="18"/>
                <w:szCs w:val="18"/>
              </w:rPr>
              <w:t>Elm–Ash–Cottonwood</w:t>
            </w:r>
          </w:p>
        </w:tc>
        <w:tc>
          <w:tcPr>
            <w:tcW w:w="1585" w:type="pct"/>
            <w:vMerge/>
            <w:vAlign w:val="center"/>
          </w:tcPr>
          <w:p w14:paraId="233536FF" w14:textId="125A693B" w:rsidR="00183FB4" w:rsidRPr="00BA185F" w:rsidRDefault="00183FB4" w:rsidP="00307EF9">
            <w:pPr>
              <w:spacing w:after="160" w:line="259" w:lineRule="auto"/>
              <w:jc w:val="center"/>
              <w:rPr>
                <w:rFonts w:ascii="Calibri" w:hAnsi="Calibri"/>
                <w:sz w:val="18"/>
                <w:szCs w:val="18"/>
              </w:rPr>
            </w:pPr>
          </w:p>
        </w:tc>
        <w:tc>
          <w:tcPr>
            <w:tcW w:w="1586" w:type="pct"/>
            <w:vMerge/>
            <w:vAlign w:val="center"/>
          </w:tcPr>
          <w:p w14:paraId="2140F277" w14:textId="77777777" w:rsidR="00183FB4" w:rsidRPr="00BA185F" w:rsidRDefault="00183FB4" w:rsidP="00307EF9">
            <w:pPr>
              <w:jc w:val="center"/>
              <w:rPr>
                <w:rFonts w:ascii="Calibri" w:hAnsi="Calibri"/>
                <w:sz w:val="18"/>
                <w:szCs w:val="18"/>
              </w:rPr>
            </w:pPr>
          </w:p>
        </w:tc>
      </w:tr>
      <w:tr w:rsidR="00183FB4" w:rsidRPr="00D27A40" w14:paraId="1230581E" w14:textId="53A27434" w:rsidTr="00307EF9">
        <w:tc>
          <w:tcPr>
            <w:tcW w:w="1829" w:type="pct"/>
            <w:vAlign w:val="center"/>
          </w:tcPr>
          <w:p w14:paraId="36378B8B" w14:textId="3183C09F" w:rsidR="00183FB4" w:rsidRPr="00BA185F" w:rsidRDefault="00183FB4" w:rsidP="00307EF9">
            <w:pPr>
              <w:spacing w:after="160" w:line="259" w:lineRule="auto"/>
              <w:jc w:val="center"/>
              <w:rPr>
                <w:rFonts w:ascii="Calibri" w:hAnsi="Calibri"/>
                <w:b/>
                <w:sz w:val="18"/>
                <w:szCs w:val="18"/>
              </w:rPr>
            </w:pPr>
            <w:r w:rsidRPr="00BA185F">
              <w:rPr>
                <w:rFonts w:ascii="Calibri" w:hAnsi="Calibri"/>
                <w:sz w:val="18"/>
                <w:szCs w:val="18"/>
              </w:rPr>
              <w:t>Oak–Hickory</w:t>
            </w:r>
          </w:p>
        </w:tc>
        <w:tc>
          <w:tcPr>
            <w:tcW w:w="1585" w:type="pct"/>
            <w:vAlign w:val="center"/>
          </w:tcPr>
          <w:p w14:paraId="0BF12E8A" w14:textId="521450BB" w:rsidR="00183FB4" w:rsidRPr="00BA185F" w:rsidRDefault="00183FB4" w:rsidP="00307EF9">
            <w:pPr>
              <w:spacing w:after="160" w:line="259" w:lineRule="auto"/>
              <w:jc w:val="center"/>
              <w:rPr>
                <w:rFonts w:ascii="Calibri" w:hAnsi="Calibri"/>
                <w:sz w:val="18"/>
                <w:szCs w:val="18"/>
              </w:rPr>
            </w:pPr>
            <w:r w:rsidRPr="00BA185F">
              <w:rPr>
                <w:rFonts w:ascii="Calibri" w:hAnsi="Calibri"/>
                <w:sz w:val="18"/>
                <w:szCs w:val="18"/>
              </w:rPr>
              <w:t xml:space="preserve">Upland hardwood </w:t>
            </w:r>
            <w:r w:rsidRPr="00BA185F">
              <w:rPr>
                <w:rFonts w:ascii="Calibri" w:hAnsi="Calibri"/>
                <w:sz w:val="18"/>
                <w:szCs w:val="18"/>
                <w:vertAlign w:val="superscript"/>
              </w:rPr>
              <w:t>a</w:t>
            </w:r>
          </w:p>
        </w:tc>
        <w:tc>
          <w:tcPr>
            <w:tcW w:w="1586" w:type="pct"/>
            <w:vMerge/>
            <w:vAlign w:val="center"/>
          </w:tcPr>
          <w:p w14:paraId="1A50D8D8" w14:textId="77777777" w:rsidR="00183FB4" w:rsidRPr="00BA185F" w:rsidRDefault="00183FB4" w:rsidP="00307EF9">
            <w:pPr>
              <w:jc w:val="center"/>
              <w:rPr>
                <w:rFonts w:ascii="Calibri" w:hAnsi="Calibri"/>
                <w:sz w:val="18"/>
                <w:szCs w:val="18"/>
              </w:rPr>
            </w:pPr>
          </w:p>
        </w:tc>
      </w:tr>
      <w:tr w:rsidR="00183FB4" w:rsidRPr="00D27A40" w14:paraId="23171D3A" w14:textId="77777777" w:rsidTr="00307EF9">
        <w:tc>
          <w:tcPr>
            <w:tcW w:w="1829" w:type="pct"/>
            <w:vAlign w:val="center"/>
          </w:tcPr>
          <w:p w14:paraId="25BB002F" w14:textId="785187F0" w:rsidR="00183FB4" w:rsidRPr="00BA185F" w:rsidDel="00183FB4" w:rsidRDefault="00183FB4" w:rsidP="00307EF9">
            <w:pPr>
              <w:jc w:val="center"/>
              <w:rPr>
                <w:rFonts w:ascii="Calibri" w:hAnsi="Calibri"/>
                <w:b/>
                <w:sz w:val="18"/>
                <w:szCs w:val="18"/>
              </w:rPr>
            </w:pPr>
            <w:r w:rsidRPr="00BA185F">
              <w:rPr>
                <w:rFonts w:ascii="Calibri" w:hAnsi="Calibri"/>
                <w:sz w:val="18"/>
                <w:szCs w:val="18"/>
              </w:rPr>
              <w:t>Woodland hardwoods</w:t>
            </w:r>
          </w:p>
        </w:tc>
        <w:tc>
          <w:tcPr>
            <w:tcW w:w="1585" w:type="pct"/>
            <w:vAlign w:val="center"/>
          </w:tcPr>
          <w:p w14:paraId="1202E31E" w14:textId="3DA4F467" w:rsidR="00183FB4" w:rsidRPr="00BA185F" w:rsidDel="00183FB4" w:rsidRDefault="00183FB4" w:rsidP="00307EF9">
            <w:pPr>
              <w:jc w:val="center"/>
              <w:rPr>
                <w:rFonts w:ascii="Calibri" w:hAnsi="Calibri"/>
                <w:sz w:val="18"/>
                <w:szCs w:val="18"/>
              </w:rPr>
            </w:pPr>
            <w:r w:rsidRPr="00BA185F">
              <w:rPr>
                <w:rFonts w:ascii="Calibri" w:hAnsi="Calibri"/>
                <w:sz w:val="18"/>
                <w:szCs w:val="18"/>
              </w:rPr>
              <w:t>Not indicated</w:t>
            </w:r>
          </w:p>
        </w:tc>
        <w:tc>
          <w:tcPr>
            <w:tcW w:w="1586" w:type="pct"/>
            <w:vMerge/>
            <w:vAlign w:val="center"/>
          </w:tcPr>
          <w:p w14:paraId="13CFB9C9" w14:textId="77777777" w:rsidR="00183FB4" w:rsidRPr="00BA185F" w:rsidRDefault="00183FB4" w:rsidP="00307EF9">
            <w:pPr>
              <w:jc w:val="center"/>
              <w:rPr>
                <w:rFonts w:ascii="Calibri" w:hAnsi="Calibri"/>
                <w:sz w:val="18"/>
                <w:szCs w:val="18"/>
              </w:rPr>
            </w:pPr>
          </w:p>
        </w:tc>
      </w:tr>
      <w:tr w:rsidR="00183FB4" w:rsidRPr="00D27A40" w14:paraId="7465DF85" w14:textId="77777777" w:rsidTr="00307EF9">
        <w:tc>
          <w:tcPr>
            <w:tcW w:w="1829" w:type="pct"/>
            <w:vAlign w:val="center"/>
          </w:tcPr>
          <w:p w14:paraId="23B97F64" w14:textId="6AD9060F" w:rsidR="00183FB4" w:rsidRPr="00BA185F" w:rsidDel="00183FB4" w:rsidRDefault="00183FB4" w:rsidP="00307EF9">
            <w:pPr>
              <w:jc w:val="center"/>
              <w:rPr>
                <w:rFonts w:ascii="Calibri" w:hAnsi="Calibri"/>
                <w:b/>
                <w:sz w:val="18"/>
                <w:szCs w:val="18"/>
              </w:rPr>
            </w:pPr>
            <w:r w:rsidRPr="00BA185F">
              <w:rPr>
                <w:rFonts w:ascii="Calibri" w:hAnsi="Calibri"/>
                <w:sz w:val="18"/>
                <w:szCs w:val="18"/>
              </w:rPr>
              <w:t>Exotic hardwoods</w:t>
            </w:r>
          </w:p>
        </w:tc>
        <w:tc>
          <w:tcPr>
            <w:tcW w:w="1585" w:type="pct"/>
            <w:vAlign w:val="center"/>
          </w:tcPr>
          <w:p w14:paraId="1E58F473" w14:textId="3C082A90" w:rsidR="00183FB4" w:rsidRPr="00BA185F" w:rsidDel="00183FB4" w:rsidRDefault="00183FB4" w:rsidP="00307EF9">
            <w:pPr>
              <w:jc w:val="center"/>
              <w:rPr>
                <w:rFonts w:ascii="Calibri" w:hAnsi="Calibri"/>
                <w:sz w:val="18"/>
                <w:szCs w:val="18"/>
              </w:rPr>
            </w:pPr>
            <w:r w:rsidRPr="00BA185F">
              <w:rPr>
                <w:rFonts w:ascii="Calibri" w:hAnsi="Calibri"/>
                <w:sz w:val="18"/>
                <w:szCs w:val="18"/>
              </w:rPr>
              <w:t>Not indicated</w:t>
            </w:r>
          </w:p>
        </w:tc>
        <w:tc>
          <w:tcPr>
            <w:tcW w:w="1586" w:type="pct"/>
            <w:vMerge/>
            <w:vAlign w:val="center"/>
          </w:tcPr>
          <w:p w14:paraId="55A6A071" w14:textId="77777777" w:rsidR="00183FB4" w:rsidRPr="00BA185F" w:rsidRDefault="00183FB4" w:rsidP="00307EF9">
            <w:pPr>
              <w:jc w:val="center"/>
              <w:rPr>
                <w:rFonts w:ascii="Calibri" w:hAnsi="Calibri"/>
                <w:sz w:val="18"/>
                <w:szCs w:val="18"/>
              </w:rPr>
            </w:pPr>
          </w:p>
        </w:tc>
      </w:tr>
      <w:tr w:rsidR="00183FB4" w:rsidRPr="00D27A40" w14:paraId="656DA5E0" w14:textId="77777777" w:rsidTr="00307EF9">
        <w:tc>
          <w:tcPr>
            <w:tcW w:w="1829" w:type="pct"/>
            <w:vAlign w:val="center"/>
          </w:tcPr>
          <w:p w14:paraId="4878849C" w14:textId="22CA61AA" w:rsidR="00183FB4" w:rsidRPr="00BA185F" w:rsidDel="00183FB4" w:rsidRDefault="00183FB4" w:rsidP="00307EF9">
            <w:pPr>
              <w:jc w:val="center"/>
              <w:rPr>
                <w:rFonts w:ascii="Calibri" w:hAnsi="Calibri"/>
                <w:b/>
                <w:sz w:val="18"/>
                <w:szCs w:val="18"/>
              </w:rPr>
            </w:pPr>
            <w:r w:rsidRPr="00BA185F">
              <w:rPr>
                <w:rFonts w:ascii="Calibri" w:hAnsi="Calibri"/>
                <w:sz w:val="18"/>
                <w:szCs w:val="18"/>
              </w:rPr>
              <w:t>Other hardwoods</w:t>
            </w:r>
          </w:p>
        </w:tc>
        <w:tc>
          <w:tcPr>
            <w:tcW w:w="1585" w:type="pct"/>
            <w:vAlign w:val="center"/>
          </w:tcPr>
          <w:p w14:paraId="52841D47" w14:textId="2055A60A" w:rsidR="00183FB4" w:rsidRPr="00BA185F" w:rsidDel="00183FB4" w:rsidRDefault="00183FB4" w:rsidP="00307EF9">
            <w:pPr>
              <w:jc w:val="center"/>
              <w:rPr>
                <w:rFonts w:ascii="Calibri" w:hAnsi="Calibri"/>
                <w:sz w:val="18"/>
                <w:szCs w:val="18"/>
              </w:rPr>
            </w:pPr>
            <w:r w:rsidRPr="00BA185F">
              <w:rPr>
                <w:rFonts w:ascii="Calibri" w:hAnsi="Calibri"/>
                <w:sz w:val="18"/>
                <w:szCs w:val="18"/>
              </w:rPr>
              <w:t>Not indicated</w:t>
            </w:r>
          </w:p>
        </w:tc>
        <w:tc>
          <w:tcPr>
            <w:tcW w:w="1586" w:type="pct"/>
            <w:vMerge/>
            <w:vAlign w:val="center"/>
          </w:tcPr>
          <w:p w14:paraId="31640702" w14:textId="77777777" w:rsidR="00183FB4" w:rsidRPr="00BA185F" w:rsidRDefault="00183FB4" w:rsidP="00307EF9">
            <w:pPr>
              <w:jc w:val="center"/>
              <w:rPr>
                <w:rFonts w:ascii="Calibri" w:hAnsi="Calibri"/>
                <w:sz w:val="18"/>
                <w:szCs w:val="18"/>
              </w:rPr>
            </w:pPr>
          </w:p>
        </w:tc>
      </w:tr>
      <w:tr w:rsidR="00307EF9" w:rsidRPr="00D27A40" w14:paraId="49AE1D4C" w14:textId="77777777" w:rsidTr="00307EF9">
        <w:tc>
          <w:tcPr>
            <w:tcW w:w="1829" w:type="pct"/>
            <w:vAlign w:val="center"/>
          </w:tcPr>
          <w:p w14:paraId="19F05F84" w14:textId="4911861B" w:rsidR="00307EF9" w:rsidRPr="00BA185F" w:rsidDel="00183FB4" w:rsidRDefault="00307EF9" w:rsidP="00307EF9">
            <w:pPr>
              <w:jc w:val="center"/>
              <w:rPr>
                <w:rFonts w:ascii="Calibri" w:hAnsi="Calibri"/>
                <w:b/>
                <w:sz w:val="18"/>
                <w:szCs w:val="18"/>
              </w:rPr>
            </w:pPr>
            <w:r w:rsidRPr="00BA185F">
              <w:rPr>
                <w:rFonts w:ascii="Calibri" w:hAnsi="Calibri"/>
                <w:sz w:val="18"/>
                <w:szCs w:val="18"/>
              </w:rPr>
              <w:t>Longleaf–Slash Pine</w:t>
            </w:r>
          </w:p>
        </w:tc>
        <w:tc>
          <w:tcPr>
            <w:tcW w:w="1585" w:type="pct"/>
            <w:vMerge w:val="restart"/>
            <w:vAlign w:val="center"/>
          </w:tcPr>
          <w:p w14:paraId="358D0ED7" w14:textId="4B03A6FB" w:rsidR="00307EF9" w:rsidRPr="00BA185F" w:rsidDel="00183FB4" w:rsidRDefault="00307EF9" w:rsidP="00307EF9">
            <w:pPr>
              <w:jc w:val="center"/>
              <w:rPr>
                <w:rFonts w:ascii="Calibri" w:hAnsi="Calibri"/>
                <w:sz w:val="18"/>
                <w:szCs w:val="18"/>
              </w:rPr>
            </w:pPr>
            <w:r w:rsidRPr="00BA185F">
              <w:rPr>
                <w:rFonts w:ascii="Calibri" w:hAnsi="Calibri"/>
                <w:sz w:val="18"/>
                <w:szCs w:val="18"/>
              </w:rPr>
              <w:t xml:space="preserve">Pine </w:t>
            </w:r>
            <w:r w:rsidRPr="00BA185F">
              <w:rPr>
                <w:rFonts w:ascii="Calibri" w:hAnsi="Calibri"/>
                <w:sz w:val="18"/>
                <w:szCs w:val="18"/>
                <w:vertAlign w:val="superscript"/>
              </w:rPr>
              <w:t>b</w:t>
            </w:r>
          </w:p>
        </w:tc>
        <w:tc>
          <w:tcPr>
            <w:tcW w:w="1586" w:type="pct"/>
            <w:vMerge w:val="restart"/>
            <w:vAlign w:val="center"/>
          </w:tcPr>
          <w:p w14:paraId="7F7F174F" w14:textId="37F32C29" w:rsidR="00307EF9" w:rsidRPr="00BA185F" w:rsidRDefault="00307EF9" w:rsidP="00307EF9">
            <w:pPr>
              <w:jc w:val="center"/>
              <w:rPr>
                <w:rFonts w:ascii="Calibri" w:hAnsi="Calibri"/>
                <w:sz w:val="18"/>
                <w:szCs w:val="18"/>
              </w:rPr>
            </w:pPr>
            <w:r w:rsidRPr="00BA185F">
              <w:rPr>
                <w:rFonts w:ascii="Calibri" w:hAnsi="Calibri"/>
                <w:sz w:val="18"/>
                <w:szCs w:val="18"/>
              </w:rPr>
              <w:t>Pine</w:t>
            </w:r>
          </w:p>
        </w:tc>
      </w:tr>
      <w:tr w:rsidR="00307EF9" w:rsidRPr="00D27A40" w14:paraId="7749CC80" w14:textId="77777777" w:rsidTr="00307EF9">
        <w:tc>
          <w:tcPr>
            <w:tcW w:w="1829" w:type="pct"/>
            <w:vAlign w:val="center"/>
          </w:tcPr>
          <w:p w14:paraId="1737A2D1" w14:textId="4052A15C" w:rsidR="00307EF9" w:rsidRPr="00BA185F" w:rsidDel="00183FB4" w:rsidRDefault="00307EF9" w:rsidP="00307EF9">
            <w:pPr>
              <w:jc w:val="center"/>
              <w:rPr>
                <w:rFonts w:ascii="Calibri" w:hAnsi="Calibri"/>
                <w:b/>
                <w:sz w:val="18"/>
                <w:szCs w:val="18"/>
              </w:rPr>
            </w:pPr>
            <w:r w:rsidRPr="00BA185F">
              <w:rPr>
                <w:rFonts w:ascii="Calibri" w:hAnsi="Calibri"/>
                <w:sz w:val="18"/>
                <w:szCs w:val="18"/>
              </w:rPr>
              <w:t>Loblolly–Shortleaf Pine</w:t>
            </w:r>
          </w:p>
        </w:tc>
        <w:tc>
          <w:tcPr>
            <w:tcW w:w="1585" w:type="pct"/>
            <w:vMerge/>
            <w:vAlign w:val="center"/>
          </w:tcPr>
          <w:p w14:paraId="4C6DEC97" w14:textId="77777777" w:rsidR="00307EF9" w:rsidRPr="00BA185F" w:rsidDel="00183FB4" w:rsidRDefault="00307EF9" w:rsidP="00307EF9">
            <w:pPr>
              <w:jc w:val="center"/>
              <w:rPr>
                <w:rFonts w:ascii="Calibri" w:hAnsi="Calibri"/>
                <w:sz w:val="18"/>
                <w:szCs w:val="18"/>
              </w:rPr>
            </w:pPr>
          </w:p>
        </w:tc>
        <w:tc>
          <w:tcPr>
            <w:tcW w:w="1586" w:type="pct"/>
            <w:vMerge/>
            <w:vAlign w:val="center"/>
          </w:tcPr>
          <w:p w14:paraId="301A2D54" w14:textId="77777777" w:rsidR="00307EF9" w:rsidRPr="00BA185F" w:rsidRDefault="00307EF9" w:rsidP="00307EF9">
            <w:pPr>
              <w:jc w:val="center"/>
              <w:rPr>
                <w:rFonts w:ascii="Calibri" w:hAnsi="Calibri"/>
                <w:sz w:val="18"/>
                <w:szCs w:val="18"/>
              </w:rPr>
            </w:pPr>
          </w:p>
        </w:tc>
      </w:tr>
      <w:tr w:rsidR="00307EF9" w:rsidRPr="00D27A40" w14:paraId="793325A3" w14:textId="77777777" w:rsidTr="00307EF9">
        <w:tc>
          <w:tcPr>
            <w:tcW w:w="1829" w:type="pct"/>
            <w:vAlign w:val="center"/>
          </w:tcPr>
          <w:p w14:paraId="2AD8A47D" w14:textId="3D05214F" w:rsidR="00307EF9" w:rsidRPr="00BA185F" w:rsidDel="00183FB4" w:rsidRDefault="00307EF9" w:rsidP="00307EF9">
            <w:pPr>
              <w:jc w:val="center"/>
              <w:rPr>
                <w:rFonts w:ascii="Calibri" w:hAnsi="Calibri"/>
                <w:b/>
                <w:sz w:val="18"/>
                <w:szCs w:val="18"/>
              </w:rPr>
            </w:pPr>
            <w:r w:rsidRPr="00BA185F">
              <w:rPr>
                <w:rFonts w:ascii="Calibri" w:hAnsi="Calibri"/>
                <w:sz w:val="18"/>
                <w:szCs w:val="18"/>
              </w:rPr>
              <w:t>Oak–Pine</w:t>
            </w:r>
          </w:p>
        </w:tc>
        <w:tc>
          <w:tcPr>
            <w:tcW w:w="1585" w:type="pct"/>
            <w:vAlign w:val="center"/>
          </w:tcPr>
          <w:p w14:paraId="542B2C52" w14:textId="62F7D46A" w:rsidR="00307EF9" w:rsidRPr="00BA185F" w:rsidDel="00183FB4" w:rsidRDefault="00307EF9" w:rsidP="00307EF9">
            <w:pPr>
              <w:jc w:val="center"/>
              <w:rPr>
                <w:rFonts w:ascii="Calibri" w:hAnsi="Calibri"/>
                <w:sz w:val="18"/>
                <w:szCs w:val="18"/>
              </w:rPr>
            </w:pPr>
            <w:r w:rsidRPr="00BA185F">
              <w:rPr>
                <w:rFonts w:ascii="Calibri" w:hAnsi="Calibri"/>
                <w:sz w:val="18"/>
                <w:szCs w:val="18"/>
              </w:rPr>
              <w:t>Oak–Pine</w:t>
            </w:r>
          </w:p>
        </w:tc>
        <w:tc>
          <w:tcPr>
            <w:tcW w:w="1586" w:type="pct"/>
            <w:vMerge/>
            <w:vAlign w:val="center"/>
          </w:tcPr>
          <w:p w14:paraId="1750289F" w14:textId="77777777" w:rsidR="00307EF9" w:rsidRPr="00BA185F" w:rsidRDefault="00307EF9" w:rsidP="00307EF9">
            <w:pPr>
              <w:jc w:val="center"/>
              <w:rPr>
                <w:rFonts w:ascii="Calibri" w:hAnsi="Calibri"/>
                <w:sz w:val="18"/>
                <w:szCs w:val="18"/>
              </w:rPr>
            </w:pPr>
          </w:p>
        </w:tc>
      </w:tr>
      <w:tr w:rsidR="00183FB4" w:rsidRPr="00D27A40" w14:paraId="64097B66" w14:textId="77777777" w:rsidTr="00307EF9">
        <w:tc>
          <w:tcPr>
            <w:tcW w:w="1829" w:type="pct"/>
            <w:vAlign w:val="center"/>
          </w:tcPr>
          <w:p w14:paraId="08673FB9" w14:textId="08DBBA34" w:rsidR="00183FB4" w:rsidRPr="00BA185F" w:rsidDel="00183FB4" w:rsidRDefault="00183FB4" w:rsidP="00307EF9">
            <w:pPr>
              <w:jc w:val="center"/>
              <w:rPr>
                <w:rFonts w:ascii="Calibri" w:hAnsi="Calibri"/>
                <w:b/>
                <w:sz w:val="18"/>
                <w:szCs w:val="18"/>
              </w:rPr>
            </w:pPr>
            <w:r w:rsidRPr="00BA185F">
              <w:rPr>
                <w:rFonts w:ascii="Calibri" w:hAnsi="Calibri"/>
                <w:sz w:val="18"/>
                <w:szCs w:val="18"/>
              </w:rPr>
              <w:t>Other eastern softwoods</w:t>
            </w:r>
          </w:p>
        </w:tc>
        <w:tc>
          <w:tcPr>
            <w:tcW w:w="1585" w:type="pct"/>
            <w:vAlign w:val="center"/>
          </w:tcPr>
          <w:p w14:paraId="7C0451B4" w14:textId="589CDCD2" w:rsidR="00183FB4" w:rsidRPr="00BA185F" w:rsidDel="00183FB4" w:rsidRDefault="00183FB4" w:rsidP="00307EF9">
            <w:pPr>
              <w:jc w:val="center"/>
              <w:rPr>
                <w:rFonts w:ascii="Calibri" w:hAnsi="Calibri"/>
                <w:sz w:val="18"/>
                <w:szCs w:val="18"/>
              </w:rPr>
            </w:pPr>
            <w:r w:rsidRPr="00BA185F">
              <w:rPr>
                <w:rFonts w:ascii="Calibri" w:hAnsi="Calibri"/>
                <w:sz w:val="18"/>
                <w:szCs w:val="18"/>
              </w:rPr>
              <w:t>Not indicated</w:t>
            </w:r>
          </w:p>
        </w:tc>
        <w:tc>
          <w:tcPr>
            <w:tcW w:w="1586" w:type="pct"/>
            <w:vAlign w:val="center"/>
          </w:tcPr>
          <w:p w14:paraId="4CBF5AC1" w14:textId="6A72D487" w:rsidR="00183FB4" w:rsidRPr="00BA185F" w:rsidRDefault="000F5104" w:rsidP="00307EF9">
            <w:pPr>
              <w:jc w:val="center"/>
              <w:rPr>
                <w:rFonts w:ascii="Calibri" w:hAnsi="Calibri"/>
                <w:sz w:val="18"/>
                <w:szCs w:val="18"/>
              </w:rPr>
            </w:pPr>
            <w:r w:rsidRPr="00BA185F">
              <w:rPr>
                <w:rFonts w:ascii="Calibri" w:hAnsi="Calibri"/>
                <w:sz w:val="18"/>
                <w:szCs w:val="18"/>
              </w:rPr>
              <w:t>Mixed conifer</w:t>
            </w:r>
          </w:p>
        </w:tc>
      </w:tr>
      <w:tr w:rsidR="00183FB4" w:rsidRPr="00D27A40" w14:paraId="0C25035E" w14:textId="77777777" w:rsidTr="00307EF9">
        <w:tc>
          <w:tcPr>
            <w:tcW w:w="1829" w:type="pct"/>
            <w:vAlign w:val="center"/>
          </w:tcPr>
          <w:p w14:paraId="24B91C07" w14:textId="58BC6E8E" w:rsidR="00183FB4" w:rsidRPr="00BA185F" w:rsidDel="00183FB4" w:rsidRDefault="000F5104" w:rsidP="00307EF9">
            <w:pPr>
              <w:jc w:val="center"/>
              <w:rPr>
                <w:rFonts w:ascii="Calibri" w:hAnsi="Calibri"/>
                <w:sz w:val="18"/>
                <w:szCs w:val="18"/>
              </w:rPr>
            </w:pPr>
            <w:r w:rsidRPr="00BA185F">
              <w:rPr>
                <w:rFonts w:ascii="Calibri" w:hAnsi="Calibri"/>
                <w:sz w:val="18"/>
                <w:szCs w:val="18"/>
              </w:rPr>
              <w:t>Nonstocked</w:t>
            </w:r>
          </w:p>
        </w:tc>
        <w:tc>
          <w:tcPr>
            <w:tcW w:w="1585" w:type="pct"/>
            <w:vAlign w:val="center"/>
          </w:tcPr>
          <w:p w14:paraId="6C74F755" w14:textId="59217DDB" w:rsidR="00183FB4" w:rsidRPr="00BA185F" w:rsidDel="00183FB4" w:rsidRDefault="00BD016B" w:rsidP="00307EF9">
            <w:pPr>
              <w:jc w:val="center"/>
              <w:rPr>
                <w:rFonts w:ascii="Calibri" w:hAnsi="Calibri"/>
                <w:sz w:val="18"/>
                <w:szCs w:val="18"/>
              </w:rPr>
            </w:pPr>
            <w:r>
              <w:rPr>
                <w:rFonts w:ascii="Calibri" w:hAnsi="Calibri"/>
                <w:sz w:val="18"/>
                <w:szCs w:val="18"/>
              </w:rPr>
              <w:t>Nonstocked</w:t>
            </w:r>
          </w:p>
        </w:tc>
        <w:tc>
          <w:tcPr>
            <w:tcW w:w="1586" w:type="pct"/>
            <w:vAlign w:val="center"/>
          </w:tcPr>
          <w:p w14:paraId="5E4159F5" w14:textId="6703CF0E" w:rsidR="00183FB4" w:rsidRPr="00BA185F" w:rsidRDefault="000F5104" w:rsidP="00307EF9">
            <w:pPr>
              <w:jc w:val="center"/>
              <w:rPr>
                <w:rFonts w:ascii="Calibri" w:hAnsi="Calibri"/>
                <w:sz w:val="18"/>
                <w:szCs w:val="18"/>
              </w:rPr>
            </w:pPr>
            <w:r w:rsidRPr="00BA185F">
              <w:rPr>
                <w:rFonts w:ascii="Calibri" w:hAnsi="Calibri"/>
                <w:sz w:val="18"/>
                <w:szCs w:val="18"/>
              </w:rPr>
              <w:t>Nonstocked</w:t>
            </w:r>
          </w:p>
        </w:tc>
      </w:tr>
    </w:tbl>
    <w:p w14:paraId="338D6389" w14:textId="77777777" w:rsidR="00D27A40" w:rsidRPr="0026461F" w:rsidRDefault="00D27A40" w:rsidP="00183FB4">
      <w:pPr>
        <w:pStyle w:val="NoSpacing"/>
        <w:rPr>
          <w:i/>
          <w:sz w:val="18"/>
          <w:szCs w:val="18"/>
        </w:rPr>
      </w:pPr>
      <w:r w:rsidRPr="0026461F">
        <w:rPr>
          <w:i/>
          <w:sz w:val="18"/>
          <w:szCs w:val="18"/>
        </w:rPr>
        <w:t xml:space="preserve">a) Smith et al. (2003) additionally assign the FIA group Maple–Beech–Birch to upland hardwoods and the FIA group Aspen–Birch to bottomland hardwoods. The eastern Texas dataset has neither of these FIA groups. </w:t>
      </w:r>
    </w:p>
    <w:p w14:paraId="330FFA77" w14:textId="26BA5CA9" w:rsidR="00D00409" w:rsidRPr="0026461F" w:rsidRDefault="00D27A40" w:rsidP="00183FB4">
      <w:pPr>
        <w:pStyle w:val="NoSpacing"/>
        <w:rPr>
          <w:i/>
          <w:sz w:val="18"/>
          <w:szCs w:val="18"/>
        </w:rPr>
      </w:pPr>
      <w:r w:rsidRPr="0026461F">
        <w:rPr>
          <w:i/>
          <w:sz w:val="18"/>
          <w:szCs w:val="18"/>
        </w:rPr>
        <w:t>b) Smith et al. (2003) divide the pine group into naturally occurring pine and planted pine groups, but we combine these into a single group here.</w:t>
      </w:r>
    </w:p>
    <w:p w14:paraId="56819543" w14:textId="77777777" w:rsidR="00183FB4" w:rsidRDefault="00183FB4" w:rsidP="00D00409">
      <w:pPr>
        <w:pStyle w:val="Heading2"/>
        <w:numPr>
          <w:ilvl w:val="0"/>
          <w:numId w:val="0"/>
        </w:numPr>
        <w:ind w:left="576" w:hanging="576"/>
        <w:rPr>
          <w:rStyle w:val="Strong"/>
        </w:rPr>
      </w:pPr>
    </w:p>
    <w:p w14:paraId="7CDC860F" w14:textId="7BA4CF9E" w:rsidR="00D00409" w:rsidRPr="00195F4D" w:rsidRDefault="00D00409" w:rsidP="00D00409">
      <w:pPr>
        <w:pStyle w:val="Heading2"/>
        <w:numPr>
          <w:ilvl w:val="0"/>
          <w:numId w:val="0"/>
        </w:numPr>
        <w:ind w:left="576" w:hanging="576"/>
        <w:rPr>
          <w:b/>
          <w:bCs/>
        </w:rPr>
      </w:pPr>
      <w:r w:rsidRPr="00195F4D">
        <w:rPr>
          <w:rStyle w:val="Strong"/>
          <w:b w:val="0"/>
        </w:rPr>
        <w:t>Results</w:t>
      </w:r>
    </w:p>
    <w:p w14:paraId="6CD72633" w14:textId="375074DD" w:rsidR="00D27A40" w:rsidRPr="00D27A40" w:rsidRDefault="00D27A40" w:rsidP="00D27A40">
      <w:pPr>
        <w:rPr>
          <w:rFonts w:ascii="Calibri" w:hAnsi="Calibri"/>
        </w:rPr>
      </w:pPr>
      <w:r w:rsidRPr="00D27A40">
        <w:rPr>
          <w:rFonts w:ascii="Calibri" w:hAnsi="Calibri"/>
        </w:rPr>
        <w:t>We estimate a mean litter carbon sequestration for eastern Texas FRF land of 0.29 MMT CO</w:t>
      </w:r>
      <w:r w:rsidRPr="00D27A40">
        <w:rPr>
          <w:rFonts w:ascii="Calibri" w:hAnsi="Calibri"/>
          <w:vertAlign w:val="subscript"/>
        </w:rPr>
        <w:t>2</w:t>
      </w:r>
      <w:r w:rsidRPr="00D27A40">
        <w:rPr>
          <w:rFonts w:ascii="Calibri" w:hAnsi="Calibri"/>
        </w:rPr>
        <w:t>. The model-based variance is 0.022 [MMT CO</w:t>
      </w:r>
      <w:r w:rsidRPr="00D27A40">
        <w:rPr>
          <w:rFonts w:ascii="Calibri" w:hAnsi="Calibri"/>
          <w:vertAlign w:val="subscript"/>
        </w:rPr>
        <w:t>2</w:t>
      </w:r>
      <w:r w:rsidRPr="00D27A40">
        <w:rPr>
          <w:rFonts w:ascii="Calibri" w:hAnsi="Calibri"/>
        </w:rPr>
        <w:t>]</w:t>
      </w:r>
      <w:r w:rsidRPr="00D27A40">
        <w:rPr>
          <w:rFonts w:ascii="Calibri" w:hAnsi="Calibri"/>
          <w:vertAlign w:val="superscript"/>
        </w:rPr>
        <w:t>2</w:t>
      </w:r>
      <w:r w:rsidR="00F322E1">
        <w:rPr>
          <w:rFonts w:ascii="Calibri" w:hAnsi="Calibri"/>
        </w:rPr>
        <w:t xml:space="preserve"> and</w:t>
      </w:r>
      <w:r w:rsidRPr="00D27A40">
        <w:rPr>
          <w:rFonts w:ascii="Calibri" w:hAnsi="Calibri"/>
        </w:rPr>
        <w:t xml:space="preserve"> </w:t>
      </w:r>
      <w:r w:rsidR="00F322E1">
        <w:rPr>
          <w:rFonts w:ascii="Calibri" w:hAnsi="Calibri"/>
        </w:rPr>
        <w:t>t</w:t>
      </w:r>
      <w:r w:rsidR="00F322E1" w:rsidRPr="00D27A40">
        <w:rPr>
          <w:rFonts w:ascii="Calibri" w:hAnsi="Calibri"/>
        </w:rPr>
        <w:t xml:space="preserve">he </w:t>
      </w:r>
      <w:r w:rsidRPr="00D27A40">
        <w:rPr>
          <w:rFonts w:ascii="Calibri" w:hAnsi="Calibri"/>
        </w:rPr>
        <w:t>estimated 95% confidence interval is -0.58 MMT CO</w:t>
      </w:r>
      <w:r w:rsidRPr="00D27A40">
        <w:rPr>
          <w:rFonts w:ascii="Calibri" w:hAnsi="Calibri"/>
          <w:vertAlign w:val="subscript"/>
        </w:rPr>
        <w:t>2</w:t>
      </w:r>
      <w:r w:rsidRPr="00D27A40">
        <w:rPr>
          <w:rFonts w:ascii="Calibri" w:hAnsi="Calibri"/>
        </w:rPr>
        <w:t xml:space="preserve"> to 0.01 MMT CO</w:t>
      </w:r>
      <w:r w:rsidRPr="00D27A40">
        <w:rPr>
          <w:rFonts w:ascii="Calibri" w:hAnsi="Calibri"/>
          <w:vertAlign w:val="subscript"/>
        </w:rPr>
        <w:t>2</w:t>
      </w:r>
      <w:r w:rsidRPr="00D27A40">
        <w:rPr>
          <w:rFonts w:ascii="Calibri" w:hAnsi="Calibri"/>
        </w:rPr>
        <w:t>, where positive values indicate emission and negative values indicate sequestration. The estimated percentage error</w:t>
      </w:r>
      <w:r w:rsidR="00B70B1F">
        <w:rPr>
          <w:rFonts w:ascii="Calibri" w:hAnsi="Calibri"/>
        </w:rPr>
        <w:t>s</w:t>
      </w:r>
      <w:r w:rsidRPr="00D27A40">
        <w:rPr>
          <w:rFonts w:ascii="Calibri" w:hAnsi="Calibri"/>
        </w:rPr>
        <w:t xml:space="preserve"> </w:t>
      </w:r>
      <w:r w:rsidR="00B70B1F">
        <w:rPr>
          <w:rFonts w:ascii="Calibri" w:hAnsi="Calibri"/>
        </w:rPr>
        <w:t>are</w:t>
      </w:r>
      <w:r w:rsidRPr="00D27A40">
        <w:rPr>
          <w:rFonts w:ascii="Calibri" w:hAnsi="Calibri"/>
        </w:rPr>
        <w:t xml:space="preserve"> </w:t>
      </w:r>
      <w:r w:rsidR="00B70B1F">
        <w:rPr>
          <w:rFonts w:ascii="Calibri" w:hAnsi="Calibri"/>
        </w:rPr>
        <w:t>-</w:t>
      </w:r>
      <w:r w:rsidRPr="00D27A40">
        <w:rPr>
          <w:rFonts w:ascii="Calibri" w:hAnsi="Calibri"/>
        </w:rPr>
        <w:t>10</w:t>
      </w:r>
      <w:r w:rsidR="00B70B1F">
        <w:rPr>
          <w:rFonts w:ascii="Calibri" w:hAnsi="Calibri"/>
        </w:rPr>
        <w:t>3.9</w:t>
      </w:r>
      <w:r w:rsidRPr="00D27A40">
        <w:rPr>
          <w:rFonts w:ascii="Calibri" w:hAnsi="Calibri"/>
        </w:rPr>
        <w:t>%</w:t>
      </w:r>
      <w:r w:rsidR="00B70B1F">
        <w:rPr>
          <w:rFonts w:ascii="Calibri" w:hAnsi="Calibri"/>
        </w:rPr>
        <w:t xml:space="preserve"> (lower bound) and 102.1% (upper bound)</w:t>
      </w:r>
      <w:r w:rsidRPr="00D27A40">
        <w:rPr>
          <w:rFonts w:ascii="Calibri" w:hAnsi="Calibri"/>
        </w:rPr>
        <w:t>. Applying th</w:t>
      </w:r>
      <w:r w:rsidR="00B70B1F">
        <w:rPr>
          <w:rFonts w:ascii="Calibri" w:hAnsi="Calibri"/>
        </w:rPr>
        <w:t>ese</w:t>
      </w:r>
      <w:r w:rsidRPr="00D27A40">
        <w:rPr>
          <w:rFonts w:ascii="Calibri" w:hAnsi="Calibri"/>
        </w:rPr>
        <w:t xml:space="preserve"> percentage error</w:t>
      </w:r>
      <w:r w:rsidR="00B70B1F">
        <w:rPr>
          <w:rFonts w:ascii="Calibri" w:hAnsi="Calibri"/>
        </w:rPr>
        <w:t>s</w:t>
      </w:r>
      <w:r w:rsidRPr="00D27A40">
        <w:rPr>
          <w:rFonts w:ascii="Calibri" w:hAnsi="Calibri"/>
        </w:rPr>
        <w:t xml:space="preserve"> to the mean litter carbon stock change for the United States for 2016 (-16.1 MMT CO</w:t>
      </w:r>
      <w:r w:rsidRPr="00D27A40">
        <w:rPr>
          <w:rFonts w:ascii="Calibri" w:hAnsi="Calibri"/>
          <w:vertAlign w:val="subscript"/>
        </w:rPr>
        <w:t>2</w:t>
      </w:r>
      <w:r w:rsidRPr="00D27A40">
        <w:rPr>
          <w:rFonts w:ascii="Calibri" w:hAnsi="Calibri"/>
        </w:rPr>
        <w:t>; NGHGI, 2018) results in a 95% confidence interval of -32.</w:t>
      </w:r>
      <w:r w:rsidR="003C60F2">
        <w:rPr>
          <w:rFonts w:ascii="Calibri" w:hAnsi="Calibri"/>
        </w:rPr>
        <w:t>8</w:t>
      </w:r>
      <w:r w:rsidRPr="00D27A40">
        <w:rPr>
          <w:rFonts w:ascii="Calibri" w:hAnsi="Calibri"/>
        </w:rPr>
        <w:t xml:space="preserve"> MMT CO</w:t>
      </w:r>
      <w:r w:rsidRPr="00D27A40">
        <w:rPr>
          <w:rFonts w:ascii="Calibri" w:hAnsi="Calibri"/>
          <w:vertAlign w:val="subscript"/>
        </w:rPr>
        <w:t>2</w:t>
      </w:r>
      <w:r w:rsidRPr="00D27A40">
        <w:rPr>
          <w:rFonts w:ascii="Calibri" w:hAnsi="Calibri"/>
        </w:rPr>
        <w:t xml:space="preserve"> (</w:t>
      </w:r>
      <w:r w:rsidR="00950640">
        <w:rPr>
          <w:rFonts w:ascii="Calibri" w:hAnsi="Calibri"/>
        </w:rPr>
        <w:t>a sequestration</w:t>
      </w:r>
      <w:r w:rsidRPr="00D27A40">
        <w:rPr>
          <w:rFonts w:ascii="Calibri" w:hAnsi="Calibri"/>
        </w:rPr>
        <w:t>) to 0.</w:t>
      </w:r>
      <w:r w:rsidR="003C60F2">
        <w:rPr>
          <w:rFonts w:ascii="Calibri" w:hAnsi="Calibri"/>
        </w:rPr>
        <w:t>3</w:t>
      </w:r>
      <w:r w:rsidRPr="00D27A40">
        <w:rPr>
          <w:rFonts w:ascii="Calibri" w:hAnsi="Calibri"/>
        </w:rPr>
        <w:t xml:space="preserve"> MMT CO</w:t>
      </w:r>
      <w:r w:rsidRPr="00D27A40">
        <w:rPr>
          <w:rFonts w:ascii="Calibri" w:hAnsi="Calibri"/>
          <w:vertAlign w:val="subscript"/>
        </w:rPr>
        <w:t>2</w:t>
      </w:r>
      <w:r w:rsidRPr="00D27A40">
        <w:rPr>
          <w:rFonts w:ascii="Calibri" w:hAnsi="Calibri"/>
        </w:rPr>
        <w:t xml:space="preserve"> (a</w:t>
      </w:r>
      <w:r w:rsidR="0022208D">
        <w:rPr>
          <w:rFonts w:ascii="Calibri" w:hAnsi="Calibri"/>
        </w:rPr>
        <w:t>n</w:t>
      </w:r>
      <w:r w:rsidRPr="00D27A40">
        <w:rPr>
          <w:rFonts w:ascii="Calibri" w:hAnsi="Calibri"/>
        </w:rPr>
        <w:t xml:space="preserve"> </w:t>
      </w:r>
      <w:r w:rsidR="0022208D">
        <w:rPr>
          <w:rFonts w:ascii="Calibri" w:hAnsi="Calibri"/>
        </w:rPr>
        <w:t>emission</w:t>
      </w:r>
      <w:r w:rsidRPr="00D27A40">
        <w:rPr>
          <w:rFonts w:ascii="Calibri" w:hAnsi="Calibri"/>
        </w:rPr>
        <w:t>). The contribution to uncertainty is 33.</w:t>
      </w:r>
      <w:r w:rsidR="00980AE7">
        <w:rPr>
          <w:rFonts w:ascii="Calibri" w:hAnsi="Calibri"/>
        </w:rPr>
        <w:t>2</w:t>
      </w:r>
      <w:r w:rsidRPr="00D27A40">
        <w:rPr>
          <w:rFonts w:ascii="Calibri" w:hAnsi="Calibri"/>
        </w:rPr>
        <w:t xml:space="preserve"> MMT CO</w:t>
      </w:r>
      <w:r w:rsidRPr="00D27A40">
        <w:rPr>
          <w:rFonts w:ascii="Calibri" w:hAnsi="Calibri"/>
          <w:vertAlign w:val="subscript"/>
        </w:rPr>
        <w:t>2</w:t>
      </w:r>
      <w:r w:rsidRPr="00D27A40">
        <w:rPr>
          <w:rFonts w:ascii="Calibri" w:hAnsi="Calibri"/>
        </w:rPr>
        <w:t>.</w:t>
      </w:r>
    </w:p>
    <w:p w14:paraId="285CFD49" w14:textId="2E98B108" w:rsidR="00D27A40" w:rsidRPr="00195F4D" w:rsidRDefault="002A2403" w:rsidP="002A2403">
      <w:pPr>
        <w:pStyle w:val="Heading2"/>
        <w:numPr>
          <w:ilvl w:val="0"/>
          <w:numId w:val="0"/>
        </w:numPr>
        <w:ind w:left="576" w:hanging="576"/>
        <w:rPr>
          <w:b/>
          <w:bCs/>
        </w:rPr>
      </w:pPr>
      <w:r w:rsidRPr="00195F4D">
        <w:rPr>
          <w:rStyle w:val="Strong"/>
          <w:b w:val="0"/>
        </w:rPr>
        <w:t>Discussion</w:t>
      </w:r>
    </w:p>
    <w:p w14:paraId="3A385FC7" w14:textId="71027378" w:rsidR="00C93E96" w:rsidRDefault="00C93E96" w:rsidP="00D27A40">
      <w:pPr>
        <w:rPr>
          <w:rFonts w:ascii="Calibri" w:hAnsi="Calibri"/>
        </w:rPr>
      </w:pPr>
      <w:r>
        <w:rPr>
          <w:rFonts w:ascii="Calibri" w:hAnsi="Calibri"/>
        </w:rPr>
        <w:t>The Domke et al. (2016) litter carbon analysis points to multiple sources of uncertainty in estimating litter carbon stocks, including first modeling litter carbon at all FIA plots using machine learning methods and extrapolating FIA plot values to total U.S. forest area. Due to the complexity of the Random Forests machine learning model and lack of data, we were not able to replicate litter carbon stock estimation methods, and were not able to further attribute litter carbon uncertainty across model and sampling error.</w:t>
      </w:r>
    </w:p>
    <w:p w14:paraId="0315211E" w14:textId="77CDACC5" w:rsidR="00D27A40" w:rsidRDefault="00F86C54" w:rsidP="00D27A40">
      <w:pPr>
        <w:rPr>
          <w:rFonts w:ascii="Calibri" w:hAnsi="Calibri"/>
        </w:rPr>
      </w:pPr>
      <w:r>
        <w:rPr>
          <w:rFonts w:ascii="Calibri" w:hAnsi="Calibri"/>
        </w:rPr>
        <w:t xml:space="preserve">Our results are highly sensitive to the assumed </w:t>
      </w:r>
      <w:r w:rsidR="00D27A40" w:rsidRPr="00D27A40">
        <w:rPr>
          <w:rFonts w:ascii="Calibri" w:hAnsi="Calibri"/>
        </w:rPr>
        <w:t xml:space="preserve">covariance between carbon stocks in </w:t>
      </w:r>
      <w:r w:rsidR="00F322E1" w:rsidRPr="003B4036">
        <w:rPr>
          <w:rFonts w:ascii="Calibri" w:hAnsi="Calibri"/>
          <w:i/>
        </w:rPr>
        <w:t>t</w:t>
      </w:r>
      <w:r w:rsidR="00F322E1">
        <w:rPr>
          <w:rFonts w:ascii="Calibri" w:hAnsi="Calibri"/>
        </w:rPr>
        <w:t xml:space="preserve"> and </w:t>
      </w:r>
      <w:r w:rsidR="00F322E1" w:rsidRPr="003B4036">
        <w:rPr>
          <w:rFonts w:ascii="Calibri" w:hAnsi="Calibri"/>
          <w:i/>
        </w:rPr>
        <w:t>t+1</w:t>
      </w:r>
      <w:r w:rsidR="00F322E1">
        <w:rPr>
          <w:rFonts w:ascii="Calibri" w:hAnsi="Calibri"/>
        </w:rPr>
        <w:t xml:space="preserve"> (</w:t>
      </w:r>
      <w:r w:rsidR="00E718F8">
        <w:rPr>
          <w:rFonts w:ascii="Calibri" w:hAnsi="Calibri"/>
        </w:rPr>
        <w:t xml:space="preserve">Table </w:t>
      </w:r>
      <w:r w:rsidR="005E4D1E">
        <w:rPr>
          <w:rFonts w:ascii="Calibri" w:hAnsi="Calibri"/>
        </w:rPr>
        <w:t>2</w:t>
      </w:r>
      <w:r w:rsidR="0026461F" w:rsidRPr="0026461F">
        <w:rPr>
          <w:rFonts w:ascii="Calibri" w:hAnsi="Calibri"/>
        </w:rPr>
        <w:t>-</w:t>
      </w:r>
      <w:r>
        <w:rPr>
          <w:rFonts w:ascii="Calibri" w:hAnsi="Calibri"/>
        </w:rPr>
        <w:t>6</w:t>
      </w:r>
      <w:r w:rsidR="00F322E1">
        <w:rPr>
          <w:rFonts w:ascii="Calibri" w:hAnsi="Calibri"/>
        </w:rPr>
        <w:t>)</w:t>
      </w:r>
      <w:r w:rsidR="00D27A40" w:rsidRPr="00D27A40">
        <w:rPr>
          <w:rFonts w:ascii="Calibri" w:hAnsi="Calibri"/>
        </w:rPr>
        <w:t xml:space="preserve">. </w:t>
      </w:r>
      <w:r>
        <w:rPr>
          <w:rFonts w:ascii="Calibri" w:hAnsi="Calibri"/>
        </w:rPr>
        <w:t>R</w:t>
      </w:r>
      <w:r w:rsidR="00195D89">
        <w:rPr>
          <w:rFonts w:ascii="Calibri" w:hAnsi="Calibri"/>
        </w:rPr>
        <w:t xml:space="preserve">educing covariance to </w:t>
      </w:r>
      <w:r w:rsidR="00AE55A4">
        <w:rPr>
          <w:rFonts w:ascii="Calibri" w:hAnsi="Calibri"/>
        </w:rPr>
        <w:t xml:space="preserve">95% of variance increases the uncertainty attributable to litter by seven-fold. </w:t>
      </w:r>
    </w:p>
    <w:p w14:paraId="044A1A94" w14:textId="77777777" w:rsidR="00EE47F1" w:rsidRPr="00D27A40" w:rsidRDefault="00EE47F1" w:rsidP="00D27A40">
      <w:pPr>
        <w:rPr>
          <w:rFonts w:ascii="Calibri" w:hAnsi="Calibri"/>
        </w:rPr>
      </w:pPr>
    </w:p>
    <w:p w14:paraId="5CA43A50" w14:textId="2869F602" w:rsidR="00D27A40" w:rsidRPr="0026461F" w:rsidRDefault="00D27A40" w:rsidP="00D27A40">
      <w:pPr>
        <w:rPr>
          <w:rFonts w:ascii="Calibri" w:hAnsi="Calibri"/>
          <w:b/>
          <w:bCs/>
          <w:i/>
          <w:iCs/>
          <w:color w:val="44546A" w:themeColor="text2"/>
        </w:rPr>
      </w:pPr>
      <w:r w:rsidRPr="0026461F">
        <w:rPr>
          <w:rFonts w:ascii="Calibri" w:hAnsi="Calibri"/>
          <w:b/>
          <w:i/>
          <w:iCs/>
          <w:color w:val="44546A" w:themeColor="text2"/>
        </w:rPr>
        <w:t xml:space="preserve">Table </w:t>
      </w:r>
      <w:r w:rsidR="005E4D1E">
        <w:rPr>
          <w:rFonts w:ascii="Calibri" w:hAnsi="Calibri"/>
          <w:b/>
          <w:i/>
          <w:iCs/>
          <w:color w:val="44546A" w:themeColor="text2"/>
        </w:rPr>
        <w:t>2</w:t>
      </w:r>
      <w:r w:rsidR="0026461F" w:rsidRPr="0026461F">
        <w:rPr>
          <w:rFonts w:ascii="Calibri" w:hAnsi="Calibri"/>
          <w:b/>
          <w:i/>
          <w:iCs/>
          <w:color w:val="44546A" w:themeColor="text2"/>
        </w:rPr>
        <w:t>-</w:t>
      </w:r>
      <w:r w:rsidR="00F86C54">
        <w:rPr>
          <w:rFonts w:ascii="Calibri" w:hAnsi="Calibri"/>
          <w:b/>
          <w:i/>
          <w:iCs/>
          <w:color w:val="44546A" w:themeColor="text2"/>
        </w:rPr>
        <w:t>6</w:t>
      </w:r>
      <w:r w:rsidRPr="0026461F">
        <w:rPr>
          <w:rFonts w:ascii="Calibri" w:hAnsi="Calibri"/>
          <w:b/>
          <w:i/>
          <w:iCs/>
          <w:color w:val="44546A" w:themeColor="text2"/>
        </w:rPr>
        <w:t>: Sensitivity of</w:t>
      </w:r>
      <w:r w:rsidR="002A2403" w:rsidRPr="0026461F">
        <w:rPr>
          <w:rFonts w:ascii="Calibri" w:hAnsi="Calibri"/>
          <w:b/>
          <w:i/>
          <w:iCs/>
          <w:color w:val="44546A" w:themeColor="text2"/>
        </w:rPr>
        <w:t xml:space="preserve"> </w:t>
      </w:r>
      <w:r w:rsidR="00BD6E1E">
        <w:rPr>
          <w:rFonts w:ascii="Calibri" w:hAnsi="Calibri"/>
          <w:b/>
          <w:i/>
          <w:iCs/>
          <w:color w:val="44546A" w:themeColor="text2"/>
        </w:rPr>
        <w:t xml:space="preserve">litter carbon </w:t>
      </w:r>
      <w:r w:rsidR="002A2403" w:rsidRPr="0026461F">
        <w:rPr>
          <w:rFonts w:ascii="Calibri" w:hAnsi="Calibri"/>
          <w:b/>
          <w:i/>
          <w:iCs/>
          <w:color w:val="44546A" w:themeColor="text2"/>
        </w:rPr>
        <w:t>uncertainty</w:t>
      </w:r>
      <w:r w:rsidRPr="0026461F">
        <w:rPr>
          <w:rFonts w:ascii="Calibri" w:hAnsi="Calibri"/>
          <w:b/>
          <w:i/>
          <w:iCs/>
          <w:color w:val="44546A" w:themeColor="text2"/>
        </w:rPr>
        <w:t xml:space="preserve"> results to covariance</w:t>
      </w:r>
      <w:r w:rsidR="00BD6E1E">
        <w:rPr>
          <w:rFonts w:ascii="Calibri" w:hAnsi="Calibri"/>
          <w:b/>
          <w:i/>
          <w:iCs/>
          <w:color w:val="44546A" w:themeColor="text2"/>
        </w:rPr>
        <w:t xml:space="preserve"> assumption</w:t>
      </w:r>
    </w:p>
    <w:tbl>
      <w:tblPr>
        <w:tblStyle w:val="TableGrid"/>
        <w:tblW w:w="5000" w:type="pct"/>
        <w:tblLook w:val="04A0" w:firstRow="1" w:lastRow="0" w:firstColumn="1" w:lastColumn="0" w:noHBand="0" w:noVBand="1"/>
      </w:tblPr>
      <w:tblGrid>
        <w:gridCol w:w="1375"/>
        <w:gridCol w:w="1490"/>
        <w:gridCol w:w="1279"/>
        <w:gridCol w:w="1279"/>
        <w:gridCol w:w="1279"/>
        <w:gridCol w:w="1315"/>
        <w:gridCol w:w="1333"/>
      </w:tblGrid>
      <w:tr w:rsidR="00D27A40" w:rsidRPr="00D27A40" w14:paraId="5FF18587" w14:textId="77777777" w:rsidTr="003B4036">
        <w:tc>
          <w:tcPr>
            <w:tcW w:w="735" w:type="pct"/>
            <w:vMerge w:val="restart"/>
            <w:shd w:val="clear" w:color="auto" w:fill="FFC000"/>
            <w:vAlign w:val="center"/>
          </w:tcPr>
          <w:p w14:paraId="66801A49" w14:textId="778EF51D" w:rsidR="00D27A40" w:rsidRPr="00BA185F" w:rsidRDefault="002A2403" w:rsidP="00942002">
            <w:pPr>
              <w:spacing w:after="160" w:line="259" w:lineRule="auto"/>
              <w:jc w:val="center"/>
              <w:rPr>
                <w:rFonts w:ascii="Calibri" w:hAnsi="Calibri"/>
                <w:b/>
                <w:sz w:val="18"/>
                <w:szCs w:val="18"/>
              </w:rPr>
            </w:pPr>
            <w:r w:rsidRPr="00BA185F">
              <w:rPr>
                <w:rFonts w:ascii="Calibri" w:hAnsi="Calibri"/>
                <w:b/>
                <w:sz w:val="18"/>
                <w:szCs w:val="18"/>
              </w:rPr>
              <w:t xml:space="preserve">Covariance </w:t>
            </w:r>
            <w:r w:rsidR="00D27A40" w:rsidRPr="00BA185F">
              <w:rPr>
                <w:rFonts w:ascii="Calibri" w:hAnsi="Calibri"/>
                <w:b/>
                <w:sz w:val="18"/>
                <w:szCs w:val="18"/>
              </w:rPr>
              <w:t xml:space="preserve">(as </w:t>
            </w:r>
            <w:r w:rsidR="00195D89">
              <w:rPr>
                <w:rFonts w:ascii="Calibri" w:hAnsi="Calibri"/>
                <w:b/>
                <w:sz w:val="18"/>
                <w:szCs w:val="18"/>
              </w:rPr>
              <w:t>proportion</w:t>
            </w:r>
            <w:r w:rsidR="00D27A40" w:rsidRPr="00BA185F">
              <w:rPr>
                <w:rFonts w:ascii="Calibri" w:hAnsi="Calibri"/>
                <w:b/>
                <w:sz w:val="18"/>
                <w:szCs w:val="18"/>
              </w:rPr>
              <w:t xml:space="preserve"> of variance)</w:t>
            </w:r>
          </w:p>
        </w:tc>
        <w:tc>
          <w:tcPr>
            <w:tcW w:w="797" w:type="pct"/>
            <w:vMerge w:val="restart"/>
            <w:shd w:val="clear" w:color="auto" w:fill="FFC000"/>
            <w:vAlign w:val="center"/>
          </w:tcPr>
          <w:p w14:paraId="5B7D5E60" w14:textId="77777777" w:rsidR="00D27A40" w:rsidRPr="00BA185F" w:rsidRDefault="00D27A40" w:rsidP="00BA185F">
            <w:pPr>
              <w:spacing w:after="160" w:line="259" w:lineRule="auto"/>
              <w:jc w:val="center"/>
              <w:rPr>
                <w:rFonts w:ascii="Calibri" w:hAnsi="Calibri"/>
                <w:b/>
                <w:sz w:val="18"/>
                <w:szCs w:val="18"/>
              </w:rPr>
            </w:pPr>
            <w:r w:rsidRPr="00BA185F">
              <w:rPr>
                <w:rFonts w:ascii="Calibri" w:hAnsi="Calibri"/>
                <w:b/>
                <w:sz w:val="18"/>
                <w:szCs w:val="18"/>
              </w:rPr>
              <w:t>Percentage error</w:t>
            </w:r>
          </w:p>
        </w:tc>
        <w:tc>
          <w:tcPr>
            <w:tcW w:w="1368" w:type="pct"/>
            <w:gridSpan w:val="2"/>
            <w:shd w:val="clear" w:color="auto" w:fill="FFC000"/>
            <w:vAlign w:val="center"/>
          </w:tcPr>
          <w:p w14:paraId="739A6C60" w14:textId="77777777" w:rsidR="00D27A40" w:rsidRPr="00BA185F" w:rsidRDefault="00D27A40" w:rsidP="00BA185F">
            <w:pPr>
              <w:spacing w:after="160" w:line="259" w:lineRule="auto"/>
              <w:jc w:val="center"/>
              <w:rPr>
                <w:rFonts w:ascii="Calibri" w:hAnsi="Calibri"/>
                <w:b/>
                <w:sz w:val="18"/>
                <w:szCs w:val="18"/>
              </w:rPr>
            </w:pPr>
            <w:r w:rsidRPr="00BA185F">
              <w:rPr>
                <w:rFonts w:ascii="Calibri" w:hAnsi="Calibri"/>
                <w:b/>
                <w:sz w:val="18"/>
                <w:szCs w:val="18"/>
              </w:rPr>
              <w:t>Eastern Texas</w:t>
            </w:r>
          </w:p>
        </w:tc>
        <w:tc>
          <w:tcPr>
            <w:tcW w:w="2100" w:type="pct"/>
            <w:gridSpan w:val="3"/>
            <w:shd w:val="clear" w:color="auto" w:fill="FFC000"/>
            <w:vAlign w:val="center"/>
          </w:tcPr>
          <w:p w14:paraId="063CA779" w14:textId="77777777" w:rsidR="00D27A40" w:rsidRPr="00BA185F" w:rsidRDefault="00D27A40" w:rsidP="00BA185F">
            <w:pPr>
              <w:spacing w:after="160" w:line="259" w:lineRule="auto"/>
              <w:jc w:val="center"/>
              <w:rPr>
                <w:rFonts w:ascii="Calibri" w:hAnsi="Calibri"/>
                <w:b/>
                <w:sz w:val="18"/>
                <w:szCs w:val="18"/>
              </w:rPr>
            </w:pPr>
            <w:r w:rsidRPr="00BA185F">
              <w:rPr>
                <w:rFonts w:ascii="Calibri" w:hAnsi="Calibri"/>
                <w:b/>
                <w:sz w:val="18"/>
                <w:szCs w:val="18"/>
              </w:rPr>
              <w:t>United States</w:t>
            </w:r>
          </w:p>
        </w:tc>
      </w:tr>
      <w:tr w:rsidR="002A2403" w:rsidRPr="00D27A40" w14:paraId="198E3C7D" w14:textId="77777777" w:rsidTr="003B4036">
        <w:tc>
          <w:tcPr>
            <w:tcW w:w="735" w:type="pct"/>
            <w:vMerge/>
            <w:shd w:val="clear" w:color="auto" w:fill="FFC000"/>
            <w:vAlign w:val="center"/>
          </w:tcPr>
          <w:p w14:paraId="4F9C6B34" w14:textId="77777777" w:rsidR="00D27A40" w:rsidRPr="0026461F" w:rsidRDefault="00D27A40" w:rsidP="00BA185F">
            <w:pPr>
              <w:spacing w:after="160" w:line="259" w:lineRule="auto"/>
              <w:jc w:val="center"/>
              <w:rPr>
                <w:rFonts w:ascii="Calibri" w:hAnsi="Calibri"/>
                <w:b/>
                <w:sz w:val="18"/>
                <w:szCs w:val="18"/>
              </w:rPr>
            </w:pPr>
          </w:p>
        </w:tc>
        <w:tc>
          <w:tcPr>
            <w:tcW w:w="797" w:type="pct"/>
            <w:vMerge/>
            <w:shd w:val="clear" w:color="auto" w:fill="FFC000"/>
            <w:vAlign w:val="center"/>
          </w:tcPr>
          <w:p w14:paraId="3EC97797" w14:textId="77777777" w:rsidR="00D27A40" w:rsidRPr="0026461F" w:rsidRDefault="00D27A40" w:rsidP="00BA185F">
            <w:pPr>
              <w:spacing w:after="160" w:line="259" w:lineRule="auto"/>
              <w:jc w:val="center"/>
              <w:rPr>
                <w:rFonts w:ascii="Calibri" w:hAnsi="Calibri"/>
                <w:b/>
                <w:sz w:val="18"/>
                <w:szCs w:val="18"/>
              </w:rPr>
            </w:pPr>
          </w:p>
        </w:tc>
        <w:tc>
          <w:tcPr>
            <w:tcW w:w="684" w:type="pct"/>
            <w:shd w:val="clear" w:color="auto" w:fill="FFC000"/>
            <w:vAlign w:val="center"/>
          </w:tcPr>
          <w:p w14:paraId="51FDC38E" w14:textId="77777777" w:rsidR="00D27A40" w:rsidRPr="0026461F" w:rsidRDefault="00D27A40" w:rsidP="00BA185F">
            <w:pPr>
              <w:spacing w:after="160" w:line="259" w:lineRule="auto"/>
              <w:jc w:val="center"/>
              <w:rPr>
                <w:rFonts w:ascii="Calibri" w:hAnsi="Calibri"/>
                <w:b/>
                <w:sz w:val="18"/>
                <w:szCs w:val="18"/>
              </w:rPr>
            </w:pPr>
            <w:r w:rsidRPr="0026461F">
              <w:rPr>
                <w:rFonts w:ascii="Calibri" w:hAnsi="Calibri"/>
                <w:b/>
                <w:sz w:val="18"/>
                <w:szCs w:val="18"/>
              </w:rPr>
              <w:t>Lower bound (MMT CO</w:t>
            </w:r>
            <w:r w:rsidRPr="0026461F">
              <w:rPr>
                <w:rFonts w:ascii="Calibri" w:hAnsi="Calibri"/>
                <w:b/>
                <w:sz w:val="18"/>
                <w:szCs w:val="18"/>
                <w:vertAlign w:val="subscript"/>
              </w:rPr>
              <w:t>2</w:t>
            </w:r>
            <w:r w:rsidRPr="0026461F">
              <w:rPr>
                <w:rFonts w:ascii="Calibri" w:hAnsi="Calibri"/>
                <w:b/>
                <w:sz w:val="18"/>
                <w:szCs w:val="18"/>
              </w:rPr>
              <w:t>)</w:t>
            </w:r>
          </w:p>
        </w:tc>
        <w:tc>
          <w:tcPr>
            <w:tcW w:w="684" w:type="pct"/>
            <w:shd w:val="clear" w:color="auto" w:fill="FFC000"/>
            <w:vAlign w:val="center"/>
          </w:tcPr>
          <w:p w14:paraId="0F44076A" w14:textId="77777777" w:rsidR="00D27A40" w:rsidRPr="0026461F" w:rsidRDefault="00D27A40" w:rsidP="00BA185F">
            <w:pPr>
              <w:spacing w:after="160" w:line="259" w:lineRule="auto"/>
              <w:jc w:val="center"/>
              <w:rPr>
                <w:rFonts w:ascii="Calibri" w:hAnsi="Calibri"/>
                <w:b/>
                <w:sz w:val="18"/>
                <w:szCs w:val="18"/>
              </w:rPr>
            </w:pPr>
            <w:r w:rsidRPr="0026461F">
              <w:rPr>
                <w:rFonts w:ascii="Calibri" w:hAnsi="Calibri"/>
                <w:b/>
                <w:sz w:val="18"/>
                <w:szCs w:val="18"/>
              </w:rPr>
              <w:t>Upper bound (MMT CO</w:t>
            </w:r>
            <w:r w:rsidRPr="0026461F">
              <w:rPr>
                <w:rFonts w:ascii="Calibri" w:hAnsi="Calibri"/>
                <w:b/>
                <w:sz w:val="18"/>
                <w:szCs w:val="18"/>
                <w:vertAlign w:val="subscript"/>
              </w:rPr>
              <w:t>2</w:t>
            </w:r>
            <w:r w:rsidRPr="0026461F">
              <w:rPr>
                <w:rFonts w:ascii="Calibri" w:hAnsi="Calibri"/>
                <w:b/>
                <w:sz w:val="18"/>
                <w:szCs w:val="18"/>
              </w:rPr>
              <w:t>)</w:t>
            </w:r>
          </w:p>
        </w:tc>
        <w:tc>
          <w:tcPr>
            <w:tcW w:w="684" w:type="pct"/>
            <w:shd w:val="clear" w:color="auto" w:fill="FFC000"/>
            <w:vAlign w:val="center"/>
          </w:tcPr>
          <w:p w14:paraId="3FDD2568" w14:textId="77777777" w:rsidR="00D27A40" w:rsidRPr="0026461F" w:rsidRDefault="00D27A40" w:rsidP="00BA185F">
            <w:pPr>
              <w:spacing w:after="160" w:line="259" w:lineRule="auto"/>
              <w:jc w:val="center"/>
              <w:rPr>
                <w:rFonts w:ascii="Calibri" w:hAnsi="Calibri"/>
                <w:b/>
                <w:sz w:val="18"/>
                <w:szCs w:val="18"/>
              </w:rPr>
            </w:pPr>
            <w:r w:rsidRPr="0026461F">
              <w:rPr>
                <w:rFonts w:ascii="Calibri" w:hAnsi="Calibri"/>
                <w:b/>
                <w:sz w:val="18"/>
                <w:szCs w:val="18"/>
              </w:rPr>
              <w:t>Lower bound (MMT CO</w:t>
            </w:r>
            <w:r w:rsidRPr="0026461F">
              <w:rPr>
                <w:rFonts w:ascii="Calibri" w:hAnsi="Calibri"/>
                <w:b/>
                <w:sz w:val="18"/>
                <w:szCs w:val="18"/>
                <w:vertAlign w:val="subscript"/>
              </w:rPr>
              <w:t>2</w:t>
            </w:r>
            <w:r w:rsidRPr="0026461F">
              <w:rPr>
                <w:rFonts w:ascii="Calibri" w:hAnsi="Calibri"/>
                <w:b/>
                <w:sz w:val="18"/>
                <w:szCs w:val="18"/>
              </w:rPr>
              <w:t>)</w:t>
            </w:r>
          </w:p>
        </w:tc>
        <w:tc>
          <w:tcPr>
            <w:tcW w:w="703" w:type="pct"/>
            <w:shd w:val="clear" w:color="auto" w:fill="FFC000"/>
            <w:vAlign w:val="center"/>
          </w:tcPr>
          <w:p w14:paraId="21F0CD97" w14:textId="77777777" w:rsidR="00D27A40" w:rsidRPr="0026461F" w:rsidRDefault="00D27A40" w:rsidP="00BA185F">
            <w:pPr>
              <w:spacing w:after="160" w:line="259" w:lineRule="auto"/>
              <w:jc w:val="center"/>
              <w:rPr>
                <w:rFonts w:ascii="Calibri" w:hAnsi="Calibri"/>
                <w:b/>
                <w:sz w:val="18"/>
                <w:szCs w:val="18"/>
              </w:rPr>
            </w:pPr>
            <w:r w:rsidRPr="0026461F">
              <w:rPr>
                <w:rFonts w:ascii="Calibri" w:hAnsi="Calibri"/>
                <w:b/>
                <w:sz w:val="18"/>
                <w:szCs w:val="18"/>
              </w:rPr>
              <w:t>Upper bound (MMT CO</w:t>
            </w:r>
            <w:r w:rsidRPr="0026461F">
              <w:rPr>
                <w:rFonts w:ascii="Calibri" w:hAnsi="Calibri"/>
                <w:b/>
                <w:sz w:val="18"/>
                <w:szCs w:val="18"/>
                <w:vertAlign w:val="subscript"/>
              </w:rPr>
              <w:t>2</w:t>
            </w:r>
            <w:r w:rsidRPr="0026461F">
              <w:rPr>
                <w:rFonts w:ascii="Calibri" w:hAnsi="Calibri"/>
                <w:b/>
                <w:sz w:val="18"/>
                <w:szCs w:val="18"/>
              </w:rPr>
              <w:t>)</w:t>
            </w:r>
          </w:p>
        </w:tc>
        <w:tc>
          <w:tcPr>
            <w:tcW w:w="713" w:type="pct"/>
            <w:shd w:val="clear" w:color="auto" w:fill="FFC000"/>
            <w:vAlign w:val="center"/>
          </w:tcPr>
          <w:p w14:paraId="2E0BE649" w14:textId="77777777" w:rsidR="00D27A40" w:rsidRPr="0026461F" w:rsidRDefault="00D27A40" w:rsidP="00BA185F">
            <w:pPr>
              <w:spacing w:after="160" w:line="259" w:lineRule="auto"/>
              <w:jc w:val="center"/>
              <w:rPr>
                <w:rFonts w:ascii="Calibri" w:hAnsi="Calibri"/>
                <w:b/>
                <w:sz w:val="18"/>
                <w:szCs w:val="18"/>
              </w:rPr>
            </w:pPr>
            <w:r w:rsidRPr="0026461F">
              <w:rPr>
                <w:rFonts w:ascii="Calibri" w:hAnsi="Calibri"/>
                <w:b/>
                <w:sz w:val="18"/>
                <w:szCs w:val="18"/>
              </w:rPr>
              <w:t>Uncertainty contribution (MMT CO</w:t>
            </w:r>
            <w:r w:rsidRPr="0026461F">
              <w:rPr>
                <w:rFonts w:ascii="Calibri" w:hAnsi="Calibri"/>
                <w:b/>
                <w:sz w:val="18"/>
                <w:szCs w:val="18"/>
                <w:vertAlign w:val="subscript"/>
              </w:rPr>
              <w:t>2</w:t>
            </w:r>
            <w:r w:rsidRPr="0026461F">
              <w:rPr>
                <w:rFonts w:ascii="Calibri" w:hAnsi="Calibri"/>
                <w:b/>
                <w:sz w:val="18"/>
                <w:szCs w:val="18"/>
              </w:rPr>
              <w:t>)</w:t>
            </w:r>
          </w:p>
        </w:tc>
      </w:tr>
      <w:tr w:rsidR="002A2403" w:rsidRPr="00D27A40" w14:paraId="3642B77D" w14:textId="77777777" w:rsidTr="003B4036">
        <w:tc>
          <w:tcPr>
            <w:tcW w:w="735" w:type="pct"/>
            <w:vAlign w:val="center"/>
          </w:tcPr>
          <w:p w14:paraId="5EDC6E55" w14:textId="77777777" w:rsidR="00D27A40" w:rsidRPr="00BA185F" w:rsidRDefault="00D27A40" w:rsidP="00BA185F">
            <w:pPr>
              <w:spacing w:after="160"/>
              <w:jc w:val="center"/>
              <w:rPr>
                <w:rFonts w:ascii="Calibri" w:hAnsi="Calibri"/>
                <w:b/>
                <w:sz w:val="18"/>
                <w:szCs w:val="18"/>
              </w:rPr>
            </w:pPr>
            <w:r w:rsidRPr="00BA185F">
              <w:rPr>
                <w:rFonts w:ascii="Calibri" w:hAnsi="Calibri"/>
                <w:b/>
                <w:sz w:val="18"/>
                <w:szCs w:val="18"/>
              </w:rPr>
              <w:t>0.9</w:t>
            </w:r>
          </w:p>
        </w:tc>
        <w:tc>
          <w:tcPr>
            <w:tcW w:w="797" w:type="pct"/>
            <w:vAlign w:val="center"/>
          </w:tcPr>
          <w:p w14:paraId="4981A49F" w14:textId="1D7C4376" w:rsidR="00D27A40" w:rsidRPr="00BA185F" w:rsidRDefault="00A0011F" w:rsidP="00BA185F">
            <w:pPr>
              <w:spacing w:after="160"/>
              <w:jc w:val="center"/>
              <w:rPr>
                <w:rFonts w:ascii="Calibri" w:hAnsi="Calibri"/>
                <w:sz w:val="18"/>
                <w:szCs w:val="18"/>
              </w:rPr>
            </w:pPr>
            <w:r>
              <w:rPr>
                <w:rFonts w:ascii="Calibri" w:hAnsi="Calibri"/>
                <w:sz w:val="18"/>
                <w:szCs w:val="18"/>
              </w:rPr>
              <w:t>-</w:t>
            </w:r>
            <w:r w:rsidR="00D27A40" w:rsidRPr="00BA185F">
              <w:rPr>
                <w:rFonts w:ascii="Calibri" w:hAnsi="Calibri"/>
                <w:sz w:val="18"/>
                <w:szCs w:val="18"/>
              </w:rPr>
              <w:t>1,0</w:t>
            </w:r>
            <w:r>
              <w:rPr>
                <w:rFonts w:ascii="Calibri" w:hAnsi="Calibri"/>
                <w:sz w:val="18"/>
                <w:szCs w:val="18"/>
              </w:rPr>
              <w:t>34</w:t>
            </w:r>
            <w:r w:rsidR="00D27A40" w:rsidRPr="00BA185F">
              <w:rPr>
                <w:rFonts w:ascii="Calibri" w:hAnsi="Calibri"/>
                <w:sz w:val="18"/>
                <w:szCs w:val="18"/>
              </w:rPr>
              <w:t>%</w:t>
            </w:r>
            <w:r>
              <w:rPr>
                <w:rFonts w:ascii="Calibri" w:hAnsi="Calibri"/>
                <w:sz w:val="18"/>
                <w:szCs w:val="18"/>
              </w:rPr>
              <w:t>, 1,016%</w:t>
            </w:r>
          </w:p>
        </w:tc>
        <w:tc>
          <w:tcPr>
            <w:tcW w:w="684" w:type="pct"/>
            <w:vAlign w:val="center"/>
          </w:tcPr>
          <w:p w14:paraId="0D953744" w14:textId="67F3E472" w:rsidR="00D27A40" w:rsidRPr="00BA185F" w:rsidRDefault="00D27A40" w:rsidP="00BA185F">
            <w:pPr>
              <w:spacing w:after="160"/>
              <w:jc w:val="center"/>
              <w:rPr>
                <w:rFonts w:ascii="Calibri" w:hAnsi="Calibri"/>
                <w:sz w:val="18"/>
                <w:szCs w:val="18"/>
              </w:rPr>
            </w:pPr>
            <w:r w:rsidRPr="00BA185F">
              <w:rPr>
                <w:rFonts w:ascii="Calibri" w:hAnsi="Calibri"/>
                <w:sz w:val="18"/>
                <w:szCs w:val="18"/>
              </w:rPr>
              <w:t>-3.</w:t>
            </w:r>
            <w:r w:rsidR="00A0011F">
              <w:rPr>
                <w:rFonts w:ascii="Calibri" w:hAnsi="Calibri"/>
                <w:sz w:val="18"/>
                <w:szCs w:val="18"/>
              </w:rPr>
              <w:t>3</w:t>
            </w:r>
          </w:p>
        </w:tc>
        <w:tc>
          <w:tcPr>
            <w:tcW w:w="684" w:type="pct"/>
            <w:vAlign w:val="center"/>
          </w:tcPr>
          <w:p w14:paraId="3075D477" w14:textId="77777777" w:rsidR="00D27A40" w:rsidRPr="00BA185F" w:rsidRDefault="00D27A40" w:rsidP="00BA185F">
            <w:pPr>
              <w:spacing w:after="160"/>
              <w:jc w:val="center"/>
              <w:rPr>
                <w:rFonts w:ascii="Calibri" w:hAnsi="Calibri"/>
                <w:sz w:val="18"/>
                <w:szCs w:val="18"/>
              </w:rPr>
            </w:pPr>
            <w:r w:rsidRPr="00BA185F">
              <w:rPr>
                <w:rFonts w:ascii="Calibri" w:hAnsi="Calibri"/>
                <w:sz w:val="18"/>
                <w:szCs w:val="18"/>
              </w:rPr>
              <w:t>2.6</w:t>
            </w:r>
          </w:p>
        </w:tc>
        <w:tc>
          <w:tcPr>
            <w:tcW w:w="684" w:type="pct"/>
            <w:vAlign w:val="center"/>
          </w:tcPr>
          <w:p w14:paraId="3364ABE1" w14:textId="431DC3F8" w:rsidR="00D27A40" w:rsidRPr="00BA185F" w:rsidRDefault="00D27A40" w:rsidP="00BA185F">
            <w:pPr>
              <w:spacing w:after="160"/>
              <w:jc w:val="center"/>
              <w:rPr>
                <w:rFonts w:ascii="Calibri" w:hAnsi="Calibri"/>
                <w:sz w:val="18"/>
                <w:szCs w:val="18"/>
              </w:rPr>
            </w:pPr>
            <w:r w:rsidRPr="00BA185F">
              <w:rPr>
                <w:rFonts w:ascii="Calibri" w:hAnsi="Calibri"/>
                <w:sz w:val="18"/>
                <w:szCs w:val="18"/>
              </w:rPr>
              <w:t>-18</w:t>
            </w:r>
            <w:r w:rsidR="00A0011F">
              <w:rPr>
                <w:rFonts w:ascii="Calibri" w:hAnsi="Calibri"/>
                <w:sz w:val="18"/>
                <w:szCs w:val="18"/>
              </w:rPr>
              <w:t>2</w:t>
            </w:r>
            <w:r w:rsidRPr="00BA185F">
              <w:rPr>
                <w:rFonts w:ascii="Calibri" w:hAnsi="Calibri"/>
                <w:sz w:val="18"/>
                <w:szCs w:val="18"/>
              </w:rPr>
              <w:t>.</w:t>
            </w:r>
            <w:r w:rsidR="00A0011F">
              <w:rPr>
                <w:rFonts w:ascii="Calibri" w:hAnsi="Calibri"/>
                <w:sz w:val="18"/>
                <w:szCs w:val="18"/>
              </w:rPr>
              <w:t>6</w:t>
            </w:r>
          </w:p>
        </w:tc>
        <w:tc>
          <w:tcPr>
            <w:tcW w:w="703" w:type="pct"/>
            <w:vAlign w:val="center"/>
          </w:tcPr>
          <w:p w14:paraId="382297A1" w14:textId="7E2B1CB8" w:rsidR="00D27A40" w:rsidRPr="00BA185F" w:rsidRDefault="00D27A40" w:rsidP="00BA185F">
            <w:pPr>
              <w:spacing w:after="160"/>
              <w:jc w:val="center"/>
              <w:rPr>
                <w:rFonts w:ascii="Calibri" w:hAnsi="Calibri"/>
                <w:sz w:val="18"/>
                <w:szCs w:val="18"/>
              </w:rPr>
            </w:pPr>
            <w:r w:rsidRPr="00BA185F">
              <w:rPr>
                <w:rFonts w:ascii="Calibri" w:hAnsi="Calibri"/>
                <w:sz w:val="18"/>
                <w:szCs w:val="18"/>
              </w:rPr>
              <w:t>147.</w:t>
            </w:r>
            <w:r w:rsidR="00A0011F">
              <w:rPr>
                <w:rFonts w:ascii="Calibri" w:hAnsi="Calibri"/>
                <w:sz w:val="18"/>
                <w:szCs w:val="18"/>
              </w:rPr>
              <w:t>5</w:t>
            </w:r>
          </w:p>
        </w:tc>
        <w:tc>
          <w:tcPr>
            <w:tcW w:w="713" w:type="pct"/>
            <w:vAlign w:val="center"/>
          </w:tcPr>
          <w:p w14:paraId="221FBA81" w14:textId="101E86EE" w:rsidR="00D27A40" w:rsidRPr="00BA185F" w:rsidRDefault="00D27A40" w:rsidP="00BA185F">
            <w:pPr>
              <w:spacing w:after="160"/>
              <w:jc w:val="center"/>
              <w:rPr>
                <w:rFonts w:ascii="Calibri" w:hAnsi="Calibri"/>
                <w:sz w:val="18"/>
                <w:szCs w:val="18"/>
              </w:rPr>
            </w:pPr>
            <w:r w:rsidRPr="00BA185F">
              <w:rPr>
                <w:rFonts w:ascii="Calibri" w:hAnsi="Calibri"/>
                <w:sz w:val="18"/>
                <w:szCs w:val="18"/>
              </w:rPr>
              <w:t>3</w:t>
            </w:r>
            <w:r w:rsidR="00A0011F">
              <w:rPr>
                <w:rFonts w:ascii="Calibri" w:hAnsi="Calibri"/>
                <w:sz w:val="18"/>
                <w:szCs w:val="18"/>
              </w:rPr>
              <w:t>30.2</w:t>
            </w:r>
          </w:p>
        </w:tc>
      </w:tr>
      <w:tr w:rsidR="002A2403" w:rsidRPr="00D27A40" w14:paraId="768F6C7E" w14:textId="77777777" w:rsidTr="003B4036">
        <w:tc>
          <w:tcPr>
            <w:tcW w:w="735" w:type="pct"/>
            <w:vAlign w:val="center"/>
          </w:tcPr>
          <w:p w14:paraId="3885FAF8" w14:textId="77777777" w:rsidR="00D27A40" w:rsidRPr="00BA185F" w:rsidRDefault="00D27A40" w:rsidP="00BA185F">
            <w:pPr>
              <w:spacing w:after="160"/>
              <w:jc w:val="center"/>
              <w:rPr>
                <w:rFonts w:ascii="Calibri" w:hAnsi="Calibri"/>
                <w:b/>
                <w:sz w:val="18"/>
                <w:szCs w:val="18"/>
              </w:rPr>
            </w:pPr>
            <w:r w:rsidRPr="00BA185F">
              <w:rPr>
                <w:rFonts w:ascii="Calibri" w:hAnsi="Calibri"/>
                <w:b/>
                <w:sz w:val="18"/>
                <w:szCs w:val="18"/>
              </w:rPr>
              <w:t>0.95</w:t>
            </w:r>
          </w:p>
        </w:tc>
        <w:tc>
          <w:tcPr>
            <w:tcW w:w="797" w:type="pct"/>
            <w:vAlign w:val="center"/>
          </w:tcPr>
          <w:p w14:paraId="06F9DDA7" w14:textId="352D6DA4" w:rsidR="00D27A40" w:rsidRPr="00BA185F" w:rsidRDefault="00A0011F" w:rsidP="00BA185F">
            <w:pPr>
              <w:spacing w:after="160"/>
              <w:jc w:val="center"/>
              <w:rPr>
                <w:rFonts w:ascii="Calibri" w:hAnsi="Calibri"/>
                <w:sz w:val="18"/>
                <w:szCs w:val="18"/>
              </w:rPr>
            </w:pPr>
            <w:r>
              <w:rPr>
                <w:rFonts w:ascii="Calibri" w:hAnsi="Calibri"/>
                <w:sz w:val="18"/>
                <w:szCs w:val="18"/>
              </w:rPr>
              <w:t>-</w:t>
            </w:r>
            <w:r w:rsidR="00D27A40" w:rsidRPr="00BA185F">
              <w:rPr>
                <w:rFonts w:ascii="Calibri" w:hAnsi="Calibri"/>
                <w:sz w:val="18"/>
                <w:szCs w:val="18"/>
              </w:rPr>
              <w:t>7</w:t>
            </w:r>
            <w:r>
              <w:rPr>
                <w:rFonts w:ascii="Calibri" w:hAnsi="Calibri"/>
                <w:sz w:val="18"/>
                <w:szCs w:val="18"/>
              </w:rPr>
              <w:t>32.6</w:t>
            </w:r>
            <w:r w:rsidR="00D27A40" w:rsidRPr="00BA185F">
              <w:rPr>
                <w:rFonts w:ascii="Calibri" w:hAnsi="Calibri"/>
                <w:sz w:val="18"/>
                <w:szCs w:val="18"/>
              </w:rPr>
              <w:t>%</w:t>
            </w:r>
            <w:r>
              <w:rPr>
                <w:rFonts w:ascii="Calibri" w:hAnsi="Calibri"/>
                <w:sz w:val="18"/>
                <w:szCs w:val="18"/>
              </w:rPr>
              <w:t>, 719.8%</w:t>
            </w:r>
          </w:p>
        </w:tc>
        <w:tc>
          <w:tcPr>
            <w:tcW w:w="684" w:type="pct"/>
            <w:vAlign w:val="center"/>
          </w:tcPr>
          <w:p w14:paraId="3AB9162D" w14:textId="77777777" w:rsidR="00D27A40" w:rsidRPr="00BA185F" w:rsidRDefault="00D27A40" w:rsidP="00BA185F">
            <w:pPr>
              <w:spacing w:after="160"/>
              <w:jc w:val="center"/>
              <w:rPr>
                <w:rFonts w:ascii="Calibri" w:hAnsi="Calibri"/>
                <w:sz w:val="18"/>
                <w:szCs w:val="18"/>
              </w:rPr>
            </w:pPr>
            <w:r w:rsidRPr="00BA185F">
              <w:rPr>
                <w:rFonts w:ascii="Calibri" w:hAnsi="Calibri"/>
                <w:sz w:val="18"/>
                <w:szCs w:val="18"/>
              </w:rPr>
              <w:t>-2.4</w:t>
            </w:r>
          </w:p>
        </w:tc>
        <w:tc>
          <w:tcPr>
            <w:tcW w:w="684" w:type="pct"/>
            <w:vAlign w:val="center"/>
          </w:tcPr>
          <w:p w14:paraId="69949343" w14:textId="77777777" w:rsidR="00D27A40" w:rsidRPr="00BA185F" w:rsidRDefault="00D27A40" w:rsidP="00BA185F">
            <w:pPr>
              <w:spacing w:after="160"/>
              <w:jc w:val="center"/>
              <w:rPr>
                <w:rFonts w:ascii="Calibri" w:hAnsi="Calibri"/>
                <w:sz w:val="18"/>
                <w:szCs w:val="18"/>
              </w:rPr>
            </w:pPr>
            <w:r w:rsidRPr="00BA185F">
              <w:rPr>
                <w:rFonts w:ascii="Calibri" w:hAnsi="Calibri"/>
                <w:sz w:val="18"/>
                <w:szCs w:val="18"/>
              </w:rPr>
              <w:t>1.8</w:t>
            </w:r>
          </w:p>
        </w:tc>
        <w:tc>
          <w:tcPr>
            <w:tcW w:w="684" w:type="pct"/>
            <w:vAlign w:val="center"/>
          </w:tcPr>
          <w:p w14:paraId="03E26628" w14:textId="22AB0CAF" w:rsidR="00D27A40" w:rsidRPr="00BA185F" w:rsidRDefault="00D27A40" w:rsidP="00BA185F">
            <w:pPr>
              <w:spacing w:after="160"/>
              <w:jc w:val="center"/>
              <w:rPr>
                <w:rFonts w:ascii="Calibri" w:hAnsi="Calibri"/>
                <w:sz w:val="18"/>
                <w:szCs w:val="18"/>
              </w:rPr>
            </w:pPr>
            <w:r w:rsidRPr="00BA185F">
              <w:rPr>
                <w:rFonts w:ascii="Calibri" w:hAnsi="Calibri"/>
                <w:sz w:val="18"/>
                <w:szCs w:val="18"/>
              </w:rPr>
              <w:t>-13</w:t>
            </w:r>
            <w:r w:rsidR="00A0011F">
              <w:rPr>
                <w:rFonts w:ascii="Calibri" w:hAnsi="Calibri"/>
                <w:sz w:val="18"/>
                <w:szCs w:val="18"/>
              </w:rPr>
              <w:t>4</w:t>
            </w:r>
            <w:r w:rsidRPr="00BA185F">
              <w:rPr>
                <w:rFonts w:ascii="Calibri" w:hAnsi="Calibri"/>
                <w:sz w:val="18"/>
                <w:szCs w:val="18"/>
              </w:rPr>
              <w:t>.</w:t>
            </w:r>
            <w:r w:rsidR="00A0011F">
              <w:rPr>
                <w:rFonts w:ascii="Calibri" w:hAnsi="Calibri"/>
                <w:sz w:val="18"/>
                <w:szCs w:val="18"/>
              </w:rPr>
              <w:t>0</w:t>
            </w:r>
          </w:p>
        </w:tc>
        <w:tc>
          <w:tcPr>
            <w:tcW w:w="703" w:type="pct"/>
            <w:vAlign w:val="center"/>
          </w:tcPr>
          <w:p w14:paraId="1F75C6D4" w14:textId="56BD93C0" w:rsidR="00D27A40" w:rsidRPr="00BA185F" w:rsidRDefault="00A0011F" w:rsidP="00BA185F">
            <w:pPr>
              <w:spacing w:after="160"/>
              <w:jc w:val="center"/>
              <w:rPr>
                <w:rFonts w:ascii="Calibri" w:hAnsi="Calibri"/>
                <w:sz w:val="18"/>
                <w:szCs w:val="18"/>
              </w:rPr>
            </w:pPr>
            <w:r>
              <w:rPr>
                <w:rFonts w:ascii="Calibri" w:hAnsi="Calibri"/>
                <w:sz w:val="18"/>
                <w:szCs w:val="18"/>
              </w:rPr>
              <w:t>99.8</w:t>
            </w:r>
          </w:p>
        </w:tc>
        <w:tc>
          <w:tcPr>
            <w:tcW w:w="713" w:type="pct"/>
            <w:vAlign w:val="center"/>
          </w:tcPr>
          <w:p w14:paraId="045972A2" w14:textId="52F38046" w:rsidR="00D27A40" w:rsidRPr="00BA185F" w:rsidRDefault="00D27A40" w:rsidP="00BA185F">
            <w:pPr>
              <w:spacing w:after="160"/>
              <w:jc w:val="center"/>
              <w:rPr>
                <w:rFonts w:ascii="Calibri" w:hAnsi="Calibri"/>
                <w:sz w:val="18"/>
                <w:szCs w:val="18"/>
              </w:rPr>
            </w:pPr>
            <w:r w:rsidRPr="00BA185F">
              <w:rPr>
                <w:rFonts w:ascii="Calibri" w:hAnsi="Calibri"/>
                <w:sz w:val="18"/>
                <w:szCs w:val="18"/>
              </w:rPr>
              <w:t>23</w:t>
            </w:r>
            <w:r w:rsidR="00A0011F">
              <w:rPr>
                <w:rFonts w:ascii="Calibri" w:hAnsi="Calibri"/>
                <w:sz w:val="18"/>
                <w:szCs w:val="18"/>
              </w:rPr>
              <w:t>3.8</w:t>
            </w:r>
          </w:p>
        </w:tc>
      </w:tr>
      <w:tr w:rsidR="002A2403" w:rsidRPr="00D27A40" w14:paraId="1963022C" w14:textId="77777777" w:rsidTr="003B4036">
        <w:tc>
          <w:tcPr>
            <w:tcW w:w="735" w:type="pct"/>
            <w:vAlign w:val="center"/>
          </w:tcPr>
          <w:p w14:paraId="77420E17" w14:textId="0BFF1748" w:rsidR="00D27A40" w:rsidRPr="00BA185F" w:rsidRDefault="00D27A40" w:rsidP="00BA185F">
            <w:pPr>
              <w:spacing w:after="160"/>
              <w:jc w:val="center"/>
              <w:rPr>
                <w:rFonts w:ascii="Calibri" w:hAnsi="Calibri"/>
                <w:b/>
                <w:sz w:val="18"/>
                <w:szCs w:val="18"/>
              </w:rPr>
            </w:pPr>
            <w:r w:rsidRPr="00BA185F">
              <w:rPr>
                <w:rFonts w:ascii="Calibri" w:hAnsi="Calibri"/>
                <w:b/>
                <w:sz w:val="18"/>
                <w:szCs w:val="18"/>
              </w:rPr>
              <w:t>0.999</w:t>
            </w:r>
            <w:r w:rsidR="00195D89">
              <w:rPr>
                <w:rFonts w:ascii="Calibri" w:hAnsi="Calibri"/>
                <w:b/>
                <w:sz w:val="18"/>
                <w:szCs w:val="18"/>
              </w:rPr>
              <w:t xml:space="preserve"> (base)</w:t>
            </w:r>
          </w:p>
        </w:tc>
        <w:tc>
          <w:tcPr>
            <w:tcW w:w="797" w:type="pct"/>
            <w:vAlign w:val="center"/>
          </w:tcPr>
          <w:p w14:paraId="3C236CFC" w14:textId="41DA1BA5" w:rsidR="00D27A40" w:rsidRPr="00BA185F" w:rsidRDefault="00A0011F" w:rsidP="00BA185F">
            <w:pPr>
              <w:spacing w:after="160"/>
              <w:jc w:val="center"/>
              <w:rPr>
                <w:rFonts w:ascii="Calibri" w:hAnsi="Calibri"/>
                <w:sz w:val="18"/>
                <w:szCs w:val="18"/>
              </w:rPr>
            </w:pPr>
            <w:r>
              <w:rPr>
                <w:rFonts w:ascii="Calibri" w:hAnsi="Calibri"/>
                <w:sz w:val="18"/>
                <w:szCs w:val="18"/>
              </w:rPr>
              <w:t>-</w:t>
            </w:r>
            <w:r w:rsidR="00D27A40" w:rsidRPr="00BA185F">
              <w:rPr>
                <w:rFonts w:ascii="Calibri" w:hAnsi="Calibri"/>
                <w:sz w:val="18"/>
                <w:szCs w:val="18"/>
              </w:rPr>
              <w:t>10</w:t>
            </w:r>
            <w:r>
              <w:rPr>
                <w:rFonts w:ascii="Calibri" w:hAnsi="Calibri"/>
                <w:sz w:val="18"/>
                <w:szCs w:val="18"/>
              </w:rPr>
              <w:t>3.9</w:t>
            </w:r>
            <w:r w:rsidR="00D27A40" w:rsidRPr="00BA185F">
              <w:rPr>
                <w:rFonts w:ascii="Calibri" w:hAnsi="Calibri"/>
                <w:sz w:val="18"/>
                <w:szCs w:val="18"/>
              </w:rPr>
              <w:t>%</w:t>
            </w:r>
            <w:r>
              <w:rPr>
                <w:rFonts w:ascii="Calibri" w:hAnsi="Calibri"/>
                <w:sz w:val="18"/>
                <w:szCs w:val="18"/>
              </w:rPr>
              <w:t>, 102.1%</w:t>
            </w:r>
          </w:p>
        </w:tc>
        <w:tc>
          <w:tcPr>
            <w:tcW w:w="684" w:type="pct"/>
            <w:vAlign w:val="center"/>
          </w:tcPr>
          <w:p w14:paraId="3618D74A" w14:textId="77777777" w:rsidR="00D27A40" w:rsidRPr="00BA185F" w:rsidRDefault="00D27A40" w:rsidP="00BA185F">
            <w:pPr>
              <w:spacing w:after="160"/>
              <w:jc w:val="center"/>
              <w:rPr>
                <w:rFonts w:ascii="Calibri" w:hAnsi="Calibri"/>
                <w:sz w:val="18"/>
                <w:szCs w:val="18"/>
              </w:rPr>
            </w:pPr>
            <w:r w:rsidRPr="00BA185F">
              <w:rPr>
                <w:rFonts w:ascii="Calibri" w:hAnsi="Calibri"/>
                <w:sz w:val="18"/>
                <w:szCs w:val="18"/>
              </w:rPr>
              <w:t>-0.6</w:t>
            </w:r>
          </w:p>
        </w:tc>
        <w:tc>
          <w:tcPr>
            <w:tcW w:w="684" w:type="pct"/>
            <w:vAlign w:val="center"/>
          </w:tcPr>
          <w:p w14:paraId="72080041" w14:textId="77777777" w:rsidR="00D27A40" w:rsidRPr="00BA185F" w:rsidRDefault="00D27A40" w:rsidP="00BA185F">
            <w:pPr>
              <w:spacing w:after="160"/>
              <w:jc w:val="center"/>
              <w:rPr>
                <w:rFonts w:ascii="Calibri" w:hAnsi="Calibri"/>
                <w:sz w:val="18"/>
                <w:szCs w:val="18"/>
              </w:rPr>
            </w:pPr>
            <w:r w:rsidRPr="00BA185F">
              <w:rPr>
                <w:rFonts w:ascii="Calibri" w:hAnsi="Calibri"/>
                <w:sz w:val="18"/>
                <w:szCs w:val="18"/>
              </w:rPr>
              <w:t>0.01</w:t>
            </w:r>
          </w:p>
        </w:tc>
        <w:tc>
          <w:tcPr>
            <w:tcW w:w="684" w:type="pct"/>
            <w:vAlign w:val="center"/>
          </w:tcPr>
          <w:p w14:paraId="37FEBDAB" w14:textId="017ECDA6" w:rsidR="00D27A40" w:rsidRPr="00BA185F" w:rsidRDefault="00D27A40" w:rsidP="00BA185F">
            <w:pPr>
              <w:spacing w:after="160"/>
              <w:jc w:val="center"/>
              <w:rPr>
                <w:rFonts w:ascii="Calibri" w:hAnsi="Calibri"/>
                <w:sz w:val="18"/>
                <w:szCs w:val="18"/>
              </w:rPr>
            </w:pPr>
            <w:r w:rsidRPr="00BA185F">
              <w:rPr>
                <w:rFonts w:ascii="Calibri" w:hAnsi="Calibri"/>
                <w:sz w:val="18"/>
                <w:szCs w:val="18"/>
              </w:rPr>
              <w:t>-32.</w:t>
            </w:r>
            <w:r w:rsidR="00074B66">
              <w:rPr>
                <w:rFonts w:ascii="Calibri" w:hAnsi="Calibri"/>
                <w:sz w:val="18"/>
                <w:szCs w:val="18"/>
              </w:rPr>
              <w:t>8</w:t>
            </w:r>
          </w:p>
        </w:tc>
        <w:tc>
          <w:tcPr>
            <w:tcW w:w="703" w:type="pct"/>
            <w:vAlign w:val="center"/>
          </w:tcPr>
          <w:p w14:paraId="42BF0CEE" w14:textId="628CE222" w:rsidR="00D27A40" w:rsidRPr="00BA185F" w:rsidRDefault="00D27A40" w:rsidP="00BA185F">
            <w:pPr>
              <w:spacing w:after="160"/>
              <w:jc w:val="center"/>
              <w:rPr>
                <w:rFonts w:ascii="Calibri" w:hAnsi="Calibri"/>
                <w:sz w:val="18"/>
                <w:szCs w:val="18"/>
              </w:rPr>
            </w:pPr>
            <w:r w:rsidRPr="00BA185F">
              <w:rPr>
                <w:rFonts w:ascii="Calibri" w:hAnsi="Calibri"/>
                <w:sz w:val="18"/>
                <w:szCs w:val="18"/>
              </w:rPr>
              <w:t>0.</w:t>
            </w:r>
            <w:r w:rsidR="00074B66">
              <w:rPr>
                <w:rFonts w:ascii="Calibri" w:hAnsi="Calibri"/>
                <w:sz w:val="18"/>
                <w:szCs w:val="18"/>
              </w:rPr>
              <w:t>3</w:t>
            </w:r>
          </w:p>
        </w:tc>
        <w:tc>
          <w:tcPr>
            <w:tcW w:w="713" w:type="pct"/>
            <w:vAlign w:val="center"/>
          </w:tcPr>
          <w:p w14:paraId="365FEF10" w14:textId="555A3A63" w:rsidR="00D27A40" w:rsidRPr="00BA185F" w:rsidRDefault="00D27A40" w:rsidP="00BA185F">
            <w:pPr>
              <w:spacing w:after="160"/>
              <w:jc w:val="center"/>
              <w:rPr>
                <w:rFonts w:ascii="Calibri" w:hAnsi="Calibri"/>
                <w:sz w:val="18"/>
                <w:szCs w:val="18"/>
              </w:rPr>
            </w:pPr>
            <w:r w:rsidRPr="00BA185F">
              <w:rPr>
                <w:rFonts w:ascii="Calibri" w:hAnsi="Calibri"/>
                <w:sz w:val="18"/>
                <w:szCs w:val="18"/>
              </w:rPr>
              <w:t>33.</w:t>
            </w:r>
            <w:r w:rsidR="00074B66">
              <w:rPr>
                <w:rFonts w:ascii="Calibri" w:hAnsi="Calibri"/>
                <w:sz w:val="18"/>
                <w:szCs w:val="18"/>
              </w:rPr>
              <w:t>2</w:t>
            </w:r>
          </w:p>
        </w:tc>
      </w:tr>
      <w:tr w:rsidR="002A2403" w:rsidRPr="00D27A40" w14:paraId="4252CBCD" w14:textId="77777777" w:rsidTr="003B4036">
        <w:tc>
          <w:tcPr>
            <w:tcW w:w="735" w:type="pct"/>
            <w:vAlign w:val="center"/>
          </w:tcPr>
          <w:p w14:paraId="0656FECC" w14:textId="77777777" w:rsidR="00D27A40" w:rsidRPr="00BA185F" w:rsidRDefault="00D27A40" w:rsidP="00BA185F">
            <w:pPr>
              <w:spacing w:after="160"/>
              <w:jc w:val="center"/>
              <w:rPr>
                <w:rFonts w:ascii="Calibri" w:hAnsi="Calibri"/>
                <w:b/>
                <w:sz w:val="18"/>
                <w:szCs w:val="18"/>
              </w:rPr>
            </w:pPr>
            <w:r w:rsidRPr="00BA185F">
              <w:rPr>
                <w:rFonts w:ascii="Calibri" w:hAnsi="Calibri"/>
                <w:b/>
                <w:sz w:val="18"/>
                <w:szCs w:val="18"/>
              </w:rPr>
              <w:t>0.9999</w:t>
            </w:r>
          </w:p>
        </w:tc>
        <w:tc>
          <w:tcPr>
            <w:tcW w:w="797" w:type="pct"/>
            <w:vAlign w:val="center"/>
          </w:tcPr>
          <w:p w14:paraId="52797D0C" w14:textId="339033BA" w:rsidR="00D27A40" w:rsidRPr="00BA185F" w:rsidRDefault="00074B66" w:rsidP="00BA185F">
            <w:pPr>
              <w:spacing w:after="160"/>
              <w:jc w:val="center"/>
              <w:rPr>
                <w:rFonts w:ascii="Calibri" w:hAnsi="Calibri"/>
                <w:sz w:val="18"/>
                <w:szCs w:val="18"/>
              </w:rPr>
            </w:pPr>
            <w:r>
              <w:rPr>
                <w:rFonts w:ascii="Calibri" w:hAnsi="Calibri"/>
                <w:sz w:val="18"/>
                <w:szCs w:val="18"/>
              </w:rPr>
              <w:t>-</w:t>
            </w:r>
            <w:r w:rsidR="00D27A40" w:rsidRPr="00BA185F">
              <w:rPr>
                <w:rFonts w:ascii="Calibri" w:hAnsi="Calibri"/>
                <w:sz w:val="18"/>
                <w:szCs w:val="18"/>
              </w:rPr>
              <w:t>32</w:t>
            </w:r>
            <w:r>
              <w:rPr>
                <w:rFonts w:ascii="Calibri" w:hAnsi="Calibri"/>
                <w:sz w:val="18"/>
                <w:szCs w:val="18"/>
              </w:rPr>
              <w:t>.9</w:t>
            </w:r>
            <w:r w:rsidR="00D27A40" w:rsidRPr="00BA185F">
              <w:rPr>
                <w:rFonts w:ascii="Calibri" w:hAnsi="Calibri"/>
                <w:sz w:val="18"/>
                <w:szCs w:val="18"/>
              </w:rPr>
              <w:t>%</w:t>
            </w:r>
            <w:r>
              <w:rPr>
                <w:rFonts w:ascii="Calibri" w:hAnsi="Calibri"/>
                <w:sz w:val="18"/>
                <w:szCs w:val="18"/>
              </w:rPr>
              <w:t>, 32.3%</w:t>
            </w:r>
          </w:p>
        </w:tc>
        <w:tc>
          <w:tcPr>
            <w:tcW w:w="684" w:type="pct"/>
            <w:vAlign w:val="center"/>
          </w:tcPr>
          <w:p w14:paraId="19BF2442" w14:textId="77777777" w:rsidR="00D27A40" w:rsidRPr="00BA185F" w:rsidRDefault="00D27A40" w:rsidP="00BA185F">
            <w:pPr>
              <w:spacing w:after="160"/>
              <w:jc w:val="center"/>
              <w:rPr>
                <w:rFonts w:ascii="Calibri" w:hAnsi="Calibri"/>
                <w:sz w:val="18"/>
                <w:szCs w:val="18"/>
              </w:rPr>
            </w:pPr>
            <w:r w:rsidRPr="00BA185F">
              <w:rPr>
                <w:rFonts w:ascii="Calibri" w:hAnsi="Calibri"/>
                <w:sz w:val="18"/>
                <w:szCs w:val="18"/>
              </w:rPr>
              <w:t>-0.4</w:t>
            </w:r>
          </w:p>
        </w:tc>
        <w:tc>
          <w:tcPr>
            <w:tcW w:w="684" w:type="pct"/>
            <w:vAlign w:val="center"/>
          </w:tcPr>
          <w:p w14:paraId="54DEA4DC" w14:textId="77777777" w:rsidR="00D27A40" w:rsidRPr="00BA185F" w:rsidRDefault="00D27A40" w:rsidP="00BA185F">
            <w:pPr>
              <w:spacing w:after="160"/>
              <w:jc w:val="center"/>
              <w:rPr>
                <w:rFonts w:ascii="Calibri" w:hAnsi="Calibri"/>
                <w:sz w:val="18"/>
                <w:szCs w:val="18"/>
              </w:rPr>
            </w:pPr>
            <w:r w:rsidRPr="00BA185F">
              <w:rPr>
                <w:rFonts w:ascii="Calibri" w:hAnsi="Calibri"/>
                <w:sz w:val="18"/>
                <w:szCs w:val="18"/>
              </w:rPr>
              <w:t>-0.2</w:t>
            </w:r>
          </w:p>
        </w:tc>
        <w:tc>
          <w:tcPr>
            <w:tcW w:w="684" w:type="pct"/>
            <w:vAlign w:val="center"/>
          </w:tcPr>
          <w:p w14:paraId="7C675E31" w14:textId="04308B3C" w:rsidR="00D27A40" w:rsidRPr="00BA185F" w:rsidRDefault="00D27A40" w:rsidP="00BA185F">
            <w:pPr>
              <w:spacing w:after="160"/>
              <w:jc w:val="center"/>
              <w:rPr>
                <w:rFonts w:ascii="Calibri" w:hAnsi="Calibri"/>
                <w:sz w:val="18"/>
                <w:szCs w:val="18"/>
              </w:rPr>
            </w:pPr>
            <w:r w:rsidRPr="00BA185F">
              <w:rPr>
                <w:rFonts w:ascii="Calibri" w:hAnsi="Calibri"/>
                <w:sz w:val="18"/>
                <w:szCs w:val="18"/>
              </w:rPr>
              <w:t>-21.</w:t>
            </w:r>
            <w:r w:rsidR="00074B66">
              <w:rPr>
                <w:rFonts w:ascii="Calibri" w:hAnsi="Calibri"/>
                <w:sz w:val="18"/>
                <w:szCs w:val="18"/>
              </w:rPr>
              <w:t>4</w:t>
            </w:r>
          </w:p>
        </w:tc>
        <w:tc>
          <w:tcPr>
            <w:tcW w:w="703" w:type="pct"/>
            <w:vAlign w:val="center"/>
          </w:tcPr>
          <w:p w14:paraId="24956893" w14:textId="77777777" w:rsidR="00D27A40" w:rsidRPr="00BA185F" w:rsidRDefault="00D27A40" w:rsidP="00BA185F">
            <w:pPr>
              <w:spacing w:after="160"/>
              <w:jc w:val="center"/>
              <w:rPr>
                <w:rFonts w:ascii="Calibri" w:hAnsi="Calibri"/>
                <w:sz w:val="18"/>
                <w:szCs w:val="18"/>
              </w:rPr>
            </w:pPr>
            <w:r w:rsidRPr="00BA185F">
              <w:rPr>
                <w:rFonts w:ascii="Calibri" w:hAnsi="Calibri"/>
                <w:sz w:val="18"/>
                <w:szCs w:val="18"/>
              </w:rPr>
              <w:t>-10.9</w:t>
            </w:r>
          </w:p>
        </w:tc>
        <w:tc>
          <w:tcPr>
            <w:tcW w:w="713" w:type="pct"/>
            <w:vAlign w:val="center"/>
          </w:tcPr>
          <w:p w14:paraId="12D9A31A" w14:textId="4829BC7B" w:rsidR="00D27A40" w:rsidRPr="00BA185F" w:rsidRDefault="00D27A40" w:rsidP="00BA185F">
            <w:pPr>
              <w:spacing w:after="160"/>
              <w:jc w:val="center"/>
              <w:rPr>
                <w:rFonts w:ascii="Calibri" w:hAnsi="Calibri"/>
                <w:sz w:val="18"/>
                <w:szCs w:val="18"/>
              </w:rPr>
            </w:pPr>
            <w:r w:rsidRPr="00BA185F">
              <w:rPr>
                <w:rFonts w:ascii="Calibri" w:hAnsi="Calibri"/>
                <w:sz w:val="18"/>
                <w:szCs w:val="18"/>
              </w:rPr>
              <w:t>10.</w:t>
            </w:r>
            <w:r w:rsidR="00074B66">
              <w:rPr>
                <w:rFonts w:ascii="Calibri" w:hAnsi="Calibri"/>
                <w:sz w:val="18"/>
                <w:szCs w:val="18"/>
              </w:rPr>
              <w:t>5</w:t>
            </w:r>
          </w:p>
        </w:tc>
      </w:tr>
    </w:tbl>
    <w:p w14:paraId="7D614984" w14:textId="77777777" w:rsidR="00D27A40" w:rsidRPr="00D27A40" w:rsidRDefault="00D27A40" w:rsidP="00D27A40">
      <w:pPr>
        <w:rPr>
          <w:rFonts w:ascii="Calibri" w:hAnsi="Calibri"/>
        </w:rPr>
      </w:pPr>
    </w:p>
    <w:p w14:paraId="0E5A7036" w14:textId="77777777" w:rsidR="00D27A40" w:rsidRPr="00D27A40" w:rsidRDefault="00D27A40" w:rsidP="00D27A40">
      <w:pPr>
        <w:rPr>
          <w:rFonts w:ascii="Calibri" w:hAnsi="Calibri"/>
        </w:rPr>
      </w:pPr>
    </w:p>
    <w:p w14:paraId="0DE246A4" w14:textId="77777777" w:rsidR="000569E1" w:rsidRDefault="000569E1" w:rsidP="000569E1">
      <w:pPr>
        <w:rPr>
          <w:rFonts w:ascii="Calibri" w:hAnsi="Calibri"/>
        </w:rPr>
      </w:pPr>
    </w:p>
    <w:p w14:paraId="1859A047" w14:textId="77777777" w:rsidR="0026461F" w:rsidRDefault="0026461F" w:rsidP="000569E1">
      <w:pPr>
        <w:pStyle w:val="Heading2"/>
        <w:numPr>
          <w:ilvl w:val="0"/>
          <w:numId w:val="0"/>
        </w:numPr>
        <w:ind w:left="576" w:hanging="576"/>
        <w:sectPr w:rsidR="0026461F">
          <w:pgSz w:w="12240" w:h="15840"/>
          <w:pgMar w:top="1440" w:right="1440" w:bottom="1440" w:left="1440" w:header="720" w:footer="720" w:gutter="0"/>
          <w:cols w:space="720"/>
          <w:docGrid w:linePitch="360"/>
        </w:sectPr>
      </w:pPr>
    </w:p>
    <w:p w14:paraId="3CBCC2C4" w14:textId="316D46C2" w:rsidR="000569E1" w:rsidRDefault="000569E1" w:rsidP="001E2531">
      <w:pPr>
        <w:pStyle w:val="Heading2"/>
        <w:numPr>
          <w:ilvl w:val="0"/>
          <w:numId w:val="0"/>
        </w:numPr>
        <w:spacing w:after="160"/>
        <w:ind w:left="576" w:hanging="576"/>
      </w:pPr>
      <w:r w:rsidRPr="00A3139F">
        <w:lastRenderedPageBreak/>
        <w:t xml:space="preserve">2.3 </w:t>
      </w:r>
      <w:r w:rsidR="008F6D5A">
        <w:t xml:space="preserve">Carbon stock change in </w:t>
      </w:r>
      <w:r w:rsidR="00195F4D">
        <w:t xml:space="preserve">forest </w:t>
      </w:r>
      <w:r w:rsidR="008F6D5A">
        <w:t>s</w:t>
      </w:r>
      <w:r w:rsidRPr="00A3139F">
        <w:t>oils</w:t>
      </w:r>
    </w:p>
    <w:p w14:paraId="03488915" w14:textId="5DBB94A0" w:rsidR="00F00F73" w:rsidRPr="00195F4D" w:rsidRDefault="00F00F73" w:rsidP="00F00F73">
      <w:pPr>
        <w:pStyle w:val="Heading2"/>
        <w:numPr>
          <w:ilvl w:val="0"/>
          <w:numId w:val="0"/>
        </w:numPr>
        <w:ind w:left="576" w:hanging="576"/>
        <w:rPr>
          <w:b/>
          <w:bCs/>
        </w:rPr>
      </w:pPr>
      <w:r w:rsidRPr="00195F4D">
        <w:rPr>
          <w:rStyle w:val="Strong"/>
          <w:b w:val="0"/>
        </w:rPr>
        <w:t>NGHGI Methods</w:t>
      </w:r>
    </w:p>
    <w:p w14:paraId="7E4A14EB" w14:textId="3BA4750F" w:rsidR="00F00F73" w:rsidRPr="00F00F73" w:rsidRDefault="001E2531" w:rsidP="00F00F73">
      <w:pPr>
        <w:rPr>
          <w:rFonts w:ascii="Calibri" w:hAnsi="Calibri"/>
        </w:rPr>
      </w:pPr>
      <w:r>
        <w:rPr>
          <w:rFonts w:ascii="Calibri" w:hAnsi="Calibri"/>
        </w:rPr>
        <w:t>T</w:t>
      </w:r>
      <w:r w:rsidR="001C24B5" w:rsidRPr="001C24B5">
        <w:rPr>
          <w:rFonts w:ascii="Calibri" w:hAnsi="Calibri"/>
        </w:rPr>
        <w:t>he annual net CO</w:t>
      </w:r>
      <w:r w:rsidR="001C24B5" w:rsidRPr="001C24B5">
        <w:rPr>
          <w:rFonts w:ascii="Calibri" w:hAnsi="Calibri"/>
          <w:vertAlign w:val="subscript"/>
        </w:rPr>
        <w:t>2</w:t>
      </w:r>
      <w:r w:rsidR="001C24B5" w:rsidRPr="001C24B5">
        <w:rPr>
          <w:rFonts w:ascii="Calibri" w:hAnsi="Calibri"/>
        </w:rPr>
        <w:t xml:space="preserve"> flux from the forest soil carbon pool is calculated as the change in soil carbon stock between year </w:t>
      </w:r>
      <w:r w:rsidR="001C24B5" w:rsidRPr="001C24B5">
        <w:rPr>
          <w:rFonts w:ascii="Calibri" w:hAnsi="Calibri"/>
          <w:i/>
        </w:rPr>
        <w:t>t</w:t>
      </w:r>
      <w:r w:rsidR="001C24B5" w:rsidRPr="001C24B5">
        <w:rPr>
          <w:rFonts w:ascii="Calibri" w:hAnsi="Calibri"/>
        </w:rPr>
        <w:t xml:space="preserve"> and year </w:t>
      </w:r>
      <w:r w:rsidR="001C24B5" w:rsidRPr="001C24B5">
        <w:rPr>
          <w:rFonts w:ascii="Calibri" w:hAnsi="Calibri"/>
          <w:i/>
        </w:rPr>
        <w:t>t</w:t>
      </w:r>
      <w:r w:rsidR="00855D54">
        <w:rPr>
          <w:rFonts w:ascii="Calibri" w:hAnsi="Calibri"/>
          <w:i/>
        </w:rPr>
        <w:t>+</w:t>
      </w:r>
      <w:r w:rsidR="001C24B5" w:rsidRPr="001C24B5">
        <w:rPr>
          <w:rFonts w:ascii="Calibri" w:hAnsi="Calibri"/>
          <w:i/>
        </w:rPr>
        <w:t>1</w:t>
      </w:r>
      <w:r w:rsidR="001C24B5" w:rsidRPr="001C24B5">
        <w:rPr>
          <w:rFonts w:ascii="Calibri" w:hAnsi="Calibri"/>
        </w:rPr>
        <w:t>. The method used to estimate soil carbon stocks on U.S. forest</w:t>
      </w:r>
      <w:r w:rsidR="005E586E">
        <w:rPr>
          <w:rFonts w:ascii="Calibri" w:hAnsi="Calibri"/>
        </w:rPr>
        <w:t xml:space="preserve"> </w:t>
      </w:r>
      <w:r w:rsidR="001C24B5" w:rsidRPr="001C24B5">
        <w:rPr>
          <w:rFonts w:ascii="Calibri" w:hAnsi="Calibri"/>
        </w:rPr>
        <w:t>land is described by Domke et al. (2017); we provide only a brief outline here. Soil cores to a depth of 20 cm are taken on 1/16</w:t>
      </w:r>
      <w:r w:rsidR="001C24B5" w:rsidRPr="001C24B5">
        <w:rPr>
          <w:rFonts w:ascii="Calibri" w:hAnsi="Calibri"/>
          <w:vertAlign w:val="superscript"/>
        </w:rPr>
        <w:t xml:space="preserve"> </w:t>
      </w:r>
      <w:r w:rsidR="001C24B5" w:rsidRPr="001C24B5">
        <w:rPr>
          <w:rFonts w:ascii="Calibri" w:hAnsi="Calibri"/>
        </w:rPr>
        <w:t xml:space="preserve">of forested FIA ground plots, followed by lab analysis to estimate soil carbon stock. The NGHGI combines the FIA soil carbon dataset with measurements taken by the International Soil Carbon Monitoring Network (ISCN) to model soil carbon stocks on measured FIA plots to a depth of 100 cm. </w:t>
      </w:r>
      <w:r w:rsidR="00DB1A0B">
        <w:rPr>
          <w:rFonts w:ascii="Calibri" w:hAnsi="Calibri"/>
        </w:rPr>
        <w:t>A</w:t>
      </w:r>
      <w:r w:rsidR="001C24B5" w:rsidRPr="001C24B5">
        <w:rPr>
          <w:rFonts w:ascii="Calibri" w:hAnsi="Calibri"/>
        </w:rPr>
        <w:t xml:space="preserve"> machine learning </w:t>
      </w:r>
      <w:r w:rsidR="00DB1A0B">
        <w:rPr>
          <w:rFonts w:ascii="Calibri" w:hAnsi="Calibri"/>
        </w:rPr>
        <w:t>model</w:t>
      </w:r>
      <w:r w:rsidR="001C24B5" w:rsidRPr="001C24B5">
        <w:rPr>
          <w:rFonts w:ascii="Calibri" w:hAnsi="Calibri"/>
        </w:rPr>
        <w:t xml:space="preserve"> is then combined with FIA soil </w:t>
      </w:r>
      <w:r w:rsidR="00DB1A0B">
        <w:rPr>
          <w:rFonts w:ascii="Calibri" w:hAnsi="Calibri"/>
        </w:rPr>
        <w:t>estimates down to 100 cm</w:t>
      </w:r>
      <w:r w:rsidR="001C24B5" w:rsidRPr="001C24B5">
        <w:rPr>
          <w:rFonts w:ascii="Calibri" w:hAnsi="Calibri"/>
        </w:rPr>
        <w:t xml:space="preserve"> to predict forest soil carbon stocks on all forested FIA plots based on measured variables, including: latitude, longitude, elevation, forest-type group, precipitation, temperature, evapotranspiration, soil order, and surface geology. </w:t>
      </w:r>
      <w:r w:rsidR="00855D54">
        <w:rPr>
          <w:rFonts w:ascii="Calibri" w:hAnsi="Calibri"/>
        </w:rPr>
        <w:t xml:space="preserve">Plot estimates are expanded </w:t>
      </w:r>
      <w:r w:rsidR="001C24B5" w:rsidRPr="001C24B5">
        <w:rPr>
          <w:rFonts w:ascii="Calibri" w:hAnsi="Calibri"/>
        </w:rPr>
        <w:t xml:space="preserve">to total forest area </w:t>
      </w:r>
      <w:r w:rsidR="00855D54">
        <w:rPr>
          <w:rFonts w:ascii="Calibri" w:hAnsi="Calibri"/>
        </w:rPr>
        <w:t xml:space="preserve">using area weights. </w:t>
      </w:r>
    </w:p>
    <w:p w14:paraId="6A343756" w14:textId="37AD11FB" w:rsidR="00F00F73" w:rsidRPr="008F6D5A" w:rsidRDefault="00F00F73" w:rsidP="00F00F73">
      <w:pPr>
        <w:pStyle w:val="Heading2"/>
        <w:numPr>
          <w:ilvl w:val="0"/>
          <w:numId w:val="0"/>
        </w:numPr>
        <w:ind w:left="576" w:hanging="576"/>
        <w:rPr>
          <w:b/>
          <w:bCs/>
        </w:rPr>
      </w:pPr>
      <w:r w:rsidRPr="008F6D5A">
        <w:rPr>
          <w:rStyle w:val="Strong"/>
          <w:b w:val="0"/>
        </w:rPr>
        <w:t>Project Methods</w:t>
      </w:r>
    </w:p>
    <w:p w14:paraId="3F428198" w14:textId="4A717708" w:rsidR="00F00F73" w:rsidRPr="00F00F73" w:rsidRDefault="00F00F73" w:rsidP="00F00F73">
      <w:pPr>
        <w:rPr>
          <w:rFonts w:ascii="Calibri" w:hAnsi="Calibri"/>
        </w:rPr>
      </w:pPr>
      <w:r w:rsidRPr="00F00F73">
        <w:rPr>
          <w:rFonts w:ascii="Calibri" w:hAnsi="Calibri"/>
        </w:rPr>
        <w:t>We estimate the 95% confidence interval for</w:t>
      </w:r>
      <w:r w:rsidR="00855D54">
        <w:rPr>
          <w:rFonts w:ascii="Calibri" w:hAnsi="Calibri"/>
        </w:rPr>
        <w:t xml:space="preserve"> U.S.</w:t>
      </w:r>
      <w:r w:rsidRPr="00F00F73">
        <w:rPr>
          <w:rFonts w:ascii="Calibri" w:hAnsi="Calibri"/>
        </w:rPr>
        <w:t xml:space="preserve"> soil carbon stock change using method</w:t>
      </w:r>
      <w:r w:rsidR="00855D54">
        <w:rPr>
          <w:rFonts w:ascii="Calibri" w:hAnsi="Calibri"/>
        </w:rPr>
        <w:t>s</w:t>
      </w:r>
      <w:r w:rsidRPr="00F00F73">
        <w:rPr>
          <w:rFonts w:ascii="Calibri" w:hAnsi="Calibri"/>
        </w:rPr>
        <w:t xml:space="preserve"> similar to </w:t>
      </w:r>
      <w:r w:rsidR="00855D54">
        <w:rPr>
          <w:rFonts w:ascii="Calibri" w:hAnsi="Calibri"/>
        </w:rPr>
        <w:t xml:space="preserve">the </w:t>
      </w:r>
      <w:r w:rsidRPr="00F00F73">
        <w:rPr>
          <w:rFonts w:ascii="Calibri" w:hAnsi="Calibri"/>
        </w:rPr>
        <w:t xml:space="preserve">litter </w:t>
      </w:r>
      <w:r w:rsidR="00855D54">
        <w:rPr>
          <w:rFonts w:ascii="Calibri" w:hAnsi="Calibri"/>
        </w:rPr>
        <w:t xml:space="preserve">carbon pool </w:t>
      </w:r>
      <w:r w:rsidRPr="00F00F73">
        <w:rPr>
          <w:rFonts w:ascii="Calibri" w:hAnsi="Calibri"/>
        </w:rPr>
        <w:t xml:space="preserve">(Section </w:t>
      </w:r>
      <w:r w:rsidR="005E4D1E">
        <w:rPr>
          <w:rFonts w:ascii="Calibri" w:hAnsi="Calibri"/>
        </w:rPr>
        <w:t xml:space="preserve">2, </w:t>
      </w:r>
      <w:r w:rsidRPr="00F00F73">
        <w:rPr>
          <w:rFonts w:ascii="Calibri" w:hAnsi="Calibri"/>
        </w:rPr>
        <w:t>2.2). We apply this simplified method based on summary statistics for soil carbon stocks from Domke et al. (2017).</w:t>
      </w:r>
      <w:r w:rsidR="00855D54">
        <w:rPr>
          <w:rFonts w:ascii="Calibri" w:hAnsi="Calibri"/>
        </w:rPr>
        <w:t xml:space="preserve"> Similarly to the litter analysis,</w:t>
      </w:r>
      <w:r w:rsidRPr="00F00F73">
        <w:rPr>
          <w:rFonts w:ascii="Calibri" w:hAnsi="Calibri"/>
        </w:rPr>
        <w:t xml:space="preserve"> </w:t>
      </w:r>
      <w:r w:rsidR="00855D54">
        <w:rPr>
          <w:rFonts w:ascii="Calibri" w:hAnsi="Calibri"/>
        </w:rPr>
        <w:t>a</w:t>
      </w:r>
      <w:r w:rsidRPr="00F00F73">
        <w:rPr>
          <w:rFonts w:ascii="Calibri" w:hAnsi="Calibri"/>
        </w:rPr>
        <w:t xml:space="preserve"> significant shortcoming of our approach is that it requires assuming covariance of soil carbon stocks between two time periods.</w:t>
      </w:r>
    </w:p>
    <w:p w14:paraId="42107181" w14:textId="301CB2A5" w:rsidR="00F00F73" w:rsidRPr="00F00F73" w:rsidRDefault="005E11D2" w:rsidP="00F00F73">
      <w:pPr>
        <w:rPr>
          <w:rFonts w:ascii="Calibri" w:hAnsi="Calibri"/>
        </w:rPr>
      </w:pPr>
      <w:r>
        <w:rPr>
          <w:rFonts w:ascii="Calibri" w:hAnsi="Calibri"/>
        </w:rPr>
        <w:t>W</w:t>
      </w:r>
      <w:r w:rsidR="00F00F73" w:rsidRPr="00F00F73">
        <w:rPr>
          <w:rFonts w:ascii="Calibri" w:hAnsi="Calibri"/>
        </w:rPr>
        <w:t xml:space="preserve">e use FIA data to identify locations of eastern Texas </w:t>
      </w:r>
      <w:r>
        <w:rPr>
          <w:rFonts w:ascii="Calibri" w:hAnsi="Calibri"/>
        </w:rPr>
        <w:t xml:space="preserve">plots </w:t>
      </w:r>
      <w:r w:rsidR="00F00F73" w:rsidRPr="00F00F73">
        <w:rPr>
          <w:rFonts w:ascii="Calibri" w:hAnsi="Calibri"/>
        </w:rPr>
        <w:t xml:space="preserve">with FRF area. We identify the latitude and longitude coordinates for each of these 2,193 plots using the PLOT table of the FIA Database. </w:t>
      </w:r>
      <w:r w:rsidR="00DB1A0B">
        <w:rPr>
          <w:rFonts w:ascii="Calibri" w:hAnsi="Calibri"/>
        </w:rPr>
        <w:t xml:space="preserve">Based on these coordinates, we identify the dominant soil order for each plot, using a dataset derived from the SSURGO database (Soil Survey Staff, 2019) that was prepared by </w:t>
      </w:r>
      <w:r w:rsidR="00F00F73" w:rsidRPr="00F00F73">
        <w:rPr>
          <w:rFonts w:ascii="Calibri" w:hAnsi="Calibri"/>
        </w:rPr>
        <w:t xml:space="preserve">Steve Campbell at the USDA Natural Resources Conservation Service in Portland, OR. </w:t>
      </w:r>
      <w:r w:rsidR="00F20552">
        <w:rPr>
          <w:rFonts w:ascii="Calibri" w:hAnsi="Calibri"/>
        </w:rPr>
        <w:t xml:space="preserve">The eastern Texas plots </w:t>
      </w:r>
      <w:r w:rsidR="00F00F73" w:rsidRPr="00F00F73">
        <w:rPr>
          <w:rFonts w:ascii="Calibri" w:hAnsi="Calibri"/>
        </w:rPr>
        <w:t xml:space="preserve">encompass 6 different soil orders: (1) Alfisols (1,024 plots); (2) Entisols (108 plots); (3) Inceptisols (156 plots); (4) Mollisols (25 plots); (5) Ultisols (704 plots); and (6) Vertisols (159 plots). In a limited number of cases (17 plots), no soil order could be assigned. </w:t>
      </w:r>
    </w:p>
    <w:p w14:paraId="0D784046" w14:textId="19954D33" w:rsidR="00F00F73" w:rsidRPr="00F00F73" w:rsidRDefault="00F00F73" w:rsidP="00F00F73">
      <w:pPr>
        <w:rPr>
          <w:rFonts w:ascii="Calibri" w:hAnsi="Calibri"/>
        </w:rPr>
      </w:pPr>
      <w:r w:rsidRPr="00F00F73">
        <w:rPr>
          <w:rFonts w:ascii="Calibri" w:hAnsi="Calibri"/>
        </w:rPr>
        <w:t xml:space="preserve">We use Monte Carlo </w:t>
      </w:r>
      <w:r w:rsidR="00F20552">
        <w:rPr>
          <w:rFonts w:ascii="Calibri" w:hAnsi="Calibri"/>
        </w:rPr>
        <w:t>simulation</w:t>
      </w:r>
      <w:r w:rsidR="00F20552" w:rsidRPr="00F00F73">
        <w:rPr>
          <w:rFonts w:ascii="Calibri" w:hAnsi="Calibri"/>
        </w:rPr>
        <w:t xml:space="preserve"> </w:t>
      </w:r>
      <w:r w:rsidRPr="00F00F73">
        <w:rPr>
          <w:rFonts w:ascii="Calibri" w:hAnsi="Calibri"/>
        </w:rPr>
        <w:t>to estimate model</w:t>
      </w:r>
      <w:r w:rsidR="00F20552">
        <w:rPr>
          <w:rFonts w:ascii="Calibri" w:hAnsi="Calibri"/>
        </w:rPr>
        <w:t>-based uncertainty</w:t>
      </w:r>
      <w:r w:rsidRPr="00F00F73">
        <w:rPr>
          <w:rFonts w:ascii="Calibri" w:hAnsi="Calibri"/>
        </w:rPr>
        <w:t xml:space="preserve">. For each plot, we generate distributions of soil carbon stock for </w:t>
      </w:r>
      <w:r w:rsidR="00F20552">
        <w:rPr>
          <w:rFonts w:ascii="Calibri" w:hAnsi="Calibri"/>
        </w:rPr>
        <w:t xml:space="preserve">time step </w:t>
      </w:r>
      <w:r w:rsidR="00F20552" w:rsidRPr="003B4036">
        <w:rPr>
          <w:rFonts w:ascii="Calibri" w:hAnsi="Calibri"/>
          <w:i/>
        </w:rPr>
        <w:t>t</w:t>
      </w:r>
      <w:r w:rsidR="00F20552">
        <w:rPr>
          <w:rFonts w:ascii="Calibri" w:hAnsi="Calibri"/>
        </w:rPr>
        <w:t xml:space="preserve"> and </w:t>
      </w:r>
      <w:r w:rsidR="00F20552" w:rsidRPr="003B4036">
        <w:rPr>
          <w:rFonts w:ascii="Calibri" w:hAnsi="Calibri"/>
          <w:i/>
        </w:rPr>
        <w:t>t+1</w:t>
      </w:r>
      <w:r w:rsidRPr="00F00F73">
        <w:rPr>
          <w:rFonts w:ascii="Calibri" w:hAnsi="Calibri"/>
        </w:rPr>
        <w:t>, using the same soil order for both time points. We assume that the plot-level carbon stocks in the two periods are jointly</w:t>
      </w:r>
      <w:r w:rsidR="00F20552">
        <w:rPr>
          <w:rFonts w:ascii="Calibri" w:hAnsi="Calibri"/>
        </w:rPr>
        <w:t>, lognormally</w:t>
      </w:r>
      <w:r w:rsidRPr="00F00F73">
        <w:rPr>
          <w:rFonts w:ascii="Calibri" w:hAnsi="Calibri"/>
        </w:rPr>
        <w:t xml:space="preserve"> distributed</w:t>
      </w:r>
      <w:r w:rsidR="001E2531">
        <w:rPr>
          <w:rFonts w:ascii="Calibri" w:hAnsi="Calibri"/>
        </w:rPr>
        <w:t>.</w:t>
      </w:r>
      <w:r w:rsidRPr="00F00F73">
        <w:rPr>
          <w:rFonts w:ascii="Calibri" w:hAnsi="Calibri"/>
        </w:rPr>
        <w:t xml:space="preserve"> </w:t>
      </w:r>
      <w:r w:rsidR="001E2531">
        <w:rPr>
          <w:rFonts w:ascii="Calibri" w:hAnsi="Calibri"/>
        </w:rPr>
        <w:t xml:space="preserve">Soil carbon stock means by soil type </w:t>
      </w:r>
      <w:r w:rsidR="00F0092B">
        <w:rPr>
          <w:rFonts w:ascii="Calibri" w:hAnsi="Calibri"/>
        </w:rPr>
        <w:t xml:space="preserve">along with minimum and maximum values were taken from Domke et al. (2017), </w:t>
      </w:r>
      <w:r w:rsidR="002327E8">
        <w:rPr>
          <w:rFonts w:ascii="Calibri" w:hAnsi="Calibri"/>
        </w:rPr>
        <w:t xml:space="preserve">their </w:t>
      </w:r>
      <w:r w:rsidR="00F0092B">
        <w:rPr>
          <w:rFonts w:ascii="Calibri" w:hAnsi="Calibri"/>
        </w:rPr>
        <w:t xml:space="preserve">table 3. First we constructed a triangular distribution for each soil type using the reported mean, minimum, and maximum values, then augmented the minimum and maximum for each soil type by the additional standard deviation from </w:t>
      </w:r>
      <w:r w:rsidR="00F20552">
        <w:rPr>
          <w:rFonts w:ascii="Calibri" w:hAnsi="Calibri"/>
        </w:rPr>
        <w:t xml:space="preserve">the </w:t>
      </w:r>
      <w:r w:rsidR="00F0092B">
        <w:rPr>
          <w:rFonts w:ascii="Calibri" w:hAnsi="Calibri"/>
        </w:rPr>
        <w:t xml:space="preserve">Random Forests </w:t>
      </w:r>
      <w:r w:rsidR="00F20552">
        <w:rPr>
          <w:rFonts w:ascii="Calibri" w:hAnsi="Calibri"/>
        </w:rPr>
        <w:t xml:space="preserve">model used </w:t>
      </w:r>
      <w:r w:rsidR="00F0092B">
        <w:rPr>
          <w:rFonts w:ascii="Calibri" w:hAnsi="Calibri"/>
        </w:rPr>
        <w:t>to extrapolate soil carbon measurements to all FIA plots. Th</w:t>
      </w:r>
      <w:r w:rsidR="00F20552">
        <w:rPr>
          <w:rFonts w:ascii="Calibri" w:hAnsi="Calibri"/>
        </w:rPr>
        <w:t>e</w:t>
      </w:r>
      <w:r w:rsidR="00F0092B">
        <w:rPr>
          <w:rFonts w:ascii="Calibri" w:hAnsi="Calibri"/>
        </w:rPr>
        <w:t xml:space="preserve"> augmented triangular distribution was then used to parameterize a lognormal distribution for each soil type, to allow for covariance across time steps. </w:t>
      </w:r>
      <w:r w:rsidRPr="00F00F73">
        <w:rPr>
          <w:rFonts w:ascii="Calibri" w:hAnsi="Calibri"/>
        </w:rPr>
        <w:t>We applied the statistics for the “all soils” category to the 17 plots for which a soil order was not assigned.</w:t>
      </w:r>
    </w:p>
    <w:p w14:paraId="7F3AFC61" w14:textId="018AECF2" w:rsidR="00F00F73" w:rsidRPr="00F00F73" w:rsidRDefault="00F00F73" w:rsidP="00F00F73">
      <w:pPr>
        <w:rPr>
          <w:rFonts w:ascii="Calibri" w:hAnsi="Calibri"/>
        </w:rPr>
      </w:pPr>
      <w:r w:rsidRPr="00F00F73">
        <w:rPr>
          <w:rFonts w:ascii="Calibri" w:hAnsi="Calibri"/>
        </w:rPr>
        <w:t xml:space="preserve">We force the annual sequestration rate for each plot </w:t>
      </w:r>
      <w:r w:rsidR="002327E8">
        <w:rPr>
          <w:rFonts w:ascii="Calibri" w:hAnsi="Calibri"/>
        </w:rPr>
        <w:t xml:space="preserve">to be identical to the national </w:t>
      </w:r>
      <w:r w:rsidRPr="00F00F73">
        <w:rPr>
          <w:rFonts w:ascii="Calibri" w:hAnsi="Calibri"/>
        </w:rPr>
        <w:t>average sequestration rate of 0.50 metric tons CO</w:t>
      </w:r>
      <w:r w:rsidRPr="00F00F73">
        <w:rPr>
          <w:rFonts w:ascii="Calibri" w:hAnsi="Calibri"/>
          <w:vertAlign w:val="subscript"/>
        </w:rPr>
        <w:t>2</w:t>
      </w:r>
      <w:r w:rsidRPr="00F00F73">
        <w:rPr>
          <w:rFonts w:ascii="Calibri" w:hAnsi="Calibri"/>
        </w:rPr>
        <w:t xml:space="preserve"> ha</w:t>
      </w:r>
      <w:r w:rsidRPr="00F00F73">
        <w:rPr>
          <w:rFonts w:ascii="Calibri" w:hAnsi="Calibri"/>
          <w:vertAlign w:val="superscript"/>
        </w:rPr>
        <w:t>-1</w:t>
      </w:r>
      <w:r w:rsidRPr="00F00F73">
        <w:rPr>
          <w:rFonts w:ascii="Calibri" w:hAnsi="Calibri"/>
        </w:rPr>
        <w:t xml:space="preserve"> y</w:t>
      </w:r>
      <w:r w:rsidRPr="00F00F73">
        <w:rPr>
          <w:rFonts w:ascii="Calibri" w:hAnsi="Calibri"/>
          <w:vertAlign w:val="superscript"/>
        </w:rPr>
        <w:t>-1</w:t>
      </w:r>
      <w:r w:rsidR="002327E8">
        <w:rPr>
          <w:rFonts w:ascii="Calibri" w:hAnsi="Calibri"/>
        </w:rPr>
        <w:t xml:space="preserve">, which we estimated </w:t>
      </w:r>
      <w:r w:rsidRPr="00F00F73">
        <w:rPr>
          <w:rFonts w:ascii="Calibri" w:hAnsi="Calibri"/>
        </w:rPr>
        <w:t xml:space="preserve">by dividing the total </w:t>
      </w:r>
      <w:r w:rsidR="00F20552">
        <w:rPr>
          <w:rFonts w:ascii="Calibri" w:hAnsi="Calibri"/>
        </w:rPr>
        <w:t xml:space="preserve">FRF </w:t>
      </w:r>
      <w:r w:rsidRPr="00F00F73">
        <w:rPr>
          <w:rFonts w:ascii="Calibri" w:hAnsi="Calibri"/>
        </w:rPr>
        <w:t xml:space="preserve">national </w:t>
      </w:r>
      <w:r w:rsidR="002327E8">
        <w:rPr>
          <w:rFonts w:ascii="Calibri" w:hAnsi="Calibri"/>
        </w:rPr>
        <w:t xml:space="preserve">soil </w:t>
      </w:r>
      <w:r w:rsidRPr="00F00F73">
        <w:rPr>
          <w:rFonts w:ascii="Calibri" w:hAnsi="Calibri"/>
        </w:rPr>
        <w:t>carbon sequestration for 2016 (135.3 MMT CO</w:t>
      </w:r>
      <w:r w:rsidRPr="00F00F73">
        <w:rPr>
          <w:rFonts w:ascii="Calibri" w:hAnsi="Calibri"/>
          <w:vertAlign w:val="subscript"/>
        </w:rPr>
        <w:t>2</w:t>
      </w:r>
      <w:r w:rsidRPr="00F00F73">
        <w:rPr>
          <w:rFonts w:ascii="Calibri" w:hAnsi="Calibri"/>
        </w:rPr>
        <w:t xml:space="preserve"> y</w:t>
      </w:r>
      <w:r w:rsidRPr="00F00F73">
        <w:rPr>
          <w:rFonts w:ascii="Calibri" w:hAnsi="Calibri"/>
          <w:vertAlign w:val="superscript"/>
        </w:rPr>
        <w:t>-1</w:t>
      </w:r>
      <w:r w:rsidRPr="00F00F73">
        <w:rPr>
          <w:rFonts w:ascii="Calibri" w:hAnsi="Calibri"/>
        </w:rPr>
        <w:t xml:space="preserve"> for mineral plus organic soils, excluding drained organic soils; Table 6.10 of NGHGI, 2018) by the total national FRF area in 2016 (272,260,000 ha; Table 6.12 of NGHGI, 2018). </w:t>
      </w:r>
      <w:r w:rsidR="00F20552">
        <w:rPr>
          <w:rFonts w:ascii="Calibri" w:hAnsi="Calibri"/>
        </w:rPr>
        <w:t>W</w:t>
      </w:r>
      <w:r w:rsidRPr="00F00F73">
        <w:rPr>
          <w:rFonts w:ascii="Calibri" w:hAnsi="Calibri"/>
        </w:rPr>
        <w:t xml:space="preserve">e assume a covariance that is 0.999 times the magnitude of the variance. </w:t>
      </w:r>
    </w:p>
    <w:p w14:paraId="14F116F1" w14:textId="04C3EA29" w:rsidR="00F00F73" w:rsidRPr="00F00F73" w:rsidRDefault="00F00F73" w:rsidP="00F00F73">
      <w:pPr>
        <w:rPr>
          <w:rFonts w:ascii="Calibri" w:hAnsi="Calibri"/>
        </w:rPr>
      </w:pPr>
      <w:r w:rsidRPr="00F00F73">
        <w:rPr>
          <w:rFonts w:ascii="Calibri" w:hAnsi="Calibri"/>
        </w:rPr>
        <w:lastRenderedPageBreak/>
        <w:t xml:space="preserve">We used the R programming language (R Core Team, 2018) </w:t>
      </w:r>
      <w:r w:rsidR="00F20552">
        <w:rPr>
          <w:rFonts w:ascii="Calibri" w:hAnsi="Calibri"/>
        </w:rPr>
        <w:t xml:space="preserve">and </w:t>
      </w:r>
      <w:r w:rsidRPr="00F00F73">
        <w:rPr>
          <w:rFonts w:ascii="Calibri" w:hAnsi="Calibri"/>
        </w:rPr>
        <w:t>the “rlnorm.rplus” function from the “compositions” package (van den Boogaart, 2018). We generated 50,000 pairs of soil carbon stocks for each plot. Element-by-element subtraction results in a plot-level distribution of annual carbon flux (metric tons CO</w:t>
      </w:r>
      <w:r w:rsidRPr="00F00F73">
        <w:rPr>
          <w:rFonts w:ascii="Calibri" w:hAnsi="Calibri"/>
          <w:vertAlign w:val="subscript"/>
        </w:rPr>
        <w:t>2</w:t>
      </w:r>
      <w:r w:rsidRPr="00F00F73">
        <w:rPr>
          <w:rFonts w:ascii="Calibri" w:hAnsi="Calibri"/>
        </w:rPr>
        <w:t xml:space="preserve"> ha</w:t>
      </w:r>
      <w:r w:rsidRPr="00F00F73">
        <w:rPr>
          <w:rFonts w:ascii="Calibri" w:hAnsi="Calibri"/>
          <w:vertAlign w:val="superscript"/>
        </w:rPr>
        <w:t>-1</w:t>
      </w:r>
      <w:r w:rsidRPr="00F00F73">
        <w:rPr>
          <w:rFonts w:ascii="Calibri" w:hAnsi="Calibri"/>
        </w:rPr>
        <w:t xml:space="preserve"> y</w:t>
      </w:r>
      <w:r w:rsidRPr="00F00F73">
        <w:rPr>
          <w:rFonts w:ascii="Calibri" w:hAnsi="Calibri"/>
          <w:vertAlign w:val="superscript"/>
        </w:rPr>
        <w:t>-1</w:t>
      </w:r>
      <w:r w:rsidRPr="00F00F73">
        <w:rPr>
          <w:rFonts w:ascii="Calibri" w:hAnsi="Calibri"/>
        </w:rPr>
        <w:t xml:space="preserve">). We apply equations 1–3 from Ogle et al. (2010) to estimate the </w:t>
      </w:r>
      <w:r w:rsidR="00F20552">
        <w:rPr>
          <w:rFonts w:ascii="Calibri" w:hAnsi="Calibri"/>
        </w:rPr>
        <w:t xml:space="preserve">eastern Texas </w:t>
      </w:r>
      <w:r w:rsidRPr="00F00F73">
        <w:rPr>
          <w:rFonts w:ascii="Calibri" w:hAnsi="Calibri"/>
        </w:rPr>
        <w:t xml:space="preserve">annual soil carbon stock change and the </w:t>
      </w:r>
      <w:r w:rsidR="00F20552">
        <w:rPr>
          <w:rFonts w:ascii="Calibri" w:hAnsi="Calibri"/>
        </w:rPr>
        <w:t>95% confidence interval</w:t>
      </w:r>
      <w:r w:rsidRPr="00F00F73">
        <w:rPr>
          <w:rFonts w:ascii="Calibri" w:hAnsi="Calibri"/>
        </w:rPr>
        <w:t xml:space="preserve">. We describe these equations in detail in Section </w:t>
      </w:r>
      <w:r w:rsidR="005E4D1E">
        <w:rPr>
          <w:rFonts w:ascii="Calibri" w:hAnsi="Calibri"/>
        </w:rPr>
        <w:t xml:space="preserve">2, </w:t>
      </w:r>
      <w:r w:rsidRPr="00F00F73">
        <w:rPr>
          <w:rFonts w:ascii="Calibri" w:hAnsi="Calibri"/>
        </w:rPr>
        <w:t>2.2</w:t>
      </w:r>
      <w:r w:rsidR="00F0092B">
        <w:rPr>
          <w:rFonts w:ascii="Calibri" w:hAnsi="Calibri"/>
        </w:rPr>
        <w:t xml:space="preserve"> above</w:t>
      </w:r>
      <w:r w:rsidRPr="00F00F73">
        <w:rPr>
          <w:rFonts w:ascii="Calibri" w:hAnsi="Calibri"/>
        </w:rPr>
        <w:t>. Because the annual sequestration rate for every</w:t>
      </w:r>
      <w:r w:rsidR="002327E8">
        <w:rPr>
          <w:rFonts w:ascii="Calibri" w:hAnsi="Calibri"/>
        </w:rPr>
        <w:t xml:space="preserve"> plot is forced to the national </w:t>
      </w:r>
      <w:r w:rsidRPr="00F00F73">
        <w:rPr>
          <w:rFonts w:ascii="Calibri" w:hAnsi="Calibri"/>
        </w:rPr>
        <w:t xml:space="preserve">mean sequestration rate in our analytical framework, we are unable to calculate a sampling error for soil carbon flux. We derive the 95% confidence intervals for soil carbon stock change for both eastern Texas and the entire United States using the same method as described in Section </w:t>
      </w:r>
      <w:r w:rsidR="005E4D1E">
        <w:rPr>
          <w:rFonts w:ascii="Calibri" w:hAnsi="Calibri"/>
        </w:rPr>
        <w:t xml:space="preserve">2, </w:t>
      </w:r>
      <w:r w:rsidRPr="00F00F73">
        <w:rPr>
          <w:rFonts w:ascii="Calibri" w:hAnsi="Calibri"/>
        </w:rPr>
        <w:t>2.2 for litter carbon.</w:t>
      </w:r>
    </w:p>
    <w:p w14:paraId="30EB31E0" w14:textId="7353EA62" w:rsidR="00F00F73" w:rsidRPr="00195F4D" w:rsidRDefault="00F00F73" w:rsidP="00F00F73">
      <w:pPr>
        <w:pStyle w:val="Heading2"/>
        <w:numPr>
          <w:ilvl w:val="0"/>
          <w:numId w:val="0"/>
        </w:numPr>
        <w:ind w:left="576" w:hanging="576"/>
        <w:rPr>
          <w:b/>
          <w:bCs/>
        </w:rPr>
      </w:pPr>
      <w:r w:rsidRPr="00195F4D">
        <w:rPr>
          <w:rStyle w:val="Strong"/>
          <w:b w:val="0"/>
        </w:rPr>
        <w:t>Results</w:t>
      </w:r>
    </w:p>
    <w:p w14:paraId="39EAD7DF" w14:textId="1B4227FD" w:rsidR="00EC44A8" w:rsidRPr="00EC44A8" w:rsidRDefault="00EC44A8" w:rsidP="00EC44A8">
      <w:pPr>
        <w:rPr>
          <w:rFonts w:ascii="Calibri" w:hAnsi="Calibri"/>
        </w:rPr>
      </w:pPr>
      <w:r w:rsidRPr="00EC44A8">
        <w:rPr>
          <w:rFonts w:ascii="Calibri" w:hAnsi="Calibri"/>
        </w:rPr>
        <w:t>We estimate mean soil carbon sequestration for eastern Texas FRF land of 2.4 MMT CO</w:t>
      </w:r>
      <w:r w:rsidRPr="00EC44A8">
        <w:rPr>
          <w:rFonts w:ascii="Calibri" w:hAnsi="Calibri"/>
          <w:vertAlign w:val="subscript"/>
        </w:rPr>
        <w:t>2</w:t>
      </w:r>
      <w:r w:rsidR="00F20552">
        <w:rPr>
          <w:rFonts w:ascii="Calibri" w:hAnsi="Calibri"/>
        </w:rPr>
        <w:t xml:space="preserve"> and</w:t>
      </w:r>
      <w:r w:rsidRPr="00EC44A8">
        <w:rPr>
          <w:rFonts w:ascii="Calibri" w:hAnsi="Calibri"/>
        </w:rPr>
        <w:t xml:space="preserve"> model-based variance </w:t>
      </w:r>
      <w:r w:rsidR="00F20552">
        <w:rPr>
          <w:rFonts w:ascii="Calibri" w:hAnsi="Calibri"/>
        </w:rPr>
        <w:t xml:space="preserve">of </w:t>
      </w:r>
      <w:r w:rsidRPr="00EC44A8">
        <w:rPr>
          <w:rFonts w:ascii="Calibri" w:hAnsi="Calibri"/>
        </w:rPr>
        <w:t>1.35 [MMT CO</w:t>
      </w:r>
      <w:r w:rsidRPr="00EC44A8">
        <w:rPr>
          <w:rFonts w:ascii="Calibri" w:hAnsi="Calibri"/>
          <w:vertAlign w:val="subscript"/>
        </w:rPr>
        <w:t>2</w:t>
      </w:r>
      <w:r w:rsidRPr="00EC44A8">
        <w:rPr>
          <w:rFonts w:ascii="Calibri" w:hAnsi="Calibri"/>
        </w:rPr>
        <w:t>]</w:t>
      </w:r>
      <w:r w:rsidRPr="00EC44A8">
        <w:rPr>
          <w:rFonts w:ascii="Calibri" w:hAnsi="Calibri"/>
          <w:vertAlign w:val="superscript"/>
        </w:rPr>
        <w:t>2</w:t>
      </w:r>
      <w:r w:rsidRPr="00EC44A8">
        <w:rPr>
          <w:rFonts w:ascii="Calibri" w:hAnsi="Calibri"/>
        </w:rPr>
        <w:t>. The 95% confidence interval for eastern Texas is -4.7 MMT CO</w:t>
      </w:r>
      <w:r w:rsidRPr="00EC44A8">
        <w:rPr>
          <w:rFonts w:ascii="Calibri" w:hAnsi="Calibri"/>
          <w:vertAlign w:val="subscript"/>
        </w:rPr>
        <w:t>2</w:t>
      </w:r>
      <w:r w:rsidRPr="00EC44A8">
        <w:rPr>
          <w:rFonts w:ascii="Calibri" w:hAnsi="Calibri"/>
        </w:rPr>
        <w:t xml:space="preserve"> to -0.1 MMT CO</w:t>
      </w:r>
      <w:r w:rsidRPr="00EC44A8">
        <w:rPr>
          <w:rFonts w:ascii="Calibri" w:hAnsi="Calibri"/>
          <w:vertAlign w:val="subscript"/>
        </w:rPr>
        <w:t>2</w:t>
      </w:r>
      <w:r w:rsidRPr="00EC44A8">
        <w:rPr>
          <w:rFonts w:ascii="Calibri" w:hAnsi="Calibri"/>
        </w:rPr>
        <w:t>, where negative values indicate seques</w:t>
      </w:r>
      <w:r w:rsidR="008E04CD">
        <w:rPr>
          <w:rFonts w:ascii="Calibri" w:hAnsi="Calibri"/>
        </w:rPr>
        <w:t>tration. The percentage errors are</w:t>
      </w:r>
      <w:r w:rsidRPr="00EC44A8">
        <w:rPr>
          <w:rFonts w:ascii="Calibri" w:hAnsi="Calibri"/>
        </w:rPr>
        <w:t xml:space="preserve"> </w:t>
      </w:r>
      <w:r w:rsidR="008E04CD">
        <w:rPr>
          <w:rFonts w:ascii="Calibri" w:hAnsi="Calibri"/>
        </w:rPr>
        <w:t>-</w:t>
      </w:r>
      <w:r w:rsidRPr="00EC44A8">
        <w:rPr>
          <w:rFonts w:ascii="Calibri" w:hAnsi="Calibri"/>
        </w:rPr>
        <w:t>94</w:t>
      </w:r>
      <w:r w:rsidR="008E04CD">
        <w:rPr>
          <w:rFonts w:ascii="Calibri" w:hAnsi="Calibri"/>
        </w:rPr>
        <w:t>.4% (lower bound) and 94.6% (upper bound). Applying these</w:t>
      </w:r>
      <w:r w:rsidRPr="00EC44A8">
        <w:rPr>
          <w:rFonts w:ascii="Calibri" w:hAnsi="Calibri"/>
        </w:rPr>
        <w:t xml:space="preserve"> percentage error</w:t>
      </w:r>
      <w:r w:rsidR="008E04CD">
        <w:rPr>
          <w:rFonts w:ascii="Calibri" w:hAnsi="Calibri"/>
        </w:rPr>
        <w:t>s</w:t>
      </w:r>
      <w:r w:rsidRPr="00EC44A8">
        <w:rPr>
          <w:rFonts w:ascii="Calibri" w:hAnsi="Calibri"/>
        </w:rPr>
        <w:t xml:space="preserve"> to the mean soil carbon stock change for the United States for 2016 (-135.3 MMT CO</w:t>
      </w:r>
      <w:r w:rsidRPr="00EC44A8">
        <w:rPr>
          <w:rFonts w:ascii="Calibri" w:hAnsi="Calibri"/>
          <w:vertAlign w:val="subscript"/>
        </w:rPr>
        <w:t>2</w:t>
      </w:r>
      <w:r w:rsidRPr="00EC44A8">
        <w:rPr>
          <w:rFonts w:ascii="Calibri" w:hAnsi="Calibri"/>
        </w:rPr>
        <w:t>; NGHGI, 2018) results in a</w:t>
      </w:r>
      <w:r w:rsidR="008E04CD">
        <w:rPr>
          <w:rFonts w:ascii="Calibri" w:hAnsi="Calibri"/>
        </w:rPr>
        <w:t xml:space="preserve"> 95% confidence interval of -263.1</w:t>
      </w:r>
      <w:r w:rsidRPr="00EC44A8">
        <w:rPr>
          <w:rFonts w:ascii="Calibri" w:hAnsi="Calibri"/>
        </w:rPr>
        <w:t xml:space="preserve"> MMT CO</w:t>
      </w:r>
      <w:r w:rsidRPr="00EC44A8">
        <w:rPr>
          <w:rFonts w:ascii="Calibri" w:hAnsi="Calibri"/>
          <w:vertAlign w:val="subscript"/>
        </w:rPr>
        <w:t>2</w:t>
      </w:r>
      <w:r w:rsidR="008E04CD">
        <w:rPr>
          <w:rFonts w:ascii="Calibri" w:hAnsi="Calibri"/>
        </w:rPr>
        <w:t xml:space="preserve"> to -7.4</w:t>
      </w:r>
      <w:r w:rsidRPr="00EC44A8">
        <w:rPr>
          <w:rFonts w:ascii="Calibri" w:hAnsi="Calibri"/>
        </w:rPr>
        <w:t xml:space="preserve"> MMT CO</w:t>
      </w:r>
      <w:r w:rsidRPr="00EC44A8">
        <w:rPr>
          <w:rFonts w:ascii="Calibri" w:hAnsi="Calibri"/>
          <w:vertAlign w:val="subscript"/>
        </w:rPr>
        <w:t>2</w:t>
      </w:r>
      <w:r w:rsidRPr="00EC44A8">
        <w:rPr>
          <w:rFonts w:ascii="Calibri" w:hAnsi="Calibri"/>
        </w:rPr>
        <w:t>. The co</w:t>
      </w:r>
      <w:r w:rsidR="00C74F68">
        <w:rPr>
          <w:rFonts w:ascii="Calibri" w:hAnsi="Calibri"/>
        </w:rPr>
        <w:t>ntribution to uncertainty is 255.7</w:t>
      </w:r>
      <w:r w:rsidRPr="00EC44A8">
        <w:rPr>
          <w:rFonts w:ascii="Calibri" w:hAnsi="Calibri"/>
        </w:rPr>
        <w:t xml:space="preserve"> MMT CO</w:t>
      </w:r>
      <w:r w:rsidRPr="00EC44A8">
        <w:rPr>
          <w:rFonts w:ascii="Calibri" w:hAnsi="Calibri"/>
          <w:vertAlign w:val="subscript"/>
        </w:rPr>
        <w:t>2</w:t>
      </w:r>
      <w:r w:rsidRPr="00EC44A8">
        <w:rPr>
          <w:rFonts w:ascii="Calibri" w:hAnsi="Calibri"/>
        </w:rPr>
        <w:t>.</w:t>
      </w:r>
    </w:p>
    <w:p w14:paraId="1CB639EC" w14:textId="2C4F82B6" w:rsidR="00EC44A8" w:rsidRPr="00195F4D" w:rsidRDefault="00EC44A8" w:rsidP="00EC44A8">
      <w:pPr>
        <w:pStyle w:val="Heading2"/>
        <w:numPr>
          <w:ilvl w:val="0"/>
          <w:numId w:val="0"/>
        </w:numPr>
        <w:ind w:left="576" w:hanging="576"/>
        <w:rPr>
          <w:b/>
          <w:bCs/>
        </w:rPr>
      </w:pPr>
      <w:r w:rsidRPr="00195F4D">
        <w:rPr>
          <w:rStyle w:val="Strong"/>
          <w:b w:val="0"/>
        </w:rPr>
        <w:t>Discussion</w:t>
      </w:r>
    </w:p>
    <w:p w14:paraId="7AB0CDF4" w14:textId="38984E63" w:rsidR="002327E8" w:rsidRDefault="002327E8" w:rsidP="00EC44A8">
      <w:pPr>
        <w:rPr>
          <w:rFonts w:ascii="Calibri" w:hAnsi="Calibri"/>
        </w:rPr>
      </w:pPr>
      <w:r>
        <w:rPr>
          <w:rFonts w:ascii="Calibri" w:hAnsi="Calibri"/>
        </w:rPr>
        <w:t xml:space="preserve">Similar to litter carbon, we were not able to attribute soil carbon uncertainty across model and sampling error due to the complexity of the Random Forests machine learning model. </w:t>
      </w:r>
    </w:p>
    <w:p w14:paraId="15D8C803" w14:textId="040F68B2" w:rsidR="00EC44A8" w:rsidRPr="00EC44A8" w:rsidRDefault="00EC44A8" w:rsidP="00EC44A8">
      <w:pPr>
        <w:rPr>
          <w:rFonts w:ascii="Calibri" w:hAnsi="Calibri"/>
        </w:rPr>
      </w:pPr>
      <w:r w:rsidRPr="00EC44A8">
        <w:rPr>
          <w:rFonts w:ascii="Calibri" w:hAnsi="Calibri"/>
        </w:rPr>
        <w:t xml:space="preserve">We test the sensitivity of our results to the covariance between the carbon stocks </w:t>
      </w:r>
      <w:r w:rsidR="005B571E">
        <w:rPr>
          <w:rFonts w:ascii="Calibri" w:hAnsi="Calibri"/>
        </w:rPr>
        <w:t xml:space="preserve">across </w:t>
      </w:r>
      <w:r w:rsidRPr="00EC44A8">
        <w:rPr>
          <w:rFonts w:ascii="Calibri" w:hAnsi="Calibri"/>
        </w:rPr>
        <w:t xml:space="preserve">time </w:t>
      </w:r>
      <w:r w:rsidR="005B571E">
        <w:rPr>
          <w:rFonts w:ascii="Calibri" w:hAnsi="Calibri"/>
        </w:rPr>
        <w:t xml:space="preserve">steps (Table </w:t>
      </w:r>
      <w:r w:rsidR="005E4D1E">
        <w:rPr>
          <w:rFonts w:ascii="Calibri" w:hAnsi="Calibri"/>
        </w:rPr>
        <w:t>2</w:t>
      </w:r>
      <w:r w:rsidR="005B571E">
        <w:rPr>
          <w:rFonts w:ascii="Calibri" w:hAnsi="Calibri"/>
        </w:rPr>
        <w:t>-7) and find this assumption has a large impact</w:t>
      </w:r>
      <w:r w:rsidRPr="00EC44A8">
        <w:rPr>
          <w:rFonts w:ascii="Calibri" w:hAnsi="Calibri"/>
        </w:rPr>
        <w:t>.</w:t>
      </w:r>
      <w:r w:rsidR="002327E8">
        <w:rPr>
          <w:rFonts w:ascii="Calibri" w:hAnsi="Calibri"/>
        </w:rPr>
        <w:t xml:space="preserve"> Even</w:t>
      </w:r>
      <w:r w:rsidR="005B571E">
        <w:rPr>
          <w:rFonts w:ascii="Calibri" w:hAnsi="Calibri"/>
        </w:rPr>
        <w:t xml:space="preserve"> under our highest covariance case (0.9999)</w:t>
      </w:r>
      <w:r w:rsidR="002327E8">
        <w:rPr>
          <w:rFonts w:ascii="Calibri" w:hAnsi="Calibri"/>
        </w:rPr>
        <w:t>, the uncertainty contribution from soils is 81.2 MMT CO</w:t>
      </w:r>
      <w:r w:rsidR="002327E8" w:rsidRPr="002327E8">
        <w:rPr>
          <w:rFonts w:ascii="Calibri" w:hAnsi="Calibri"/>
          <w:vertAlign w:val="subscript"/>
        </w:rPr>
        <w:t>2</w:t>
      </w:r>
      <w:r w:rsidR="002327E8">
        <w:rPr>
          <w:rFonts w:ascii="Calibri" w:hAnsi="Calibri"/>
        </w:rPr>
        <w:t>, on par with the contribution from tree volume coefficients</w:t>
      </w:r>
      <w:r w:rsidR="005B571E">
        <w:rPr>
          <w:rFonts w:ascii="Calibri" w:hAnsi="Calibri"/>
        </w:rPr>
        <w:t>,</w:t>
      </w:r>
      <w:r w:rsidR="002327E8">
        <w:rPr>
          <w:rFonts w:ascii="Calibri" w:hAnsi="Calibri"/>
        </w:rPr>
        <w:t xml:space="preserve"> which are the second largest source of uncertainty in the LULUCF GHG inventory.</w:t>
      </w:r>
    </w:p>
    <w:p w14:paraId="73254DC6" w14:textId="5E303075" w:rsidR="00EC44A8" w:rsidRPr="00F0092B" w:rsidRDefault="00EC44A8" w:rsidP="00EC44A8">
      <w:pPr>
        <w:rPr>
          <w:rFonts w:ascii="Calibri" w:hAnsi="Calibri"/>
          <w:b/>
          <w:bCs/>
          <w:i/>
          <w:iCs/>
          <w:color w:val="44546A" w:themeColor="text2"/>
        </w:rPr>
      </w:pPr>
      <w:r w:rsidRPr="00F0092B">
        <w:rPr>
          <w:rFonts w:ascii="Calibri" w:hAnsi="Calibri"/>
          <w:b/>
          <w:i/>
          <w:iCs/>
          <w:color w:val="44546A" w:themeColor="text2"/>
        </w:rPr>
        <w:t xml:space="preserve">Table </w:t>
      </w:r>
      <w:r w:rsidR="005E4D1E">
        <w:rPr>
          <w:rFonts w:ascii="Calibri" w:hAnsi="Calibri"/>
          <w:b/>
          <w:i/>
          <w:iCs/>
          <w:color w:val="44546A" w:themeColor="text2"/>
        </w:rPr>
        <w:t>2</w:t>
      </w:r>
      <w:r w:rsidR="00F0092B" w:rsidRPr="00F0092B">
        <w:rPr>
          <w:rFonts w:ascii="Calibri" w:hAnsi="Calibri"/>
          <w:b/>
          <w:i/>
          <w:iCs/>
          <w:color w:val="44546A" w:themeColor="text2"/>
        </w:rPr>
        <w:t>-</w:t>
      </w:r>
      <w:r w:rsidR="00F20552">
        <w:rPr>
          <w:rFonts w:ascii="Calibri" w:hAnsi="Calibri"/>
          <w:b/>
          <w:i/>
          <w:iCs/>
          <w:color w:val="44546A" w:themeColor="text2"/>
        </w:rPr>
        <w:t>7</w:t>
      </w:r>
      <w:r w:rsidRPr="00F0092B">
        <w:rPr>
          <w:rFonts w:ascii="Calibri" w:hAnsi="Calibri"/>
          <w:b/>
          <w:i/>
          <w:iCs/>
          <w:color w:val="44546A" w:themeColor="text2"/>
        </w:rPr>
        <w:t xml:space="preserve">: Sensitivity of </w:t>
      </w:r>
      <w:r w:rsidR="004B3068">
        <w:rPr>
          <w:rFonts w:ascii="Calibri" w:hAnsi="Calibri"/>
          <w:b/>
          <w:i/>
          <w:iCs/>
          <w:color w:val="44546A" w:themeColor="text2"/>
        </w:rPr>
        <w:t xml:space="preserve">soil carbon uncertainty </w:t>
      </w:r>
      <w:r w:rsidRPr="00F0092B">
        <w:rPr>
          <w:rFonts w:ascii="Calibri" w:hAnsi="Calibri"/>
          <w:b/>
          <w:i/>
          <w:iCs/>
          <w:color w:val="44546A" w:themeColor="text2"/>
        </w:rPr>
        <w:t>to covariance</w:t>
      </w:r>
      <w:r w:rsidR="004B3068">
        <w:rPr>
          <w:rFonts w:ascii="Calibri" w:hAnsi="Calibri"/>
          <w:b/>
          <w:i/>
          <w:iCs/>
          <w:color w:val="44546A" w:themeColor="text2"/>
        </w:rPr>
        <w:t xml:space="preserve"> assumption</w:t>
      </w:r>
    </w:p>
    <w:tbl>
      <w:tblPr>
        <w:tblStyle w:val="TableGrid"/>
        <w:tblW w:w="0" w:type="auto"/>
        <w:tblLook w:val="04A0" w:firstRow="1" w:lastRow="0" w:firstColumn="1" w:lastColumn="0" w:noHBand="0" w:noVBand="1"/>
      </w:tblPr>
      <w:tblGrid>
        <w:gridCol w:w="1358"/>
        <w:gridCol w:w="1498"/>
        <w:gridCol w:w="1353"/>
        <w:gridCol w:w="1353"/>
        <w:gridCol w:w="1359"/>
        <w:gridCol w:w="1258"/>
        <w:gridCol w:w="1171"/>
      </w:tblGrid>
      <w:tr w:rsidR="00EC44A8" w:rsidRPr="00EC44A8" w14:paraId="013FAA13" w14:textId="77777777" w:rsidTr="003B4036">
        <w:tc>
          <w:tcPr>
            <w:tcW w:w="1358" w:type="dxa"/>
            <w:vMerge w:val="restart"/>
            <w:shd w:val="clear" w:color="auto" w:fill="FFC000"/>
            <w:vAlign w:val="center"/>
          </w:tcPr>
          <w:p w14:paraId="3179BAEA" w14:textId="05D32705" w:rsidR="00EC44A8" w:rsidRPr="00BA185F" w:rsidRDefault="00D0311B" w:rsidP="00BA185F">
            <w:pPr>
              <w:spacing w:after="160" w:line="259" w:lineRule="auto"/>
              <w:jc w:val="center"/>
              <w:rPr>
                <w:rFonts w:ascii="Calibri" w:hAnsi="Calibri"/>
                <w:b/>
                <w:sz w:val="18"/>
                <w:szCs w:val="18"/>
              </w:rPr>
            </w:pPr>
            <w:r w:rsidRPr="00BA185F">
              <w:rPr>
                <w:rFonts w:ascii="Calibri" w:hAnsi="Calibri"/>
                <w:b/>
                <w:sz w:val="18"/>
                <w:szCs w:val="18"/>
              </w:rPr>
              <w:t xml:space="preserve">Covariance </w:t>
            </w:r>
            <w:r w:rsidR="00EC44A8" w:rsidRPr="00BA185F">
              <w:rPr>
                <w:rFonts w:ascii="Calibri" w:hAnsi="Calibri"/>
                <w:b/>
                <w:sz w:val="18"/>
                <w:szCs w:val="18"/>
              </w:rPr>
              <w:t>(as a fraction of variance)</w:t>
            </w:r>
          </w:p>
        </w:tc>
        <w:tc>
          <w:tcPr>
            <w:tcW w:w="1498" w:type="dxa"/>
            <w:vMerge w:val="restart"/>
            <w:shd w:val="clear" w:color="auto" w:fill="FFC000"/>
            <w:vAlign w:val="center"/>
          </w:tcPr>
          <w:p w14:paraId="26046D6A" w14:textId="3BA75921" w:rsidR="00EC44A8" w:rsidRPr="00BA185F" w:rsidRDefault="00EC44A8" w:rsidP="00BA185F">
            <w:pPr>
              <w:spacing w:after="160" w:line="259" w:lineRule="auto"/>
              <w:jc w:val="center"/>
              <w:rPr>
                <w:rFonts w:ascii="Calibri" w:hAnsi="Calibri"/>
                <w:b/>
                <w:sz w:val="18"/>
                <w:szCs w:val="18"/>
              </w:rPr>
            </w:pPr>
            <w:r w:rsidRPr="00BA185F">
              <w:rPr>
                <w:rFonts w:ascii="Calibri" w:hAnsi="Calibri"/>
                <w:b/>
                <w:sz w:val="18"/>
                <w:szCs w:val="18"/>
              </w:rPr>
              <w:t>Percentage error</w:t>
            </w:r>
            <w:r w:rsidR="001876CE" w:rsidRPr="00BA185F">
              <w:rPr>
                <w:rFonts w:ascii="Calibri" w:hAnsi="Calibri"/>
                <w:b/>
                <w:sz w:val="18"/>
                <w:szCs w:val="18"/>
              </w:rPr>
              <w:t>s (lower bound, upper bound)</w:t>
            </w:r>
          </w:p>
        </w:tc>
        <w:tc>
          <w:tcPr>
            <w:tcW w:w="2706" w:type="dxa"/>
            <w:gridSpan w:val="2"/>
            <w:shd w:val="clear" w:color="auto" w:fill="FFC000"/>
            <w:vAlign w:val="center"/>
          </w:tcPr>
          <w:p w14:paraId="12E63D26" w14:textId="77777777" w:rsidR="00EC44A8" w:rsidRPr="00BA185F" w:rsidRDefault="00EC44A8" w:rsidP="00BA185F">
            <w:pPr>
              <w:spacing w:after="160" w:line="259" w:lineRule="auto"/>
              <w:jc w:val="center"/>
              <w:rPr>
                <w:rFonts w:ascii="Calibri" w:hAnsi="Calibri"/>
                <w:b/>
                <w:sz w:val="18"/>
                <w:szCs w:val="18"/>
              </w:rPr>
            </w:pPr>
            <w:r w:rsidRPr="00BA185F">
              <w:rPr>
                <w:rFonts w:ascii="Calibri" w:hAnsi="Calibri"/>
                <w:b/>
                <w:sz w:val="18"/>
                <w:szCs w:val="18"/>
              </w:rPr>
              <w:t>Eastern Texas</w:t>
            </w:r>
          </w:p>
        </w:tc>
        <w:tc>
          <w:tcPr>
            <w:tcW w:w="3788" w:type="dxa"/>
            <w:gridSpan w:val="3"/>
            <w:shd w:val="clear" w:color="auto" w:fill="FFC000"/>
            <w:vAlign w:val="center"/>
          </w:tcPr>
          <w:p w14:paraId="25C492C7" w14:textId="77777777" w:rsidR="00EC44A8" w:rsidRPr="00BA185F" w:rsidRDefault="00EC44A8" w:rsidP="00BA185F">
            <w:pPr>
              <w:spacing w:after="160" w:line="259" w:lineRule="auto"/>
              <w:jc w:val="center"/>
              <w:rPr>
                <w:rFonts w:ascii="Calibri" w:hAnsi="Calibri"/>
                <w:b/>
                <w:sz w:val="18"/>
                <w:szCs w:val="18"/>
              </w:rPr>
            </w:pPr>
            <w:r w:rsidRPr="00BA185F">
              <w:rPr>
                <w:rFonts w:ascii="Calibri" w:hAnsi="Calibri"/>
                <w:b/>
                <w:sz w:val="18"/>
                <w:szCs w:val="18"/>
              </w:rPr>
              <w:t>United States</w:t>
            </w:r>
          </w:p>
        </w:tc>
      </w:tr>
      <w:tr w:rsidR="00EC44A8" w:rsidRPr="00EC44A8" w14:paraId="4E437A51" w14:textId="77777777" w:rsidTr="003B4036">
        <w:tc>
          <w:tcPr>
            <w:tcW w:w="1358" w:type="dxa"/>
            <w:vMerge/>
            <w:shd w:val="clear" w:color="auto" w:fill="FFC000"/>
            <w:vAlign w:val="center"/>
          </w:tcPr>
          <w:p w14:paraId="026C3CD9" w14:textId="77777777" w:rsidR="00EC44A8" w:rsidRPr="00F0092B" w:rsidRDefault="00EC44A8" w:rsidP="00F0092B">
            <w:pPr>
              <w:spacing w:after="160" w:line="259" w:lineRule="auto"/>
              <w:jc w:val="center"/>
              <w:rPr>
                <w:rFonts w:ascii="Calibri" w:hAnsi="Calibri"/>
                <w:b/>
                <w:sz w:val="18"/>
                <w:szCs w:val="18"/>
              </w:rPr>
            </w:pPr>
          </w:p>
        </w:tc>
        <w:tc>
          <w:tcPr>
            <w:tcW w:w="1498" w:type="dxa"/>
            <w:vMerge/>
            <w:shd w:val="clear" w:color="auto" w:fill="FFC000"/>
            <w:vAlign w:val="center"/>
          </w:tcPr>
          <w:p w14:paraId="0D670F2D" w14:textId="77777777" w:rsidR="00EC44A8" w:rsidRPr="00F0092B" w:rsidRDefault="00EC44A8" w:rsidP="00F0092B">
            <w:pPr>
              <w:spacing w:after="160" w:line="259" w:lineRule="auto"/>
              <w:jc w:val="center"/>
              <w:rPr>
                <w:rFonts w:ascii="Calibri" w:hAnsi="Calibri"/>
                <w:b/>
                <w:sz w:val="18"/>
                <w:szCs w:val="18"/>
              </w:rPr>
            </w:pPr>
          </w:p>
        </w:tc>
        <w:tc>
          <w:tcPr>
            <w:tcW w:w="1353" w:type="dxa"/>
            <w:shd w:val="clear" w:color="auto" w:fill="FFC000"/>
            <w:vAlign w:val="center"/>
          </w:tcPr>
          <w:p w14:paraId="45BDF51E" w14:textId="77777777" w:rsidR="00EC44A8" w:rsidRPr="00F0092B" w:rsidRDefault="00EC44A8" w:rsidP="00F0092B">
            <w:pPr>
              <w:spacing w:after="160" w:line="259" w:lineRule="auto"/>
              <w:jc w:val="center"/>
              <w:rPr>
                <w:rFonts w:ascii="Calibri" w:hAnsi="Calibri"/>
                <w:b/>
                <w:sz w:val="18"/>
                <w:szCs w:val="18"/>
              </w:rPr>
            </w:pPr>
            <w:r w:rsidRPr="00F0092B">
              <w:rPr>
                <w:rFonts w:ascii="Calibri" w:hAnsi="Calibri"/>
                <w:b/>
                <w:sz w:val="18"/>
                <w:szCs w:val="18"/>
              </w:rPr>
              <w:t>Lower bound (MMT CO</w:t>
            </w:r>
            <w:r w:rsidRPr="00F0092B">
              <w:rPr>
                <w:rFonts w:ascii="Calibri" w:hAnsi="Calibri"/>
                <w:b/>
                <w:sz w:val="18"/>
                <w:szCs w:val="18"/>
                <w:vertAlign w:val="subscript"/>
              </w:rPr>
              <w:t>2</w:t>
            </w:r>
            <w:r w:rsidRPr="00F0092B">
              <w:rPr>
                <w:rFonts w:ascii="Calibri" w:hAnsi="Calibri"/>
                <w:b/>
                <w:sz w:val="18"/>
                <w:szCs w:val="18"/>
              </w:rPr>
              <w:t>)</w:t>
            </w:r>
          </w:p>
        </w:tc>
        <w:tc>
          <w:tcPr>
            <w:tcW w:w="1353" w:type="dxa"/>
            <w:shd w:val="clear" w:color="auto" w:fill="FFC000"/>
            <w:vAlign w:val="center"/>
          </w:tcPr>
          <w:p w14:paraId="23716132" w14:textId="77777777" w:rsidR="00EC44A8" w:rsidRPr="00F0092B" w:rsidRDefault="00EC44A8" w:rsidP="00F0092B">
            <w:pPr>
              <w:spacing w:after="160" w:line="259" w:lineRule="auto"/>
              <w:jc w:val="center"/>
              <w:rPr>
                <w:rFonts w:ascii="Calibri" w:hAnsi="Calibri"/>
                <w:b/>
                <w:sz w:val="18"/>
                <w:szCs w:val="18"/>
              </w:rPr>
            </w:pPr>
            <w:r w:rsidRPr="00F0092B">
              <w:rPr>
                <w:rFonts w:ascii="Calibri" w:hAnsi="Calibri"/>
                <w:b/>
                <w:sz w:val="18"/>
                <w:szCs w:val="18"/>
              </w:rPr>
              <w:t>Upper bound (MMT CO</w:t>
            </w:r>
            <w:r w:rsidRPr="00F0092B">
              <w:rPr>
                <w:rFonts w:ascii="Calibri" w:hAnsi="Calibri"/>
                <w:b/>
                <w:sz w:val="18"/>
                <w:szCs w:val="18"/>
                <w:vertAlign w:val="subscript"/>
              </w:rPr>
              <w:t>2</w:t>
            </w:r>
            <w:r w:rsidRPr="00F0092B">
              <w:rPr>
                <w:rFonts w:ascii="Calibri" w:hAnsi="Calibri"/>
                <w:b/>
                <w:sz w:val="18"/>
                <w:szCs w:val="18"/>
              </w:rPr>
              <w:t>)</w:t>
            </w:r>
          </w:p>
        </w:tc>
        <w:tc>
          <w:tcPr>
            <w:tcW w:w="1359" w:type="dxa"/>
            <w:shd w:val="clear" w:color="auto" w:fill="FFC000"/>
            <w:vAlign w:val="center"/>
          </w:tcPr>
          <w:p w14:paraId="4FAA7C80" w14:textId="77777777" w:rsidR="00EC44A8" w:rsidRPr="00F0092B" w:rsidRDefault="00EC44A8" w:rsidP="00F0092B">
            <w:pPr>
              <w:spacing w:after="160" w:line="259" w:lineRule="auto"/>
              <w:jc w:val="center"/>
              <w:rPr>
                <w:rFonts w:ascii="Calibri" w:hAnsi="Calibri"/>
                <w:b/>
                <w:sz w:val="18"/>
                <w:szCs w:val="18"/>
              </w:rPr>
            </w:pPr>
            <w:r w:rsidRPr="00F0092B">
              <w:rPr>
                <w:rFonts w:ascii="Calibri" w:hAnsi="Calibri"/>
                <w:b/>
                <w:sz w:val="18"/>
                <w:szCs w:val="18"/>
              </w:rPr>
              <w:t>Lower bound (MMT CO</w:t>
            </w:r>
            <w:r w:rsidRPr="00F0092B">
              <w:rPr>
                <w:rFonts w:ascii="Calibri" w:hAnsi="Calibri"/>
                <w:b/>
                <w:sz w:val="18"/>
                <w:szCs w:val="18"/>
                <w:vertAlign w:val="subscript"/>
              </w:rPr>
              <w:t>2</w:t>
            </w:r>
            <w:r w:rsidRPr="00F0092B">
              <w:rPr>
                <w:rFonts w:ascii="Calibri" w:hAnsi="Calibri"/>
                <w:b/>
                <w:sz w:val="18"/>
                <w:szCs w:val="18"/>
              </w:rPr>
              <w:t>)</w:t>
            </w:r>
          </w:p>
        </w:tc>
        <w:tc>
          <w:tcPr>
            <w:tcW w:w="1258" w:type="dxa"/>
            <w:shd w:val="clear" w:color="auto" w:fill="FFC000"/>
            <w:vAlign w:val="center"/>
          </w:tcPr>
          <w:p w14:paraId="5A772353" w14:textId="77777777" w:rsidR="00EC44A8" w:rsidRPr="00F0092B" w:rsidRDefault="00EC44A8" w:rsidP="00F0092B">
            <w:pPr>
              <w:spacing w:after="160" w:line="259" w:lineRule="auto"/>
              <w:jc w:val="center"/>
              <w:rPr>
                <w:rFonts w:ascii="Calibri" w:hAnsi="Calibri"/>
                <w:b/>
                <w:sz w:val="18"/>
                <w:szCs w:val="18"/>
              </w:rPr>
            </w:pPr>
            <w:r w:rsidRPr="00F0092B">
              <w:rPr>
                <w:rFonts w:ascii="Calibri" w:hAnsi="Calibri"/>
                <w:b/>
                <w:sz w:val="18"/>
                <w:szCs w:val="18"/>
              </w:rPr>
              <w:t>Upper bound (MMT CO</w:t>
            </w:r>
            <w:r w:rsidRPr="00F0092B">
              <w:rPr>
                <w:rFonts w:ascii="Calibri" w:hAnsi="Calibri"/>
                <w:b/>
                <w:sz w:val="18"/>
                <w:szCs w:val="18"/>
                <w:vertAlign w:val="subscript"/>
              </w:rPr>
              <w:t>2</w:t>
            </w:r>
            <w:r w:rsidRPr="00F0092B">
              <w:rPr>
                <w:rFonts w:ascii="Calibri" w:hAnsi="Calibri"/>
                <w:b/>
                <w:sz w:val="18"/>
                <w:szCs w:val="18"/>
              </w:rPr>
              <w:t>)</w:t>
            </w:r>
          </w:p>
        </w:tc>
        <w:tc>
          <w:tcPr>
            <w:tcW w:w="1171" w:type="dxa"/>
            <w:shd w:val="clear" w:color="auto" w:fill="FFC000"/>
            <w:vAlign w:val="center"/>
          </w:tcPr>
          <w:p w14:paraId="2793056A" w14:textId="77777777" w:rsidR="00EC44A8" w:rsidRPr="00F0092B" w:rsidRDefault="00EC44A8" w:rsidP="00F0092B">
            <w:pPr>
              <w:spacing w:after="160" w:line="259" w:lineRule="auto"/>
              <w:jc w:val="center"/>
              <w:rPr>
                <w:rFonts w:ascii="Calibri" w:hAnsi="Calibri"/>
                <w:b/>
                <w:sz w:val="18"/>
                <w:szCs w:val="18"/>
              </w:rPr>
            </w:pPr>
            <w:r w:rsidRPr="00F0092B">
              <w:rPr>
                <w:rFonts w:ascii="Calibri" w:hAnsi="Calibri"/>
                <w:b/>
                <w:sz w:val="18"/>
                <w:szCs w:val="18"/>
              </w:rPr>
              <w:t>Uncertainty contribution (MMT CO</w:t>
            </w:r>
            <w:r w:rsidRPr="00F0092B">
              <w:rPr>
                <w:rFonts w:ascii="Calibri" w:hAnsi="Calibri"/>
                <w:b/>
                <w:sz w:val="18"/>
                <w:szCs w:val="18"/>
                <w:vertAlign w:val="subscript"/>
              </w:rPr>
              <w:t>2</w:t>
            </w:r>
            <w:r w:rsidRPr="00F0092B">
              <w:rPr>
                <w:rFonts w:ascii="Calibri" w:hAnsi="Calibri"/>
                <w:b/>
                <w:sz w:val="18"/>
                <w:szCs w:val="18"/>
              </w:rPr>
              <w:t>)</w:t>
            </w:r>
          </w:p>
        </w:tc>
      </w:tr>
      <w:tr w:rsidR="00EC44A8" w:rsidRPr="00EC44A8" w14:paraId="6F9FDEED" w14:textId="77777777" w:rsidTr="003B4036">
        <w:tc>
          <w:tcPr>
            <w:tcW w:w="1358" w:type="dxa"/>
            <w:vAlign w:val="center"/>
          </w:tcPr>
          <w:p w14:paraId="34B54323" w14:textId="77777777" w:rsidR="00EC44A8" w:rsidRPr="00BA185F" w:rsidRDefault="00EC44A8" w:rsidP="00BA185F">
            <w:pPr>
              <w:spacing w:after="160" w:line="259" w:lineRule="auto"/>
              <w:jc w:val="center"/>
              <w:rPr>
                <w:rFonts w:ascii="Calibri" w:hAnsi="Calibri"/>
                <w:b/>
                <w:sz w:val="18"/>
                <w:szCs w:val="18"/>
              </w:rPr>
            </w:pPr>
            <w:r w:rsidRPr="00BA185F">
              <w:rPr>
                <w:rFonts w:ascii="Calibri" w:hAnsi="Calibri"/>
                <w:b/>
                <w:sz w:val="18"/>
                <w:szCs w:val="18"/>
              </w:rPr>
              <w:t>0.9</w:t>
            </w:r>
          </w:p>
        </w:tc>
        <w:tc>
          <w:tcPr>
            <w:tcW w:w="1498" w:type="dxa"/>
            <w:vAlign w:val="center"/>
          </w:tcPr>
          <w:p w14:paraId="28DD5927" w14:textId="7CA92436" w:rsidR="00EC44A8" w:rsidRPr="00BA185F" w:rsidRDefault="00A80004" w:rsidP="00BA185F">
            <w:pPr>
              <w:spacing w:after="160" w:line="259" w:lineRule="auto"/>
              <w:jc w:val="center"/>
              <w:rPr>
                <w:rFonts w:ascii="Calibri" w:hAnsi="Calibri"/>
                <w:sz w:val="18"/>
                <w:szCs w:val="18"/>
              </w:rPr>
            </w:pPr>
            <w:r w:rsidRPr="00BA185F">
              <w:rPr>
                <w:rFonts w:ascii="Calibri" w:hAnsi="Calibri"/>
                <w:sz w:val="18"/>
                <w:szCs w:val="18"/>
              </w:rPr>
              <w:t>915</w:t>
            </w:r>
            <w:r w:rsidR="00EC44A8" w:rsidRPr="00BA185F">
              <w:rPr>
                <w:rFonts w:ascii="Calibri" w:hAnsi="Calibri"/>
                <w:sz w:val="18"/>
                <w:szCs w:val="18"/>
              </w:rPr>
              <w:t>%</w:t>
            </w:r>
            <w:r w:rsidRPr="00BA185F">
              <w:rPr>
                <w:rFonts w:ascii="Calibri" w:hAnsi="Calibri"/>
                <w:sz w:val="18"/>
                <w:szCs w:val="18"/>
              </w:rPr>
              <w:t>, 913%</w:t>
            </w:r>
          </w:p>
        </w:tc>
        <w:tc>
          <w:tcPr>
            <w:tcW w:w="1353" w:type="dxa"/>
            <w:vAlign w:val="center"/>
          </w:tcPr>
          <w:p w14:paraId="4EB1F2ED" w14:textId="06355583" w:rsidR="00EC44A8" w:rsidRPr="00BA185F" w:rsidRDefault="00EC44A8" w:rsidP="00BA185F">
            <w:pPr>
              <w:spacing w:after="160" w:line="259" w:lineRule="auto"/>
              <w:jc w:val="center"/>
              <w:rPr>
                <w:rFonts w:ascii="Calibri" w:hAnsi="Calibri"/>
                <w:sz w:val="18"/>
                <w:szCs w:val="18"/>
              </w:rPr>
            </w:pPr>
            <w:r w:rsidRPr="00BA185F">
              <w:rPr>
                <w:rFonts w:ascii="Calibri" w:hAnsi="Calibri"/>
                <w:sz w:val="18"/>
                <w:szCs w:val="18"/>
              </w:rPr>
              <w:t>-25.</w:t>
            </w:r>
            <w:r w:rsidR="00A80004" w:rsidRPr="00BA185F">
              <w:rPr>
                <w:rFonts w:ascii="Calibri" w:hAnsi="Calibri"/>
                <w:sz w:val="18"/>
                <w:szCs w:val="18"/>
              </w:rPr>
              <w:t>2</w:t>
            </w:r>
          </w:p>
        </w:tc>
        <w:tc>
          <w:tcPr>
            <w:tcW w:w="1353" w:type="dxa"/>
            <w:vAlign w:val="center"/>
          </w:tcPr>
          <w:p w14:paraId="1BC14C0F" w14:textId="4C720275" w:rsidR="00EC44A8" w:rsidRPr="00BA185F" w:rsidRDefault="00EC44A8" w:rsidP="00BA185F">
            <w:pPr>
              <w:spacing w:after="160" w:line="259" w:lineRule="auto"/>
              <w:jc w:val="center"/>
              <w:rPr>
                <w:rFonts w:ascii="Calibri" w:hAnsi="Calibri"/>
                <w:sz w:val="18"/>
                <w:szCs w:val="18"/>
              </w:rPr>
            </w:pPr>
            <w:r w:rsidRPr="00BA185F">
              <w:rPr>
                <w:rFonts w:ascii="Calibri" w:hAnsi="Calibri"/>
                <w:sz w:val="18"/>
                <w:szCs w:val="18"/>
              </w:rPr>
              <w:t>20.</w:t>
            </w:r>
            <w:r w:rsidR="00A80004" w:rsidRPr="00BA185F">
              <w:rPr>
                <w:rFonts w:ascii="Calibri" w:hAnsi="Calibri"/>
                <w:sz w:val="18"/>
                <w:szCs w:val="18"/>
              </w:rPr>
              <w:t>1</w:t>
            </w:r>
          </w:p>
        </w:tc>
        <w:tc>
          <w:tcPr>
            <w:tcW w:w="1359" w:type="dxa"/>
            <w:vAlign w:val="center"/>
          </w:tcPr>
          <w:p w14:paraId="618FACBF" w14:textId="430A116F" w:rsidR="00EC44A8" w:rsidRPr="00BA185F" w:rsidRDefault="00A80004" w:rsidP="00BA185F">
            <w:pPr>
              <w:spacing w:after="160" w:line="259" w:lineRule="auto"/>
              <w:jc w:val="center"/>
              <w:rPr>
                <w:rFonts w:ascii="Calibri" w:hAnsi="Calibri"/>
                <w:sz w:val="18"/>
                <w:szCs w:val="18"/>
              </w:rPr>
            </w:pPr>
            <w:r w:rsidRPr="00BA185F">
              <w:rPr>
                <w:rFonts w:ascii="Calibri" w:hAnsi="Calibri"/>
                <w:sz w:val="18"/>
                <w:szCs w:val="18"/>
              </w:rPr>
              <w:t>-1,373</w:t>
            </w:r>
            <w:r w:rsidR="00EC44A8" w:rsidRPr="00BA185F">
              <w:rPr>
                <w:rFonts w:ascii="Calibri" w:hAnsi="Calibri"/>
                <w:sz w:val="18"/>
                <w:szCs w:val="18"/>
              </w:rPr>
              <w:t>.</w:t>
            </w:r>
            <w:r w:rsidRPr="00BA185F">
              <w:rPr>
                <w:rFonts w:ascii="Calibri" w:hAnsi="Calibri"/>
                <w:sz w:val="18"/>
                <w:szCs w:val="18"/>
              </w:rPr>
              <w:t>5</w:t>
            </w:r>
          </w:p>
        </w:tc>
        <w:tc>
          <w:tcPr>
            <w:tcW w:w="1258" w:type="dxa"/>
            <w:vAlign w:val="center"/>
          </w:tcPr>
          <w:p w14:paraId="5FE2F84C" w14:textId="065C73AF" w:rsidR="00EC44A8" w:rsidRPr="00BA185F" w:rsidRDefault="00A80004" w:rsidP="00BA185F">
            <w:pPr>
              <w:spacing w:after="160" w:line="259" w:lineRule="auto"/>
              <w:jc w:val="center"/>
              <w:rPr>
                <w:rFonts w:ascii="Calibri" w:hAnsi="Calibri"/>
                <w:sz w:val="18"/>
                <w:szCs w:val="18"/>
              </w:rPr>
            </w:pPr>
            <w:r w:rsidRPr="00BA185F">
              <w:rPr>
                <w:rFonts w:ascii="Calibri" w:hAnsi="Calibri"/>
                <w:sz w:val="18"/>
                <w:szCs w:val="18"/>
              </w:rPr>
              <w:t>1,099</w:t>
            </w:r>
            <w:r w:rsidR="00EC44A8" w:rsidRPr="00BA185F">
              <w:rPr>
                <w:rFonts w:ascii="Calibri" w:hAnsi="Calibri"/>
                <w:sz w:val="18"/>
                <w:szCs w:val="18"/>
              </w:rPr>
              <w:t>.</w:t>
            </w:r>
            <w:r w:rsidRPr="00BA185F">
              <w:rPr>
                <w:rFonts w:ascii="Calibri" w:hAnsi="Calibri"/>
                <w:sz w:val="18"/>
                <w:szCs w:val="18"/>
              </w:rPr>
              <w:t>9</w:t>
            </w:r>
          </w:p>
        </w:tc>
        <w:tc>
          <w:tcPr>
            <w:tcW w:w="1171" w:type="dxa"/>
            <w:vAlign w:val="center"/>
          </w:tcPr>
          <w:p w14:paraId="215C5E71" w14:textId="3B68B807" w:rsidR="00EC44A8" w:rsidRPr="00BA185F" w:rsidRDefault="00A80004" w:rsidP="00BA185F">
            <w:pPr>
              <w:spacing w:after="160" w:line="259" w:lineRule="auto"/>
              <w:jc w:val="center"/>
              <w:rPr>
                <w:rFonts w:ascii="Calibri" w:hAnsi="Calibri"/>
                <w:sz w:val="18"/>
                <w:szCs w:val="18"/>
              </w:rPr>
            </w:pPr>
            <w:r w:rsidRPr="00BA185F">
              <w:rPr>
                <w:rFonts w:ascii="Calibri" w:hAnsi="Calibri"/>
                <w:sz w:val="18"/>
                <w:szCs w:val="18"/>
              </w:rPr>
              <w:t>2,473</w:t>
            </w:r>
            <w:r w:rsidR="00EC44A8" w:rsidRPr="00BA185F">
              <w:rPr>
                <w:rFonts w:ascii="Calibri" w:hAnsi="Calibri"/>
                <w:sz w:val="18"/>
                <w:szCs w:val="18"/>
              </w:rPr>
              <w:t>.4</w:t>
            </w:r>
          </w:p>
        </w:tc>
      </w:tr>
      <w:tr w:rsidR="00EC44A8" w:rsidRPr="00EC44A8" w14:paraId="723DEF07" w14:textId="77777777" w:rsidTr="003B4036">
        <w:tc>
          <w:tcPr>
            <w:tcW w:w="1358" w:type="dxa"/>
            <w:vAlign w:val="center"/>
          </w:tcPr>
          <w:p w14:paraId="63382E0B" w14:textId="77777777" w:rsidR="00EC44A8" w:rsidRPr="00BA185F" w:rsidRDefault="00EC44A8" w:rsidP="00BA185F">
            <w:pPr>
              <w:spacing w:after="160" w:line="259" w:lineRule="auto"/>
              <w:jc w:val="center"/>
              <w:rPr>
                <w:rFonts w:ascii="Calibri" w:hAnsi="Calibri"/>
                <w:b/>
                <w:sz w:val="18"/>
                <w:szCs w:val="18"/>
              </w:rPr>
            </w:pPr>
            <w:r w:rsidRPr="00BA185F">
              <w:rPr>
                <w:rFonts w:ascii="Calibri" w:hAnsi="Calibri"/>
                <w:b/>
                <w:sz w:val="18"/>
                <w:szCs w:val="18"/>
              </w:rPr>
              <w:t>0.95</w:t>
            </w:r>
          </w:p>
        </w:tc>
        <w:tc>
          <w:tcPr>
            <w:tcW w:w="1498" w:type="dxa"/>
            <w:vAlign w:val="center"/>
          </w:tcPr>
          <w:p w14:paraId="7D4B5740" w14:textId="1FFF3534" w:rsidR="00EC44A8" w:rsidRPr="00BA185F" w:rsidRDefault="00A80004" w:rsidP="00BA185F">
            <w:pPr>
              <w:spacing w:after="160" w:line="259" w:lineRule="auto"/>
              <w:jc w:val="center"/>
              <w:rPr>
                <w:rFonts w:ascii="Calibri" w:hAnsi="Calibri"/>
                <w:sz w:val="18"/>
                <w:szCs w:val="18"/>
              </w:rPr>
            </w:pPr>
            <w:r w:rsidRPr="00BA185F">
              <w:rPr>
                <w:rFonts w:ascii="Calibri" w:hAnsi="Calibri"/>
                <w:sz w:val="18"/>
                <w:szCs w:val="18"/>
              </w:rPr>
              <w:t xml:space="preserve">-655%, </w:t>
            </w:r>
            <w:r w:rsidR="00EC44A8" w:rsidRPr="00BA185F">
              <w:rPr>
                <w:rFonts w:ascii="Calibri" w:hAnsi="Calibri"/>
                <w:sz w:val="18"/>
                <w:szCs w:val="18"/>
              </w:rPr>
              <w:t>653%</w:t>
            </w:r>
          </w:p>
        </w:tc>
        <w:tc>
          <w:tcPr>
            <w:tcW w:w="1353" w:type="dxa"/>
            <w:vAlign w:val="center"/>
          </w:tcPr>
          <w:p w14:paraId="4E5F2ABC" w14:textId="4D8E8C2D" w:rsidR="00EC44A8" w:rsidRPr="00BA185F" w:rsidRDefault="00EC44A8" w:rsidP="00BA185F">
            <w:pPr>
              <w:spacing w:after="160" w:line="259" w:lineRule="auto"/>
              <w:jc w:val="center"/>
              <w:rPr>
                <w:rFonts w:ascii="Calibri" w:hAnsi="Calibri"/>
                <w:sz w:val="18"/>
                <w:szCs w:val="18"/>
              </w:rPr>
            </w:pPr>
            <w:r w:rsidRPr="00BA185F">
              <w:rPr>
                <w:rFonts w:ascii="Calibri" w:hAnsi="Calibri"/>
                <w:sz w:val="18"/>
                <w:szCs w:val="18"/>
              </w:rPr>
              <w:t>-18.</w:t>
            </w:r>
            <w:r w:rsidR="00A80004" w:rsidRPr="00BA185F">
              <w:rPr>
                <w:rFonts w:ascii="Calibri" w:hAnsi="Calibri"/>
                <w:sz w:val="18"/>
                <w:szCs w:val="18"/>
              </w:rPr>
              <w:t>6</w:t>
            </w:r>
          </w:p>
        </w:tc>
        <w:tc>
          <w:tcPr>
            <w:tcW w:w="1353" w:type="dxa"/>
            <w:vAlign w:val="center"/>
          </w:tcPr>
          <w:p w14:paraId="33F74B22" w14:textId="77777777" w:rsidR="00EC44A8" w:rsidRPr="00BA185F" w:rsidRDefault="00EC44A8" w:rsidP="00BA185F">
            <w:pPr>
              <w:spacing w:after="160" w:line="259" w:lineRule="auto"/>
              <w:jc w:val="center"/>
              <w:rPr>
                <w:rFonts w:ascii="Calibri" w:hAnsi="Calibri"/>
                <w:sz w:val="18"/>
                <w:szCs w:val="18"/>
              </w:rPr>
            </w:pPr>
            <w:r w:rsidRPr="00BA185F">
              <w:rPr>
                <w:rFonts w:ascii="Calibri" w:hAnsi="Calibri"/>
                <w:sz w:val="18"/>
                <w:szCs w:val="18"/>
              </w:rPr>
              <w:t>13.6</w:t>
            </w:r>
          </w:p>
        </w:tc>
        <w:tc>
          <w:tcPr>
            <w:tcW w:w="1359" w:type="dxa"/>
            <w:vAlign w:val="center"/>
          </w:tcPr>
          <w:p w14:paraId="310A3337" w14:textId="144DD64D" w:rsidR="00EC44A8" w:rsidRPr="00BA185F" w:rsidRDefault="00A80004" w:rsidP="00BA185F">
            <w:pPr>
              <w:spacing w:after="160" w:line="259" w:lineRule="auto"/>
              <w:jc w:val="center"/>
              <w:rPr>
                <w:rFonts w:ascii="Calibri" w:hAnsi="Calibri"/>
                <w:sz w:val="18"/>
                <w:szCs w:val="18"/>
              </w:rPr>
            </w:pPr>
            <w:r w:rsidRPr="00BA185F">
              <w:rPr>
                <w:rFonts w:ascii="Calibri" w:hAnsi="Calibri"/>
                <w:sz w:val="18"/>
                <w:szCs w:val="18"/>
              </w:rPr>
              <w:t>-1,021</w:t>
            </w:r>
            <w:r w:rsidR="00EC44A8" w:rsidRPr="00BA185F">
              <w:rPr>
                <w:rFonts w:ascii="Calibri" w:hAnsi="Calibri"/>
                <w:sz w:val="18"/>
                <w:szCs w:val="18"/>
              </w:rPr>
              <w:t>.</w:t>
            </w:r>
            <w:r w:rsidRPr="00BA185F">
              <w:rPr>
                <w:rFonts w:ascii="Calibri" w:hAnsi="Calibri"/>
                <w:sz w:val="18"/>
                <w:szCs w:val="18"/>
              </w:rPr>
              <w:t>7</w:t>
            </w:r>
          </w:p>
        </w:tc>
        <w:tc>
          <w:tcPr>
            <w:tcW w:w="1258" w:type="dxa"/>
            <w:vAlign w:val="center"/>
          </w:tcPr>
          <w:p w14:paraId="6F5B92FA" w14:textId="60E0384B" w:rsidR="00EC44A8" w:rsidRPr="00BA185F" w:rsidRDefault="00EC44A8" w:rsidP="00BA185F">
            <w:pPr>
              <w:spacing w:after="160" w:line="259" w:lineRule="auto"/>
              <w:jc w:val="center"/>
              <w:rPr>
                <w:rFonts w:ascii="Calibri" w:hAnsi="Calibri"/>
                <w:sz w:val="18"/>
                <w:szCs w:val="18"/>
              </w:rPr>
            </w:pPr>
            <w:r w:rsidRPr="00BA185F">
              <w:rPr>
                <w:rFonts w:ascii="Calibri" w:hAnsi="Calibri"/>
                <w:sz w:val="18"/>
                <w:szCs w:val="18"/>
              </w:rPr>
              <w:t>748.</w:t>
            </w:r>
            <w:r w:rsidR="00A80004" w:rsidRPr="00BA185F">
              <w:rPr>
                <w:rFonts w:ascii="Calibri" w:hAnsi="Calibri"/>
                <w:sz w:val="18"/>
                <w:szCs w:val="18"/>
              </w:rPr>
              <w:t>4</w:t>
            </w:r>
          </w:p>
        </w:tc>
        <w:tc>
          <w:tcPr>
            <w:tcW w:w="1171" w:type="dxa"/>
            <w:vAlign w:val="center"/>
          </w:tcPr>
          <w:p w14:paraId="27228465" w14:textId="6EA9F1D9" w:rsidR="00EC44A8" w:rsidRPr="00BA185F" w:rsidRDefault="00A80004" w:rsidP="00BA185F">
            <w:pPr>
              <w:spacing w:after="160" w:line="259" w:lineRule="auto"/>
              <w:jc w:val="center"/>
              <w:rPr>
                <w:rFonts w:ascii="Calibri" w:hAnsi="Calibri"/>
                <w:sz w:val="18"/>
                <w:szCs w:val="18"/>
              </w:rPr>
            </w:pPr>
            <w:r w:rsidRPr="00BA185F">
              <w:rPr>
                <w:rFonts w:ascii="Calibri" w:hAnsi="Calibri"/>
                <w:sz w:val="18"/>
                <w:szCs w:val="18"/>
              </w:rPr>
              <w:t>1,770.1</w:t>
            </w:r>
          </w:p>
        </w:tc>
      </w:tr>
      <w:tr w:rsidR="00EC44A8" w:rsidRPr="00EC44A8" w14:paraId="302164B2" w14:textId="77777777" w:rsidTr="003B4036">
        <w:tc>
          <w:tcPr>
            <w:tcW w:w="1358" w:type="dxa"/>
            <w:vAlign w:val="center"/>
          </w:tcPr>
          <w:p w14:paraId="4D07E5AA" w14:textId="50D59D90" w:rsidR="00EC44A8" w:rsidRPr="00BA185F" w:rsidRDefault="00EC44A8" w:rsidP="00BA185F">
            <w:pPr>
              <w:spacing w:after="160" w:line="259" w:lineRule="auto"/>
              <w:jc w:val="center"/>
              <w:rPr>
                <w:rFonts w:ascii="Calibri" w:hAnsi="Calibri"/>
                <w:b/>
                <w:sz w:val="18"/>
                <w:szCs w:val="18"/>
              </w:rPr>
            </w:pPr>
            <w:r w:rsidRPr="00BA185F">
              <w:rPr>
                <w:rFonts w:ascii="Calibri" w:hAnsi="Calibri"/>
                <w:b/>
                <w:sz w:val="18"/>
                <w:szCs w:val="18"/>
              </w:rPr>
              <w:t>0.999</w:t>
            </w:r>
            <w:r w:rsidR="005B571E">
              <w:rPr>
                <w:rFonts w:ascii="Calibri" w:hAnsi="Calibri"/>
                <w:b/>
                <w:sz w:val="18"/>
                <w:szCs w:val="18"/>
              </w:rPr>
              <w:t xml:space="preserve"> (base)</w:t>
            </w:r>
          </w:p>
        </w:tc>
        <w:tc>
          <w:tcPr>
            <w:tcW w:w="1498" w:type="dxa"/>
            <w:vAlign w:val="center"/>
          </w:tcPr>
          <w:p w14:paraId="430289FE" w14:textId="3BDD6795" w:rsidR="00EC44A8" w:rsidRPr="00BA185F" w:rsidRDefault="001876CE" w:rsidP="00BA185F">
            <w:pPr>
              <w:spacing w:after="160" w:line="259" w:lineRule="auto"/>
              <w:jc w:val="center"/>
              <w:rPr>
                <w:rFonts w:ascii="Calibri" w:hAnsi="Calibri"/>
                <w:sz w:val="18"/>
                <w:szCs w:val="18"/>
              </w:rPr>
            </w:pPr>
            <w:r w:rsidRPr="00BA185F">
              <w:rPr>
                <w:rFonts w:ascii="Calibri" w:hAnsi="Calibri"/>
                <w:sz w:val="18"/>
                <w:szCs w:val="18"/>
              </w:rPr>
              <w:t>-</w:t>
            </w:r>
            <w:r w:rsidR="00EC44A8" w:rsidRPr="00BA185F">
              <w:rPr>
                <w:rFonts w:ascii="Calibri" w:hAnsi="Calibri"/>
                <w:sz w:val="18"/>
                <w:szCs w:val="18"/>
              </w:rPr>
              <w:t>94</w:t>
            </w:r>
            <w:r w:rsidRPr="00BA185F">
              <w:rPr>
                <w:rFonts w:ascii="Calibri" w:hAnsi="Calibri"/>
                <w:sz w:val="18"/>
                <w:szCs w:val="18"/>
              </w:rPr>
              <w:t>.4</w:t>
            </w:r>
            <w:r w:rsidR="00EC44A8" w:rsidRPr="00BA185F">
              <w:rPr>
                <w:rFonts w:ascii="Calibri" w:hAnsi="Calibri"/>
                <w:sz w:val="18"/>
                <w:szCs w:val="18"/>
              </w:rPr>
              <w:t>%</w:t>
            </w:r>
            <w:r w:rsidRPr="00BA185F">
              <w:rPr>
                <w:rFonts w:ascii="Calibri" w:hAnsi="Calibri"/>
                <w:sz w:val="18"/>
                <w:szCs w:val="18"/>
              </w:rPr>
              <w:t>, 94.6%</w:t>
            </w:r>
          </w:p>
        </w:tc>
        <w:tc>
          <w:tcPr>
            <w:tcW w:w="1353" w:type="dxa"/>
            <w:vAlign w:val="center"/>
          </w:tcPr>
          <w:p w14:paraId="5374A9F1" w14:textId="77777777" w:rsidR="00EC44A8" w:rsidRPr="00BA185F" w:rsidRDefault="00EC44A8" w:rsidP="00BA185F">
            <w:pPr>
              <w:spacing w:after="160" w:line="259" w:lineRule="auto"/>
              <w:jc w:val="center"/>
              <w:rPr>
                <w:rFonts w:ascii="Calibri" w:hAnsi="Calibri"/>
                <w:sz w:val="18"/>
                <w:szCs w:val="18"/>
              </w:rPr>
            </w:pPr>
            <w:r w:rsidRPr="00BA185F">
              <w:rPr>
                <w:rFonts w:ascii="Calibri" w:hAnsi="Calibri"/>
                <w:sz w:val="18"/>
                <w:szCs w:val="18"/>
              </w:rPr>
              <w:t>-4.7</w:t>
            </w:r>
          </w:p>
        </w:tc>
        <w:tc>
          <w:tcPr>
            <w:tcW w:w="1353" w:type="dxa"/>
            <w:vAlign w:val="center"/>
          </w:tcPr>
          <w:p w14:paraId="3DA86622" w14:textId="77777777" w:rsidR="00EC44A8" w:rsidRPr="00BA185F" w:rsidRDefault="00EC44A8" w:rsidP="00BA185F">
            <w:pPr>
              <w:spacing w:after="160" w:line="259" w:lineRule="auto"/>
              <w:jc w:val="center"/>
              <w:rPr>
                <w:rFonts w:ascii="Calibri" w:hAnsi="Calibri"/>
                <w:sz w:val="18"/>
                <w:szCs w:val="18"/>
              </w:rPr>
            </w:pPr>
            <w:r w:rsidRPr="00BA185F">
              <w:rPr>
                <w:rFonts w:ascii="Calibri" w:hAnsi="Calibri"/>
                <w:sz w:val="18"/>
                <w:szCs w:val="18"/>
              </w:rPr>
              <w:t>-0.1</w:t>
            </w:r>
          </w:p>
        </w:tc>
        <w:tc>
          <w:tcPr>
            <w:tcW w:w="1359" w:type="dxa"/>
            <w:vAlign w:val="center"/>
          </w:tcPr>
          <w:p w14:paraId="0062E931" w14:textId="7EA8BD69" w:rsidR="00EC44A8" w:rsidRPr="00BA185F" w:rsidRDefault="00CA602C" w:rsidP="00BA185F">
            <w:pPr>
              <w:spacing w:after="160" w:line="259" w:lineRule="auto"/>
              <w:jc w:val="center"/>
              <w:rPr>
                <w:rFonts w:ascii="Calibri" w:hAnsi="Calibri"/>
                <w:sz w:val="18"/>
                <w:szCs w:val="18"/>
              </w:rPr>
            </w:pPr>
            <w:r w:rsidRPr="00BA185F">
              <w:rPr>
                <w:rFonts w:ascii="Calibri" w:hAnsi="Calibri"/>
                <w:sz w:val="18"/>
                <w:szCs w:val="18"/>
              </w:rPr>
              <w:t>-263</w:t>
            </w:r>
            <w:r w:rsidR="00EC44A8" w:rsidRPr="00BA185F">
              <w:rPr>
                <w:rFonts w:ascii="Calibri" w:hAnsi="Calibri"/>
                <w:sz w:val="18"/>
                <w:szCs w:val="18"/>
              </w:rPr>
              <w:t>.</w:t>
            </w:r>
            <w:r w:rsidRPr="00BA185F">
              <w:rPr>
                <w:rFonts w:ascii="Calibri" w:hAnsi="Calibri"/>
                <w:sz w:val="18"/>
                <w:szCs w:val="18"/>
              </w:rPr>
              <w:t>1</w:t>
            </w:r>
          </w:p>
        </w:tc>
        <w:tc>
          <w:tcPr>
            <w:tcW w:w="1258" w:type="dxa"/>
            <w:vAlign w:val="center"/>
          </w:tcPr>
          <w:p w14:paraId="6D98B12C" w14:textId="18988C64" w:rsidR="00EC44A8" w:rsidRPr="00BA185F" w:rsidRDefault="00EC44A8" w:rsidP="00BA185F">
            <w:pPr>
              <w:spacing w:after="160" w:line="259" w:lineRule="auto"/>
              <w:jc w:val="center"/>
              <w:rPr>
                <w:rFonts w:ascii="Calibri" w:hAnsi="Calibri"/>
                <w:sz w:val="18"/>
                <w:szCs w:val="18"/>
              </w:rPr>
            </w:pPr>
            <w:r w:rsidRPr="00BA185F">
              <w:rPr>
                <w:rFonts w:ascii="Calibri" w:hAnsi="Calibri"/>
                <w:sz w:val="18"/>
                <w:szCs w:val="18"/>
              </w:rPr>
              <w:t>-</w:t>
            </w:r>
            <w:r w:rsidR="00CA602C" w:rsidRPr="00BA185F">
              <w:rPr>
                <w:rFonts w:ascii="Calibri" w:hAnsi="Calibri"/>
                <w:sz w:val="18"/>
                <w:szCs w:val="18"/>
              </w:rPr>
              <w:t>7.4</w:t>
            </w:r>
          </w:p>
        </w:tc>
        <w:tc>
          <w:tcPr>
            <w:tcW w:w="1171" w:type="dxa"/>
            <w:vAlign w:val="center"/>
          </w:tcPr>
          <w:p w14:paraId="15D1E3EB" w14:textId="5E71748B" w:rsidR="00EC44A8" w:rsidRPr="00BA185F" w:rsidRDefault="00CA602C" w:rsidP="00BA185F">
            <w:pPr>
              <w:spacing w:after="160" w:line="259" w:lineRule="auto"/>
              <w:jc w:val="center"/>
              <w:rPr>
                <w:rFonts w:ascii="Calibri" w:hAnsi="Calibri"/>
                <w:sz w:val="18"/>
                <w:szCs w:val="18"/>
              </w:rPr>
            </w:pPr>
            <w:r w:rsidRPr="00BA185F">
              <w:rPr>
                <w:rFonts w:ascii="Calibri" w:hAnsi="Calibri"/>
                <w:sz w:val="18"/>
                <w:szCs w:val="18"/>
              </w:rPr>
              <w:t>255</w:t>
            </w:r>
            <w:r w:rsidR="00EC44A8" w:rsidRPr="00BA185F">
              <w:rPr>
                <w:rFonts w:ascii="Calibri" w:hAnsi="Calibri"/>
                <w:sz w:val="18"/>
                <w:szCs w:val="18"/>
              </w:rPr>
              <w:t>.</w:t>
            </w:r>
            <w:r w:rsidRPr="00BA185F">
              <w:rPr>
                <w:rFonts w:ascii="Calibri" w:hAnsi="Calibri"/>
                <w:sz w:val="18"/>
                <w:szCs w:val="18"/>
              </w:rPr>
              <w:t>7</w:t>
            </w:r>
          </w:p>
        </w:tc>
      </w:tr>
      <w:tr w:rsidR="00EC44A8" w:rsidRPr="00EC44A8" w14:paraId="46D38237" w14:textId="77777777" w:rsidTr="003B4036">
        <w:tc>
          <w:tcPr>
            <w:tcW w:w="1358" w:type="dxa"/>
            <w:vAlign w:val="center"/>
          </w:tcPr>
          <w:p w14:paraId="0C20CE98" w14:textId="77777777" w:rsidR="00EC44A8" w:rsidRPr="00BA185F" w:rsidRDefault="00EC44A8" w:rsidP="00BA185F">
            <w:pPr>
              <w:spacing w:after="160" w:line="259" w:lineRule="auto"/>
              <w:jc w:val="center"/>
              <w:rPr>
                <w:rFonts w:ascii="Calibri" w:hAnsi="Calibri"/>
                <w:b/>
                <w:sz w:val="18"/>
                <w:szCs w:val="18"/>
              </w:rPr>
            </w:pPr>
            <w:r w:rsidRPr="00BA185F">
              <w:rPr>
                <w:rFonts w:ascii="Calibri" w:hAnsi="Calibri"/>
                <w:b/>
                <w:sz w:val="18"/>
                <w:szCs w:val="18"/>
              </w:rPr>
              <w:t>0.9999</w:t>
            </w:r>
          </w:p>
        </w:tc>
        <w:tc>
          <w:tcPr>
            <w:tcW w:w="1498" w:type="dxa"/>
            <w:vAlign w:val="center"/>
          </w:tcPr>
          <w:p w14:paraId="61A24D19" w14:textId="401F6364" w:rsidR="00EC44A8" w:rsidRPr="00BA185F" w:rsidRDefault="008A35DC" w:rsidP="00BA185F">
            <w:pPr>
              <w:spacing w:after="160" w:line="259" w:lineRule="auto"/>
              <w:jc w:val="center"/>
              <w:rPr>
                <w:rFonts w:ascii="Calibri" w:hAnsi="Calibri"/>
                <w:sz w:val="18"/>
                <w:szCs w:val="18"/>
              </w:rPr>
            </w:pPr>
            <w:r w:rsidRPr="00BA185F">
              <w:rPr>
                <w:rFonts w:ascii="Calibri" w:hAnsi="Calibri"/>
                <w:sz w:val="18"/>
                <w:szCs w:val="18"/>
              </w:rPr>
              <w:t>-</w:t>
            </w:r>
            <w:r w:rsidR="00EC44A8" w:rsidRPr="00BA185F">
              <w:rPr>
                <w:rFonts w:ascii="Calibri" w:hAnsi="Calibri"/>
                <w:sz w:val="18"/>
                <w:szCs w:val="18"/>
              </w:rPr>
              <w:t>30</w:t>
            </w:r>
            <w:r w:rsidRPr="00BA185F">
              <w:rPr>
                <w:rFonts w:ascii="Calibri" w:hAnsi="Calibri"/>
                <w:sz w:val="18"/>
                <w:szCs w:val="18"/>
              </w:rPr>
              <w:t>.0</w:t>
            </w:r>
            <w:r w:rsidR="00EC44A8" w:rsidRPr="00BA185F">
              <w:rPr>
                <w:rFonts w:ascii="Calibri" w:hAnsi="Calibri"/>
                <w:sz w:val="18"/>
                <w:szCs w:val="18"/>
              </w:rPr>
              <w:t>%</w:t>
            </w:r>
            <w:r w:rsidRPr="00BA185F">
              <w:rPr>
                <w:rFonts w:ascii="Calibri" w:hAnsi="Calibri"/>
                <w:sz w:val="18"/>
                <w:szCs w:val="18"/>
              </w:rPr>
              <w:t>, +30.0</w:t>
            </w:r>
          </w:p>
        </w:tc>
        <w:tc>
          <w:tcPr>
            <w:tcW w:w="1353" w:type="dxa"/>
            <w:vAlign w:val="center"/>
          </w:tcPr>
          <w:p w14:paraId="2A74948C" w14:textId="77777777" w:rsidR="00EC44A8" w:rsidRPr="00BA185F" w:rsidRDefault="00EC44A8" w:rsidP="00BA185F">
            <w:pPr>
              <w:spacing w:after="160" w:line="259" w:lineRule="auto"/>
              <w:jc w:val="center"/>
              <w:rPr>
                <w:rFonts w:ascii="Calibri" w:hAnsi="Calibri"/>
                <w:sz w:val="18"/>
                <w:szCs w:val="18"/>
              </w:rPr>
            </w:pPr>
            <w:r w:rsidRPr="00BA185F">
              <w:rPr>
                <w:rFonts w:ascii="Calibri" w:hAnsi="Calibri"/>
                <w:sz w:val="18"/>
                <w:szCs w:val="18"/>
              </w:rPr>
              <w:t>-3.1</w:t>
            </w:r>
          </w:p>
        </w:tc>
        <w:tc>
          <w:tcPr>
            <w:tcW w:w="1353" w:type="dxa"/>
            <w:vAlign w:val="center"/>
          </w:tcPr>
          <w:p w14:paraId="557377E1" w14:textId="77777777" w:rsidR="00EC44A8" w:rsidRPr="00BA185F" w:rsidRDefault="00EC44A8" w:rsidP="00BA185F">
            <w:pPr>
              <w:spacing w:after="160" w:line="259" w:lineRule="auto"/>
              <w:jc w:val="center"/>
              <w:rPr>
                <w:rFonts w:ascii="Calibri" w:hAnsi="Calibri"/>
                <w:sz w:val="18"/>
                <w:szCs w:val="18"/>
              </w:rPr>
            </w:pPr>
            <w:r w:rsidRPr="00BA185F">
              <w:rPr>
                <w:rFonts w:ascii="Calibri" w:hAnsi="Calibri"/>
                <w:sz w:val="18"/>
                <w:szCs w:val="18"/>
              </w:rPr>
              <w:t>-1.7</w:t>
            </w:r>
          </w:p>
        </w:tc>
        <w:tc>
          <w:tcPr>
            <w:tcW w:w="1359" w:type="dxa"/>
            <w:vAlign w:val="center"/>
          </w:tcPr>
          <w:p w14:paraId="49CAD558" w14:textId="23C5D0A2" w:rsidR="00EC44A8" w:rsidRPr="00BA185F" w:rsidRDefault="00EC44A8" w:rsidP="00BA185F">
            <w:pPr>
              <w:spacing w:after="160" w:line="259" w:lineRule="auto"/>
              <w:jc w:val="center"/>
              <w:rPr>
                <w:rFonts w:ascii="Calibri" w:hAnsi="Calibri"/>
                <w:sz w:val="18"/>
                <w:szCs w:val="18"/>
              </w:rPr>
            </w:pPr>
            <w:r w:rsidRPr="00BA185F">
              <w:rPr>
                <w:rFonts w:ascii="Calibri" w:hAnsi="Calibri"/>
                <w:sz w:val="18"/>
                <w:szCs w:val="18"/>
              </w:rPr>
              <w:t>-175.</w:t>
            </w:r>
            <w:r w:rsidR="008A35DC" w:rsidRPr="00BA185F">
              <w:rPr>
                <w:rFonts w:ascii="Calibri" w:hAnsi="Calibri"/>
                <w:sz w:val="18"/>
                <w:szCs w:val="18"/>
              </w:rPr>
              <w:t>9</w:t>
            </w:r>
          </w:p>
        </w:tc>
        <w:tc>
          <w:tcPr>
            <w:tcW w:w="1258" w:type="dxa"/>
            <w:vAlign w:val="center"/>
          </w:tcPr>
          <w:p w14:paraId="05676C4F" w14:textId="1277C313" w:rsidR="00EC44A8" w:rsidRPr="00BA185F" w:rsidRDefault="00EC44A8" w:rsidP="00BA185F">
            <w:pPr>
              <w:spacing w:after="160" w:line="259" w:lineRule="auto"/>
              <w:jc w:val="center"/>
              <w:rPr>
                <w:rFonts w:ascii="Calibri" w:hAnsi="Calibri"/>
                <w:sz w:val="18"/>
                <w:szCs w:val="18"/>
              </w:rPr>
            </w:pPr>
            <w:r w:rsidRPr="00BA185F">
              <w:rPr>
                <w:rFonts w:ascii="Calibri" w:hAnsi="Calibri"/>
                <w:sz w:val="18"/>
                <w:szCs w:val="18"/>
              </w:rPr>
              <w:t>-94.</w:t>
            </w:r>
            <w:r w:rsidR="008A35DC" w:rsidRPr="00BA185F">
              <w:rPr>
                <w:rFonts w:ascii="Calibri" w:hAnsi="Calibri"/>
                <w:sz w:val="18"/>
                <w:szCs w:val="18"/>
              </w:rPr>
              <w:t>7</w:t>
            </w:r>
          </w:p>
        </w:tc>
        <w:tc>
          <w:tcPr>
            <w:tcW w:w="1171" w:type="dxa"/>
            <w:vAlign w:val="center"/>
          </w:tcPr>
          <w:p w14:paraId="6BB2D648" w14:textId="7EAB95BA" w:rsidR="00EC44A8" w:rsidRPr="00BA185F" w:rsidRDefault="008A35DC" w:rsidP="00BA185F">
            <w:pPr>
              <w:spacing w:after="160" w:line="259" w:lineRule="auto"/>
              <w:jc w:val="center"/>
              <w:rPr>
                <w:rFonts w:ascii="Calibri" w:hAnsi="Calibri"/>
                <w:sz w:val="18"/>
                <w:szCs w:val="18"/>
              </w:rPr>
            </w:pPr>
            <w:r w:rsidRPr="00BA185F">
              <w:rPr>
                <w:rFonts w:ascii="Calibri" w:hAnsi="Calibri"/>
                <w:sz w:val="18"/>
                <w:szCs w:val="18"/>
              </w:rPr>
              <w:t>81</w:t>
            </w:r>
            <w:r w:rsidR="00EC44A8" w:rsidRPr="00BA185F">
              <w:rPr>
                <w:rFonts w:ascii="Calibri" w:hAnsi="Calibri"/>
                <w:sz w:val="18"/>
                <w:szCs w:val="18"/>
              </w:rPr>
              <w:t>.</w:t>
            </w:r>
            <w:r w:rsidRPr="00BA185F">
              <w:rPr>
                <w:rFonts w:ascii="Calibri" w:hAnsi="Calibri"/>
                <w:sz w:val="18"/>
                <w:szCs w:val="18"/>
              </w:rPr>
              <w:t>2</w:t>
            </w:r>
          </w:p>
        </w:tc>
      </w:tr>
    </w:tbl>
    <w:p w14:paraId="2F9857CA" w14:textId="07E7B900" w:rsidR="000569E1" w:rsidRDefault="000569E1" w:rsidP="00E6714E">
      <w:pPr>
        <w:rPr>
          <w:rFonts w:ascii="Calibri" w:hAnsi="Calibri"/>
        </w:rPr>
      </w:pPr>
    </w:p>
    <w:p w14:paraId="026CBD86" w14:textId="77777777" w:rsidR="000569E1" w:rsidRDefault="000569E1" w:rsidP="00E6714E">
      <w:pPr>
        <w:rPr>
          <w:rFonts w:ascii="Calibri" w:hAnsi="Calibri"/>
        </w:rPr>
      </w:pPr>
    </w:p>
    <w:p w14:paraId="20AF68B1" w14:textId="77777777" w:rsidR="000569E1" w:rsidRDefault="000569E1" w:rsidP="00E6714E">
      <w:pPr>
        <w:rPr>
          <w:rFonts w:ascii="Calibri" w:hAnsi="Calibri"/>
        </w:rPr>
      </w:pPr>
    </w:p>
    <w:p w14:paraId="157AD196" w14:textId="77777777" w:rsidR="00F0092B" w:rsidRDefault="00F0092B" w:rsidP="0062725B">
      <w:pPr>
        <w:pStyle w:val="Heading2"/>
        <w:numPr>
          <w:ilvl w:val="0"/>
          <w:numId w:val="0"/>
        </w:numPr>
        <w:ind w:left="576" w:hanging="576"/>
        <w:sectPr w:rsidR="00F0092B">
          <w:pgSz w:w="12240" w:h="15840"/>
          <w:pgMar w:top="1440" w:right="1440" w:bottom="1440" w:left="1440" w:header="720" w:footer="720" w:gutter="0"/>
          <w:cols w:space="720"/>
          <w:docGrid w:linePitch="360"/>
        </w:sectPr>
      </w:pPr>
    </w:p>
    <w:p w14:paraId="67680E90" w14:textId="483E262B" w:rsidR="000415B6" w:rsidRDefault="000415B6" w:rsidP="0062725B">
      <w:pPr>
        <w:pStyle w:val="Heading2"/>
        <w:numPr>
          <w:ilvl w:val="0"/>
          <w:numId w:val="0"/>
        </w:numPr>
        <w:ind w:left="576" w:hanging="576"/>
      </w:pPr>
      <w:r>
        <w:lastRenderedPageBreak/>
        <w:t>2.</w:t>
      </w:r>
      <w:r w:rsidR="0062725B">
        <w:t>4</w:t>
      </w:r>
      <w:r>
        <w:t xml:space="preserve"> Non-CO</w:t>
      </w:r>
      <w:r w:rsidRPr="00081E93">
        <w:rPr>
          <w:vertAlign w:val="subscript"/>
        </w:rPr>
        <w:t>2</w:t>
      </w:r>
      <w:r>
        <w:t xml:space="preserve"> from forest fires</w:t>
      </w:r>
    </w:p>
    <w:p w14:paraId="7F28F83D" w14:textId="61C83D69" w:rsidR="004326E8" w:rsidRPr="00195F4D" w:rsidRDefault="004326E8" w:rsidP="004326E8">
      <w:pPr>
        <w:spacing w:before="240" w:after="0"/>
        <w:rPr>
          <w:rStyle w:val="Strong"/>
          <w:rFonts w:asciiTheme="majorHAnsi" w:eastAsiaTheme="majorEastAsia" w:hAnsiTheme="majorHAnsi" w:cstheme="majorBidi"/>
          <w:b w:val="0"/>
          <w:color w:val="2E74B5" w:themeColor="accent1" w:themeShade="BF"/>
          <w:sz w:val="26"/>
          <w:szCs w:val="26"/>
        </w:rPr>
      </w:pPr>
      <w:r w:rsidRPr="00195F4D">
        <w:rPr>
          <w:rStyle w:val="Strong"/>
          <w:rFonts w:asciiTheme="majorHAnsi" w:eastAsiaTheme="majorEastAsia" w:hAnsiTheme="majorHAnsi" w:cstheme="majorBidi"/>
          <w:b w:val="0"/>
          <w:color w:val="2E74B5" w:themeColor="accent1" w:themeShade="BF"/>
          <w:sz w:val="26"/>
          <w:szCs w:val="26"/>
        </w:rPr>
        <w:t>NGHGI Methods</w:t>
      </w:r>
    </w:p>
    <w:p w14:paraId="587E1D3C" w14:textId="79BFD064" w:rsidR="00E6714E" w:rsidRPr="00ED4794" w:rsidRDefault="00E6714E" w:rsidP="00E6714E">
      <w:pPr>
        <w:rPr>
          <w:rFonts w:ascii="Calibri" w:hAnsi="Calibri"/>
        </w:rPr>
      </w:pPr>
      <w:r w:rsidRPr="00ED4794">
        <w:rPr>
          <w:rFonts w:ascii="Calibri" w:hAnsi="Calibri"/>
        </w:rPr>
        <w:t>The NGHGI quantifies CH</w:t>
      </w:r>
      <w:r w:rsidRPr="00ED4794">
        <w:rPr>
          <w:rFonts w:ascii="Calibri" w:hAnsi="Calibri"/>
          <w:vertAlign w:val="subscript"/>
        </w:rPr>
        <w:t>4</w:t>
      </w:r>
      <w:r w:rsidRPr="00ED4794">
        <w:rPr>
          <w:rFonts w:ascii="Calibri" w:hAnsi="Calibri"/>
        </w:rPr>
        <w:t xml:space="preserve"> and N</w:t>
      </w:r>
      <w:r w:rsidRPr="00ED4794">
        <w:rPr>
          <w:rFonts w:ascii="Calibri" w:hAnsi="Calibri"/>
          <w:vertAlign w:val="subscript"/>
        </w:rPr>
        <w:t>2</w:t>
      </w:r>
      <w:r w:rsidRPr="00ED4794">
        <w:rPr>
          <w:rFonts w:ascii="Calibri" w:hAnsi="Calibri"/>
        </w:rPr>
        <w:t xml:space="preserve">O emissions from forest fires in the conterminous United States (CONUS) and Alaska </w:t>
      </w:r>
      <w:r w:rsidR="008309E9">
        <w:rPr>
          <w:rFonts w:ascii="Calibri" w:hAnsi="Calibri"/>
        </w:rPr>
        <w:t xml:space="preserve">using Equation </w:t>
      </w:r>
      <w:r w:rsidR="005E4D1E">
        <w:rPr>
          <w:rFonts w:ascii="Calibri" w:hAnsi="Calibri"/>
        </w:rPr>
        <w:t>2</w:t>
      </w:r>
      <w:r w:rsidR="00684A1C">
        <w:rPr>
          <w:rFonts w:ascii="Calibri" w:hAnsi="Calibri"/>
        </w:rPr>
        <w:t>-</w:t>
      </w:r>
      <w:r w:rsidR="008309E9">
        <w:rPr>
          <w:rFonts w:ascii="Calibri" w:hAnsi="Calibri"/>
        </w:rPr>
        <w:t xml:space="preserve">2 (NGHGI, 2018; </w:t>
      </w:r>
      <w:r w:rsidRPr="00ED4794">
        <w:rPr>
          <w:rFonts w:ascii="Calibri" w:hAnsi="Calibri"/>
        </w:rPr>
        <w:t>IPCC, 2006)</w:t>
      </w:r>
      <w:r w:rsidR="008309E9" w:rsidRPr="003B4036">
        <w:rPr>
          <w:rFonts w:ascii="Calibri" w:hAnsi="Calibri"/>
        </w:rPr>
        <w:t>.</w:t>
      </w:r>
    </w:p>
    <w:p w14:paraId="793465CE" w14:textId="4EAA8F01" w:rsidR="00E6714E" w:rsidRPr="00E6714E" w:rsidRDefault="00E6714E" w:rsidP="00E6714E">
      <w:pPr>
        <w:keepNext/>
        <w:spacing w:after="200" w:line="240" w:lineRule="auto"/>
        <w:rPr>
          <w:b/>
          <w:i/>
          <w:iCs/>
          <w:color w:val="44546A" w:themeColor="text2"/>
        </w:rPr>
      </w:pPr>
      <w:bookmarkStart w:id="39" w:name="_Ref415652381"/>
      <w:bookmarkStart w:id="40" w:name="_Ref5100542"/>
      <w:r w:rsidRPr="00E6714E">
        <w:rPr>
          <w:b/>
          <w:i/>
          <w:iCs/>
          <w:color w:val="44546A" w:themeColor="text2"/>
        </w:rPr>
        <w:t>Equation</w:t>
      </w:r>
      <w:r w:rsidR="00684A1C">
        <w:rPr>
          <w:b/>
          <w:i/>
          <w:iCs/>
          <w:color w:val="44546A" w:themeColor="text2"/>
        </w:rPr>
        <w:t xml:space="preserve"> </w:t>
      </w:r>
      <w:r w:rsidR="005E4D1E">
        <w:rPr>
          <w:b/>
          <w:i/>
          <w:iCs/>
          <w:color w:val="44546A" w:themeColor="text2"/>
        </w:rPr>
        <w:t>2</w:t>
      </w:r>
      <w:r w:rsidR="00684A1C">
        <w:rPr>
          <w:b/>
          <w:i/>
          <w:iCs/>
          <w:color w:val="44546A" w:themeColor="text2"/>
        </w:rPr>
        <w:t>-</w:t>
      </w:r>
      <w:bookmarkEnd w:id="39"/>
      <w:r w:rsidR="001B5A68">
        <w:rPr>
          <w:b/>
          <w:i/>
          <w:iCs/>
          <w:color w:val="44546A" w:themeColor="text2"/>
        </w:rPr>
        <w:t>2</w:t>
      </w:r>
      <w:r w:rsidRPr="00E6714E">
        <w:rPr>
          <w:b/>
          <w:i/>
          <w:iCs/>
          <w:color w:val="44546A" w:themeColor="text2"/>
        </w:rPr>
        <w:t>:</w:t>
      </w:r>
      <w:bookmarkEnd w:id="40"/>
      <w:r w:rsidRPr="00E6714E">
        <w:rPr>
          <w:b/>
          <w:i/>
          <w:iCs/>
          <w:color w:val="44546A" w:themeColor="text2"/>
        </w:rPr>
        <w:t xml:space="preserve"> Non-CO</w:t>
      </w:r>
      <w:r w:rsidRPr="00081E93">
        <w:rPr>
          <w:b/>
          <w:i/>
          <w:iCs/>
          <w:color w:val="44546A" w:themeColor="text2"/>
          <w:vertAlign w:val="subscript"/>
        </w:rPr>
        <w:t>2</w:t>
      </w:r>
      <w:r w:rsidRPr="00E6714E">
        <w:rPr>
          <w:b/>
          <w:i/>
          <w:iCs/>
          <w:color w:val="44546A" w:themeColor="text2"/>
        </w:rPr>
        <w:t xml:space="preserve"> emissions from forest fires</w:t>
      </w:r>
      <w:r>
        <w:rPr>
          <w:b/>
          <w:i/>
          <w:iCs/>
          <w:color w:val="44546A" w:themeColor="text2"/>
        </w:rPr>
        <w:t xml:space="preserve"> (NGHGI, 2018)</w:t>
      </w:r>
    </w:p>
    <w:p w14:paraId="6A328CF7" w14:textId="77777777" w:rsidR="00E6714E" w:rsidRPr="00ED4794" w:rsidRDefault="00E6714E" w:rsidP="00E6714E">
      <w:pPr>
        <w:rPr>
          <w:rFonts w:ascii="Calibri" w:hAnsi="Calibri"/>
        </w:rPr>
      </w:pPr>
      <m:oMathPara>
        <m:oMath>
          <m:r>
            <w:rPr>
              <w:rFonts w:ascii="Cambria Math" w:hAnsi="Cambria Math"/>
            </w:rPr>
            <m:t>Emissions=Burned area × Fuel available × Combustion factor × Emission factor</m:t>
          </m:r>
        </m:oMath>
      </m:oMathPara>
    </w:p>
    <w:p w14:paraId="0C13D0F4" w14:textId="45118F52" w:rsidR="00E6714E" w:rsidRPr="00ED4794" w:rsidRDefault="00E6714E" w:rsidP="00E6714E">
      <w:pPr>
        <w:rPr>
          <w:rFonts w:ascii="Calibri" w:hAnsi="Calibri"/>
        </w:rPr>
      </w:pPr>
      <w:r w:rsidRPr="00ED4794">
        <w:rPr>
          <w:rFonts w:ascii="Calibri" w:hAnsi="Calibri"/>
        </w:rPr>
        <w:t>Annual estimates of burned area are based on a combination of input data from multiple sources. The Monitoring Trends in Burn Severity (MTBS) dataset provides annual fire data (e.g., location, intensity, and burned area)</w:t>
      </w:r>
      <w:r w:rsidR="008309E9">
        <w:rPr>
          <w:rFonts w:ascii="Calibri" w:hAnsi="Calibri"/>
        </w:rPr>
        <w:t xml:space="preserve">. In the 2018 NGHGI, MTBS did </w:t>
      </w:r>
      <w:r w:rsidRPr="00ED4794">
        <w:rPr>
          <w:rFonts w:ascii="Calibri" w:hAnsi="Calibri"/>
        </w:rPr>
        <w:t>not delineate the fires by ecosystem type (MTBS Data Summaries, 2015)</w:t>
      </w:r>
      <w:r w:rsidR="008309E9">
        <w:rPr>
          <w:rFonts w:ascii="Calibri" w:hAnsi="Calibri"/>
        </w:rPr>
        <w:t xml:space="preserve"> and</w:t>
      </w:r>
      <w:r w:rsidRPr="00ED4794">
        <w:rPr>
          <w:rFonts w:ascii="Calibri" w:hAnsi="Calibri"/>
        </w:rPr>
        <w:t xml:space="preserve"> </w:t>
      </w:r>
      <w:r w:rsidR="008309E9">
        <w:rPr>
          <w:rFonts w:ascii="Calibri" w:hAnsi="Calibri"/>
        </w:rPr>
        <w:t>a</w:t>
      </w:r>
      <w:r w:rsidR="008309E9" w:rsidRPr="00ED4794">
        <w:rPr>
          <w:rFonts w:ascii="Calibri" w:hAnsi="Calibri"/>
        </w:rPr>
        <w:t xml:space="preserve"> </w:t>
      </w:r>
      <w:r w:rsidRPr="00ED4794">
        <w:rPr>
          <w:rFonts w:ascii="Calibri" w:hAnsi="Calibri"/>
        </w:rPr>
        <w:t xml:space="preserve">forest area dataset approximately representative of 2002 from Ruefenacht et al. (2008) </w:t>
      </w:r>
      <w:r w:rsidR="008309E9">
        <w:rPr>
          <w:rFonts w:ascii="Calibri" w:hAnsi="Calibri"/>
        </w:rPr>
        <w:t>wa</w:t>
      </w:r>
      <w:r w:rsidRPr="00ED4794">
        <w:rPr>
          <w:rFonts w:ascii="Calibri" w:hAnsi="Calibri"/>
        </w:rPr>
        <w:t>s used to determine the fraction of the MTBS burned area that occurs on forest</w:t>
      </w:r>
      <w:r w:rsidR="005E586E">
        <w:rPr>
          <w:rFonts w:ascii="Calibri" w:hAnsi="Calibri"/>
        </w:rPr>
        <w:t xml:space="preserve"> </w:t>
      </w:r>
      <w:r w:rsidRPr="00ED4794">
        <w:rPr>
          <w:rFonts w:ascii="Calibri" w:hAnsi="Calibri"/>
        </w:rPr>
        <w:t>land.</w:t>
      </w:r>
      <w:r w:rsidR="008309E9">
        <w:rPr>
          <w:rFonts w:ascii="Calibri" w:hAnsi="Calibri"/>
        </w:rPr>
        <w:t xml:space="preserve"> As of the 2020 NGHGI, the National Land Cover Dataset (NLCD) is used to delineate fires occurring on forest land (Annex 3.13, NGHGI, 2020).</w:t>
      </w:r>
      <w:r w:rsidRPr="00ED4794">
        <w:rPr>
          <w:rFonts w:ascii="Calibri" w:hAnsi="Calibri"/>
        </w:rPr>
        <w:t xml:space="preserve"> Alaskan forests are </w:t>
      </w:r>
      <w:r w:rsidR="008309E9">
        <w:rPr>
          <w:rFonts w:ascii="Calibri" w:hAnsi="Calibri"/>
        </w:rPr>
        <w:t>divided</w:t>
      </w:r>
      <w:r w:rsidRPr="00ED4794">
        <w:rPr>
          <w:rFonts w:ascii="Calibri" w:hAnsi="Calibri"/>
        </w:rPr>
        <w:t xml:space="preserve"> into managed and unmanaged areas based on Ogle et al. (2018). All fires in Alaska are assumed to occur in boreal forest.</w:t>
      </w:r>
    </w:p>
    <w:p w14:paraId="6F43D743" w14:textId="6D190C87" w:rsidR="00E6714E" w:rsidRPr="00ED4794" w:rsidRDefault="00E6714E" w:rsidP="00E6714E">
      <w:pPr>
        <w:rPr>
          <w:rFonts w:ascii="Calibri" w:hAnsi="Calibri"/>
        </w:rPr>
      </w:pPr>
      <w:r w:rsidRPr="00ED4794">
        <w:rPr>
          <w:rFonts w:ascii="Calibri" w:hAnsi="Calibri"/>
        </w:rPr>
        <w:t>For the conterminous United States, fuel availabilities (mass of dry matter available per unit area) are derived using FIA plot data (USDA Forest Service, 2015). For each plot, the fuel available for wildfires is calculated as the plot-level biomass density, accounting for litter, downed dead wood, understory vegetation, and aboveground biomass in living and standing dead trees. Similarly, the fuel available for prescribed fires is calculated as the plot-level biomass density, accounting for litter, downed dead wood, and aboveground biomass in standing dead trees. The NGHGI reports that plot-level fuel availabilities are generally lognormally distributed</w:t>
      </w:r>
      <w:r w:rsidR="00786332">
        <w:rPr>
          <w:rFonts w:ascii="Calibri" w:hAnsi="Calibri"/>
        </w:rPr>
        <w:t xml:space="preserve"> (2018)</w:t>
      </w:r>
      <w:r w:rsidRPr="00ED4794">
        <w:rPr>
          <w:rFonts w:ascii="Calibri" w:hAnsi="Calibri"/>
        </w:rPr>
        <w:t>.</w:t>
      </w:r>
    </w:p>
    <w:p w14:paraId="18A60F24" w14:textId="77777777" w:rsidR="00E6714E" w:rsidRPr="00ED4794" w:rsidRDefault="00E6714E" w:rsidP="00E6714E">
      <w:pPr>
        <w:rPr>
          <w:rFonts w:ascii="Calibri" w:hAnsi="Calibri"/>
        </w:rPr>
      </w:pPr>
      <w:r w:rsidRPr="00ED4794">
        <w:rPr>
          <w:rFonts w:ascii="Calibri" w:hAnsi="Calibri"/>
        </w:rPr>
        <w:t>The combustion factor (mass of dry matter burned per mass of dry matter available) applied for the conterminous United States is the default factor for temperate forests from IPCC (2006). A combined parameter that takes into account both fuel availability and the combustion factor for boreal forests from IPCC (2006) is applied for all fires in Alaska. The emission factors for CH</w:t>
      </w:r>
      <w:r w:rsidRPr="00ED4794">
        <w:rPr>
          <w:rFonts w:ascii="Calibri" w:hAnsi="Calibri"/>
          <w:vertAlign w:val="subscript"/>
        </w:rPr>
        <w:t>4</w:t>
      </w:r>
      <w:r w:rsidRPr="00ED4794">
        <w:rPr>
          <w:rFonts w:ascii="Calibri" w:hAnsi="Calibri"/>
        </w:rPr>
        <w:t xml:space="preserve"> and N</w:t>
      </w:r>
      <w:r w:rsidRPr="00ED4794">
        <w:rPr>
          <w:rFonts w:ascii="Calibri" w:hAnsi="Calibri"/>
          <w:vertAlign w:val="subscript"/>
        </w:rPr>
        <w:t>2</w:t>
      </w:r>
      <w:r w:rsidRPr="00ED4794">
        <w:rPr>
          <w:rFonts w:ascii="Calibri" w:hAnsi="Calibri"/>
        </w:rPr>
        <w:t>O (mass of gas emitted per mass of dry matter burned) are likewise from IPCC (2006). Emissions of CH</w:t>
      </w:r>
      <w:r w:rsidRPr="00ED4794">
        <w:rPr>
          <w:rFonts w:ascii="Calibri" w:hAnsi="Calibri"/>
          <w:vertAlign w:val="subscript"/>
        </w:rPr>
        <w:t>4</w:t>
      </w:r>
      <w:r w:rsidRPr="00ED4794">
        <w:rPr>
          <w:rFonts w:ascii="Calibri" w:hAnsi="Calibri"/>
        </w:rPr>
        <w:t xml:space="preserve"> and N</w:t>
      </w:r>
      <w:r w:rsidRPr="00ED4794">
        <w:rPr>
          <w:rFonts w:ascii="Calibri" w:hAnsi="Calibri"/>
          <w:vertAlign w:val="subscript"/>
        </w:rPr>
        <w:t>2</w:t>
      </w:r>
      <w:r w:rsidRPr="00ED4794">
        <w:rPr>
          <w:rFonts w:ascii="Calibri" w:hAnsi="Calibri"/>
        </w:rPr>
        <w:t>O are converted to CO</w:t>
      </w:r>
      <w:r w:rsidRPr="00ED4794">
        <w:rPr>
          <w:rFonts w:ascii="Calibri" w:hAnsi="Calibri"/>
          <w:vertAlign w:val="subscript"/>
        </w:rPr>
        <w:t>2</w:t>
      </w:r>
      <w:r w:rsidRPr="00ED4794">
        <w:rPr>
          <w:rFonts w:ascii="Calibri" w:hAnsi="Calibri"/>
        </w:rPr>
        <w:t xml:space="preserve"> equivalents using 100-year global warming potentials (GWPs) from IPCC (2007). The NGHGI calculates non-CO</w:t>
      </w:r>
      <w:r w:rsidRPr="00ED4794">
        <w:rPr>
          <w:rFonts w:ascii="Calibri" w:hAnsi="Calibri"/>
          <w:vertAlign w:val="subscript"/>
        </w:rPr>
        <w:t>2</w:t>
      </w:r>
      <w:r w:rsidRPr="00ED4794">
        <w:rPr>
          <w:rFonts w:ascii="Calibri" w:hAnsi="Calibri"/>
        </w:rPr>
        <w:t xml:space="preserve"> emissions from forest fires separately by state, year, and fire type (wildfires and prescribed fires).</w:t>
      </w:r>
    </w:p>
    <w:p w14:paraId="359F9DD6" w14:textId="295953A6" w:rsidR="00E6714E" w:rsidRPr="00ED4794" w:rsidRDefault="00E6714E" w:rsidP="00E6714E">
      <w:pPr>
        <w:rPr>
          <w:rFonts w:ascii="Calibri" w:hAnsi="Calibri"/>
        </w:rPr>
      </w:pPr>
      <w:r w:rsidRPr="003805D8">
        <w:rPr>
          <w:rFonts w:ascii="Calibri" w:hAnsi="Calibri"/>
        </w:rPr>
        <w:t xml:space="preserve">The NGHGI </w:t>
      </w:r>
      <w:r w:rsidR="00786332">
        <w:rPr>
          <w:rFonts w:ascii="Calibri" w:hAnsi="Calibri"/>
        </w:rPr>
        <w:t xml:space="preserve">(2018) </w:t>
      </w:r>
      <w:r w:rsidRPr="003805D8">
        <w:rPr>
          <w:rFonts w:ascii="Calibri" w:hAnsi="Calibri"/>
        </w:rPr>
        <w:t>quantifies the 95% confidence</w:t>
      </w:r>
      <w:r w:rsidRPr="00ED4794">
        <w:rPr>
          <w:rFonts w:ascii="Calibri" w:hAnsi="Calibri"/>
        </w:rPr>
        <w:t xml:space="preserve"> intervals for non-CO</w:t>
      </w:r>
      <w:r w:rsidRPr="00ED4794">
        <w:rPr>
          <w:rFonts w:ascii="Calibri" w:hAnsi="Calibri"/>
          <w:vertAlign w:val="subscript"/>
        </w:rPr>
        <w:t>2</w:t>
      </w:r>
      <w:r w:rsidRPr="00ED4794">
        <w:rPr>
          <w:rFonts w:ascii="Calibri" w:hAnsi="Calibri"/>
        </w:rPr>
        <w:t xml:space="preserve"> emissions from forest fires using Monte Carlo </w:t>
      </w:r>
      <w:r w:rsidR="00786332">
        <w:rPr>
          <w:rFonts w:ascii="Calibri" w:hAnsi="Calibri"/>
        </w:rPr>
        <w:t>methods</w:t>
      </w:r>
      <w:r w:rsidRPr="00ED4794">
        <w:rPr>
          <w:rFonts w:ascii="Calibri" w:hAnsi="Calibri"/>
        </w:rPr>
        <w:t xml:space="preserve">. </w:t>
      </w:r>
      <w:r w:rsidR="00786332">
        <w:rPr>
          <w:rFonts w:ascii="Calibri" w:hAnsi="Calibri"/>
        </w:rPr>
        <w:t>V</w:t>
      </w:r>
      <w:r w:rsidRPr="00ED4794">
        <w:rPr>
          <w:rFonts w:ascii="Calibri" w:hAnsi="Calibri"/>
        </w:rPr>
        <w:t xml:space="preserve">ariable </w:t>
      </w:r>
      <w:r w:rsidR="00786332">
        <w:rPr>
          <w:rFonts w:ascii="Calibri" w:hAnsi="Calibri"/>
        </w:rPr>
        <w:t>inputs</w:t>
      </w:r>
      <w:r w:rsidR="00786332" w:rsidRPr="00ED4794">
        <w:rPr>
          <w:rFonts w:ascii="Calibri" w:hAnsi="Calibri"/>
        </w:rPr>
        <w:t xml:space="preserve"> </w:t>
      </w:r>
      <w:r w:rsidRPr="00ED4794">
        <w:rPr>
          <w:rFonts w:ascii="Calibri" w:hAnsi="Calibri"/>
        </w:rPr>
        <w:t xml:space="preserve">include: (1) burned area (normally distributed with standard </w:t>
      </w:r>
      <w:r w:rsidR="004C0B7C">
        <w:rPr>
          <w:rFonts w:ascii="Calibri" w:hAnsi="Calibri"/>
        </w:rPr>
        <w:t>error</w:t>
      </w:r>
      <w:r w:rsidR="004C0B7C" w:rsidRPr="00ED4794">
        <w:rPr>
          <w:rFonts w:ascii="Calibri" w:hAnsi="Calibri"/>
        </w:rPr>
        <w:t xml:space="preserve"> </w:t>
      </w:r>
      <w:r w:rsidRPr="00ED4794">
        <w:rPr>
          <w:rFonts w:ascii="Calibri" w:hAnsi="Calibri"/>
        </w:rPr>
        <w:t xml:space="preserve">that is 4% of the </w:t>
      </w:r>
      <w:r w:rsidR="004C0B7C">
        <w:rPr>
          <w:rFonts w:ascii="Calibri" w:hAnsi="Calibri"/>
        </w:rPr>
        <w:t>point estimate</w:t>
      </w:r>
      <w:r w:rsidRPr="00ED4794">
        <w:rPr>
          <w:rFonts w:ascii="Calibri" w:hAnsi="Calibri"/>
        </w:rPr>
        <w:t xml:space="preserve">), sampled by year; (2) state-level fuel availability for conterminous United States (lognormally distributed for each fire type), sampled by state and year; (3) combustion factor for conterminous United States (normally distributed, truncated at zero), sampled by year; (4) combined fuel availability–combustion factor for Alaska (normally distributed, truncated at zero), sampled by year; and (5) emission factors (normally distributed, truncated at zero), sampled by year. The lognormal distributions of state-level fuel availabilities are derived from fitting the FIA plot data. For factors 3–5, both the means and standard </w:t>
      </w:r>
      <w:r w:rsidR="004C0B7C">
        <w:rPr>
          <w:rFonts w:ascii="Calibri" w:hAnsi="Calibri"/>
        </w:rPr>
        <w:t>errors</w:t>
      </w:r>
      <w:r w:rsidR="004C0B7C" w:rsidRPr="00ED4794">
        <w:rPr>
          <w:rFonts w:ascii="Calibri" w:hAnsi="Calibri"/>
        </w:rPr>
        <w:t xml:space="preserve"> </w:t>
      </w:r>
      <w:r w:rsidRPr="00ED4794">
        <w:rPr>
          <w:rFonts w:ascii="Calibri" w:hAnsi="Calibri"/>
        </w:rPr>
        <w:t>are those reported by IPCC (2006).</w:t>
      </w:r>
      <w:r w:rsidR="00786332">
        <w:rPr>
          <w:rFonts w:ascii="Calibri" w:hAnsi="Calibri"/>
        </w:rPr>
        <w:t xml:space="preserve"> In the 2020 NGHGI, combustion factors are defined by MTBS burn severity category.</w:t>
      </w:r>
      <w:r w:rsidRPr="00ED4794">
        <w:rPr>
          <w:rFonts w:ascii="Calibri" w:hAnsi="Calibri"/>
        </w:rPr>
        <w:t xml:space="preserve"> No uncer</w:t>
      </w:r>
      <w:r>
        <w:rPr>
          <w:rFonts w:ascii="Calibri" w:hAnsi="Calibri"/>
        </w:rPr>
        <w:t>tainty is assigned to GWPs.</w:t>
      </w:r>
    </w:p>
    <w:p w14:paraId="4F80B83F" w14:textId="40794105" w:rsidR="00ED4794" w:rsidRPr="00195F4D" w:rsidRDefault="00ED4794" w:rsidP="00235061">
      <w:pPr>
        <w:pStyle w:val="Heading2"/>
        <w:numPr>
          <w:ilvl w:val="0"/>
          <w:numId w:val="0"/>
        </w:numPr>
        <w:ind w:left="576" w:hanging="576"/>
        <w:rPr>
          <w:b/>
        </w:rPr>
      </w:pPr>
      <w:r w:rsidRPr="00195F4D">
        <w:rPr>
          <w:rStyle w:val="Strong"/>
          <w:b w:val="0"/>
        </w:rPr>
        <w:lastRenderedPageBreak/>
        <w:t>Project Methods</w:t>
      </w:r>
    </w:p>
    <w:p w14:paraId="0B0EE974" w14:textId="2D0FDAEE" w:rsidR="00235061" w:rsidRDefault="00235061" w:rsidP="00235061">
      <w:r w:rsidRPr="00ED4794">
        <w:t>We use Monte Carlo iterations (</w:t>
      </w:r>
      <w:r w:rsidRPr="009F30A9">
        <w:t>n=1</w:t>
      </w:r>
      <w:r w:rsidRPr="00DF1057">
        <w:t>,000,000</w:t>
      </w:r>
      <w:r w:rsidRPr="00ED4794">
        <w:t>) to separately quantify the 95% confidence intervals for CH</w:t>
      </w:r>
      <w:r w:rsidRPr="00ED4794">
        <w:rPr>
          <w:vertAlign w:val="subscript"/>
        </w:rPr>
        <w:t>4</w:t>
      </w:r>
      <w:r w:rsidRPr="00ED4794">
        <w:t xml:space="preserve"> and N</w:t>
      </w:r>
      <w:r w:rsidRPr="00ED4794">
        <w:rPr>
          <w:vertAlign w:val="subscript"/>
        </w:rPr>
        <w:t>2</w:t>
      </w:r>
      <w:r w:rsidRPr="00ED4794">
        <w:t xml:space="preserve">O emissions from forest fires. We apply the same underlying computational framework as is applied in the NGHGI </w:t>
      </w:r>
      <w:r w:rsidR="002327E8">
        <w:t>(2018)</w:t>
      </w:r>
      <w:r w:rsidRPr="00ED4794">
        <w:t xml:space="preserve">, but additionally quantify the percent contribution to uncertainty from several uncertain </w:t>
      </w:r>
      <w:r w:rsidR="00786332">
        <w:t>inputs</w:t>
      </w:r>
      <w:r w:rsidRPr="00ED4794">
        <w:t xml:space="preserve">. </w:t>
      </w:r>
      <w:r w:rsidRPr="00ED4794">
        <w:rPr>
          <w:rFonts w:ascii="Calibri" w:hAnsi="Calibri"/>
        </w:rPr>
        <w:t xml:space="preserve">The Monte Carlo analysis was performed </w:t>
      </w:r>
      <w:r w:rsidR="00786332">
        <w:rPr>
          <w:rFonts w:ascii="Calibri" w:hAnsi="Calibri"/>
        </w:rPr>
        <w:t xml:space="preserve">with </w:t>
      </w:r>
      <w:r w:rsidRPr="00ED4794">
        <w:rPr>
          <w:rFonts w:ascii="Calibri" w:hAnsi="Calibri"/>
        </w:rPr>
        <w:t xml:space="preserve">the R programming language (R Core Team, 2018) </w:t>
      </w:r>
      <w:r w:rsidR="00786332">
        <w:rPr>
          <w:rFonts w:ascii="Calibri" w:hAnsi="Calibri"/>
        </w:rPr>
        <w:t xml:space="preserve">using </w:t>
      </w:r>
      <w:r w:rsidRPr="00ED4794">
        <w:rPr>
          <w:rFonts w:ascii="Calibri" w:hAnsi="Calibri"/>
        </w:rPr>
        <w:t xml:space="preserve">the “truncnorm” package (Mersmann et al., 2018). </w:t>
      </w:r>
      <w:r w:rsidRPr="00ED4794">
        <w:t xml:space="preserve">The input parameters for the Monte Carlo analysis are summarized in </w:t>
      </w:r>
      <w:r w:rsidR="00786332">
        <w:t xml:space="preserve">Table </w:t>
      </w:r>
      <w:r w:rsidR="005E4D1E">
        <w:t>2</w:t>
      </w:r>
      <w:r w:rsidR="00786332">
        <w:t>-8</w:t>
      </w:r>
      <w:r w:rsidRPr="00ED4794">
        <w:t>.</w:t>
      </w:r>
      <w:r w:rsidRPr="00ED4794">
        <w:rPr>
          <w:rFonts w:ascii="Calibri" w:hAnsi="Calibri"/>
        </w:rPr>
        <w:t xml:space="preserve"> </w:t>
      </w:r>
      <w:r w:rsidRPr="00ED4794">
        <w:t>We focus our calculation on year 2014 since this is the most recent year for which burned area estimates were made available to us.</w:t>
      </w:r>
      <w:r>
        <w:t xml:space="preserve"> </w:t>
      </w:r>
      <w:r>
        <w:rPr>
          <w:rFonts w:ascii="Calibri" w:hAnsi="Calibri"/>
        </w:rPr>
        <w:t xml:space="preserve">We apply the same percentage uncertainty for the burned area as is suggested by the </w:t>
      </w:r>
      <w:r w:rsidR="00786332">
        <w:rPr>
          <w:rFonts w:ascii="Calibri" w:hAnsi="Calibri"/>
        </w:rPr>
        <w:t xml:space="preserve">2018 </w:t>
      </w:r>
      <w:r>
        <w:rPr>
          <w:rFonts w:ascii="Calibri" w:hAnsi="Calibri"/>
        </w:rPr>
        <w:t xml:space="preserve">NGHGI (i.e., standard </w:t>
      </w:r>
      <w:r w:rsidR="004C0B7C">
        <w:rPr>
          <w:rFonts w:ascii="Calibri" w:hAnsi="Calibri"/>
        </w:rPr>
        <w:t xml:space="preserve">error </w:t>
      </w:r>
      <w:r>
        <w:rPr>
          <w:rFonts w:ascii="Calibri" w:hAnsi="Calibri"/>
        </w:rPr>
        <w:t xml:space="preserve">is 4% of the </w:t>
      </w:r>
      <w:r w:rsidR="004C0B7C">
        <w:rPr>
          <w:rFonts w:ascii="Calibri" w:hAnsi="Calibri"/>
        </w:rPr>
        <w:t>point estimate</w:t>
      </w:r>
      <w:r>
        <w:rPr>
          <w:rFonts w:ascii="Calibri" w:hAnsi="Calibri"/>
        </w:rPr>
        <w:t>).</w:t>
      </w:r>
      <w:r>
        <w:t xml:space="preserve"> </w:t>
      </w:r>
      <w:r w:rsidRPr="00ED4794">
        <w:t>Because the NGHGI does not report state-level burned area and fuel availabilities for the conterminous United States, we quantify emissions using total burned area and the mean fuel availability for the conterminous United States.</w:t>
      </w:r>
    </w:p>
    <w:p w14:paraId="561EB931" w14:textId="7BA74698" w:rsidR="00235061" w:rsidRDefault="00235061" w:rsidP="00235061">
      <w:pPr>
        <w:rPr>
          <w:rFonts w:ascii="Calibri" w:hAnsi="Calibri"/>
        </w:rPr>
      </w:pPr>
      <w:r>
        <w:rPr>
          <w:rFonts w:ascii="Calibri" w:hAnsi="Calibri"/>
        </w:rPr>
        <w:t xml:space="preserve">We follow the </w:t>
      </w:r>
      <w:r w:rsidRPr="00ED4794">
        <w:rPr>
          <w:rFonts w:ascii="Calibri" w:hAnsi="Calibri"/>
        </w:rPr>
        <w:t>contribution index analysis</w:t>
      </w:r>
      <w:r>
        <w:rPr>
          <w:rFonts w:ascii="Calibri" w:hAnsi="Calibri"/>
        </w:rPr>
        <w:t xml:space="preserve"> </w:t>
      </w:r>
      <w:r w:rsidR="001B5A68">
        <w:rPr>
          <w:rFonts w:ascii="Calibri" w:hAnsi="Calibri"/>
        </w:rPr>
        <w:t>(Ogle et al. 2003)</w:t>
      </w:r>
      <w:r>
        <w:rPr>
          <w:rFonts w:ascii="Calibri" w:hAnsi="Calibri"/>
        </w:rPr>
        <w:t xml:space="preserve">, with 1,000,000 Monte Carlo iterations for each element of uncertainty. </w:t>
      </w:r>
      <w:r w:rsidRPr="00ED4794">
        <w:rPr>
          <w:rFonts w:ascii="Calibri" w:hAnsi="Calibri"/>
        </w:rPr>
        <w:t>For non-CO</w:t>
      </w:r>
      <w:r w:rsidRPr="00ED4794">
        <w:rPr>
          <w:rFonts w:ascii="Calibri" w:hAnsi="Calibri"/>
          <w:vertAlign w:val="subscript"/>
        </w:rPr>
        <w:t>2</w:t>
      </w:r>
      <w:r w:rsidRPr="00ED4794">
        <w:rPr>
          <w:rFonts w:ascii="Calibri" w:hAnsi="Calibri"/>
        </w:rPr>
        <w:t xml:space="preserve"> emissions from forest fires, we quantify the relative contribution to uncertainty from five </w:t>
      </w:r>
      <w:r w:rsidR="00786332">
        <w:rPr>
          <w:rFonts w:ascii="Calibri" w:hAnsi="Calibri"/>
        </w:rPr>
        <w:t>input</w:t>
      </w:r>
      <w:r w:rsidR="00786332" w:rsidRPr="00ED4794">
        <w:rPr>
          <w:rFonts w:ascii="Calibri" w:hAnsi="Calibri"/>
        </w:rPr>
        <w:t xml:space="preserve"> </w:t>
      </w:r>
      <w:r w:rsidRPr="00ED4794">
        <w:rPr>
          <w:rFonts w:ascii="Calibri" w:hAnsi="Calibri"/>
        </w:rPr>
        <w:t>groups: (1) burned area; (2) fuel availability for the conterminous United States; (3) combustion factor for the conterminous United States; (4) combined fuel availability–combustion factor for Alaska; and (5) emission factor.</w:t>
      </w:r>
      <w:r>
        <w:rPr>
          <w:rFonts w:ascii="Calibri" w:hAnsi="Calibri"/>
        </w:rPr>
        <w:t xml:space="preserve"> We assume independence for all </w:t>
      </w:r>
      <w:r w:rsidR="00786332">
        <w:rPr>
          <w:rFonts w:ascii="Calibri" w:hAnsi="Calibri"/>
        </w:rPr>
        <w:t>inputs</w:t>
      </w:r>
      <w:r>
        <w:rPr>
          <w:rFonts w:ascii="Calibri" w:hAnsi="Calibri"/>
        </w:rPr>
        <w:t>.</w:t>
      </w:r>
    </w:p>
    <w:p w14:paraId="00225CFD" w14:textId="544EA31E" w:rsidR="00235061" w:rsidRPr="007F1C52" w:rsidRDefault="00235061" w:rsidP="00235061">
      <w:pPr>
        <w:pStyle w:val="Caption"/>
        <w:keepNext/>
        <w:rPr>
          <w:b/>
          <w:sz w:val="22"/>
          <w:szCs w:val="22"/>
        </w:rPr>
      </w:pPr>
      <w:r w:rsidRPr="007F1C52">
        <w:rPr>
          <w:b/>
          <w:sz w:val="22"/>
          <w:szCs w:val="22"/>
        </w:rPr>
        <w:t xml:space="preserve">Table </w:t>
      </w:r>
      <w:r w:rsidR="005E4D1E">
        <w:rPr>
          <w:b/>
          <w:sz w:val="22"/>
          <w:szCs w:val="22"/>
        </w:rPr>
        <w:t>2</w:t>
      </w:r>
      <w:r w:rsidR="000558C0">
        <w:rPr>
          <w:b/>
          <w:sz w:val="22"/>
          <w:szCs w:val="22"/>
        </w:rPr>
        <w:t>-8</w:t>
      </w:r>
      <w:r w:rsidRPr="007F1C52">
        <w:rPr>
          <w:b/>
          <w:sz w:val="22"/>
          <w:szCs w:val="22"/>
        </w:rPr>
        <w:t>: Input</w:t>
      </w:r>
      <w:r w:rsidR="00786332">
        <w:rPr>
          <w:b/>
          <w:sz w:val="22"/>
          <w:szCs w:val="22"/>
        </w:rPr>
        <w:t>s</w:t>
      </w:r>
      <w:r w:rsidRPr="007F1C52">
        <w:rPr>
          <w:b/>
          <w:sz w:val="22"/>
          <w:szCs w:val="22"/>
        </w:rPr>
        <w:t xml:space="preserve"> for non-CO</w:t>
      </w:r>
      <w:r w:rsidRPr="007F1C52">
        <w:rPr>
          <w:b/>
          <w:sz w:val="22"/>
          <w:szCs w:val="22"/>
          <w:vertAlign w:val="subscript"/>
        </w:rPr>
        <w:t>2</w:t>
      </w:r>
      <w:r w:rsidRPr="007F1C52">
        <w:rPr>
          <w:b/>
          <w:sz w:val="22"/>
          <w:szCs w:val="22"/>
        </w:rPr>
        <w:t xml:space="preserve"> emissions from forest fires</w:t>
      </w:r>
    </w:p>
    <w:tbl>
      <w:tblPr>
        <w:tblStyle w:val="TableGrid"/>
        <w:tblW w:w="9360" w:type="dxa"/>
        <w:tblLook w:val="04A0" w:firstRow="1" w:lastRow="0" w:firstColumn="1" w:lastColumn="0" w:noHBand="0" w:noVBand="1"/>
      </w:tblPr>
      <w:tblGrid>
        <w:gridCol w:w="3168"/>
        <w:gridCol w:w="2064"/>
        <w:gridCol w:w="2064"/>
        <w:gridCol w:w="2064"/>
      </w:tblGrid>
      <w:tr w:rsidR="00235061" w:rsidRPr="00ED4794" w14:paraId="7E785473" w14:textId="77777777" w:rsidTr="00674237">
        <w:trPr>
          <w:tblHeader/>
        </w:trPr>
        <w:tc>
          <w:tcPr>
            <w:tcW w:w="3168" w:type="dxa"/>
            <w:shd w:val="clear" w:color="auto" w:fill="FFC000"/>
            <w:vAlign w:val="center"/>
          </w:tcPr>
          <w:p w14:paraId="4155FF6C" w14:textId="77777777" w:rsidR="00235061" w:rsidRPr="00BA185F" w:rsidRDefault="00235061" w:rsidP="00674237">
            <w:pPr>
              <w:spacing w:line="276" w:lineRule="auto"/>
              <w:jc w:val="center"/>
              <w:rPr>
                <w:rFonts w:ascii="Calibri" w:hAnsi="Calibri"/>
                <w:b/>
                <w:sz w:val="18"/>
                <w:szCs w:val="18"/>
              </w:rPr>
            </w:pPr>
            <w:r w:rsidRPr="00BA185F">
              <w:rPr>
                <w:rFonts w:ascii="Calibri" w:hAnsi="Calibri"/>
                <w:b/>
                <w:sz w:val="18"/>
                <w:szCs w:val="18"/>
              </w:rPr>
              <w:t>Parameter</w:t>
            </w:r>
          </w:p>
        </w:tc>
        <w:tc>
          <w:tcPr>
            <w:tcW w:w="2064" w:type="dxa"/>
            <w:shd w:val="clear" w:color="auto" w:fill="FFC000"/>
            <w:vAlign w:val="center"/>
          </w:tcPr>
          <w:p w14:paraId="1B349DD7" w14:textId="77777777" w:rsidR="00235061" w:rsidRPr="00BA185F" w:rsidRDefault="00235061" w:rsidP="00674237">
            <w:pPr>
              <w:spacing w:line="276" w:lineRule="auto"/>
              <w:jc w:val="center"/>
              <w:rPr>
                <w:rFonts w:ascii="Calibri" w:hAnsi="Calibri"/>
                <w:b/>
                <w:sz w:val="18"/>
                <w:szCs w:val="18"/>
              </w:rPr>
            </w:pPr>
            <w:r w:rsidRPr="00BA185F">
              <w:rPr>
                <w:rFonts w:ascii="Calibri" w:hAnsi="Calibri"/>
                <w:b/>
                <w:sz w:val="18"/>
                <w:szCs w:val="18"/>
              </w:rPr>
              <w:t>Mean</w:t>
            </w:r>
          </w:p>
        </w:tc>
        <w:tc>
          <w:tcPr>
            <w:tcW w:w="2064" w:type="dxa"/>
            <w:shd w:val="clear" w:color="auto" w:fill="FFC000"/>
            <w:vAlign w:val="center"/>
          </w:tcPr>
          <w:p w14:paraId="4C980D88" w14:textId="78D6D633" w:rsidR="00235061" w:rsidRPr="00BA185F" w:rsidRDefault="00235061">
            <w:pPr>
              <w:spacing w:line="276" w:lineRule="auto"/>
              <w:jc w:val="center"/>
              <w:rPr>
                <w:rFonts w:ascii="Calibri" w:hAnsi="Calibri"/>
                <w:b/>
                <w:sz w:val="18"/>
                <w:szCs w:val="18"/>
              </w:rPr>
            </w:pPr>
            <w:r w:rsidRPr="00BA185F">
              <w:rPr>
                <w:rFonts w:ascii="Calibri" w:hAnsi="Calibri"/>
                <w:b/>
                <w:sz w:val="18"/>
                <w:szCs w:val="18"/>
              </w:rPr>
              <w:t xml:space="preserve">Standard </w:t>
            </w:r>
            <w:r w:rsidR="004C0B7C">
              <w:rPr>
                <w:rFonts w:ascii="Calibri" w:hAnsi="Calibri"/>
                <w:b/>
                <w:sz w:val="18"/>
                <w:szCs w:val="18"/>
              </w:rPr>
              <w:t>error</w:t>
            </w:r>
          </w:p>
        </w:tc>
        <w:tc>
          <w:tcPr>
            <w:tcW w:w="2064" w:type="dxa"/>
            <w:shd w:val="clear" w:color="auto" w:fill="FFC000"/>
            <w:vAlign w:val="center"/>
          </w:tcPr>
          <w:p w14:paraId="004BFEBD" w14:textId="77777777" w:rsidR="00235061" w:rsidRPr="00BA185F" w:rsidRDefault="00235061" w:rsidP="00674237">
            <w:pPr>
              <w:spacing w:line="276" w:lineRule="auto"/>
              <w:jc w:val="center"/>
              <w:rPr>
                <w:rFonts w:ascii="Calibri" w:hAnsi="Calibri"/>
                <w:b/>
                <w:sz w:val="18"/>
                <w:szCs w:val="18"/>
              </w:rPr>
            </w:pPr>
            <w:r w:rsidRPr="00BA185F">
              <w:rPr>
                <w:rFonts w:ascii="Calibri" w:hAnsi="Calibri"/>
                <w:b/>
                <w:sz w:val="18"/>
                <w:szCs w:val="18"/>
              </w:rPr>
              <w:t>Probability distribution</w:t>
            </w:r>
          </w:p>
        </w:tc>
      </w:tr>
      <w:tr w:rsidR="00235061" w:rsidRPr="00ED4794" w14:paraId="4E4D9F28" w14:textId="77777777" w:rsidTr="00674237">
        <w:trPr>
          <w:tblHeader/>
        </w:trPr>
        <w:tc>
          <w:tcPr>
            <w:tcW w:w="3168" w:type="dxa"/>
          </w:tcPr>
          <w:p w14:paraId="694CBE08" w14:textId="77777777" w:rsidR="00235061" w:rsidRPr="00BA185F" w:rsidRDefault="00235061" w:rsidP="001713A8">
            <w:pPr>
              <w:spacing w:line="276" w:lineRule="auto"/>
              <w:rPr>
                <w:rFonts w:ascii="Calibri" w:hAnsi="Calibri"/>
                <w:b/>
                <w:sz w:val="18"/>
                <w:szCs w:val="18"/>
              </w:rPr>
            </w:pPr>
            <w:r w:rsidRPr="00BA185F">
              <w:rPr>
                <w:rFonts w:ascii="Calibri" w:hAnsi="Calibri"/>
                <w:b/>
                <w:sz w:val="18"/>
                <w:szCs w:val="18"/>
              </w:rPr>
              <w:t>CONUS total wildfire burned area</w:t>
            </w:r>
          </w:p>
        </w:tc>
        <w:tc>
          <w:tcPr>
            <w:tcW w:w="2064" w:type="dxa"/>
            <w:vAlign w:val="center"/>
          </w:tcPr>
          <w:p w14:paraId="402323AE"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 xml:space="preserve">679,000 ha </w:t>
            </w:r>
            <w:r w:rsidRPr="00BA185F">
              <w:rPr>
                <w:rFonts w:ascii="Calibri" w:hAnsi="Calibri"/>
                <w:sz w:val="18"/>
                <w:szCs w:val="18"/>
                <w:vertAlign w:val="superscript"/>
              </w:rPr>
              <w:t>a</w:t>
            </w:r>
          </w:p>
        </w:tc>
        <w:tc>
          <w:tcPr>
            <w:tcW w:w="2064" w:type="dxa"/>
            <w:vAlign w:val="center"/>
          </w:tcPr>
          <w:p w14:paraId="1F1C9DD5"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 xml:space="preserve">27,160 ha </w:t>
            </w:r>
            <w:r w:rsidRPr="00BA185F">
              <w:rPr>
                <w:rFonts w:ascii="Calibri" w:hAnsi="Calibri"/>
                <w:sz w:val="18"/>
                <w:szCs w:val="18"/>
                <w:vertAlign w:val="superscript"/>
              </w:rPr>
              <w:t>b</w:t>
            </w:r>
          </w:p>
        </w:tc>
        <w:tc>
          <w:tcPr>
            <w:tcW w:w="2064" w:type="dxa"/>
            <w:vAlign w:val="center"/>
          </w:tcPr>
          <w:p w14:paraId="27DFC321"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Normal</w:t>
            </w:r>
          </w:p>
        </w:tc>
      </w:tr>
      <w:tr w:rsidR="00235061" w:rsidRPr="00ED4794" w14:paraId="035494DC" w14:textId="77777777" w:rsidTr="00674237">
        <w:trPr>
          <w:tblHeader/>
        </w:trPr>
        <w:tc>
          <w:tcPr>
            <w:tcW w:w="3168" w:type="dxa"/>
          </w:tcPr>
          <w:p w14:paraId="12DF9707" w14:textId="77777777" w:rsidR="00235061" w:rsidRPr="00BA185F" w:rsidRDefault="00235061" w:rsidP="001713A8">
            <w:pPr>
              <w:spacing w:line="276" w:lineRule="auto"/>
              <w:rPr>
                <w:rFonts w:ascii="Calibri" w:hAnsi="Calibri"/>
                <w:b/>
                <w:sz w:val="18"/>
                <w:szCs w:val="18"/>
              </w:rPr>
            </w:pPr>
            <w:r w:rsidRPr="00BA185F">
              <w:rPr>
                <w:rFonts w:ascii="Calibri" w:hAnsi="Calibri"/>
                <w:b/>
                <w:sz w:val="18"/>
                <w:szCs w:val="18"/>
              </w:rPr>
              <w:t>CONUS total prescribed fire burned area</w:t>
            </w:r>
          </w:p>
        </w:tc>
        <w:tc>
          <w:tcPr>
            <w:tcW w:w="2064" w:type="dxa"/>
            <w:vAlign w:val="center"/>
          </w:tcPr>
          <w:p w14:paraId="26B1A4B0"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 xml:space="preserve">10,650 ha </w:t>
            </w:r>
            <w:r w:rsidRPr="00BA185F">
              <w:rPr>
                <w:rFonts w:ascii="Calibri" w:hAnsi="Calibri"/>
                <w:sz w:val="18"/>
                <w:szCs w:val="18"/>
                <w:vertAlign w:val="superscript"/>
              </w:rPr>
              <w:t>c</w:t>
            </w:r>
          </w:p>
        </w:tc>
        <w:tc>
          <w:tcPr>
            <w:tcW w:w="2064" w:type="dxa"/>
            <w:vAlign w:val="center"/>
          </w:tcPr>
          <w:p w14:paraId="0807AFCF"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 xml:space="preserve">426 ha </w:t>
            </w:r>
            <w:r w:rsidRPr="00BA185F">
              <w:rPr>
                <w:rFonts w:ascii="Calibri" w:hAnsi="Calibri"/>
                <w:sz w:val="18"/>
                <w:szCs w:val="18"/>
                <w:vertAlign w:val="superscript"/>
              </w:rPr>
              <w:t>b</w:t>
            </w:r>
          </w:p>
        </w:tc>
        <w:tc>
          <w:tcPr>
            <w:tcW w:w="2064" w:type="dxa"/>
            <w:vAlign w:val="center"/>
          </w:tcPr>
          <w:p w14:paraId="29F050B2"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Normal</w:t>
            </w:r>
          </w:p>
        </w:tc>
      </w:tr>
      <w:tr w:rsidR="00235061" w:rsidRPr="00ED4794" w14:paraId="238742ED" w14:textId="77777777" w:rsidTr="00674237">
        <w:trPr>
          <w:tblHeader/>
        </w:trPr>
        <w:tc>
          <w:tcPr>
            <w:tcW w:w="3168" w:type="dxa"/>
          </w:tcPr>
          <w:p w14:paraId="5EDF6761" w14:textId="77777777" w:rsidR="00235061" w:rsidRPr="00BA185F" w:rsidRDefault="00235061" w:rsidP="001713A8">
            <w:pPr>
              <w:spacing w:line="276" w:lineRule="auto"/>
              <w:rPr>
                <w:rFonts w:ascii="Calibri" w:hAnsi="Calibri"/>
                <w:b/>
                <w:sz w:val="18"/>
                <w:szCs w:val="18"/>
              </w:rPr>
            </w:pPr>
            <w:r w:rsidRPr="00BA185F">
              <w:rPr>
                <w:rFonts w:ascii="Calibri" w:hAnsi="Calibri"/>
                <w:b/>
                <w:sz w:val="18"/>
                <w:szCs w:val="18"/>
              </w:rPr>
              <w:t>Alaska total burned area</w:t>
            </w:r>
          </w:p>
        </w:tc>
        <w:tc>
          <w:tcPr>
            <w:tcW w:w="2064" w:type="dxa"/>
            <w:vAlign w:val="center"/>
          </w:tcPr>
          <w:p w14:paraId="3B8DDB91"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 xml:space="preserve">346,850 ha </w:t>
            </w:r>
            <w:r w:rsidRPr="00BA185F">
              <w:rPr>
                <w:rFonts w:ascii="Calibri" w:hAnsi="Calibri"/>
                <w:sz w:val="18"/>
                <w:szCs w:val="18"/>
                <w:vertAlign w:val="superscript"/>
              </w:rPr>
              <w:t>d</w:t>
            </w:r>
          </w:p>
        </w:tc>
        <w:tc>
          <w:tcPr>
            <w:tcW w:w="2064" w:type="dxa"/>
            <w:vAlign w:val="center"/>
          </w:tcPr>
          <w:p w14:paraId="4C2D26A9"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 xml:space="preserve">13,874 ha </w:t>
            </w:r>
            <w:r w:rsidRPr="00BA185F">
              <w:rPr>
                <w:rFonts w:ascii="Calibri" w:hAnsi="Calibri"/>
                <w:sz w:val="18"/>
                <w:szCs w:val="18"/>
                <w:vertAlign w:val="superscript"/>
              </w:rPr>
              <w:t>b</w:t>
            </w:r>
          </w:p>
        </w:tc>
        <w:tc>
          <w:tcPr>
            <w:tcW w:w="2064" w:type="dxa"/>
            <w:vAlign w:val="center"/>
          </w:tcPr>
          <w:p w14:paraId="7B310B31"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Normal</w:t>
            </w:r>
          </w:p>
        </w:tc>
      </w:tr>
      <w:tr w:rsidR="00235061" w:rsidRPr="00ED4794" w14:paraId="44CD0960" w14:textId="77777777" w:rsidTr="00674237">
        <w:trPr>
          <w:tblHeader/>
        </w:trPr>
        <w:tc>
          <w:tcPr>
            <w:tcW w:w="3168" w:type="dxa"/>
          </w:tcPr>
          <w:p w14:paraId="171F35C6" w14:textId="77777777" w:rsidR="00235061" w:rsidRPr="00BA185F" w:rsidRDefault="00235061" w:rsidP="001713A8">
            <w:pPr>
              <w:spacing w:line="276" w:lineRule="auto"/>
              <w:rPr>
                <w:rFonts w:ascii="Calibri" w:hAnsi="Calibri"/>
                <w:b/>
                <w:sz w:val="18"/>
                <w:szCs w:val="18"/>
              </w:rPr>
            </w:pPr>
            <w:r w:rsidRPr="00BA185F">
              <w:rPr>
                <w:rFonts w:ascii="Calibri" w:hAnsi="Calibri"/>
                <w:b/>
                <w:sz w:val="18"/>
                <w:szCs w:val="18"/>
              </w:rPr>
              <w:t>CONUS wildfire fuel availability</w:t>
            </w:r>
          </w:p>
        </w:tc>
        <w:tc>
          <w:tcPr>
            <w:tcW w:w="2064" w:type="dxa"/>
            <w:vAlign w:val="center"/>
          </w:tcPr>
          <w:p w14:paraId="235E9ED6"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149 metric tons dry matter available ha</w:t>
            </w:r>
            <w:r w:rsidRPr="00BA185F">
              <w:rPr>
                <w:rFonts w:ascii="Calibri" w:hAnsi="Calibri"/>
                <w:sz w:val="18"/>
                <w:szCs w:val="18"/>
                <w:vertAlign w:val="superscript"/>
              </w:rPr>
              <w:t>-1</w:t>
            </w:r>
            <w:r w:rsidRPr="00BA185F">
              <w:rPr>
                <w:rFonts w:ascii="Calibri" w:hAnsi="Calibri"/>
                <w:sz w:val="18"/>
                <w:szCs w:val="18"/>
              </w:rPr>
              <w:t xml:space="preserve"> </w:t>
            </w:r>
            <w:r w:rsidRPr="00BA185F">
              <w:rPr>
                <w:rFonts w:ascii="Calibri" w:hAnsi="Calibri"/>
                <w:sz w:val="18"/>
                <w:szCs w:val="18"/>
                <w:vertAlign w:val="superscript"/>
              </w:rPr>
              <w:t>e</w:t>
            </w:r>
          </w:p>
        </w:tc>
        <w:tc>
          <w:tcPr>
            <w:tcW w:w="2064" w:type="dxa"/>
            <w:vAlign w:val="center"/>
          </w:tcPr>
          <w:p w14:paraId="00002A2C"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159 metric tons dry matter available ha</w:t>
            </w:r>
            <w:r w:rsidRPr="00BA185F">
              <w:rPr>
                <w:rFonts w:ascii="Calibri" w:hAnsi="Calibri"/>
                <w:sz w:val="18"/>
                <w:szCs w:val="18"/>
                <w:vertAlign w:val="superscript"/>
              </w:rPr>
              <w:t>-1</w:t>
            </w:r>
            <w:r w:rsidRPr="00BA185F">
              <w:rPr>
                <w:rFonts w:ascii="Calibri" w:hAnsi="Calibri"/>
                <w:sz w:val="18"/>
                <w:szCs w:val="18"/>
              </w:rPr>
              <w:t xml:space="preserve"> </w:t>
            </w:r>
            <w:r w:rsidRPr="00BA185F">
              <w:rPr>
                <w:rFonts w:ascii="Calibri" w:hAnsi="Calibri"/>
                <w:sz w:val="18"/>
                <w:szCs w:val="18"/>
                <w:vertAlign w:val="superscript"/>
              </w:rPr>
              <w:t>f</w:t>
            </w:r>
          </w:p>
        </w:tc>
        <w:tc>
          <w:tcPr>
            <w:tcW w:w="2064" w:type="dxa"/>
            <w:vAlign w:val="center"/>
          </w:tcPr>
          <w:p w14:paraId="215E96D4"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Lognormal</w:t>
            </w:r>
          </w:p>
        </w:tc>
      </w:tr>
      <w:tr w:rsidR="00235061" w:rsidRPr="00ED4794" w14:paraId="240957F9" w14:textId="77777777" w:rsidTr="00674237">
        <w:trPr>
          <w:tblHeader/>
        </w:trPr>
        <w:tc>
          <w:tcPr>
            <w:tcW w:w="3168" w:type="dxa"/>
          </w:tcPr>
          <w:p w14:paraId="08ED7EA5" w14:textId="77777777" w:rsidR="00235061" w:rsidRPr="00BA185F" w:rsidRDefault="00235061" w:rsidP="001713A8">
            <w:pPr>
              <w:spacing w:line="276" w:lineRule="auto"/>
              <w:rPr>
                <w:rFonts w:ascii="Calibri" w:hAnsi="Calibri"/>
                <w:b/>
                <w:sz w:val="18"/>
                <w:szCs w:val="18"/>
              </w:rPr>
            </w:pPr>
            <w:r w:rsidRPr="00BA185F">
              <w:rPr>
                <w:rFonts w:ascii="Calibri" w:hAnsi="Calibri"/>
                <w:b/>
                <w:sz w:val="18"/>
                <w:szCs w:val="18"/>
              </w:rPr>
              <w:t>CONUS prescribed fire fuel availability</w:t>
            </w:r>
          </w:p>
        </w:tc>
        <w:tc>
          <w:tcPr>
            <w:tcW w:w="2064" w:type="dxa"/>
            <w:vAlign w:val="center"/>
          </w:tcPr>
          <w:p w14:paraId="1A204075"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36 metric tons dry matter available ha</w:t>
            </w:r>
            <w:r w:rsidRPr="00BA185F">
              <w:rPr>
                <w:rFonts w:ascii="Calibri" w:hAnsi="Calibri"/>
                <w:sz w:val="18"/>
                <w:szCs w:val="18"/>
                <w:vertAlign w:val="superscript"/>
              </w:rPr>
              <w:t>-1</w:t>
            </w:r>
            <w:r w:rsidRPr="00BA185F">
              <w:rPr>
                <w:rFonts w:ascii="Calibri" w:hAnsi="Calibri"/>
                <w:sz w:val="18"/>
                <w:szCs w:val="18"/>
              </w:rPr>
              <w:t xml:space="preserve"> </w:t>
            </w:r>
            <w:r w:rsidRPr="00BA185F">
              <w:rPr>
                <w:rFonts w:ascii="Calibri" w:hAnsi="Calibri"/>
                <w:sz w:val="18"/>
                <w:szCs w:val="18"/>
                <w:vertAlign w:val="superscript"/>
              </w:rPr>
              <w:t>e</w:t>
            </w:r>
          </w:p>
        </w:tc>
        <w:tc>
          <w:tcPr>
            <w:tcW w:w="2064" w:type="dxa"/>
            <w:vAlign w:val="center"/>
          </w:tcPr>
          <w:p w14:paraId="62558B0A"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24 metric tons dry matter available ha</w:t>
            </w:r>
            <w:r w:rsidRPr="00BA185F">
              <w:rPr>
                <w:rFonts w:ascii="Calibri" w:hAnsi="Calibri"/>
                <w:sz w:val="18"/>
                <w:szCs w:val="18"/>
                <w:vertAlign w:val="superscript"/>
              </w:rPr>
              <w:t>-1</w:t>
            </w:r>
            <w:r w:rsidRPr="00BA185F">
              <w:rPr>
                <w:rFonts w:ascii="Calibri" w:hAnsi="Calibri"/>
                <w:sz w:val="18"/>
                <w:szCs w:val="18"/>
              </w:rPr>
              <w:t xml:space="preserve"> </w:t>
            </w:r>
            <w:r w:rsidRPr="00BA185F">
              <w:rPr>
                <w:rFonts w:ascii="Calibri" w:hAnsi="Calibri"/>
                <w:sz w:val="18"/>
                <w:szCs w:val="18"/>
                <w:vertAlign w:val="superscript"/>
              </w:rPr>
              <w:t>f</w:t>
            </w:r>
          </w:p>
        </w:tc>
        <w:tc>
          <w:tcPr>
            <w:tcW w:w="2064" w:type="dxa"/>
            <w:vAlign w:val="center"/>
          </w:tcPr>
          <w:p w14:paraId="06C3E3DD"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Lognormal</w:t>
            </w:r>
          </w:p>
        </w:tc>
      </w:tr>
      <w:tr w:rsidR="00235061" w:rsidRPr="00ED4794" w14:paraId="6C049389" w14:textId="77777777" w:rsidTr="00674237">
        <w:trPr>
          <w:tblHeader/>
        </w:trPr>
        <w:tc>
          <w:tcPr>
            <w:tcW w:w="3168" w:type="dxa"/>
          </w:tcPr>
          <w:p w14:paraId="1580B843" w14:textId="77777777" w:rsidR="00235061" w:rsidRPr="00BA185F" w:rsidRDefault="00235061" w:rsidP="001713A8">
            <w:pPr>
              <w:spacing w:line="276" w:lineRule="auto"/>
              <w:rPr>
                <w:rFonts w:ascii="Calibri" w:hAnsi="Calibri"/>
                <w:b/>
                <w:sz w:val="18"/>
                <w:szCs w:val="18"/>
              </w:rPr>
            </w:pPr>
            <w:r w:rsidRPr="00BA185F">
              <w:rPr>
                <w:rFonts w:ascii="Calibri" w:hAnsi="Calibri"/>
                <w:b/>
                <w:sz w:val="18"/>
                <w:szCs w:val="18"/>
              </w:rPr>
              <w:t>CONUS combustion factor</w:t>
            </w:r>
          </w:p>
        </w:tc>
        <w:tc>
          <w:tcPr>
            <w:tcW w:w="2064" w:type="dxa"/>
            <w:vAlign w:val="center"/>
          </w:tcPr>
          <w:p w14:paraId="06299CCA"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 xml:space="preserve">0.45 </w:t>
            </w:r>
            <w:r w:rsidRPr="00BA185F">
              <w:rPr>
                <w:rFonts w:ascii="Calibri" w:hAnsi="Calibri"/>
                <w:sz w:val="18"/>
                <w:szCs w:val="18"/>
                <w:vertAlign w:val="superscript"/>
              </w:rPr>
              <w:t>g</w:t>
            </w:r>
          </w:p>
        </w:tc>
        <w:tc>
          <w:tcPr>
            <w:tcW w:w="2064" w:type="dxa"/>
            <w:vAlign w:val="center"/>
          </w:tcPr>
          <w:p w14:paraId="05709893"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 xml:space="preserve">0.16 </w:t>
            </w:r>
            <w:r w:rsidRPr="00BA185F">
              <w:rPr>
                <w:rFonts w:ascii="Calibri" w:hAnsi="Calibri"/>
                <w:sz w:val="18"/>
                <w:szCs w:val="18"/>
                <w:vertAlign w:val="superscript"/>
              </w:rPr>
              <w:t>g</w:t>
            </w:r>
          </w:p>
        </w:tc>
        <w:tc>
          <w:tcPr>
            <w:tcW w:w="2064" w:type="dxa"/>
            <w:vAlign w:val="center"/>
          </w:tcPr>
          <w:p w14:paraId="4B99F2CE"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Normal, truncated at zero</w:t>
            </w:r>
          </w:p>
        </w:tc>
      </w:tr>
      <w:tr w:rsidR="00235061" w:rsidRPr="00ED4794" w14:paraId="2302D011" w14:textId="77777777" w:rsidTr="00674237">
        <w:trPr>
          <w:tblHeader/>
        </w:trPr>
        <w:tc>
          <w:tcPr>
            <w:tcW w:w="3168" w:type="dxa"/>
          </w:tcPr>
          <w:p w14:paraId="069CF2A6" w14:textId="77777777" w:rsidR="00235061" w:rsidRPr="00BA185F" w:rsidRDefault="00235061" w:rsidP="001713A8">
            <w:pPr>
              <w:spacing w:line="276" w:lineRule="auto"/>
              <w:rPr>
                <w:rFonts w:ascii="Calibri" w:hAnsi="Calibri"/>
                <w:b/>
                <w:sz w:val="18"/>
                <w:szCs w:val="18"/>
              </w:rPr>
            </w:pPr>
            <w:r w:rsidRPr="00BA185F">
              <w:rPr>
                <w:rFonts w:ascii="Calibri" w:hAnsi="Calibri"/>
                <w:b/>
                <w:sz w:val="18"/>
                <w:szCs w:val="18"/>
              </w:rPr>
              <w:t>Alaska combined fuel availability–combustion factor</w:t>
            </w:r>
          </w:p>
        </w:tc>
        <w:tc>
          <w:tcPr>
            <w:tcW w:w="2064" w:type="dxa"/>
            <w:vAlign w:val="center"/>
          </w:tcPr>
          <w:p w14:paraId="4E1571CB"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41.0 metric tons dry matter consumed ha</w:t>
            </w:r>
            <w:r w:rsidRPr="00BA185F">
              <w:rPr>
                <w:rFonts w:ascii="Calibri" w:hAnsi="Calibri"/>
                <w:sz w:val="18"/>
                <w:szCs w:val="18"/>
                <w:vertAlign w:val="superscript"/>
              </w:rPr>
              <w:t>-1</w:t>
            </w:r>
            <w:r w:rsidRPr="00BA185F">
              <w:rPr>
                <w:rFonts w:ascii="Calibri" w:hAnsi="Calibri"/>
                <w:sz w:val="18"/>
                <w:szCs w:val="18"/>
              </w:rPr>
              <w:t xml:space="preserve"> </w:t>
            </w:r>
            <w:r w:rsidRPr="00BA185F">
              <w:rPr>
                <w:rFonts w:ascii="Calibri" w:hAnsi="Calibri"/>
                <w:sz w:val="18"/>
                <w:szCs w:val="18"/>
                <w:vertAlign w:val="superscript"/>
              </w:rPr>
              <w:t>g</w:t>
            </w:r>
          </w:p>
        </w:tc>
        <w:tc>
          <w:tcPr>
            <w:tcW w:w="2064" w:type="dxa"/>
            <w:vAlign w:val="center"/>
          </w:tcPr>
          <w:p w14:paraId="27BB4806"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 xml:space="preserve">36.5 </w:t>
            </w:r>
            <w:r w:rsidRPr="00BA185F">
              <w:rPr>
                <w:rFonts w:ascii="Calibri" w:hAnsi="Calibri"/>
                <w:sz w:val="18"/>
                <w:szCs w:val="18"/>
                <w:vertAlign w:val="superscript"/>
              </w:rPr>
              <w:t>g</w:t>
            </w:r>
          </w:p>
        </w:tc>
        <w:tc>
          <w:tcPr>
            <w:tcW w:w="2064" w:type="dxa"/>
            <w:vAlign w:val="center"/>
          </w:tcPr>
          <w:p w14:paraId="56C6C866"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Normal, truncated at zero</w:t>
            </w:r>
          </w:p>
        </w:tc>
      </w:tr>
      <w:tr w:rsidR="00235061" w:rsidRPr="00ED4794" w14:paraId="642ADF6C" w14:textId="77777777" w:rsidTr="00674237">
        <w:trPr>
          <w:tblHeader/>
        </w:trPr>
        <w:tc>
          <w:tcPr>
            <w:tcW w:w="3168" w:type="dxa"/>
          </w:tcPr>
          <w:p w14:paraId="3DF4DBF1" w14:textId="77777777" w:rsidR="00235061" w:rsidRPr="00BA185F" w:rsidRDefault="00235061" w:rsidP="001713A8">
            <w:pPr>
              <w:spacing w:line="276" w:lineRule="auto"/>
              <w:rPr>
                <w:rFonts w:ascii="Calibri" w:hAnsi="Calibri"/>
                <w:b/>
                <w:sz w:val="18"/>
                <w:szCs w:val="18"/>
              </w:rPr>
            </w:pPr>
            <w:r w:rsidRPr="00BA185F">
              <w:rPr>
                <w:rFonts w:ascii="Calibri" w:hAnsi="Calibri"/>
                <w:b/>
                <w:sz w:val="18"/>
                <w:szCs w:val="18"/>
              </w:rPr>
              <w:t>CH</w:t>
            </w:r>
            <w:r w:rsidRPr="00BA185F">
              <w:rPr>
                <w:rFonts w:ascii="Calibri" w:hAnsi="Calibri"/>
                <w:b/>
                <w:sz w:val="18"/>
                <w:szCs w:val="18"/>
                <w:vertAlign w:val="subscript"/>
              </w:rPr>
              <w:t>4</w:t>
            </w:r>
            <w:r w:rsidRPr="00BA185F">
              <w:rPr>
                <w:rFonts w:ascii="Calibri" w:hAnsi="Calibri"/>
                <w:b/>
                <w:sz w:val="18"/>
                <w:szCs w:val="18"/>
              </w:rPr>
              <w:t xml:space="preserve"> emission factor</w:t>
            </w:r>
          </w:p>
        </w:tc>
        <w:tc>
          <w:tcPr>
            <w:tcW w:w="2064" w:type="dxa"/>
            <w:vAlign w:val="center"/>
          </w:tcPr>
          <w:p w14:paraId="75A67621"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4.7 g CH</w:t>
            </w:r>
            <w:r w:rsidRPr="00BA185F">
              <w:rPr>
                <w:rFonts w:ascii="Calibri" w:hAnsi="Calibri"/>
                <w:sz w:val="18"/>
                <w:szCs w:val="18"/>
                <w:vertAlign w:val="subscript"/>
              </w:rPr>
              <w:t>4</w:t>
            </w:r>
            <w:r w:rsidRPr="00BA185F">
              <w:rPr>
                <w:rFonts w:ascii="Calibri" w:hAnsi="Calibri"/>
                <w:sz w:val="18"/>
                <w:szCs w:val="18"/>
              </w:rPr>
              <w:t xml:space="preserve"> emitted kg</w:t>
            </w:r>
            <w:r w:rsidRPr="00BA185F">
              <w:rPr>
                <w:rFonts w:ascii="Calibri" w:hAnsi="Calibri"/>
                <w:sz w:val="18"/>
                <w:szCs w:val="18"/>
                <w:vertAlign w:val="superscript"/>
              </w:rPr>
              <w:t>-1</w:t>
            </w:r>
            <w:r w:rsidRPr="00BA185F">
              <w:rPr>
                <w:rFonts w:ascii="Calibri" w:hAnsi="Calibri"/>
                <w:sz w:val="18"/>
                <w:szCs w:val="18"/>
              </w:rPr>
              <w:t xml:space="preserve"> [dry matter burned] </w:t>
            </w:r>
            <w:r w:rsidRPr="00BA185F">
              <w:rPr>
                <w:rFonts w:ascii="Calibri" w:hAnsi="Calibri"/>
                <w:sz w:val="18"/>
                <w:szCs w:val="18"/>
                <w:vertAlign w:val="superscript"/>
              </w:rPr>
              <w:t>g</w:t>
            </w:r>
          </w:p>
        </w:tc>
        <w:tc>
          <w:tcPr>
            <w:tcW w:w="2064" w:type="dxa"/>
            <w:vAlign w:val="center"/>
          </w:tcPr>
          <w:p w14:paraId="0E0EB811"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 xml:space="preserve">1.9 </w:t>
            </w:r>
            <w:r w:rsidRPr="00BA185F">
              <w:rPr>
                <w:rFonts w:ascii="Calibri" w:hAnsi="Calibri"/>
                <w:sz w:val="18"/>
                <w:szCs w:val="18"/>
                <w:vertAlign w:val="superscript"/>
              </w:rPr>
              <w:t>g</w:t>
            </w:r>
          </w:p>
        </w:tc>
        <w:tc>
          <w:tcPr>
            <w:tcW w:w="2064" w:type="dxa"/>
            <w:vAlign w:val="center"/>
          </w:tcPr>
          <w:p w14:paraId="65B82330"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Normal, truncated at zero</w:t>
            </w:r>
          </w:p>
        </w:tc>
      </w:tr>
      <w:tr w:rsidR="00235061" w:rsidRPr="00ED4794" w14:paraId="16467F37" w14:textId="77777777" w:rsidTr="00674237">
        <w:trPr>
          <w:tblHeader/>
        </w:trPr>
        <w:tc>
          <w:tcPr>
            <w:tcW w:w="3168" w:type="dxa"/>
          </w:tcPr>
          <w:p w14:paraId="5BCA1D28" w14:textId="77777777" w:rsidR="00235061" w:rsidRPr="00BA185F" w:rsidRDefault="00235061" w:rsidP="001713A8">
            <w:pPr>
              <w:spacing w:line="276" w:lineRule="auto"/>
              <w:rPr>
                <w:rFonts w:ascii="Calibri" w:hAnsi="Calibri"/>
                <w:b/>
                <w:sz w:val="18"/>
                <w:szCs w:val="18"/>
              </w:rPr>
            </w:pPr>
            <w:r w:rsidRPr="00BA185F">
              <w:rPr>
                <w:rFonts w:ascii="Calibri" w:hAnsi="Calibri"/>
                <w:b/>
                <w:sz w:val="18"/>
                <w:szCs w:val="18"/>
              </w:rPr>
              <w:t>N</w:t>
            </w:r>
            <w:r w:rsidRPr="00BA185F">
              <w:rPr>
                <w:rFonts w:ascii="Calibri" w:hAnsi="Calibri"/>
                <w:b/>
                <w:sz w:val="18"/>
                <w:szCs w:val="18"/>
                <w:vertAlign w:val="subscript"/>
              </w:rPr>
              <w:t>2</w:t>
            </w:r>
            <w:r w:rsidRPr="00BA185F">
              <w:rPr>
                <w:rFonts w:ascii="Calibri" w:hAnsi="Calibri"/>
                <w:b/>
                <w:sz w:val="18"/>
                <w:szCs w:val="18"/>
              </w:rPr>
              <w:t>O emission factor</w:t>
            </w:r>
          </w:p>
        </w:tc>
        <w:tc>
          <w:tcPr>
            <w:tcW w:w="2064" w:type="dxa"/>
            <w:vAlign w:val="center"/>
          </w:tcPr>
          <w:p w14:paraId="73CD6916"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0.26 g N</w:t>
            </w:r>
            <w:r w:rsidRPr="00BA185F">
              <w:rPr>
                <w:rFonts w:ascii="Calibri" w:hAnsi="Calibri"/>
                <w:sz w:val="18"/>
                <w:szCs w:val="18"/>
                <w:vertAlign w:val="subscript"/>
              </w:rPr>
              <w:t>2</w:t>
            </w:r>
            <w:r w:rsidRPr="00BA185F">
              <w:rPr>
                <w:rFonts w:ascii="Calibri" w:hAnsi="Calibri"/>
                <w:sz w:val="18"/>
                <w:szCs w:val="18"/>
              </w:rPr>
              <w:t>O emitted kg</w:t>
            </w:r>
            <w:r w:rsidRPr="00BA185F">
              <w:rPr>
                <w:rFonts w:ascii="Calibri" w:hAnsi="Calibri"/>
                <w:sz w:val="18"/>
                <w:szCs w:val="18"/>
                <w:vertAlign w:val="superscript"/>
              </w:rPr>
              <w:t>-1</w:t>
            </w:r>
            <w:r w:rsidRPr="00BA185F">
              <w:rPr>
                <w:rFonts w:ascii="Calibri" w:hAnsi="Calibri"/>
                <w:sz w:val="18"/>
                <w:szCs w:val="18"/>
              </w:rPr>
              <w:t xml:space="preserve"> [dry matter burned] </w:t>
            </w:r>
            <w:r w:rsidRPr="00BA185F">
              <w:rPr>
                <w:rFonts w:ascii="Calibri" w:hAnsi="Calibri"/>
                <w:sz w:val="18"/>
                <w:szCs w:val="18"/>
                <w:vertAlign w:val="superscript"/>
              </w:rPr>
              <w:t>g</w:t>
            </w:r>
          </w:p>
        </w:tc>
        <w:tc>
          <w:tcPr>
            <w:tcW w:w="2064" w:type="dxa"/>
            <w:vAlign w:val="center"/>
          </w:tcPr>
          <w:p w14:paraId="2A455DDD"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 xml:space="preserve">0.07 </w:t>
            </w:r>
            <w:r w:rsidRPr="00BA185F">
              <w:rPr>
                <w:rFonts w:ascii="Calibri" w:hAnsi="Calibri"/>
                <w:sz w:val="18"/>
                <w:szCs w:val="18"/>
                <w:vertAlign w:val="superscript"/>
              </w:rPr>
              <w:t>g</w:t>
            </w:r>
          </w:p>
        </w:tc>
        <w:tc>
          <w:tcPr>
            <w:tcW w:w="2064" w:type="dxa"/>
            <w:vAlign w:val="center"/>
          </w:tcPr>
          <w:p w14:paraId="422EBE47" w14:textId="77777777" w:rsidR="00235061" w:rsidRPr="00BA185F" w:rsidRDefault="00235061" w:rsidP="00674237">
            <w:pPr>
              <w:spacing w:line="276" w:lineRule="auto"/>
              <w:jc w:val="center"/>
              <w:rPr>
                <w:rFonts w:ascii="Calibri" w:hAnsi="Calibri"/>
                <w:sz w:val="18"/>
                <w:szCs w:val="18"/>
              </w:rPr>
            </w:pPr>
            <w:r w:rsidRPr="00BA185F">
              <w:rPr>
                <w:rFonts w:ascii="Calibri" w:hAnsi="Calibri"/>
                <w:sz w:val="18"/>
                <w:szCs w:val="18"/>
              </w:rPr>
              <w:t>Normal, truncated at zero</w:t>
            </w:r>
          </w:p>
        </w:tc>
      </w:tr>
    </w:tbl>
    <w:p w14:paraId="298B1728" w14:textId="43C2743D" w:rsidR="00235061" w:rsidRPr="007F1C52" w:rsidRDefault="00235061" w:rsidP="00235061">
      <w:pPr>
        <w:spacing w:after="0" w:line="276" w:lineRule="auto"/>
        <w:jc w:val="both"/>
        <w:rPr>
          <w:i/>
          <w:sz w:val="18"/>
          <w:szCs w:val="18"/>
        </w:rPr>
      </w:pPr>
      <w:r w:rsidRPr="007F1C52">
        <w:rPr>
          <w:i/>
          <w:sz w:val="18"/>
          <w:szCs w:val="18"/>
        </w:rPr>
        <w:t xml:space="preserve">a) Estimate reported by NGHGI </w:t>
      </w:r>
      <w:r w:rsidR="002327E8">
        <w:rPr>
          <w:i/>
          <w:sz w:val="18"/>
          <w:szCs w:val="18"/>
        </w:rPr>
        <w:t>(2018)</w:t>
      </w:r>
      <w:r w:rsidRPr="007F1C52">
        <w:rPr>
          <w:i/>
          <w:sz w:val="18"/>
          <w:szCs w:val="18"/>
        </w:rPr>
        <w:t xml:space="preserve">, based on data from MTBS </w:t>
      </w:r>
      <w:r>
        <w:rPr>
          <w:i/>
          <w:sz w:val="18"/>
          <w:szCs w:val="18"/>
        </w:rPr>
        <w:t xml:space="preserve">Data Summaries </w:t>
      </w:r>
      <w:r w:rsidRPr="007F1C52">
        <w:rPr>
          <w:i/>
          <w:sz w:val="18"/>
          <w:szCs w:val="18"/>
        </w:rPr>
        <w:t>(2015) and Ruefenacht et al. (2008).</w:t>
      </w:r>
    </w:p>
    <w:p w14:paraId="58041985" w14:textId="302FD489" w:rsidR="00235061" w:rsidRPr="007F1C52" w:rsidRDefault="00235061" w:rsidP="00235061">
      <w:pPr>
        <w:spacing w:after="0" w:line="276" w:lineRule="auto"/>
        <w:jc w:val="both"/>
        <w:rPr>
          <w:i/>
          <w:sz w:val="18"/>
          <w:szCs w:val="18"/>
        </w:rPr>
      </w:pPr>
      <w:r w:rsidRPr="007F1C52">
        <w:rPr>
          <w:i/>
          <w:sz w:val="18"/>
          <w:szCs w:val="18"/>
        </w:rPr>
        <w:t>b) Calculated as 4% of the mean, following NGHGI</w:t>
      </w:r>
      <w:r w:rsidR="00786332">
        <w:rPr>
          <w:i/>
          <w:sz w:val="18"/>
          <w:szCs w:val="18"/>
        </w:rPr>
        <w:t xml:space="preserve"> (2018)</w:t>
      </w:r>
      <w:r w:rsidRPr="007F1C52">
        <w:rPr>
          <w:i/>
          <w:sz w:val="18"/>
          <w:szCs w:val="18"/>
        </w:rPr>
        <w:t>.</w:t>
      </w:r>
    </w:p>
    <w:p w14:paraId="3053E1CD" w14:textId="06E0D6BA" w:rsidR="00235061" w:rsidRPr="007F1C52" w:rsidRDefault="00235061" w:rsidP="00235061">
      <w:pPr>
        <w:spacing w:after="0" w:line="276" w:lineRule="auto"/>
        <w:jc w:val="both"/>
        <w:rPr>
          <w:i/>
          <w:sz w:val="18"/>
          <w:szCs w:val="18"/>
        </w:rPr>
      </w:pPr>
      <w:r w:rsidRPr="007F1C52">
        <w:rPr>
          <w:i/>
          <w:sz w:val="18"/>
          <w:szCs w:val="18"/>
        </w:rPr>
        <w:t>c) Calculated from data reported by NGHGI</w:t>
      </w:r>
      <w:r w:rsidR="002327E8">
        <w:rPr>
          <w:i/>
          <w:sz w:val="18"/>
          <w:szCs w:val="18"/>
        </w:rPr>
        <w:t xml:space="preserve"> (2018)</w:t>
      </w:r>
      <w:r w:rsidRPr="007F1C52">
        <w:rPr>
          <w:i/>
          <w:sz w:val="18"/>
          <w:szCs w:val="18"/>
        </w:rPr>
        <w:t xml:space="preserve"> and supplemental materials provided by NGHGI Team. Burned area estimates from NGHGI are based on MTBS</w:t>
      </w:r>
      <w:r>
        <w:rPr>
          <w:i/>
          <w:sz w:val="18"/>
          <w:szCs w:val="18"/>
        </w:rPr>
        <w:t xml:space="preserve"> Data Summaries</w:t>
      </w:r>
      <w:r w:rsidRPr="007F1C52">
        <w:rPr>
          <w:i/>
          <w:sz w:val="18"/>
          <w:szCs w:val="18"/>
        </w:rPr>
        <w:t xml:space="preserve"> (2015) and Ruefenacht et al. (2008).</w:t>
      </w:r>
    </w:p>
    <w:p w14:paraId="1D0A5130" w14:textId="77777777" w:rsidR="00235061" w:rsidRPr="007F1C52" w:rsidRDefault="00235061" w:rsidP="00235061">
      <w:pPr>
        <w:spacing w:after="0" w:line="276" w:lineRule="auto"/>
        <w:jc w:val="both"/>
        <w:rPr>
          <w:i/>
          <w:sz w:val="18"/>
          <w:szCs w:val="18"/>
        </w:rPr>
      </w:pPr>
      <w:r w:rsidRPr="007F1C52">
        <w:rPr>
          <w:i/>
          <w:sz w:val="18"/>
          <w:szCs w:val="18"/>
        </w:rPr>
        <w:t xml:space="preserve">d) Estimate reported in supplemental materials provided by NGHGI Team. Burned area estimates for Alaska are based on Ogle et al. (2018), MTBS </w:t>
      </w:r>
      <w:r>
        <w:rPr>
          <w:i/>
          <w:sz w:val="18"/>
          <w:szCs w:val="18"/>
        </w:rPr>
        <w:t xml:space="preserve">Data Summaries </w:t>
      </w:r>
      <w:r w:rsidRPr="007F1C52">
        <w:rPr>
          <w:i/>
          <w:sz w:val="18"/>
          <w:szCs w:val="18"/>
        </w:rPr>
        <w:t>(2015), and Ruefenacht et al. (2008).</w:t>
      </w:r>
    </w:p>
    <w:p w14:paraId="2FD95E81" w14:textId="77777777" w:rsidR="00235061" w:rsidRPr="007F1C52" w:rsidRDefault="00235061" w:rsidP="00235061">
      <w:pPr>
        <w:spacing w:after="0" w:line="276" w:lineRule="auto"/>
        <w:jc w:val="both"/>
        <w:rPr>
          <w:i/>
          <w:sz w:val="18"/>
          <w:szCs w:val="18"/>
        </w:rPr>
      </w:pPr>
      <w:r w:rsidRPr="007F1C52">
        <w:rPr>
          <w:i/>
          <w:sz w:val="18"/>
          <w:szCs w:val="18"/>
        </w:rPr>
        <w:t xml:space="preserve">e) </w:t>
      </w:r>
      <w:r>
        <w:rPr>
          <w:i/>
          <w:sz w:val="18"/>
          <w:szCs w:val="18"/>
        </w:rPr>
        <w:t>Estimates r</w:t>
      </w:r>
      <w:r w:rsidRPr="007F1C52">
        <w:rPr>
          <w:i/>
          <w:sz w:val="18"/>
          <w:szCs w:val="18"/>
        </w:rPr>
        <w:t xml:space="preserve">eported </w:t>
      </w:r>
      <w:r>
        <w:rPr>
          <w:i/>
          <w:sz w:val="18"/>
          <w:szCs w:val="18"/>
        </w:rPr>
        <w:t>in</w:t>
      </w:r>
      <w:r w:rsidRPr="007F1C52">
        <w:rPr>
          <w:i/>
          <w:sz w:val="18"/>
          <w:szCs w:val="18"/>
        </w:rPr>
        <w:t xml:space="preserve"> supplemental materials provided by NGHGI Team. Based on FIA plot data (USDA Forest Service, 2015).</w:t>
      </w:r>
    </w:p>
    <w:p w14:paraId="410B39F4" w14:textId="77777777" w:rsidR="00235061" w:rsidRPr="007F1C52" w:rsidRDefault="00235061" w:rsidP="00235061">
      <w:pPr>
        <w:spacing w:after="0" w:line="276" w:lineRule="auto"/>
        <w:jc w:val="both"/>
        <w:rPr>
          <w:i/>
          <w:sz w:val="18"/>
          <w:szCs w:val="18"/>
        </w:rPr>
      </w:pPr>
      <w:r w:rsidRPr="007F1C52">
        <w:rPr>
          <w:i/>
          <w:sz w:val="18"/>
          <w:szCs w:val="18"/>
        </w:rPr>
        <w:t>f) Derived from 5</w:t>
      </w:r>
      <w:r w:rsidRPr="007F1C52">
        <w:rPr>
          <w:i/>
          <w:sz w:val="18"/>
          <w:szCs w:val="18"/>
          <w:vertAlign w:val="superscript"/>
        </w:rPr>
        <w:t>th</w:t>
      </w:r>
      <w:r w:rsidRPr="007F1C52">
        <w:rPr>
          <w:i/>
          <w:sz w:val="18"/>
          <w:szCs w:val="18"/>
        </w:rPr>
        <w:t xml:space="preserve"> and 95</w:t>
      </w:r>
      <w:r w:rsidRPr="007F1C52">
        <w:rPr>
          <w:i/>
          <w:sz w:val="18"/>
          <w:szCs w:val="18"/>
          <w:vertAlign w:val="superscript"/>
        </w:rPr>
        <w:t>th</w:t>
      </w:r>
      <w:r w:rsidRPr="007F1C52">
        <w:rPr>
          <w:i/>
          <w:sz w:val="18"/>
          <w:szCs w:val="18"/>
        </w:rPr>
        <w:t xml:space="preserve"> percentiles reported in supplemental materials provided by NGHGI Team. Based on FIA plot data (USDA Forest Service, 2015).</w:t>
      </w:r>
    </w:p>
    <w:p w14:paraId="66BB1D3B" w14:textId="77777777" w:rsidR="00235061" w:rsidRPr="007F1C52" w:rsidRDefault="00235061" w:rsidP="00235061">
      <w:pPr>
        <w:spacing w:after="0" w:line="276" w:lineRule="auto"/>
        <w:jc w:val="both"/>
        <w:rPr>
          <w:i/>
          <w:sz w:val="18"/>
          <w:szCs w:val="18"/>
        </w:rPr>
      </w:pPr>
      <w:r w:rsidRPr="007F1C52">
        <w:rPr>
          <w:i/>
          <w:sz w:val="18"/>
          <w:szCs w:val="18"/>
        </w:rPr>
        <w:t>g) IPCC (2006).</w:t>
      </w:r>
    </w:p>
    <w:p w14:paraId="63637E39" w14:textId="77777777" w:rsidR="00ED4794" w:rsidRPr="00ED4794" w:rsidRDefault="00ED4794" w:rsidP="00ED4794">
      <w:pPr>
        <w:spacing w:after="0" w:line="276" w:lineRule="auto"/>
      </w:pPr>
    </w:p>
    <w:p w14:paraId="7AEE4A16" w14:textId="4248BE32" w:rsidR="00ED4794" w:rsidRPr="00195F4D" w:rsidRDefault="00ED4794" w:rsidP="00235061">
      <w:pPr>
        <w:pStyle w:val="Heading2"/>
        <w:numPr>
          <w:ilvl w:val="0"/>
          <w:numId w:val="0"/>
        </w:numPr>
        <w:ind w:left="576" w:hanging="576"/>
        <w:rPr>
          <w:rStyle w:val="Strong"/>
          <w:b w:val="0"/>
        </w:rPr>
      </w:pPr>
      <w:r w:rsidRPr="00195F4D">
        <w:rPr>
          <w:rStyle w:val="Strong"/>
          <w:b w:val="0"/>
        </w:rPr>
        <w:t>Results</w:t>
      </w:r>
    </w:p>
    <w:p w14:paraId="261C0121" w14:textId="67D49AC0" w:rsidR="00235061" w:rsidRPr="00ED4794" w:rsidRDefault="00235061" w:rsidP="00235061">
      <w:pPr>
        <w:spacing w:after="0" w:line="276" w:lineRule="auto"/>
      </w:pPr>
      <w:r w:rsidRPr="00ED4794">
        <w:t xml:space="preserve">The </w:t>
      </w:r>
      <w:r w:rsidR="00786332">
        <w:t xml:space="preserve">mean </w:t>
      </w:r>
      <w:r w:rsidRPr="00ED4794">
        <w:t>estimate</w:t>
      </w:r>
      <w:r w:rsidR="00786332">
        <w:t>s</w:t>
      </w:r>
      <w:r w:rsidRPr="00ED4794">
        <w:t xml:space="preserve"> and 95% confidence intervals for CH</w:t>
      </w:r>
      <w:r w:rsidRPr="00ED4794">
        <w:rPr>
          <w:vertAlign w:val="subscript"/>
        </w:rPr>
        <w:t>4</w:t>
      </w:r>
      <w:r w:rsidRPr="00ED4794">
        <w:t xml:space="preserve"> and N</w:t>
      </w:r>
      <w:r w:rsidRPr="00ED4794">
        <w:rPr>
          <w:vertAlign w:val="subscript"/>
        </w:rPr>
        <w:t>2</w:t>
      </w:r>
      <w:r w:rsidRPr="00ED4794">
        <w:t xml:space="preserve">O emissions from forest fires are shown in </w:t>
      </w:r>
      <w:r w:rsidRPr="00ED4794">
        <w:fldChar w:fldCharType="begin"/>
      </w:r>
      <w:r w:rsidRPr="00ED4794">
        <w:instrText xml:space="preserve"> REF _Ref415693002 \h </w:instrText>
      </w:r>
      <w:r>
        <w:instrText xml:space="preserve"> \* MERGEFORMAT </w:instrText>
      </w:r>
      <w:r w:rsidRPr="00ED4794">
        <w:fldChar w:fldCharType="separate"/>
      </w:r>
      <w:r w:rsidR="00FB4CFE" w:rsidRPr="00FB4CFE">
        <w:t>Table</w:t>
      </w:r>
      <w:r w:rsidR="00786332">
        <w:t xml:space="preserve"> </w:t>
      </w:r>
      <w:r w:rsidR="005E4D1E">
        <w:t>2</w:t>
      </w:r>
      <w:r w:rsidR="00786332">
        <w:t>-9</w:t>
      </w:r>
      <w:r w:rsidRPr="00ED4794">
        <w:fldChar w:fldCharType="end"/>
      </w:r>
      <w:r w:rsidRPr="00ED4794">
        <w:t xml:space="preserve">. </w:t>
      </w:r>
      <w:r w:rsidRPr="00CB59B7">
        <w:t xml:space="preserve">The </w:t>
      </w:r>
      <w:r w:rsidR="00786332">
        <w:t>results</w:t>
      </w:r>
      <w:r w:rsidR="00786332" w:rsidRPr="00ED4794">
        <w:t xml:space="preserve"> </w:t>
      </w:r>
      <w:r w:rsidRPr="00ED4794">
        <w:t>for 2014 (7.</w:t>
      </w:r>
      <w:r>
        <w:t>2</w:t>
      </w:r>
      <w:r w:rsidRPr="00ED4794">
        <w:t xml:space="preserve"> MMT CO</w:t>
      </w:r>
      <w:r w:rsidRPr="00ED4794">
        <w:rPr>
          <w:vertAlign w:val="subscript"/>
        </w:rPr>
        <w:t>2</w:t>
      </w:r>
      <w:r w:rsidRPr="00ED4794">
        <w:t>e from CH</w:t>
      </w:r>
      <w:r w:rsidRPr="00ED4794">
        <w:rPr>
          <w:vertAlign w:val="subscript"/>
        </w:rPr>
        <w:t>4</w:t>
      </w:r>
      <w:r w:rsidRPr="00ED4794">
        <w:t xml:space="preserve"> and 4.</w:t>
      </w:r>
      <w:r>
        <w:t>7</w:t>
      </w:r>
      <w:r w:rsidRPr="00ED4794">
        <w:t xml:space="preserve"> MMT CO</w:t>
      </w:r>
      <w:r w:rsidRPr="00ED4794">
        <w:rPr>
          <w:vertAlign w:val="subscript"/>
        </w:rPr>
        <w:t>2</w:t>
      </w:r>
      <w:r w:rsidRPr="00ED4794">
        <w:t>e from N</w:t>
      </w:r>
      <w:r w:rsidRPr="00ED4794">
        <w:rPr>
          <w:vertAlign w:val="subscript"/>
        </w:rPr>
        <w:t>2</w:t>
      </w:r>
      <w:r w:rsidRPr="00ED4794">
        <w:t xml:space="preserve">O) are identical to those reported in the NGHGI </w:t>
      </w:r>
      <w:r>
        <w:t xml:space="preserve">(2018) </w:t>
      </w:r>
      <w:r w:rsidRPr="00ED4794">
        <w:t>despite the fact that we applied CONUS-mean fuel availabilities and CONUS-total burned area estimates instead of state-level values. There is significant interannual variability associated with non-CO</w:t>
      </w:r>
      <w:r w:rsidRPr="00ED4794">
        <w:rPr>
          <w:vertAlign w:val="subscript"/>
        </w:rPr>
        <w:t>2</w:t>
      </w:r>
      <w:r w:rsidRPr="00ED4794">
        <w:t xml:space="preserve"> emissions from forest fires (</w:t>
      </w:r>
      <w:r>
        <w:t>see</w:t>
      </w:r>
      <w:r w:rsidRPr="00ED4794">
        <w:t xml:space="preserve"> Table 6-16 of NGHGI</w:t>
      </w:r>
      <w:r>
        <w:t>, 2018</w:t>
      </w:r>
      <w:r w:rsidRPr="00ED4794">
        <w:t xml:space="preserve">). The emissions estimates for 2016, the only year for which uncertainties are reported in the NGHGI, are more than 2.5 times larger than those for 2014. </w:t>
      </w:r>
      <w:r w:rsidRPr="00BA3335">
        <w:t>We estimate</w:t>
      </w:r>
      <w:r w:rsidRPr="00ED4794">
        <w:t xml:space="preserve"> larger relative uncertainties for 2014 emissions</w:t>
      </w:r>
      <w:r>
        <w:t xml:space="preserve"> (about +250%)</w:t>
      </w:r>
      <w:r w:rsidRPr="00ED4794">
        <w:t xml:space="preserve"> than the NGHGI estimates for 2016 emissions</w:t>
      </w:r>
      <w:r>
        <w:t xml:space="preserve"> (about +120%)</w:t>
      </w:r>
      <w:r w:rsidRPr="00ED4794">
        <w:t>. However, the magnitude of the 95% confidence interval, taken as the difference between the 97.5</w:t>
      </w:r>
      <w:r w:rsidRPr="00ED4794">
        <w:rPr>
          <w:vertAlign w:val="superscript"/>
        </w:rPr>
        <w:t>th</w:t>
      </w:r>
      <w:r w:rsidRPr="00ED4794">
        <w:t xml:space="preserve"> percentile and the 2.5</w:t>
      </w:r>
      <w:r w:rsidRPr="00ED4794">
        <w:rPr>
          <w:vertAlign w:val="superscript"/>
        </w:rPr>
        <w:t>th</w:t>
      </w:r>
      <w:r w:rsidRPr="00ED4794">
        <w:t xml:space="preserve"> percentile</w:t>
      </w:r>
      <w:r>
        <w:t>,</w:t>
      </w:r>
      <w:r w:rsidR="002327E8">
        <w:t xml:space="preserve"> respectively,</w:t>
      </w:r>
      <w:r w:rsidRPr="00ED4794">
        <w:t xml:space="preserve"> is </w:t>
      </w:r>
      <w:r>
        <w:t xml:space="preserve">similar for our 2014 estimate and the 2016 estimate from the NGHGI: </w:t>
      </w:r>
      <w:r w:rsidRPr="00ED4794">
        <w:t>2</w:t>
      </w:r>
      <w:r>
        <w:t>5</w:t>
      </w:r>
      <w:r w:rsidRPr="00ED4794">
        <w:t>.</w:t>
      </w:r>
      <w:r>
        <w:t>3</w:t>
      </w:r>
      <w:r w:rsidRPr="00ED4794">
        <w:t xml:space="preserve"> MMT CO</w:t>
      </w:r>
      <w:r w:rsidRPr="00ED4794">
        <w:rPr>
          <w:vertAlign w:val="subscript"/>
        </w:rPr>
        <w:t>2</w:t>
      </w:r>
      <w:r w:rsidRPr="00ED4794">
        <w:t>e for CH</w:t>
      </w:r>
      <w:r w:rsidRPr="00ED4794">
        <w:rPr>
          <w:vertAlign w:val="subscript"/>
        </w:rPr>
        <w:t>4</w:t>
      </w:r>
      <w:r w:rsidRPr="00ED4794">
        <w:t xml:space="preserve"> </w:t>
      </w:r>
      <w:r>
        <w:t xml:space="preserve">(our 2014 estimate) vs. </w:t>
      </w:r>
      <w:r w:rsidRPr="00ED4794">
        <w:t>29.9 MMT CO</w:t>
      </w:r>
      <w:r w:rsidRPr="00ED4794">
        <w:rPr>
          <w:vertAlign w:val="subscript"/>
        </w:rPr>
        <w:t>2</w:t>
      </w:r>
      <w:r w:rsidRPr="00ED4794">
        <w:t xml:space="preserve">e </w:t>
      </w:r>
      <w:r>
        <w:t xml:space="preserve">(NGHGI 2016 estimate) </w:t>
      </w:r>
      <w:r w:rsidRPr="00ED4794">
        <w:t>and 15.</w:t>
      </w:r>
      <w:r w:rsidR="00DB5C25">
        <w:t>5</w:t>
      </w:r>
      <w:r w:rsidRPr="00ED4794">
        <w:t xml:space="preserve"> MMT CO</w:t>
      </w:r>
      <w:r w:rsidRPr="00ED4794">
        <w:rPr>
          <w:vertAlign w:val="subscript"/>
        </w:rPr>
        <w:t>2</w:t>
      </w:r>
      <w:r w:rsidRPr="00ED4794">
        <w:t>e for N</w:t>
      </w:r>
      <w:r w:rsidRPr="00ED4794">
        <w:rPr>
          <w:vertAlign w:val="subscript"/>
        </w:rPr>
        <w:t>2</w:t>
      </w:r>
      <w:r w:rsidRPr="00ED4794">
        <w:t xml:space="preserve">O </w:t>
      </w:r>
      <w:r>
        <w:t>(</w:t>
      </w:r>
      <w:r w:rsidRPr="00ED4794">
        <w:t>our 2014 estimate</w:t>
      </w:r>
      <w:r>
        <w:t xml:space="preserve">) vs. </w:t>
      </w:r>
      <w:r w:rsidRPr="00ED4794">
        <w:t>22.3 MMT CO</w:t>
      </w:r>
      <w:r w:rsidRPr="00ED4794">
        <w:rPr>
          <w:vertAlign w:val="subscript"/>
        </w:rPr>
        <w:t>2</w:t>
      </w:r>
      <w:r w:rsidRPr="00ED4794">
        <w:t xml:space="preserve">e </w:t>
      </w:r>
      <w:r>
        <w:t>(NGHGI 2016 estimate).</w:t>
      </w:r>
    </w:p>
    <w:p w14:paraId="1B640550" w14:textId="77777777" w:rsidR="00235061" w:rsidRDefault="00235061" w:rsidP="00235061">
      <w:pPr>
        <w:spacing w:after="0" w:line="276" w:lineRule="auto"/>
        <w:rPr>
          <w:i/>
        </w:rPr>
      </w:pPr>
    </w:p>
    <w:p w14:paraId="672C9BFC" w14:textId="6241A452" w:rsidR="00235061" w:rsidRPr="00235061" w:rsidRDefault="00235061" w:rsidP="00235061">
      <w:pPr>
        <w:spacing w:after="200" w:line="240" w:lineRule="auto"/>
        <w:rPr>
          <w:b/>
          <w:i/>
          <w:iCs/>
          <w:color w:val="44546A" w:themeColor="text2"/>
        </w:rPr>
      </w:pPr>
      <w:bookmarkStart w:id="41" w:name="_Ref415693002"/>
      <w:r w:rsidRPr="00235061">
        <w:rPr>
          <w:b/>
          <w:i/>
          <w:iCs/>
          <w:color w:val="44546A" w:themeColor="text2"/>
        </w:rPr>
        <w:t xml:space="preserve">Table </w:t>
      </w:r>
      <w:bookmarkEnd w:id="41"/>
      <w:r w:rsidR="005E4D1E">
        <w:rPr>
          <w:b/>
          <w:i/>
          <w:iCs/>
          <w:color w:val="44546A" w:themeColor="text2"/>
        </w:rPr>
        <w:t>2</w:t>
      </w:r>
      <w:r w:rsidR="00F0092B">
        <w:rPr>
          <w:b/>
          <w:i/>
          <w:iCs/>
          <w:color w:val="44546A" w:themeColor="text2"/>
        </w:rPr>
        <w:t>-</w:t>
      </w:r>
      <w:r w:rsidR="00786332">
        <w:rPr>
          <w:b/>
          <w:i/>
          <w:iCs/>
          <w:color w:val="44546A" w:themeColor="text2"/>
        </w:rPr>
        <w:t>9</w:t>
      </w:r>
      <w:r w:rsidRPr="00235061">
        <w:rPr>
          <w:b/>
          <w:i/>
          <w:iCs/>
          <w:color w:val="44546A" w:themeColor="text2"/>
        </w:rPr>
        <w:t>: Uncertainty estimates for non-CO</w:t>
      </w:r>
      <w:r w:rsidRPr="00E43CCF">
        <w:rPr>
          <w:b/>
          <w:i/>
          <w:iCs/>
          <w:color w:val="44546A" w:themeColor="text2"/>
          <w:vertAlign w:val="subscript"/>
        </w:rPr>
        <w:t>2</w:t>
      </w:r>
      <w:r w:rsidRPr="00235061">
        <w:rPr>
          <w:b/>
          <w:i/>
          <w:iCs/>
          <w:color w:val="44546A" w:themeColor="text2"/>
        </w:rPr>
        <w:t xml:space="preserve"> emissions from forest fires</w:t>
      </w:r>
    </w:p>
    <w:tbl>
      <w:tblPr>
        <w:tblStyle w:val="TableGrid"/>
        <w:tblW w:w="0" w:type="auto"/>
        <w:tblLook w:val="04A0" w:firstRow="1" w:lastRow="0" w:firstColumn="1" w:lastColumn="0" w:noHBand="0" w:noVBand="1"/>
      </w:tblPr>
      <w:tblGrid>
        <w:gridCol w:w="1455"/>
        <w:gridCol w:w="1651"/>
        <w:gridCol w:w="1595"/>
        <w:gridCol w:w="1595"/>
        <w:gridCol w:w="1596"/>
        <w:gridCol w:w="1458"/>
      </w:tblGrid>
      <w:tr w:rsidR="00235061" w:rsidRPr="00ED4794" w14:paraId="6C2DD5BB" w14:textId="77777777" w:rsidTr="00DF0924">
        <w:tc>
          <w:tcPr>
            <w:tcW w:w="1492" w:type="dxa"/>
            <w:shd w:val="clear" w:color="auto" w:fill="FFC000"/>
            <w:vAlign w:val="center"/>
          </w:tcPr>
          <w:p w14:paraId="35690F27" w14:textId="77777777" w:rsidR="00235061" w:rsidRPr="00DF0924" w:rsidRDefault="00235061" w:rsidP="00DF0924">
            <w:pPr>
              <w:jc w:val="center"/>
              <w:rPr>
                <w:rFonts w:ascii="Calibri" w:hAnsi="Calibri"/>
                <w:b/>
                <w:sz w:val="18"/>
                <w:szCs w:val="18"/>
              </w:rPr>
            </w:pPr>
            <w:r w:rsidRPr="00DF0924">
              <w:rPr>
                <w:rFonts w:ascii="Calibri" w:hAnsi="Calibri"/>
                <w:b/>
                <w:sz w:val="18"/>
                <w:szCs w:val="18"/>
              </w:rPr>
              <w:t>Gas</w:t>
            </w:r>
          </w:p>
        </w:tc>
        <w:tc>
          <w:tcPr>
            <w:tcW w:w="1686" w:type="dxa"/>
            <w:shd w:val="clear" w:color="auto" w:fill="FFC000"/>
            <w:vAlign w:val="center"/>
          </w:tcPr>
          <w:p w14:paraId="1A7727A2" w14:textId="77777777" w:rsidR="00235061" w:rsidRPr="00DF0924" w:rsidRDefault="00235061" w:rsidP="00DF0924">
            <w:pPr>
              <w:jc w:val="center"/>
              <w:rPr>
                <w:rFonts w:ascii="Calibri" w:hAnsi="Calibri"/>
                <w:b/>
                <w:sz w:val="18"/>
                <w:szCs w:val="18"/>
              </w:rPr>
            </w:pPr>
            <w:r w:rsidRPr="00DF0924">
              <w:rPr>
                <w:rFonts w:ascii="Calibri" w:hAnsi="Calibri"/>
                <w:b/>
                <w:sz w:val="18"/>
                <w:szCs w:val="18"/>
              </w:rPr>
              <w:t>2014 estimate (MMT CO</w:t>
            </w:r>
            <w:r w:rsidRPr="00DF0924">
              <w:rPr>
                <w:rFonts w:ascii="Calibri" w:hAnsi="Calibri"/>
                <w:b/>
                <w:sz w:val="18"/>
                <w:szCs w:val="18"/>
                <w:vertAlign w:val="subscript"/>
              </w:rPr>
              <w:t>2</w:t>
            </w:r>
            <w:r w:rsidRPr="00DF0924">
              <w:rPr>
                <w:rFonts w:ascii="Calibri" w:hAnsi="Calibri"/>
                <w:b/>
                <w:sz w:val="18"/>
                <w:szCs w:val="18"/>
              </w:rPr>
              <w:t>e)</w:t>
            </w:r>
          </w:p>
        </w:tc>
        <w:tc>
          <w:tcPr>
            <w:tcW w:w="1635" w:type="dxa"/>
            <w:shd w:val="clear" w:color="auto" w:fill="FFC000"/>
            <w:vAlign w:val="center"/>
          </w:tcPr>
          <w:p w14:paraId="68382ADF" w14:textId="77777777" w:rsidR="00235061" w:rsidRPr="00DF0924" w:rsidRDefault="00235061" w:rsidP="00DF0924">
            <w:pPr>
              <w:jc w:val="center"/>
              <w:rPr>
                <w:rFonts w:ascii="Calibri" w:hAnsi="Calibri"/>
                <w:b/>
                <w:sz w:val="18"/>
                <w:szCs w:val="18"/>
              </w:rPr>
            </w:pPr>
            <w:r w:rsidRPr="00DF0924">
              <w:rPr>
                <w:rFonts w:ascii="Calibri" w:hAnsi="Calibri"/>
                <w:b/>
                <w:sz w:val="18"/>
                <w:szCs w:val="18"/>
              </w:rPr>
              <w:t xml:space="preserve">Lower bound </w:t>
            </w:r>
            <w:r w:rsidRPr="00DF0924">
              <w:rPr>
                <w:rFonts w:ascii="Calibri" w:hAnsi="Calibri"/>
                <w:b/>
                <w:sz w:val="18"/>
                <w:szCs w:val="18"/>
                <w:vertAlign w:val="superscript"/>
              </w:rPr>
              <w:t>a</w:t>
            </w:r>
            <w:r w:rsidRPr="00DF0924">
              <w:rPr>
                <w:rFonts w:ascii="Calibri" w:hAnsi="Calibri"/>
                <w:b/>
                <w:sz w:val="18"/>
                <w:szCs w:val="18"/>
              </w:rPr>
              <w:t xml:space="preserve"> (MMT CO</w:t>
            </w:r>
            <w:r w:rsidRPr="00DF0924">
              <w:rPr>
                <w:rFonts w:ascii="Calibri" w:hAnsi="Calibri"/>
                <w:b/>
                <w:sz w:val="18"/>
                <w:szCs w:val="18"/>
                <w:vertAlign w:val="subscript"/>
              </w:rPr>
              <w:t>2</w:t>
            </w:r>
            <w:r w:rsidRPr="00DF0924">
              <w:rPr>
                <w:rFonts w:ascii="Calibri" w:hAnsi="Calibri"/>
                <w:b/>
                <w:sz w:val="18"/>
                <w:szCs w:val="18"/>
              </w:rPr>
              <w:t>e)</w:t>
            </w:r>
          </w:p>
        </w:tc>
        <w:tc>
          <w:tcPr>
            <w:tcW w:w="1635" w:type="dxa"/>
            <w:shd w:val="clear" w:color="auto" w:fill="FFC000"/>
            <w:vAlign w:val="center"/>
          </w:tcPr>
          <w:p w14:paraId="4DD18F9E" w14:textId="77777777" w:rsidR="00235061" w:rsidRPr="00DF0924" w:rsidRDefault="00235061" w:rsidP="00DF0924">
            <w:pPr>
              <w:jc w:val="center"/>
              <w:rPr>
                <w:rFonts w:ascii="Calibri" w:hAnsi="Calibri"/>
                <w:b/>
                <w:sz w:val="18"/>
                <w:szCs w:val="18"/>
              </w:rPr>
            </w:pPr>
            <w:r w:rsidRPr="00DF0924">
              <w:rPr>
                <w:rFonts w:ascii="Calibri" w:hAnsi="Calibri"/>
                <w:b/>
                <w:sz w:val="18"/>
                <w:szCs w:val="18"/>
              </w:rPr>
              <w:t xml:space="preserve">Upper bound </w:t>
            </w:r>
            <w:r w:rsidRPr="00DF0924">
              <w:rPr>
                <w:rFonts w:ascii="Calibri" w:hAnsi="Calibri"/>
                <w:b/>
                <w:sz w:val="18"/>
                <w:szCs w:val="18"/>
                <w:vertAlign w:val="superscript"/>
              </w:rPr>
              <w:t>a</w:t>
            </w:r>
            <w:r w:rsidRPr="00DF0924">
              <w:rPr>
                <w:rFonts w:ascii="Calibri" w:hAnsi="Calibri"/>
                <w:b/>
                <w:sz w:val="18"/>
                <w:szCs w:val="18"/>
              </w:rPr>
              <w:t xml:space="preserve"> (MMT CO</w:t>
            </w:r>
            <w:r w:rsidRPr="00DF0924">
              <w:rPr>
                <w:rFonts w:ascii="Calibri" w:hAnsi="Calibri"/>
                <w:b/>
                <w:sz w:val="18"/>
                <w:szCs w:val="18"/>
                <w:vertAlign w:val="subscript"/>
              </w:rPr>
              <w:t>2</w:t>
            </w:r>
            <w:r w:rsidRPr="00DF0924">
              <w:rPr>
                <w:rFonts w:ascii="Calibri" w:hAnsi="Calibri"/>
                <w:b/>
                <w:sz w:val="18"/>
                <w:szCs w:val="18"/>
              </w:rPr>
              <w:t>e)</w:t>
            </w:r>
          </w:p>
        </w:tc>
        <w:tc>
          <w:tcPr>
            <w:tcW w:w="1636" w:type="dxa"/>
            <w:shd w:val="clear" w:color="auto" w:fill="FFC000"/>
            <w:vAlign w:val="center"/>
          </w:tcPr>
          <w:p w14:paraId="66EA31E7" w14:textId="77777777" w:rsidR="00DF0924" w:rsidRDefault="00235061" w:rsidP="00DF0924">
            <w:pPr>
              <w:jc w:val="center"/>
              <w:rPr>
                <w:rFonts w:ascii="Calibri" w:hAnsi="Calibri"/>
                <w:b/>
                <w:sz w:val="18"/>
                <w:szCs w:val="18"/>
              </w:rPr>
            </w:pPr>
            <w:r w:rsidRPr="00DF0924">
              <w:rPr>
                <w:rFonts w:ascii="Calibri" w:hAnsi="Calibri"/>
                <w:b/>
                <w:sz w:val="18"/>
                <w:szCs w:val="18"/>
              </w:rPr>
              <w:t xml:space="preserve">Lower bound </w:t>
            </w:r>
            <w:r w:rsidRPr="00DF0924">
              <w:rPr>
                <w:rFonts w:ascii="Calibri" w:hAnsi="Calibri"/>
                <w:b/>
                <w:sz w:val="18"/>
                <w:szCs w:val="18"/>
                <w:vertAlign w:val="superscript"/>
              </w:rPr>
              <w:t>b</w:t>
            </w:r>
            <w:r w:rsidRPr="00DF0924">
              <w:rPr>
                <w:rFonts w:ascii="Calibri" w:hAnsi="Calibri"/>
                <w:b/>
                <w:sz w:val="18"/>
                <w:szCs w:val="18"/>
              </w:rPr>
              <w:t xml:space="preserve"> </w:t>
            </w:r>
          </w:p>
          <w:p w14:paraId="7B7F7BBC" w14:textId="41894AC0" w:rsidR="00235061" w:rsidRPr="00DF0924" w:rsidRDefault="00235061" w:rsidP="00DF0924">
            <w:pPr>
              <w:jc w:val="center"/>
              <w:rPr>
                <w:rFonts w:ascii="Calibri" w:hAnsi="Calibri"/>
                <w:b/>
                <w:sz w:val="18"/>
                <w:szCs w:val="18"/>
              </w:rPr>
            </w:pPr>
            <w:r w:rsidRPr="00DF0924">
              <w:rPr>
                <w:rFonts w:ascii="Calibri" w:hAnsi="Calibri"/>
                <w:b/>
                <w:sz w:val="18"/>
                <w:szCs w:val="18"/>
              </w:rPr>
              <w:t>(%)</w:t>
            </w:r>
          </w:p>
        </w:tc>
        <w:tc>
          <w:tcPr>
            <w:tcW w:w="1492" w:type="dxa"/>
            <w:shd w:val="clear" w:color="auto" w:fill="FFC000"/>
            <w:vAlign w:val="center"/>
          </w:tcPr>
          <w:p w14:paraId="64BAC53E" w14:textId="77777777" w:rsidR="00235061" w:rsidRPr="00DF0924" w:rsidRDefault="00235061" w:rsidP="00DF0924">
            <w:pPr>
              <w:jc w:val="center"/>
              <w:rPr>
                <w:rFonts w:ascii="Calibri" w:hAnsi="Calibri"/>
                <w:b/>
                <w:sz w:val="18"/>
                <w:szCs w:val="18"/>
              </w:rPr>
            </w:pPr>
            <w:r w:rsidRPr="00DF0924">
              <w:rPr>
                <w:rFonts w:ascii="Calibri" w:hAnsi="Calibri"/>
                <w:b/>
                <w:sz w:val="18"/>
                <w:szCs w:val="18"/>
              </w:rPr>
              <w:t xml:space="preserve">Upper bound </w:t>
            </w:r>
            <w:r w:rsidRPr="00DF0924">
              <w:rPr>
                <w:rFonts w:ascii="Calibri" w:hAnsi="Calibri"/>
                <w:b/>
                <w:sz w:val="18"/>
                <w:szCs w:val="18"/>
                <w:vertAlign w:val="superscript"/>
              </w:rPr>
              <w:t>b</w:t>
            </w:r>
            <w:r w:rsidRPr="00DF0924">
              <w:rPr>
                <w:rFonts w:ascii="Calibri" w:hAnsi="Calibri"/>
                <w:b/>
                <w:sz w:val="18"/>
                <w:szCs w:val="18"/>
              </w:rPr>
              <w:t xml:space="preserve"> (%)</w:t>
            </w:r>
          </w:p>
        </w:tc>
      </w:tr>
      <w:tr w:rsidR="00235061" w:rsidRPr="00ED4794" w14:paraId="236815A1" w14:textId="77777777" w:rsidTr="00DF0924">
        <w:tc>
          <w:tcPr>
            <w:tcW w:w="1492" w:type="dxa"/>
          </w:tcPr>
          <w:p w14:paraId="356D4A97" w14:textId="77777777" w:rsidR="00235061" w:rsidRPr="00174CAB" w:rsidRDefault="00235061" w:rsidP="001713A8">
            <w:pPr>
              <w:rPr>
                <w:rFonts w:ascii="Calibri" w:hAnsi="Calibri"/>
                <w:b/>
                <w:sz w:val="18"/>
                <w:szCs w:val="18"/>
              </w:rPr>
            </w:pPr>
            <w:r w:rsidRPr="00174CAB">
              <w:rPr>
                <w:rFonts w:ascii="Calibri" w:hAnsi="Calibri"/>
                <w:b/>
                <w:sz w:val="18"/>
                <w:szCs w:val="18"/>
              </w:rPr>
              <w:t>CH</w:t>
            </w:r>
            <w:r w:rsidRPr="00174CAB">
              <w:rPr>
                <w:rFonts w:ascii="Calibri" w:hAnsi="Calibri"/>
                <w:b/>
                <w:sz w:val="18"/>
                <w:szCs w:val="18"/>
                <w:vertAlign w:val="subscript"/>
              </w:rPr>
              <w:t>4</w:t>
            </w:r>
          </w:p>
        </w:tc>
        <w:tc>
          <w:tcPr>
            <w:tcW w:w="1686" w:type="dxa"/>
            <w:vAlign w:val="center"/>
          </w:tcPr>
          <w:p w14:paraId="3CD34CCF" w14:textId="77777777" w:rsidR="00235061" w:rsidRPr="007F1C52" w:rsidRDefault="00235061" w:rsidP="00DF0924">
            <w:pPr>
              <w:jc w:val="center"/>
              <w:rPr>
                <w:rFonts w:ascii="Calibri" w:hAnsi="Calibri"/>
                <w:sz w:val="18"/>
                <w:szCs w:val="18"/>
              </w:rPr>
            </w:pPr>
            <w:r w:rsidRPr="007F1C52">
              <w:rPr>
                <w:rFonts w:ascii="Calibri" w:hAnsi="Calibri"/>
                <w:sz w:val="18"/>
                <w:szCs w:val="18"/>
              </w:rPr>
              <w:t>7.</w:t>
            </w:r>
            <w:r>
              <w:rPr>
                <w:rFonts w:ascii="Calibri" w:hAnsi="Calibri"/>
                <w:sz w:val="18"/>
                <w:szCs w:val="18"/>
              </w:rPr>
              <w:t>2</w:t>
            </w:r>
          </w:p>
        </w:tc>
        <w:tc>
          <w:tcPr>
            <w:tcW w:w="1635" w:type="dxa"/>
            <w:vAlign w:val="center"/>
          </w:tcPr>
          <w:p w14:paraId="113685C2" w14:textId="77777777" w:rsidR="00235061" w:rsidRPr="007F1C52" w:rsidRDefault="00235061" w:rsidP="00DF0924">
            <w:pPr>
              <w:jc w:val="center"/>
              <w:rPr>
                <w:rFonts w:ascii="Calibri" w:hAnsi="Calibri"/>
                <w:sz w:val="18"/>
                <w:szCs w:val="18"/>
              </w:rPr>
            </w:pPr>
            <w:r w:rsidRPr="007F1C52">
              <w:rPr>
                <w:rFonts w:ascii="Calibri" w:hAnsi="Calibri"/>
                <w:sz w:val="18"/>
                <w:szCs w:val="18"/>
              </w:rPr>
              <w:t>0.</w:t>
            </w:r>
            <w:r>
              <w:rPr>
                <w:rFonts w:ascii="Calibri" w:hAnsi="Calibri"/>
                <w:sz w:val="18"/>
                <w:szCs w:val="18"/>
              </w:rPr>
              <w:t>8</w:t>
            </w:r>
          </w:p>
        </w:tc>
        <w:tc>
          <w:tcPr>
            <w:tcW w:w="1635" w:type="dxa"/>
            <w:vAlign w:val="center"/>
          </w:tcPr>
          <w:p w14:paraId="73B60DCF" w14:textId="77777777" w:rsidR="00235061" w:rsidRPr="007F1C52" w:rsidRDefault="00235061" w:rsidP="00DF0924">
            <w:pPr>
              <w:jc w:val="center"/>
              <w:rPr>
                <w:rFonts w:ascii="Calibri" w:hAnsi="Calibri"/>
                <w:sz w:val="18"/>
                <w:szCs w:val="18"/>
              </w:rPr>
            </w:pPr>
            <w:r w:rsidRPr="007F1C52">
              <w:rPr>
                <w:rFonts w:ascii="Calibri" w:hAnsi="Calibri"/>
                <w:sz w:val="18"/>
                <w:szCs w:val="18"/>
              </w:rPr>
              <w:t>2</w:t>
            </w:r>
            <w:r>
              <w:rPr>
                <w:rFonts w:ascii="Calibri" w:hAnsi="Calibri"/>
                <w:sz w:val="18"/>
                <w:szCs w:val="18"/>
              </w:rPr>
              <w:t>6</w:t>
            </w:r>
            <w:r w:rsidRPr="007F1C52">
              <w:rPr>
                <w:rFonts w:ascii="Calibri" w:hAnsi="Calibri"/>
                <w:sz w:val="18"/>
                <w:szCs w:val="18"/>
              </w:rPr>
              <w:t>.</w:t>
            </w:r>
            <w:r>
              <w:rPr>
                <w:rFonts w:ascii="Calibri" w:hAnsi="Calibri"/>
                <w:sz w:val="18"/>
                <w:szCs w:val="18"/>
              </w:rPr>
              <w:t>1</w:t>
            </w:r>
          </w:p>
        </w:tc>
        <w:tc>
          <w:tcPr>
            <w:tcW w:w="1636" w:type="dxa"/>
            <w:vAlign w:val="center"/>
          </w:tcPr>
          <w:p w14:paraId="2A3CB018" w14:textId="77777777" w:rsidR="00235061" w:rsidRPr="007F1C52" w:rsidRDefault="00235061" w:rsidP="00DF0924">
            <w:pPr>
              <w:jc w:val="center"/>
              <w:rPr>
                <w:rFonts w:ascii="Calibri" w:hAnsi="Calibri"/>
                <w:sz w:val="18"/>
                <w:szCs w:val="18"/>
              </w:rPr>
            </w:pPr>
            <w:r w:rsidRPr="007F1C52">
              <w:rPr>
                <w:rFonts w:ascii="Calibri" w:hAnsi="Calibri"/>
                <w:sz w:val="18"/>
                <w:szCs w:val="18"/>
              </w:rPr>
              <w:t>-8</w:t>
            </w:r>
            <w:r>
              <w:rPr>
                <w:rFonts w:ascii="Calibri" w:hAnsi="Calibri"/>
                <w:sz w:val="18"/>
                <w:szCs w:val="18"/>
              </w:rPr>
              <w:t>9</w:t>
            </w:r>
            <w:r w:rsidRPr="007F1C52">
              <w:rPr>
                <w:rFonts w:ascii="Calibri" w:hAnsi="Calibri"/>
                <w:sz w:val="18"/>
                <w:szCs w:val="18"/>
              </w:rPr>
              <w:t>%</w:t>
            </w:r>
          </w:p>
        </w:tc>
        <w:tc>
          <w:tcPr>
            <w:tcW w:w="1492" w:type="dxa"/>
            <w:vAlign w:val="center"/>
          </w:tcPr>
          <w:p w14:paraId="753C3FCA" w14:textId="298FA802" w:rsidR="00235061" w:rsidRPr="007F1C52" w:rsidRDefault="00235061" w:rsidP="00DF0924">
            <w:pPr>
              <w:jc w:val="center"/>
              <w:rPr>
                <w:rFonts w:ascii="Calibri" w:hAnsi="Calibri"/>
                <w:sz w:val="18"/>
                <w:szCs w:val="18"/>
              </w:rPr>
            </w:pPr>
            <w:r w:rsidRPr="007F1C52">
              <w:rPr>
                <w:rFonts w:ascii="Calibri" w:hAnsi="Calibri"/>
                <w:sz w:val="18"/>
                <w:szCs w:val="18"/>
              </w:rPr>
              <w:t>2</w:t>
            </w:r>
            <w:r>
              <w:rPr>
                <w:rFonts w:ascii="Calibri" w:hAnsi="Calibri"/>
                <w:sz w:val="18"/>
                <w:szCs w:val="18"/>
              </w:rPr>
              <w:t>63</w:t>
            </w:r>
            <w:r w:rsidRPr="007F1C52">
              <w:rPr>
                <w:rFonts w:ascii="Calibri" w:hAnsi="Calibri"/>
                <w:sz w:val="18"/>
                <w:szCs w:val="18"/>
              </w:rPr>
              <w:t>%</w:t>
            </w:r>
          </w:p>
        </w:tc>
      </w:tr>
      <w:tr w:rsidR="00235061" w:rsidRPr="00ED4794" w14:paraId="687BE8FE" w14:textId="77777777" w:rsidTr="00DF0924">
        <w:tc>
          <w:tcPr>
            <w:tcW w:w="1492" w:type="dxa"/>
          </w:tcPr>
          <w:p w14:paraId="6B129508" w14:textId="77777777" w:rsidR="00235061" w:rsidRPr="00174CAB" w:rsidRDefault="00235061" w:rsidP="001713A8">
            <w:pPr>
              <w:rPr>
                <w:rFonts w:ascii="Calibri" w:hAnsi="Calibri"/>
                <w:b/>
                <w:sz w:val="18"/>
                <w:szCs w:val="18"/>
              </w:rPr>
            </w:pPr>
            <w:r w:rsidRPr="00174CAB">
              <w:rPr>
                <w:rFonts w:ascii="Calibri" w:hAnsi="Calibri"/>
                <w:b/>
                <w:sz w:val="18"/>
                <w:szCs w:val="18"/>
              </w:rPr>
              <w:t>N</w:t>
            </w:r>
            <w:r w:rsidRPr="00174CAB">
              <w:rPr>
                <w:rFonts w:ascii="Calibri" w:hAnsi="Calibri"/>
                <w:b/>
                <w:sz w:val="18"/>
                <w:szCs w:val="18"/>
                <w:vertAlign w:val="subscript"/>
              </w:rPr>
              <w:t>2</w:t>
            </w:r>
            <w:r w:rsidRPr="00174CAB">
              <w:rPr>
                <w:rFonts w:ascii="Calibri" w:hAnsi="Calibri"/>
                <w:b/>
                <w:sz w:val="18"/>
                <w:szCs w:val="18"/>
              </w:rPr>
              <w:t>O</w:t>
            </w:r>
          </w:p>
        </w:tc>
        <w:tc>
          <w:tcPr>
            <w:tcW w:w="1686" w:type="dxa"/>
            <w:vAlign w:val="center"/>
          </w:tcPr>
          <w:p w14:paraId="42EC420D" w14:textId="77777777" w:rsidR="00235061" w:rsidRPr="007F1C52" w:rsidRDefault="00235061" w:rsidP="00DF0924">
            <w:pPr>
              <w:jc w:val="center"/>
              <w:rPr>
                <w:rFonts w:ascii="Calibri" w:hAnsi="Calibri"/>
                <w:sz w:val="18"/>
                <w:szCs w:val="18"/>
              </w:rPr>
            </w:pPr>
            <w:r w:rsidRPr="007F1C52">
              <w:rPr>
                <w:rFonts w:ascii="Calibri" w:hAnsi="Calibri"/>
                <w:sz w:val="18"/>
                <w:szCs w:val="18"/>
              </w:rPr>
              <w:t>4.</w:t>
            </w:r>
            <w:r>
              <w:rPr>
                <w:rFonts w:ascii="Calibri" w:hAnsi="Calibri"/>
                <w:sz w:val="18"/>
                <w:szCs w:val="18"/>
              </w:rPr>
              <w:t>7</w:t>
            </w:r>
          </w:p>
        </w:tc>
        <w:tc>
          <w:tcPr>
            <w:tcW w:w="1635" w:type="dxa"/>
            <w:vAlign w:val="center"/>
          </w:tcPr>
          <w:p w14:paraId="7CAEC728" w14:textId="77777777" w:rsidR="00235061" w:rsidRPr="007F1C52" w:rsidRDefault="00235061" w:rsidP="00DF0924">
            <w:pPr>
              <w:jc w:val="center"/>
              <w:rPr>
                <w:rFonts w:ascii="Calibri" w:hAnsi="Calibri"/>
                <w:sz w:val="18"/>
                <w:szCs w:val="18"/>
              </w:rPr>
            </w:pPr>
            <w:r w:rsidRPr="007F1C52">
              <w:rPr>
                <w:rFonts w:ascii="Calibri" w:hAnsi="Calibri"/>
                <w:sz w:val="18"/>
                <w:szCs w:val="18"/>
              </w:rPr>
              <w:t>0.8</w:t>
            </w:r>
          </w:p>
        </w:tc>
        <w:tc>
          <w:tcPr>
            <w:tcW w:w="1635" w:type="dxa"/>
            <w:vAlign w:val="center"/>
          </w:tcPr>
          <w:p w14:paraId="581B52F3" w14:textId="77777777" w:rsidR="00235061" w:rsidRPr="007F1C52" w:rsidRDefault="00235061" w:rsidP="00DF0924">
            <w:pPr>
              <w:jc w:val="center"/>
              <w:rPr>
                <w:rFonts w:ascii="Calibri" w:hAnsi="Calibri"/>
                <w:sz w:val="18"/>
                <w:szCs w:val="18"/>
              </w:rPr>
            </w:pPr>
            <w:r w:rsidRPr="007F1C52">
              <w:rPr>
                <w:rFonts w:ascii="Calibri" w:hAnsi="Calibri"/>
                <w:sz w:val="18"/>
                <w:szCs w:val="18"/>
              </w:rPr>
              <w:t>16.</w:t>
            </w:r>
            <w:r>
              <w:rPr>
                <w:rFonts w:ascii="Calibri" w:hAnsi="Calibri"/>
                <w:sz w:val="18"/>
                <w:szCs w:val="18"/>
              </w:rPr>
              <w:t>3</w:t>
            </w:r>
          </w:p>
        </w:tc>
        <w:tc>
          <w:tcPr>
            <w:tcW w:w="1636" w:type="dxa"/>
            <w:vAlign w:val="center"/>
          </w:tcPr>
          <w:p w14:paraId="2B4A1337" w14:textId="77777777" w:rsidR="00235061" w:rsidRPr="007F1C52" w:rsidRDefault="00235061" w:rsidP="00DF0924">
            <w:pPr>
              <w:jc w:val="center"/>
              <w:rPr>
                <w:rFonts w:ascii="Calibri" w:hAnsi="Calibri"/>
                <w:sz w:val="18"/>
                <w:szCs w:val="18"/>
              </w:rPr>
            </w:pPr>
            <w:r w:rsidRPr="007F1C52">
              <w:rPr>
                <w:rFonts w:ascii="Calibri" w:hAnsi="Calibri"/>
                <w:sz w:val="18"/>
                <w:szCs w:val="18"/>
              </w:rPr>
              <w:t>-83%</w:t>
            </w:r>
          </w:p>
        </w:tc>
        <w:tc>
          <w:tcPr>
            <w:tcW w:w="1492" w:type="dxa"/>
            <w:vAlign w:val="center"/>
          </w:tcPr>
          <w:p w14:paraId="53CFDDC6" w14:textId="072D1445" w:rsidR="00235061" w:rsidRPr="007F1C52" w:rsidRDefault="00235061" w:rsidP="00DF0924">
            <w:pPr>
              <w:jc w:val="center"/>
              <w:rPr>
                <w:rFonts w:ascii="Calibri" w:hAnsi="Calibri"/>
                <w:sz w:val="18"/>
                <w:szCs w:val="18"/>
              </w:rPr>
            </w:pPr>
            <w:r w:rsidRPr="007F1C52">
              <w:rPr>
                <w:rFonts w:ascii="Calibri" w:hAnsi="Calibri"/>
                <w:sz w:val="18"/>
                <w:szCs w:val="18"/>
              </w:rPr>
              <w:t>24</w:t>
            </w:r>
            <w:r>
              <w:rPr>
                <w:rFonts w:ascii="Calibri" w:hAnsi="Calibri"/>
                <w:sz w:val="18"/>
                <w:szCs w:val="18"/>
              </w:rPr>
              <w:t>7</w:t>
            </w:r>
            <w:r w:rsidRPr="007F1C52">
              <w:rPr>
                <w:rFonts w:ascii="Calibri" w:hAnsi="Calibri"/>
                <w:sz w:val="18"/>
                <w:szCs w:val="18"/>
              </w:rPr>
              <w:t>%</w:t>
            </w:r>
          </w:p>
        </w:tc>
      </w:tr>
      <w:tr w:rsidR="00235061" w:rsidRPr="00ED4794" w14:paraId="36763C90" w14:textId="77777777" w:rsidTr="00DF0924">
        <w:tc>
          <w:tcPr>
            <w:tcW w:w="1492" w:type="dxa"/>
          </w:tcPr>
          <w:p w14:paraId="74A63FF9" w14:textId="77777777" w:rsidR="00235061" w:rsidRPr="00174CAB" w:rsidRDefault="00235061" w:rsidP="001713A8">
            <w:pPr>
              <w:rPr>
                <w:rFonts w:ascii="Calibri" w:hAnsi="Calibri"/>
                <w:b/>
                <w:sz w:val="18"/>
                <w:szCs w:val="18"/>
              </w:rPr>
            </w:pPr>
            <w:r w:rsidRPr="00174CAB">
              <w:rPr>
                <w:rFonts w:ascii="Calibri" w:hAnsi="Calibri"/>
                <w:b/>
                <w:sz w:val="18"/>
                <w:szCs w:val="18"/>
              </w:rPr>
              <w:t>Total</w:t>
            </w:r>
          </w:p>
        </w:tc>
        <w:tc>
          <w:tcPr>
            <w:tcW w:w="1686" w:type="dxa"/>
            <w:vAlign w:val="center"/>
          </w:tcPr>
          <w:p w14:paraId="28F11C49" w14:textId="77777777" w:rsidR="00235061" w:rsidRPr="007F1C52" w:rsidRDefault="00235061" w:rsidP="00DF0924">
            <w:pPr>
              <w:jc w:val="center"/>
              <w:rPr>
                <w:rFonts w:ascii="Calibri" w:hAnsi="Calibri"/>
                <w:sz w:val="18"/>
                <w:szCs w:val="18"/>
              </w:rPr>
            </w:pPr>
            <w:r w:rsidRPr="007F1C52">
              <w:rPr>
                <w:rFonts w:ascii="Calibri" w:hAnsi="Calibri"/>
                <w:sz w:val="18"/>
                <w:szCs w:val="18"/>
              </w:rPr>
              <w:t>1</w:t>
            </w:r>
            <w:r>
              <w:rPr>
                <w:rFonts w:ascii="Calibri" w:hAnsi="Calibri"/>
                <w:sz w:val="18"/>
                <w:szCs w:val="18"/>
              </w:rPr>
              <w:t>1</w:t>
            </w:r>
            <w:r w:rsidRPr="007F1C52">
              <w:rPr>
                <w:rFonts w:ascii="Calibri" w:hAnsi="Calibri"/>
                <w:sz w:val="18"/>
                <w:szCs w:val="18"/>
              </w:rPr>
              <w:t>.</w:t>
            </w:r>
            <w:r>
              <w:rPr>
                <w:rFonts w:ascii="Calibri" w:hAnsi="Calibri"/>
                <w:sz w:val="18"/>
                <w:szCs w:val="18"/>
              </w:rPr>
              <w:t>9</w:t>
            </w:r>
          </w:p>
        </w:tc>
        <w:tc>
          <w:tcPr>
            <w:tcW w:w="1635" w:type="dxa"/>
            <w:vAlign w:val="center"/>
          </w:tcPr>
          <w:p w14:paraId="44D6D47E" w14:textId="77777777" w:rsidR="00235061" w:rsidRPr="007F1C52" w:rsidRDefault="00235061" w:rsidP="00DF0924">
            <w:pPr>
              <w:jc w:val="center"/>
              <w:rPr>
                <w:rFonts w:ascii="Calibri" w:hAnsi="Calibri"/>
                <w:sz w:val="18"/>
                <w:szCs w:val="18"/>
              </w:rPr>
            </w:pPr>
            <w:r w:rsidRPr="007F1C52">
              <w:rPr>
                <w:rFonts w:ascii="Calibri" w:hAnsi="Calibri"/>
                <w:sz w:val="18"/>
                <w:szCs w:val="18"/>
              </w:rPr>
              <w:t>2.</w:t>
            </w:r>
            <w:r>
              <w:rPr>
                <w:rFonts w:ascii="Calibri" w:hAnsi="Calibri"/>
                <w:sz w:val="18"/>
                <w:szCs w:val="18"/>
              </w:rPr>
              <w:t>0</w:t>
            </w:r>
          </w:p>
        </w:tc>
        <w:tc>
          <w:tcPr>
            <w:tcW w:w="1635" w:type="dxa"/>
            <w:vAlign w:val="center"/>
          </w:tcPr>
          <w:p w14:paraId="00A2B38E" w14:textId="77777777" w:rsidR="00235061" w:rsidRPr="007F1C52" w:rsidRDefault="00235061" w:rsidP="00DF0924">
            <w:pPr>
              <w:jc w:val="center"/>
              <w:rPr>
                <w:rFonts w:ascii="Calibri" w:hAnsi="Calibri"/>
                <w:sz w:val="18"/>
                <w:szCs w:val="18"/>
              </w:rPr>
            </w:pPr>
            <w:r w:rsidRPr="007F1C52">
              <w:rPr>
                <w:rFonts w:ascii="Calibri" w:hAnsi="Calibri"/>
                <w:sz w:val="18"/>
                <w:szCs w:val="18"/>
              </w:rPr>
              <w:t>4</w:t>
            </w:r>
            <w:r>
              <w:rPr>
                <w:rFonts w:ascii="Calibri" w:hAnsi="Calibri"/>
                <w:sz w:val="18"/>
                <w:szCs w:val="18"/>
              </w:rPr>
              <w:t>1</w:t>
            </w:r>
            <w:r w:rsidRPr="007F1C52">
              <w:rPr>
                <w:rFonts w:ascii="Calibri" w:hAnsi="Calibri"/>
                <w:sz w:val="18"/>
                <w:szCs w:val="18"/>
              </w:rPr>
              <w:t>.0</w:t>
            </w:r>
          </w:p>
        </w:tc>
        <w:tc>
          <w:tcPr>
            <w:tcW w:w="1636" w:type="dxa"/>
            <w:vAlign w:val="center"/>
          </w:tcPr>
          <w:p w14:paraId="7CCEF086" w14:textId="77777777" w:rsidR="00235061" w:rsidRPr="007F1C52" w:rsidRDefault="00235061" w:rsidP="00DF0924">
            <w:pPr>
              <w:jc w:val="center"/>
              <w:rPr>
                <w:rFonts w:ascii="Calibri" w:hAnsi="Calibri"/>
                <w:sz w:val="18"/>
                <w:szCs w:val="18"/>
              </w:rPr>
            </w:pPr>
            <w:r w:rsidRPr="007F1C52">
              <w:rPr>
                <w:rFonts w:ascii="Calibri" w:hAnsi="Calibri"/>
                <w:sz w:val="18"/>
                <w:szCs w:val="18"/>
              </w:rPr>
              <w:t>-8</w:t>
            </w:r>
            <w:r>
              <w:rPr>
                <w:rFonts w:ascii="Calibri" w:hAnsi="Calibri"/>
                <w:sz w:val="18"/>
                <w:szCs w:val="18"/>
              </w:rPr>
              <w:t>3</w:t>
            </w:r>
            <w:r w:rsidRPr="007F1C52">
              <w:rPr>
                <w:rFonts w:ascii="Calibri" w:hAnsi="Calibri"/>
                <w:sz w:val="18"/>
                <w:szCs w:val="18"/>
              </w:rPr>
              <w:t>%</w:t>
            </w:r>
          </w:p>
        </w:tc>
        <w:tc>
          <w:tcPr>
            <w:tcW w:w="1492" w:type="dxa"/>
            <w:vAlign w:val="center"/>
          </w:tcPr>
          <w:p w14:paraId="29EE4FC0" w14:textId="676F4FBD" w:rsidR="00235061" w:rsidRPr="007F1C52" w:rsidRDefault="00235061" w:rsidP="00DF0924">
            <w:pPr>
              <w:jc w:val="center"/>
              <w:rPr>
                <w:rFonts w:ascii="Calibri" w:hAnsi="Calibri"/>
                <w:sz w:val="18"/>
                <w:szCs w:val="18"/>
              </w:rPr>
            </w:pPr>
            <w:r w:rsidRPr="007F1C52">
              <w:rPr>
                <w:rFonts w:ascii="Calibri" w:hAnsi="Calibri"/>
                <w:sz w:val="18"/>
                <w:szCs w:val="18"/>
              </w:rPr>
              <w:t>24</w:t>
            </w:r>
            <w:r>
              <w:rPr>
                <w:rFonts w:ascii="Calibri" w:hAnsi="Calibri"/>
                <w:sz w:val="18"/>
                <w:szCs w:val="18"/>
              </w:rPr>
              <w:t>5</w:t>
            </w:r>
            <w:r w:rsidRPr="007F1C52">
              <w:rPr>
                <w:rFonts w:ascii="Calibri" w:hAnsi="Calibri"/>
                <w:sz w:val="18"/>
                <w:szCs w:val="18"/>
              </w:rPr>
              <w:t>%</w:t>
            </w:r>
          </w:p>
        </w:tc>
      </w:tr>
    </w:tbl>
    <w:p w14:paraId="70FE228C" w14:textId="77777777" w:rsidR="00235061" w:rsidRPr="007F1C52" w:rsidRDefault="00235061" w:rsidP="000B2554">
      <w:pPr>
        <w:numPr>
          <w:ilvl w:val="0"/>
          <w:numId w:val="3"/>
        </w:numPr>
        <w:contextualSpacing/>
        <w:jc w:val="both"/>
        <w:rPr>
          <w:i/>
          <w:sz w:val="18"/>
          <w:szCs w:val="18"/>
        </w:rPr>
      </w:pPr>
      <w:r w:rsidRPr="007F1C52">
        <w:rPr>
          <w:i/>
          <w:sz w:val="18"/>
          <w:szCs w:val="18"/>
        </w:rPr>
        <w:t>Lower and upper bounds correspond to 2.5</w:t>
      </w:r>
      <w:r w:rsidRPr="00235061">
        <w:rPr>
          <w:i/>
          <w:sz w:val="18"/>
          <w:szCs w:val="18"/>
        </w:rPr>
        <w:t>th</w:t>
      </w:r>
      <w:r w:rsidRPr="007F1C52">
        <w:rPr>
          <w:i/>
          <w:sz w:val="18"/>
          <w:szCs w:val="18"/>
        </w:rPr>
        <w:t xml:space="preserve"> and 97.5</w:t>
      </w:r>
      <w:r w:rsidRPr="00235061">
        <w:rPr>
          <w:i/>
          <w:sz w:val="18"/>
          <w:szCs w:val="18"/>
        </w:rPr>
        <w:t>th</w:t>
      </w:r>
      <w:r w:rsidRPr="007F1C52">
        <w:rPr>
          <w:i/>
          <w:sz w:val="18"/>
          <w:szCs w:val="18"/>
        </w:rPr>
        <w:t xml:space="preserve"> percentiles (95% confidence interval).</w:t>
      </w:r>
    </w:p>
    <w:p w14:paraId="60804493" w14:textId="77777777" w:rsidR="00235061" w:rsidRPr="007F1C52" w:rsidRDefault="00235061" w:rsidP="000B2554">
      <w:pPr>
        <w:numPr>
          <w:ilvl w:val="0"/>
          <w:numId w:val="3"/>
        </w:numPr>
        <w:contextualSpacing/>
        <w:jc w:val="both"/>
        <w:rPr>
          <w:rFonts w:ascii="Calibri" w:hAnsi="Calibri"/>
          <w:i/>
          <w:sz w:val="18"/>
          <w:szCs w:val="18"/>
        </w:rPr>
      </w:pPr>
      <w:r w:rsidRPr="007F1C52">
        <w:rPr>
          <w:i/>
          <w:sz w:val="18"/>
          <w:szCs w:val="18"/>
        </w:rPr>
        <w:t>The relative uncertainties are calculated as a percentage of the 2014 estimate.</w:t>
      </w:r>
    </w:p>
    <w:p w14:paraId="33D3B503" w14:textId="77777777" w:rsidR="00235061" w:rsidRPr="00ED4794" w:rsidRDefault="00235061" w:rsidP="00235061">
      <w:pPr>
        <w:jc w:val="both"/>
        <w:rPr>
          <w:rFonts w:ascii="Calibri" w:hAnsi="Calibri"/>
        </w:rPr>
      </w:pPr>
    </w:p>
    <w:p w14:paraId="5BD4065C" w14:textId="0B49BF33" w:rsidR="00235061" w:rsidRDefault="00235061" w:rsidP="00235061">
      <w:pPr>
        <w:rPr>
          <w:rFonts w:ascii="Calibri" w:hAnsi="Calibri"/>
        </w:rPr>
      </w:pPr>
      <w:r w:rsidRPr="00ED4794">
        <w:rPr>
          <w:rFonts w:ascii="Calibri" w:hAnsi="Calibri"/>
        </w:rPr>
        <w:t xml:space="preserve">The results of the contribution index analysis are shown in </w:t>
      </w:r>
      <w:r w:rsidR="00786332">
        <w:rPr>
          <w:rFonts w:ascii="Calibri" w:hAnsi="Calibri"/>
        </w:rPr>
        <w:t xml:space="preserve">Table </w:t>
      </w:r>
      <w:r w:rsidR="005E4D1E">
        <w:rPr>
          <w:rFonts w:ascii="Calibri" w:hAnsi="Calibri"/>
        </w:rPr>
        <w:t>2</w:t>
      </w:r>
      <w:r w:rsidR="00F0092B">
        <w:rPr>
          <w:rFonts w:ascii="Calibri" w:hAnsi="Calibri"/>
        </w:rPr>
        <w:t>-</w:t>
      </w:r>
      <w:r w:rsidR="00786332">
        <w:rPr>
          <w:rFonts w:ascii="Calibri" w:hAnsi="Calibri"/>
        </w:rPr>
        <w:t>10</w:t>
      </w:r>
      <w:r w:rsidRPr="00ED4794">
        <w:rPr>
          <w:rFonts w:ascii="Calibri" w:hAnsi="Calibri"/>
        </w:rPr>
        <w:t xml:space="preserve">. </w:t>
      </w:r>
      <w:r w:rsidR="00786332">
        <w:rPr>
          <w:rFonts w:ascii="Calibri" w:hAnsi="Calibri"/>
        </w:rPr>
        <w:t>F</w:t>
      </w:r>
      <w:r w:rsidRPr="00ED4794">
        <w:rPr>
          <w:rFonts w:ascii="Calibri" w:hAnsi="Calibri"/>
        </w:rPr>
        <w:t>uel availabilit</w:t>
      </w:r>
      <w:r w:rsidR="00786332">
        <w:rPr>
          <w:rFonts w:ascii="Calibri" w:hAnsi="Calibri"/>
        </w:rPr>
        <w:t>y</w:t>
      </w:r>
      <w:r w:rsidRPr="00ED4794">
        <w:rPr>
          <w:rFonts w:ascii="Calibri" w:hAnsi="Calibri"/>
        </w:rPr>
        <w:t xml:space="preserve"> contribute</w:t>
      </w:r>
      <w:r w:rsidR="00786332">
        <w:rPr>
          <w:rFonts w:ascii="Calibri" w:hAnsi="Calibri"/>
        </w:rPr>
        <w:t>s</w:t>
      </w:r>
      <w:r w:rsidRPr="00ED4794">
        <w:rPr>
          <w:rFonts w:ascii="Calibri" w:hAnsi="Calibri"/>
        </w:rPr>
        <w:t xml:space="preserve"> the largest fraction (74%) of total uncertainty</w:t>
      </w:r>
      <w:r w:rsidR="00786332">
        <w:rPr>
          <w:rFonts w:ascii="Calibri" w:hAnsi="Calibri"/>
        </w:rPr>
        <w:t xml:space="preserve"> and t</w:t>
      </w:r>
      <w:r w:rsidRPr="00ED4794">
        <w:rPr>
          <w:rFonts w:ascii="Calibri" w:hAnsi="Calibri"/>
        </w:rPr>
        <w:t xml:space="preserve">he combustion factor for the conterminous United States contributes </w:t>
      </w:r>
      <w:r w:rsidR="002327E8">
        <w:rPr>
          <w:rFonts w:ascii="Calibri" w:hAnsi="Calibri"/>
        </w:rPr>
        <w:t>a similar</w:t>
      </w:r>
      <w:r w:rsidRPr="00ED4794">
        <w:rPr>
          <w:rFonts w:ascii="Calibri" w:hAnsi="Calibri"/>
        </w:rPr>
        <w:t xml:space="preserve"> amount of uncertainty (</w:t>
      </w:r>
      <w:r>
        <w:rPr>
          <w:rFonts w:ascii="Calibri" w:hAnsi="Calibri"/>
        </w:rPr>
        <w:t>9</w:t>
      </w:r>
      <w:r w:rsidRPr="00ED4794">
        <w:rPr>
          <w:rFonts w:ascii="Calibri" w:hAnsi="Calibri"/>
        </w:rPr>
        <w:t>%) as emission factors (1</w:t>
      </w:r>
      <w:r>
        <w:rPr>
          <w:rFonts w:ascii="Calibri" w:hAnsi="Calibri"/>
        </w:rPr>
        <w:t>6</w:t>
      </w:r>
      <w:r w:rsidRPr="00ED4794">
        <w:rPr>
          <w:rFonts w:ascii="Calibri" w:hAnsi="Calibri"/>
        </w:rPr>
        <w:t>%). Negligible uncertainty is contributed by burned area estimates (0.</w:t>
      </w:r>
      <w:r>
        <w:rPr>
          <w:rFonts w:ascii="Calibri" w:hAnsi="Calibri"/>
        </w:rPr>
        <w:t>5</w:t>
      </w:r>
      <w:r w:rsidRPr="00ED4794">
        <w:rPr>
          <w:rFonts w:ascii="Calibri" w:hAnsi="Calibri"/>
        </w:rPr>
        <w:t>%) and uncertainty in the combined fuel availability and combustion factor applied to fires in Alaska (0</w:t>
      </w:r>
      <w:r>
        <w:rPr>
          <w:rFonts w:ascii="Calibri" w:hAnsi="Calibri"/>
        </w:rPr>
        <w:t>.8</w:t>
      </w:r>
      <w:r w:rsidRPr="00ED4794">
        <w:rPr>
          <w:rFonts w:ascii="Calibri" w:hAnsi="Calibri"/>
        </w:rPr>
        <w:t xml:space="preserve">%). </w:t>
      </w:r>
    </w:p>
    <w:p w14:paraId="10390BCE" w14:textId="77777777" w:rsidR="00C442A0" w:rsidRDefault="00C442A0" w:rsidP="00235061">
      <w:pPr>
        <w:rPr>
          <w:rFonts w:ascii="Calibri" w:hAnsi="Calibri"/>
        </w:rPr>
      </w:pPr>
    </w:p>
    <w:p w14:paraId="108606F5" w14:textId="77777777" w:rsidR="00F0092B" w:rsidRDefault="00F0092B" w:rsidP="00235061">
      <w:pPr>
        <w:rPr>
          <w:rFonts w:ascii="Calibri" w:hAnsi="Calibri"/>
        </w:rPr>
      </w:pPr>
    </w:p>
    <w:p w14:paraId="68785A9F" w14:textId="77777777" w:rsidR="002327E8" w:rsidRDefault="002327E8" w:rsidP="00235061">
      <w:pPr>
        <w:rPr>
          <w:rFonts w:ascii="Calibri" w:hAnsi="Calibri"/>
        </w:rPr>
      </w:pPr>
    </w:p>
    <w:p w14:paraId="1018A461" w14:textId="77777777" w:rsidR="00786332" w:rsidRDefault="00786332" w:rsidP="00235061">
      <w:pPr>
        <w:rPr>
          <w:rFonts w:ascii="Calibri" w:hAnsi="Calibri"/>
        </w:rPr>
      </w:pPr>
    </w:p>
    <w:p w14:paraId="1C66CBD9" w14:textId="77777777" w:rsidR="00786332" w:rsidRDefault="00786332" w:rsidP="00235061">
      <w:pPr>
        <w:rPr>
          <w:rFonts w:ascii="Calibri" w:hAnsi="Calibri"/>
        </w:rPr>
      </w:pPr>
    </w:p>
    <w:p w14:paraId="2EA6F68F" w14:textId="77777777" w:rsidR="00786332" w:rsidRDefault="00786332" w:rsidP="00235061">
      <w:pPr>
        <w:rPr>
          <w:rFonts w:ascii="Calibri" w:hAnsi="Calibri"/>
        </w:rPr>
      </w:pPr>
    </w:p>
    <w:p w14:paraId="564DA4AA" w14:textId="77777777" w:rsidR="00786332" w:rsidRDefault="00786332" w:rsidP="00235061">
      <w:pPr>
        <w:rPr>
          <w:rFonts w:ascii="Calibri" w:hAnsi="Calibri"/>
        </w:rPr>
      </w:pPr>
    </w:p>
    <w:p w14:paraId="00C59C15" w14:textId="77777777" w:rsidR="00F0092B" w:rsidRDefault="00F0092B" w:rsidP="00235061">
      <w:pPr>
        <w:rPr>
          <w:rFonts w:ascii="Calibri" w:hAnsi="Calibri"/>
        </w:rPr>
      </w:pPr>
    </w:p>
    <w:p w14:paraId="564867B6" w14:textId="77777777" w:rsidR="00C442A0" w:rsidRDefault="00C442A0" w:rsidP="00235061">
      <w:pPr>
        <w:rPr>
          <w:rFonts w:ascii="Calibri" w:hAnsi="Calibri"/>
        </w:rPr>
      </w:pPr>
    </w:p>
    <w:p w14:paraId="7004E231" w14:textId="2738C01A" w:rsidR="00235061" w:rsidRPr="009C49E3" w:rsidRDefault="00235061" w:rsidP="00235061">
      <w:pPr>
        <w:pStyle w:val="Caption"/>
        <w:rPr>
          <w:rFonts w:ascii="Calibri" w:hAnsi="Calibri"/>
          <w:b/>
          <w:bCs/>
          <w:sz w:val="22"/>
          <w:szCs w:val="22"/>
        </w:rPr>
      </w:pPr>
      <w:r w:rsidRPr="009C49E3">
        <w:rPr>
          <w:b/>
          <w:sz w:val="22"/>
          <w:szCs w:val="22"/>
        </w:rPr>
        <w:lastRenderedPageBreak/>
        <w:t xml:space="preserve">Table </w:t>
      </w:r>
      <w:r w:rsidR="005E4D1E">
        <w:rPr>
          <w:b/>
          <w:sz w:val="22"/>
          <w:szCs w:val="22"/>
        </w:rPr>
        <w:t>2</w:t>
      </w:r>
      <w:r w:rsidR="00F0092B">
        <w:rPr>
          <w:b/>
          <w:sz w:val="22"/>
          <w:szCs w:val="22"/>
        </w:rPr>
        <w:t>-</w:t>
      </w:r>
      <w:r w:rsidR="00786332">
        <w:rPr>
          <w:b/>
          <w:sz w:val="22"/>
          <w:szCs w:val="22"/>
        </w:rPr>
        <w:t>10</w:t>
      </w:r>
      <w:r w:rsidRPr="009C49E3">
        <w:rPr>
          <w:b/>
          <w:sz w:val="22"/>
          <w:szCs w:val="22"/>
        </w:rPr>
        <w:t xml:space="preserve">: </w:t>
      </w:r>
      <w:r w:rsidR="00A9645A">
        <w:rPr>
          <w:b/>
          <w:sz w:val="22"/>
          <w:szCs w:val="22"/>
        </w:rPr>
        <w:t xml:space="preserve">RESULTS - </w:t>
      </w:r>
      <w:r w:rsidRPr="009C49E3">
        <w:rPr>
          <w:b/>
          <w:sz w:val="22"/>
          <w:szCs w:val="22"/>
        </w:rPr>
        <w:t>Contributions to uncertainty for non-CO</w:t>
      </w:r>
      <w:r w:rsidRPr="00245D8A">
        <w:rPr>
          <w:b/>
          <w:sz w:val="22"/>
          <w:szCs w:val="22"/>
          <w:vertAlign w:val="subscript"/>
        </w:rPr>
        <w:t>2</w:t>
      </w:r>
      <w:r w:rsidRPr="009C49E3">
        <w:rPr>
          <w:b/>
          <w:sz w:val="22"/>
          <w:szCs w:val="22"/>
        </w:rPr>
        <w:t xml:space="preserve"> emissions from forest fires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5"/>
        <w:gridCol w:w="1969"/>
        <w:gridCol w:w="1969"/>
        <w:gridCol w:w="1967"/>
      </w:tblGrid>
      <w:tr w:rsidR="00235061" w:rsidRPr="00ED4794" w14:paraId="4A728AB2" w14:textId="77777777" w:rsidTr="00DF0924">
        <w:trPr>
          <w:cantSplit/>
          <w:trHeight w:val="710"/>
          <w:tblHeader/>
        </w:trPr>
        <w:tc>
          <w:tcPr>
            <w:tcW w:w="1842" w:type="pct"/>
            <w:tcBorders>
              <w:top w:val="single" w:sz="4" w:space="0" w:color="auto"/>
              <w:left w:val="single" w:sz="4" w:space="0" w:color="auto"/>
              <w:bottom w:val="single" w:sz="4" w:space="0" w:color="auto"/>
              <w:right w:val="single" w:sz="4" w:space="0" w:color="auto"/>
            </w:tcBorders>
            <w:shd w:val="clear" w:color="auto" w:fill="FFC000"/>
            <w:vAlign w:val="center"/>
          </w:tcPr>
          <w:p w14:paraId="06666BCA" w14:textId="77777777" w:rsidR="00235061" w:rsidRPr="00ED4794" w:rsidRDefault="00235061" w:rsidP="00DF0924">
            <w:pPr>
              <w:spacing w:after="0" w:line="240" w:lineRule="auto"/>
              <w:jc w:val="center"/>
              <w:rPr>
                <w:rFonts w:ascii="Calibri" w:eastAsia="Times New Roman" w:hAnsi="Calibri" w:cs="Calibri"/>
                <w:b/>
                <w:color w:val="000000"/>
                <w:sz w:val="18"/>
                <w:szCs w:val="18"/>
              </w:rPr>
            </w:pPr>
            <w:r w:rsidRPr="00ED4794">
              <w:rPr>
                <w:rFonts w:ascii="Calibri" w:eastAsia="Times New Roman" w:hAnsi="Calibri" w:cs="Calibri"/>
                <w:b/>
                <w:color w:val="000000"/>
                <w:sz w:val="18"/>
                <w:szCs w:val="18"/>
              </w:rPr>
              <w:t>Variable held constant</w:t>
            </w:r>
          </w:p>
        </w:tc>
        <w:tc>
          <w:tcPr>
            <w:tcW w:w="1053" w:type="pct"/>
            <w:tcBorders>
              <w:top w:val="single" w:sz="4" w:space="0" w:color="auto"/>
              <w:left w:val="single" w:sz="4" w:space="0" w:color="auto"/>
              <w:bottom w:val="single" w:sz="4" w:space="0" w:color="auto"/>
              <w:right w:val="single" w:sz="4" w:space="0" w:color="auto"/>
            </w:tcBorders>
            <w:shd w:val="clear" w:color="auto" w:fill="FFC000"/>
            <w:noWrap/>
            <w:vAlign w:val="center"/>
          </w:tcPr>
          <w:p w14:paraId="2241CCC5" w14:textId="77777777" w:rsidR="00235061" w:rsidRPr="00ED4794" w:rsidRDefault="00235061" w:rsidP="00DF0924">
            <w:pPr>
              <w:spacing w:after="0" w:line="240" w:lineRule="auto"/>
              <w:jc w:val="center"/>
              <w:rPr>
                <w:rFonts w:ascii="Calibri" w:eastAsia="Times New Roman" w:hAnsi="Calibri" w:cs="Calibri"/>
                <w:b/>
                <w:color w:val="000000"/>
                <w:sz w:val="18"/>
                <w:szCs w:val="18"/>
              </w:rPr>
            </w:pPr>
            <w:r w:rsidRPr="00ED4794">
              <w:rPr>
                <w:rFonts w:ascii="Calibri" w:eastAsia="Times New Roman" w:hAnsi="Calibri" w:cs="Calibri"/>
                <w:b/>
                <w:color w:val="000000"/>
                <w:sz w:val="18"/>
                <w:szCs w:val="18"/>
              </w:rPr>
              <w:t>Range of 95% confidence interval (MMT CO</w:t>
            </w:r>
            <w:r w:rsidRPr="00ED4794">
              <w:rPr>
                <w:rFonts w:ascii="Calibri" w:eastAsia="Times New Roman" w:hAnsi="Calibri" w:cs="Calibri"/>
                <w:b/>
                <w:color w:val="000000"/>
                <w:sz w:val="18"/>
                <w:szCs w:val="18"/>
                <w:vertAlign w:val="subscript"/>
              </w:rPr>
              <w:t>2</w:t>
            </w:r>
            <w:r w:rsidRPr="00ED4794">
              <w:rPr>
                <w:rFonts w:ascii="Calibri" w:eastAsia="Times New Roman" w:hAnsi="Calibri" w:cs="Calibri"/>
                <w:b/>
                <w:color w:val="000000"/>
                <w:sz w:val="18"/>
                <w:szCs w:val="18"/>
              </w:rPr>
              <w:t>e)</w:t>
            </w:r>
          </w:p>
        </w:tc>
        <w:tc>
          <w:tcPr>
            <w:tcW w:w="1053" w:type="pct"/>
            <w:tcBorders>
              <w:top w:val="single" w:sz="4" w:space="0" w:color="auto"/>
              <w:left w:val="single" w:sz="4" w:space="0" w:color="auto"/>
              <w:bottom w:val="single" w:sz="4" w:space="0" w:color="auto"/>
              <w:right w:val="single" w:sz="4" w:space="0" w:color="auto"/>
            </w:tcBorders>
            <w:shd w:val="clear" w:color="auto" w:fill="FFC000"/>
            <w:noWrap/>
            <w:vAlign w:val="center"/>
          </w:tcPr>
          <w:p w14:paraId="515977BC" w14:textId="77777777" w:rsidR="00235061" w:rsidRPr="00ED4794" w:rsidRDefault="00235061" w:rsidP="00DF0924">
            <w:pPr>
              <w:spacing w:after="0" w:line="240" w:lineRule="auto"/>
              <w:jc w:val="center"/>
              <w:rPr>
                <w:rFonts w:ascii="Calibri" w:eastAsia="Times New Roman" w:hAnsi="Calibri" w:cs="Calibri"/>
                <w:b/>
                <w:color w:val="000000"/>
                <w:sz w:val="18"/>
                <w:szCs w:val="18"/>
              </w:rPr>
            </w:pPr>
            <w:r w:rsidRPr="00ED4794">
              <w:rPr>
                <w:rFonts w:ascii="Calibri" w:eastAsia="Times New Roman" w:hAnsi="Calibri" w:cs="Calibri"/>
                <w:b/>
                <w:color w:val="000000"/>
                <w:sz w:val="18"/>
                <w:szCs w:val="18"/>
              </w:rPr>
              <w:t>Contribution to uncertainty (%)</w:t>
            </w:r>
          </w:p>
        </w:tc>
        <w:tc>
          <w:tcPr>
            <w:tcW w:w="1053" w:type="pct"/>
            <w:tcBorders>
              <w:top w:val="single" w:sz="4" w:space="0" w:color="auto"/>
              <w:left w:val="single" w:sz="4" w:space="0" w:color="auto"/>
              <w:bottom w:val="single" w:sz="4" w:space="0" w:color="auto"/>
              <w:right w:val="single" w:sz="4" w:space="0" w:color="auto"/>
            </w:tcBorders>
            <w:shd w:val="clear" w:color="auto" w:fill="FFC000"/>
            <w:vAlign w:val="center"/>
          </w:tcPr>
          <w:p w14:paraId="70533CCA" w14:textId="4B058DCD" w:rsidR="00235061" w:rsidRPr="00ED4794" w:rsidRDefault="00235061" w:rsidP="00DF0924">
            <w:pPr>
              <w:spacing w:after="0" w:line="240" w:lineRule="auto"/>
              <w:jc w:val="center"/>
              <w:rPr>
                <w:rFonts w:ascii="Calibri" w:eastAsia="Times New Roman" w:hAnsi="Calibri" w:cs="Calibri"/>
                <w:b/>
                <w:color w:val="000000"/>
                <w:sz w:val="18"/>
                <w:szCs w:val="18"/>
              </w:rPr>
            </w:pPr>
            <w:r w:rsidRPr="00ED4794">
              <w:rPr>
                <w:rFonts w:ascii="Calibri" w:eastAsia="Times New Roman" w:hAnsi="Calibri" w:cs="Calibri"/>
                <w:b/>
                <w:color w:val="000000"/>
                <w:sz w:val="18"/>
                <w:szCs w:val="18"/>
              </w:rPr>
              <w:t>Contribution to uncertainty</w:t>
            </w:r>
          </w:p>
          <w:p w14:paraId="444FF4E3" w14:textId="77777777" w:rsidR="00235061" w:rsidRPr="00ED4794" w:rsidDel="001D4241" w:rsidRDefault="00235061" w:rsidP="00DF0924">
            <w:pPr>
              <w:spacing w:after="0" w:line="240" w:lineRule="auto"/>
              <w:jc w:val="center"/>
              <w:rPr>
                <w:rFonts w:ascii="Calibri" w:eastAsia="Times New Roman" w:hAnsi="Calibri" w:cs="Calibri"/>
                <w:b/>
                <w:color w:val="000000"/>
                <w:sz w:val="18"/>
                <w:szCs w:val="18"/>
              </w:rPr>
            </w:pPr>
            <w:r w:rsidRPr="00ED4794">
              <w:rPr>
                <w:rFonts w:ascii="Calibri" w:eastAsia="Times New Roman" w:hAnsi="Calibri" w:cs="Calibri"/>
                <w:b/>
                <w:color w:val="000000"/>
                <w:sz w:val="18"/>
                <w:szCs w:val="18"/>
              </w:rPr>
              <w:t>(MMT CO</w:t>
            </w:r>
            <w:r w:rsidRPr="00ED4794">
              <w:rPr>
                <w:rFonts w:ascii="Calibri" w:eastAsia="Times New Roman" w:hAnsi="Calibri" w:cs="Calibri"/>
                <w:b/>
                <w:color w:val="000000"/>
                <w:sz w:val="18"/>
                <w:szCs w:val="18"/>
                <w:vertAlign w:val="subscript"/>
              </w:rPr>
              <w:t>2</w:t>
            </w:r>
            <w:r w:rsidRPr="00ED4794">
              <w:rPr>
                <w:rFonts w:ascii="Calibri" w:eastAsia="Times New Roman" w:hAnsi="Calibri" w:cs="Calibri"/>
                <w:b/>
                <w:color w:val="000000"/>
                <w:sz w:val="18"/>
                <w:szCs w:val="18"/>
              </w:rPr>
              <w:t>e)</w:t>
            </w:r>
          </w:p>
        </w:tc>
      </w:tr>
      <w:tr w:rsidR="00235061" w:rsidRPr="00ED4794" w14:paraId="6CD124BC" w14:textId="77777777" w:rsidTr="00DF0924">
        <w:trPr>
          <w:cantSplit/>
          <w:trHeight w:val="404"/>
        </w:trPr>
        <w:tc>
          <w:tcPr>
            <w:tcW w:w="1842" w:type="pct"/>
            <w:tcBorders>
              <w:top w:val="single" w:sz="4" w:space="0" w:color="auto"/>
              <w:left w:val="single" w:sz="4" w:space="0" w:color="auto"/>
              <w:bottom w:val="single" w:sz="4" w:space="0" w:color="auto"/>
              <w:right w:val="single" w:sz="4" w:space="0" w:color="auto"/>
            </w:tcBorders>
            <w:vAlign w:val="center"/>
          </w:tcPr>
          <w:p w14:paraId="273FAD86" w14:textId="77777777" w:rsidR="00235061" w:rsidRPr="00174CAB" w:rsidRDefault="00235061" w:rsidP="00DF0924">
            <w:pPr>
              <w:spacing w:after="0" w:line="240" w:lineRule="auto"/>
              <w:rPr>
                <w:rFonts w:ascii="Calibri" w:eastAsia="Times New Roman" w:hAnsi="Calibri" w:cs="Calibri"/>
                <w:color w:val="000000"/>
                <w:sz w:val="18"/>
                <w:szCs w:val="18"/>
              </w:rPr>
            </w:pPr>
            <w:r w:rsidRPr="00174CAB">
              <w:rPr>
                <w:rFonts w:ascii="Calibri" w:eastAsia="Times New Roman" w:hAnsi="Calibri" w:cs="Calibri"/>
                <w:color w:val="000000"/>
                <w:sz w:val="18"/>
                <w:szCs w:val="18"/>
              </w:rPr>
              <w:t>None (all vary)</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F0C5DF" w14:textId="417302F9" w:rsidR="00235061" w:rsidRPr="00ED4794" w:rsidRDefault="004A5467" w:rsidP="00DF092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39.0</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E3CDD5" w14:textId="77777777" w:rsidR="00235061" w:rsidRPr="00ED4794" w:rsidRDefault="00235061" w:rsidP="00DF0924">
            <w:pPr>
              <w:spacing w:after="0" w:line="240" w:lineRule="auto"/>
              <w:jc w:val="center"/>
              <w:rPr>
                <w:rFonts w:ascii="Calibri" w:eastAsia="Times New Roman" w:hAnsi="Calibri" w:cs="Calibri"/>
                <w:color w:val="000000"/>
                <w:sz w:val="18"/>
                <w:szCs w:val="18"/>
              </w:rPr>
            </w:pPr>
            <w:r w:rsidRPr="00ED4794">
              <w:rPr>
                <w:rFonts w:ascii="Calibri" w:eastAsia="Times New Roman" w:hAnsi="Calibri" w:cs="Calibri"/>
                <w:color w:val="000000"/>
                <w:sz w:val="18"/>
                <w:szCs w:val="18"/>
              </w:rPr>
              <w:t>-</w:t>
            </w:r>
          </w:p>
        </w:tc>
        <w:tc>
          <w:tcPr>
            <w:tcW w:w="1053" w:type="pct"/>
            <w:tcBorders>
              <w:top w:val="single" w:sz="4" w:space="0" w:color="auto"/>
              <w:left w:val="single" w:sz="4" w:space="0" w:color="auto"/>
              <w:bottom w:val="single" w:sz="4" w:space="0" w:color="auto"/>
              <w:right w:val="single" w:sz="4" w:space="0" w:color="auto"/>
            </w:tcBorders>
            <w:vAlign w:val="center"/>
          </w:tcPr>
          <w:p w14:paraId="215C4BB5" w14:textId="77777777" w:rsidR="00235061" w:rsidRPr="00ED4794" w:rsidRDefault="00235061" w:rsidP="00DF0924">
            <w:pPr>
              <w:spacing w:after="0" w:line="240" w:lineRule="auto"/>
              <w:jc w:val="center"/>
              <w:rPr>
                <w:rFonts w:ascii="Calibri" w:eastAsia="Times New Roman" w:hAnsi="Calibri" w:cs="Calibri"/>
                <w:color w:val="000000"/>
                <w:sz w:val="18"/>
                <w:szCs w:val="18"/>
              </w:rPr>
            </w:pPr>
            <w:r w:rsidRPr="00ED4794">
              <w:rPr>
                <w:rFonts w:ascii="Calibri" w:eastAsia="Times New Roman" w:hAnsi="Calibri" w:cs="Calibri"/>
                <w:color w:val="000000"/>
                <w:sz w:val="18"/>
                <w:szCs w:val="18"/>
              </w:rPr>
              <w:t>-</w:t>
            </w:r>
          </w:p>
        </w:tc>
      </w:tr>
      <w:tr w:rsidR="00235061" w:rsidRPr="00ED4794" w14:paraId="615E07B8" w14:textId="77777777" w:rsidTr="00DF0924">
        <w:trPr>
          <w:cantSplit/>
          <w:trHeight w:val="451"/>
        </w:trPr>
        <w:tc>
          <w:tcPr>
            <w:tcW w:w="1842" w:type="pct"/>
            <w:tcBorders>
              <w:top w:val="single" w:sz="4" w:space="0" w:color="auto"/>
              <w:left w:val="single" w:sz="4" w:space="0" w:color="auto"/>
              <w:bottom w:val="single" w:sz="4" w:space="0" w:color="auto"/>
              <w:right w:val="single" w:sz="4" w:space="0" w:color="auto"/>
            </w:tcBorders>
            <w:vAlign w:val="center"/>
          </w:tcPr>
          <w:p w14:paraId="2E7B332A" w14:textId="77777777" w:rsidR="00235061" w:rsidRPr="00174CAB" w:rsidRDefault="00235061" w:rsidP="00DF0924">
            <w:pPr>
              <w:spacing w:after="0" w:line="240" w:lineRule="auto"/>
              <w:rPr>
                <w:rFonts w:ascii="Calibri" w:eastAsia="Times New Roman" w:hAnsi="Calibri" w:cs="Calibri"/>
                <w:color w:val="000000"/>
                <w:sz w:val="18"/>
                <w:szCs w:val="18"/>
              </w:rPr>
            </w:pPr>
            <w:r w:rsidRPr="00174CAB">
              <w:rPr>
                <w:rFonts w:ascii="Calibri" w:eastAsia="Times New Roman" w:hAnsi="Calibri" w:cs="Calibri"/>
                <w:color w:val="000000"/>
                <w:sz w:val="18"/>
                <w:szCs w:val="18"/>
              </w:rPr>
              <w:t>Burned area</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669744" w14:textId="083F8A2F" w:rsidR="00235061" w:rsidRPr="00ED4794" w:rsidRDefault="00235061" w:rsidP="00DF0924">
            <w:pPr>
              <w:spacing w:after="0" w:line="240" w:lineRule="auto"/>
              <w:jc w:val="center"/>
              <w:rPr>
                <w:rFonts w:ascii="Calibri" w:eastAsia="Times New Roman" w:hAnsi="Calibri" w:cs="Calibri"/>
                <w:color w:val="000000"/>
                <w:sz w:val="18"/>
                <w:szCs w:val="18"/>
              </w:rPr>
            </w:pPr>
            <w:r w:rsidRPr="00ED4794">
              <w:rPr>
                <w:rFonts w:ascii="Calibri" w:eastAsia="Times New Roman" w:hAnsi="Calibri" w:cs="Calibri"/>
                <w:color w:val="000000"/>
                <w:sz w:val="18"/>
                <w:szCs w:val="18"/>
              </w:rPr>
              <w:t>3</w:t>
            </w:r>
            <w:r w:rsidR="004A5467">
              <w:rPr>
                <w:rFonts w:ascii="Calibri" w:eastAsia="Times New Roman" w:hAnsi="Calibri" w:cs="Calibri"/>
                <w:color w:val="000000"/>
                <w:sz w:val="18"/>
                <w:szCs w:val="18"/>
              </w:rPr>
              <w:t>8.8</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C5F0B5" w14:textId="3A9CAC7E" w:rsidR="00235061" w:rsidRPr="00ED4794" w:rsidRDefault="00235061" w:rsidP="00DF0924">
            <w:pPr>
              <w:spacing w:after="0" w:line="240" w:lineRule="auto"/>
              <w:jc w:val="center"/>
              <w:rPr>
                <w:rFonts w:ascii="Calibri" w:eastAsia="Times New Roman" w:hAnsi="Calibri" w:cs="Calibri"/>
                <w:color w:val="000000"/>
                <w:sz w:val="18"/>
                <w:szCs w:val="18"/>
              </w:rPr>
            </w:pPr>
            <w:r w:rsidRPr="00ED4794">
              <w:rPr>
                <w:rFonts w:ascii="Calibri" w:eastAsia="Times New Roman" w:hAnsi="Calibri" w:cs="Calibri"/>
                <w:color w:val="000000"/>
                <w:sz w:val="18"/>
                <w:szCs w:val="18"/>
              </w:rPr>
              <w:t>0.</w:t>
            </w:r>
            <w:r w:rsidR="004A5467">
              <w:rPr>
                <w:rFonts w:ascii="Calibri" w:eastAsia="Times New Roman" w:hAnsi="Calibri" w:cs="Calibri"/>
                <w:color w:val="000000"/>
                <w:sz w:val="18"/>
                <w:szCs w:val="18"/>
              </w:rPr>
              <w:t>8</w:t>
            </w:r>
          </w:p>
        </w:tc>
        <w:tc>
          <w:tcPr>
            <w:tcW w:w="1053" w:type="pct"/>
            <w:tcBorders>
              <w:top w:val="single" w:sz="4" w:space="0" w:color="auto"/>
              <w:left w:val="single" w:sz="4" w:space="0" w:color="auto"/>
              <w:bottom w:val="single" w:sz="4" w:space="0" w:color="auto"/>
              <w:right w:val="single" w:sz="4" w:space="0" w:color="auto"/>
            </w:tcBorders>
            <w:vAlign w:val="center"/>
          </w:tcPr>
          <w:p w14:paraId="55B023E6" w14:textId="1653FFAB" w:rsidR="00235061" w:rsidRPr="00ED4794" w:rsidRDefault="00235061" w:rsidP="004A5467">
            <w:pPr>
              <w:spacing w:after="0" w:line="240" w:lineRule="auto"/>
              <w:jc w:val="center"/>
              <w:rPr>
                <w:rFonts w:ascii="Calibri" w:eastAsia="Times New Roman" w:hAnsi="Calibri" w:cs="Calibri"/>
                <w:color w:val="000000"/>
                <w:sz w:val="18"/>
                <w:szCs w:val="18"/>
              </w:rPr>
            </w:pPr>
            <w:r w:rsidRPr="00ED4794">
              <w:rPr>
                <w:rFonts w:ascii="Calibri" w:eastAsia="Times New Roman" w:hAnsi="Calibri" w:cs="Calibri"/>
                <w:color w:val="000000"/>
                <w:sz w:val="18"/>
                <w:szCs w:val="18"/>
              </w:rPr>
              <w:t>0.</w:t>
            </w:r>
            <w:r w:rsidR="004A5467">
              <w:rPr>
                <w:rFonts w:ascii="Calibri" w:eastAsia="Times New Roman" w:hAnsi="Calibri" w:cs="Calibri"/>
                <w:color w:val="000000"/>
                <w:sz w:val="18"/>
                <w:szCs w:val="18"/>
              </w:rPr>
              <w:t>3</w:t>
            </w:r>
          </w:p>
        </w:tc>
      </w:tr>
      <w:tr w:rsidR="00235061" w:rsidRPr="00ED4794" w14:paraId="5DA18C59" w14:textId="77777777" w:rsidTr="00DF0924">
        <w:trPr>
          <w:cantSplit/>
          <w:trHeight w:val="451"/>
        </w:trPr>
        <w:tc>
          <w:tcPr>
            <w:tcW w:w="1842" w:type="pct"/>
            <w:tcBorders>
              <w:top w:val="single" w:sz="4" w:space="0" w:color="auto"/>
              <w:left w:val="single" w:sz="4" w:space="0" w:color="auto"/>
              <w:bottom w:val="single" w:sz="4" w:space="0" w:color="auto"/>
              <w:right w:val="single" w:sz="4" w:space="0" w:color="auto"/>
            </w:tcBorders>
            <w:vAlign w:val="center"/>
          </w:tcPr>
          <w:p w14:paraId="6F5AFD86" w14:textId="77777777" w:rsidR="00235061" w:rsidRPr="00174CAB" w:rsidRDefault="00235061" w:rsidP="00DF0924">
            <w:pPr>
              <w:spacing w:after="0" w:line="240" w:lineRule="auto"/>
              <w:rPr>
                <w:rFonts w:ascii="Calibri" w:eastAsia="Times New Roman" w:hAnsi="Calibri" w:cs="Calibri"/>
                <w:color w:val="000000"/>
                <w:sz w:val="18"/>
                <w:szCs w:val="18"/>
              </w:rPr>
            </w:pPr>
            <w:r w:rsidRPr="00174CAB">
              <w:rPr>
                <w:rFonts w:ascii="Calibri" w:eastAsia="Times New Roman" w:hAnsi="Calibri" w:cs="Calibri"/>
                <w:color w:val="000000"/>
                <w:sz w:val="18"/>
                <w:szCs w:val="18"/>
              </w:rPr>
              <w:t>CONUS fuel availabilities</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BCFC29" w14:textId="39E54046" w:rsidR="00235061" w:rsidRPr="00ED4794" w:rsidRDefault="00235061" w:rsidP="00DF0924">
            <w:pPr>
              <w:spacing w:after="0" w:line="240" w:lineRule="auto"/>
              <w:jc w:val="center"/>
              <w:rPr>
                <w:rFonts w:ascii="Calibri" w:eastAsia="Times New Roman" w:hAnsi="Calibri" w:cs="Calibri"/>
                <w:color w:val="000000"/>
                <w:sz w:val="18"/>
                <w:szCs w:val="18"/>
              </w:rPr>
            </w:pPr>
            <w:r w:rsidRPr="00ED4794">
              <w:rPr>
                <w:rFonts w:ascii="Calibri" w:eastAsia="Times New Roman" w:hAnsi="Calibri" w:cs="Calibri"/>
                <w:color w:val="000000"/>
                <w:sz w:val="18"/>
                <w:szCs w:val="18"/>
              </w:rPr>
              <w:t>19.</w:t>
            </w:r>
            <w:r w:rsidR="004A5467">
              <w:rPr>
                <w:rFonts w:ascii="Calibri" w:eastAsia="Times New Roman" w:hAnsi="Calibri" w:cs="Calibri"/>
                <w:color w:val="000000"/>
                <w:sz w:val="18"/>
                <w:szCs w:val="18"/>
              </w:rPr>
              <w:t>5</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227BC0" w14:textId="2DE8452B" w:rsidR="00235061" w:rsidRPr="00ED4794" w:rsidRDefault="00235061" w:rsidP="00DF0924">
            <w:pPr>
              <w:spacing w:after="0" w:line="240" w:lineRule="auto"/>
              <w:jc w:val="center"/>
              <w:rPr>
                <w:rFonts w:ascii="Calibri" w:eastAsia="Times New Roman" w:hAnsi="Calibri" w:cs="Calibri"/>
                <w:color w:val="000000"/>
                <w:sz w:val="18"/>
                <w:szCs w:val="18"/>
              </w:rPr>
            </w:pPr>
            <w:r w:rsidRPr="00ED4794">
              <w:rPr>
                <w:rFonts w:ascii="Calibri" w:eastAsia="Times New Roman" w:hAnsi="Calibri" w:cs="Calibri"/>
                <w:color w:val="000000"/>
                <w:sz w:val="18"/>
                <w:szCs w:val="18"/>
              </w:rPr>
              <w:t>73.</w:t>
            </w:r>
            <w:r w:rsidR="004A5467">
              <w:rPr>
                <w:rFonts w:ascii="Calibri" w:eastAsia="Times New Roman" w:hAnsi="Calibri" w:cs="Calibri"/>
                <w:color w:val="000000"/>
                <w:sz w:val="18"/>
                <w:szCs w:val="18"/>
              </w:rPr>
              <w:t>6</w:t>
            </w:r>
          </w:p>
        </w:tc>
        <w:tc>
          <w:tcPr>
            <w:tcW w:w="1053" w:type="pct"/>
            <w:tcBorders>
              <w:top w:val="single" w:sz="4" w:space="0" w:color="auto"/>
              <w:left w:val="single" w:sz="4" w:space="0" w:color="auto"/>
              <w:bottom w:val="single" w:sz="4" w:space="0" w:color="auto"/>
              <w:right w:val="single" w:sz="4" w:space="0" w:color="auto"/>
            </w:tcBorders>
            <w:vAlign w:val="center"/>
          </w:tcPr>
          <w:p w14:paraId="6EF239D5" w14:textId="64D09B4A" w:rsidR="00235061" w:rsidRPr="00ED4794" w:rsidRDefault="00235061" w:rsidP="00DF0924">
            <w:pPr>
              <w:spacing w:after="0" w:line="240" w:lineRule="auto"/>
              <w:jc w:val="center"/>
              <w:rPr>
                <w:rFonts w:ascii="Calibri" w:eastAsia="Times New Roman" w:hAnsi="Calibri" w:cs="Calibri"/>
                <w:color w:val="000000"/>
                <w:sz w:val="18"/>
                <w:szCs w:val="18"/>
              </w:rPr>
            </w:pPr>
            <w:r w:rsidRPr="00ED4794">
              <w:rPr>
                <w:rFonts w:ascii="Calibri" w:eastAsia="Times New Roman" w:hAnsi="Calibri" w:cs="Calibri"/>
                <w:color w:val="000000"/>
                <w:sz w:val="18"/>
                <w:szCs w:val="18"/>
              </w:rPr>
              <w:t>2</w:t>
            </w:r>
            <w:r w:rsidR="004A5467">
              <w:rPr>
                <w:rFonts w:ascii="Calibri" w:eastAsia="Times New Roman" w:hAnsi="Calibri" w:cs="Calibri"/>
                <w:color w:val="000000"/>
                <w:sz w:val="18"/>
                <w:szCs w:val="18"/>
              </w:rPr>
              <w:t>8.7</w:t>
            </w:r>
          </w:p>
        </w:tc>
      </w:tr>
      <w:tr w:rsidR="00235061" w:rsidRPr="00ED4794" w14:paraId="62F75193" w14:textId="77777777" w:rsidTr="00DF0924">
        <w:trPr>
          <w:cantSplit/>
          <w:trHeight w:val="451"/>
        </w:trPr>
        <w:tc>
          <w:tcPr>
            <w:tcW w:w="1842" w:type="pct"/>
            <w:tcBorders>
              <w:top w:val="single" w:sz="4" w:space="0" w:color="auto"/>
              <w:left w:val="single" w:sz="4" w:space="0" w:color="auto"/>
              <w:bottom w:val="single" w:sz="4" w:space="0" w:color="auto"/>
              <w:right w:val="single" w:sz="4" w:space="0" w:color="auto"/>
            </w:tcBorders>
            <w:vAlign w:val="center"/>
          </w:tcPr>
          <w:p w14:paraId="199228CC" w14:textId="77777777" w:rsidR="00235061" w:rsidRPr="00174CAB" w:rsidRDefault="00235061" w:rsidP="00DF0924">
            <w:pPr>
              <w:spacing w:after="0" w:line="240" w:lineRule="auto"/>
              <w:rPr>
                <w:rFonts w:ascii="Calibri" w:eastAsia="Times New Roman" w:hAnsi="Calibri" w:cs="Calibri"/>
                <w:color w:val="000000"/>
                <w:sz w:val="18"/>
                <w:szCs w:val="18"/>
              </w:rPr>
            </w:pPr>
            <w:r w:rsidRPr="00174CAB">
              <w:rPr>
                <w:rFonts w:ascii="Calibri" w:eastAsia="Times New Roman" w:hAnsi="Calibri" w:cs="Calibri"/>
                <w:color w:val="000000"/>
                <w:sz w:val="18"/>
                <w:szCs w:val="18"/>
              </w:rPr>
              <w:t>CONUS combustion factor</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33D442" w14:textId="5BF7E38D" w:rsidR="00235061" w:rsidRPr="00ED4794" w:rsidRDefault="00235061" w:rsidP="00DF0924">
            <w:pPr>
              <w:spacing w:after="0" w:line="240" w:lineRule="auto"/>
              <w:jc w:val="center"/>
              <w:rPr>
                <w:rFonts w:ascii="Calibri" w:eastAsia="Times New Roman" w:hAnsi="Calibri" w:cs="Calibri"/>
                <w:color w:val="000000"/>
                <w:sz w:val="18"/>
                <w:szCs w:val="18"/>
              </w:rPr>
            </w:pPr>
            <w:r w:rsidRPr="00ED4794">
              <w:rPr>
                <w:rFonts w:ascii="Calibri" w:eastAsia="Times New Roman" w:hAnsi="Calibri" w:cs="Calibri"/>
                <w:color w:val="000000"/>
                <w:sz w:val="18"/>
                <w:szCs w:val="18"/>
              </w:rPr>
              <w:t>3</w:t>
            </w:r>
            <w:r w:rsidR="004A5467">
              <w:rPr>
                <w:rFonts w:ascii="Calibri" w:eastAsia="Times New Roman" w:hAnsi="Calibri" w:cs="Calibri"/>
                <w:color w:val="000000"/>
                <w:sz w:val="18"/>
                <w:szCs w:val="18"/>
              </w:rPr>
              <w:t>6.5</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6299A8" w14:textId="4CA3AE4B" w:rsidR="00235061" w:rsidRPr="00ED4794" w:rsidRDefault="004A5467" w:rsidP="00DF092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9.4</w:t>
            </w:r>
          </w:p>
        </w:tc>
        <w:tc>
          <w:tcPr>
            <w:tcW w:w="1053" w:type="pct"/>
            <w:tcBorders>
              <w:top w:val="single" w:sz="4" w:space="0" w:color="auto"/>
              <w:left w:val="single" w:sz="4" w:space="0" w:color="auto"/>
              <w:bottom w:val="single" w:sz="4" w:space="0" w:color="auto"/>
              <w:right w:val="single" w:sz="4" w:space="0" w:color="auto"/>
            </w:tcBorders>
            <w:vAlign w:val="center"/>
          </w:tcPr>
          <w:p w14:paraId="73AD85EA" w14:textId="54E931DF" w:rsidR="00235061" w:rsidRPr="00ED4794" w:rsidRDefault="004A5467" w:rsidP="00DF092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3.7</w:t>
            </w:r>
          </w:p>
        </w:tc>
      </w:tr>
      <w:tr w:rsidR="00235061" w:rsidRPr="00ED4794" w14:paraId="5D285B22" w14:textId="77777777" w:rsidTr="00DF0924">
        <w:trPr>
          <w:cantSplit/>
          <w:trHeight w:val="451"/>
        </w:trPr>
        <w:tc>
          <w:tcPr>
            <w:tcW w:w="1842" w:type="pct"/>
            <w:tcBorders>
              <w:top w:val="single" w:sz="4" w:space="0" w:color="auto"/>
              <w:left w:val="single" w:sz="4" w:space="0" w:color="auto"/>
              <w:bottom w:val="single" w:sz="4" w:space="0" w:color="auto"/>
              <w:right w:val="single" w:sz="4" w:space="0" w:color="auto"/>
            </w:tcBorders>
            <w:vAlign w:val="center"/>
          </w:tcPr>
          <w:p w14:paraId="45016013" w14:textId="77777777" w:rsidR="00235061" w:rsidRPr="00174CAB" w:rsidRDefault="00235061" w:rsidP="00DF0924">
            <w:pPr>
              <w:spacing w:after="0" w:line="240" w:lineRule="auto"/>
              <w:rPr>
                <w:rFonts w:ascii="Calibri" w:eastAsia="Times New Roman" w:hAnsi="Calibri" w:cs="Calibri"/>
                <w:color w:val="000000"/>
                <w:sz w:val="18"/>
                <w:szCs w:val="18"/>
              </w:rPr>
            </w:pPr>
            <w:r w:rsidRPr="00174CAB">
              <w:rPr>
                <w:rFonts w:ascii="Calibri" w:eastAsia="Times New Roman" w:hAnsi="Calibri" w:cs="Calibri"/>
                <w:color w:val="000000"/>
                <w:sz w:val="18"/>
                <w:szCs w:val="18"/>
              </w:rPr>
              <w:t>Alaska fuel availability–combustion factor</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CF936A" w14:textId="3B4C9C42" w:rsidR="00235061" w:rsidRPr="00ED4794" w:rsidRDefault="004A5467" w:rsidP="00DF092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38.8</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573389" w14:textId="6E0EF131" w:rsidR="00235061" w:rsidRPr="00ED4794" w:rsidRDefault="00235061" w:rsidP="00DF092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0.8</w:t>
            </w:r>
          </w:p>
        </w:tc>
        <w:tc>
          <w:tcPr>
            <w:tcW w:w="1053" w:type="pct"/>
            <w:tcBorders>
              <w:top w:val="single" w:sz="4" w:space="0" w:color="auto"/>
              <w:left w:val="single" w:sz="4" w:space="0" w:color="auto"/>
              <w:bottom w:val="single" w:sz="4" w:space="0" w:color="auto"/>
              <w:right w:val="single" w:sz="4" w:space="0" w:color="auto"/>
            </w:tcBorders>
            <w:vAlign w:val="center"/>
          </w:tcPr>
          <w:p w14:paraId="2A60C312" w14:textId="77777777" w:rsidR="00235061" w:rsidRPr="00ED4794" w:rsidRDefault="00235061" w:rsidP="00DF0924">
            <w:pPr>
              <w:spacing w:after="0" w:line="240" w:lineRule="auto"/>
              <w:jc w:val="center"/>
              <w:rPr>
                <w:rFonts w:ascii="Calibri" w:eastAsia="Times New Roman" w:hAnsi="Calibri" w:cs="Calibri"/>
                <w:color w:val="000000"/>
                <w:sz w:val="18"/>
                <w:szCs w:val="18"/>
              </w:rPr>
            </w:pPr>
            <w:r w:rsidRPr="00ED4794">
              <w:rPr>
                <w:rFonts w:ascii="Calibri" w:eastAsia="Times New Roman" w:hAnsi="Calibri" w:cs="Calibri"/>
                <w:color w:val="000000"/>
                <w:sz w:val="18"/>
                <w:szCs w:val="18"/>
              </w:rPr>
              <w:t>0.</w:t>
            </w:r>
            <w:r>
              <w:rPr>
                <w:rFonts w:ascii="Calibri" w:eastAsia="Times New Roman" w:hAnsi="Calibri" w:cs="Calibri"/>
                <w:color w:val="000000"/>
                <w:sz w:val="18"/>
                <w:szCs w:val="18"/>
              </w:rPr>
              <w:t>3</w:t>
            </w:r>
          </w:p>
        </w:tc>
      </w:tr>
      <w:tr w:rsidR="00235061" w:rsidRPr="00ED4794" w14:paraId="4401BBDC" w14:textId="77777777" w:rsidTr="00DF0924">
        <w:trPr>
          <w:cantSplit/>
          <w:trHeight w:val="451"/>
        </w:trPr>
        <w:tc>
          <w:tcPr>
            <w:tcW w:w="1842" w:type="pct"/>
            <w:tcBorders>
              <w:top w:val="single" w:sz="4" w:space="0" w:color="auto"/>
              <w:left w:val="single" w:sz="4" w:space="0" w:color="auto"/>
              <w:bottom w:val="single" w:sz="4" w:space="0" w:color="auto"/>
              <w:right w:val="single" w:sz="4" w:space="0" w:color="auto"/>
            </w:tcBorders>
            <w:vAlign w:val="center"/>
          </w:tcPr>
          <w:p w14:paraId="703D2022" w14:textId="77777777" w:rsidR="00235061" w:rsidRPr="00174CAB" w:rsidRDefault="00235061" w:rsidP="00DF0924">
            <w:pPr>
              <w:spacing w:after="0" w:line="240" w:lineRule="auto"/>
              <w:rPr>
                <w:rFonts w:ascii="Calibri" w:eastAsia="Times New Roman" w:hAnsi="Calibri" w:cs="Calibri"/>
                <w:color w:val="000000"/>
                <w:sz w:val="18"/>
                <w:szCs w:val="18"/>
              </w:rPr>
            </w:pPr>
            <w:r w:rsidRPr="00174CAB">
              <w:rPr>
                <w:rFonts w:ascii="Calibri" w:eastAsia="Times New Roman" w:hAnsi="Calibri" w:cs="Calibri"/>
                <w:color w:val="000000"/>
                <w:sz w:val="18"/>
                <w:szCs w:val="18"/>
              </w:rPr>
              <w:t>Emission factors</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06B10F" w14:textId="537937FD" w:rsidR="00235061" w:rsidRPr="00ED4794" w:rsidRDefault="004A5467" w:rsidP="00DF092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34.9</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C37E44" w14:textId="5C5974FB" w:rsidR="00235061" w:rsidRPr="00ED4794" w:rsidRDefault="00235061" w:rsidP="00DF0924">
            <w:pPr>
              <w:spacing w:after="0" w:line="240" w:lineRule="auto"/>
              <w:jc w:val="center"/>
              <w:rPr>
                <w:rFonts w:ascii="Calibri" w:eastAsia="Times New Roman" w:hAnsi="Calibri" w:cs="Calibri"/>
                <w:color w:val="000000"/>
                <w:sz w:val="18"/>
                <w:szCs w:val="18"/>
              </w:rPr>
            </w:pPr>
            <w:r w:rsidRPr="00ED4794">
              <w:rPr>
                <w:rFonts w:ascii="Calibri" w:eastAsia="Times New Roman" w:hAnsi="Calibri" w:cs="Calibri"/>
                <w:color w:val="000000"/>
                <w:sz w:val="18"/>
                <w:szCs w:val="18"/>
              </w:rPr>
              <w:t>1</w:t>
            </w:r>
            <w:r w:rsidR="004A5467">
              <w:rPr>
                <w:rFonts w:ascii="Calibri" w:eastAsia="Times New Roman" w:hAnsi="Calibri" w:cs="Calibri"/>
                <w:color w:val="000000"/>
                <w:sz w:val="18"/>
                <w:szCs w:val="18"/>
              </w:rPr>
              <w:t>5.5</w:t>
            </w:r>
          </w:p>
        </w:tc>
        <w:tc>
          <w:tcPr>
            <w:tcW w:w="1053" w:type="pct"/>
            <w:tcBorders>
              <w:top w:val="single" w:sz="4" w:space="0" w:color="auto"/>
              <w:left w:val="single" w:sz="4" w:space="0" w:color="auto"/>
              <w:bottom w:val="single" w:sz="4" w:space="0" w:color="auto"/>
              <w:right w:val="single" w:sz="4" w:space="0" w:color="auto"/>
            </w:tcBorders>
            <w:vAlign w:val="center"/>
          </w:tcPr>
          <w:p w14:paraId="49CFCD3F" w14:textId="3D2D604C" w:rsidR="00235061" w:rsidRPr="00ED4794" w:rsidRDefault="004A5467" w:rsidP="00DF092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6.0</w:t>
            </w:r>
          </w:p>
        </w:tc>
      </w:tr>
    </w:tbl>
    <w:p w14:paraId="779C1D64" w14:textId="77777777" w:rsidR="00235061" w:rsidRDefault="00235061" w:rsidP="00235061">
      <w:pPr>
        <w:pStyle w:val="Heading2"/>
        <w:numPr>
          <w:ilvl w:val="0"/>
          <w:numId w:val="0"/>
        </w:numPr>
        <w:ind w:left="576" w:hanging="576"/>
        <w:rPr>
          <w:rStyle w:val="Strong"/>
        </w:rPr>
      </w:pPr>
    </w:p>
    <w:p w14:paraId="53709DAD" w14:textId="2BBA3BEA" w:rsidR="00603C21" w:rsidRPr="00195F4D" w:rsidRDefault="00ED4794" w:rsidP="00235061">
      <w:pPr>
        <w:pStyle w:val="Heading2"/>
        <w:numPr>
          <w:ilvl w:val="0"/>
          <w:numId w:val="0"/>
        </w:numPr>
        <w:ind w:left="576" w:hanging="576"/>
        <w:rPr>
          <w:b/>
        </w:rPr>
      </w:pPr>
      <w:r w:rsidRPr="00195F4D">
        <w:rPr>
          <w:rStyle w:val="Strong"/>
          <w:b w:val="0"/>
        </w:rPr>
        <w:t>Discussion</w:t>
      </w:r>
    </w:p>
    <w:p w14:paraId="7E289825" w14:textId="70EE1C69" w:rsidR="00235061" w:rsidRDefault="00786332" w:rsidP="00235061">
      <w:pPr>
        <w:rPr>
          <w:rFonts w:ascii="Calibri" w:hAnsi="Calibri"/>
        </w:rPr>
      </w:pPr>
      <w:r>
        <w:rPr>
          <w:rFonts w:ascii="Calibri" w:hAnsi="Calibri"/>
        </w:rPr>
        <w:t xml:space="preserve">More recent NGHGI reports (2019, 2020) </w:t>
      </w:r>
      <w:r w:rsidR="00235061" w:rsidRPr="00ED4794">
        <w:rPr>
          <w:rFonts w:ascii="Calibri" w:hAnsi="Calibri"/>
        </w:rPr>
        <w:t xml:space="preserve">introduce a number of updates </w:t>
      </w:r>
      <w:r w:rsidR="00525816">
        <w:rPr>
          <w:rFonts w:ascii="Calibri" w:hAnsi="Calibri"/>
        </w:rPr>
        <w:t>to</w:t>
      </w:r>
      <w:r w:rsidR="00235061" w:rsidRPr="00ED4794">
        <w:rPr>
          <w:rFonts w:ascii="Calibri" w:hAnsi="Calibri"/>
        </w:rPr>
        <w:t xml:space="preserve"> the </w:t>
      </w:r>
      <w:r w:rsidR="00525816">
        <w:rPr>
          <w:rFonts w:ascii="Calibri" w:hAnsi="Calibri"/>
        </w:rPr>
        <w:t xml:space="preserve">this </w:t>
      </w:r>
      <w:r>
        <w:rPr>
          <w:rFonts w:ascii="Calibri" w:hAnsi="Calibri"/>
        </w:rPr>
        <w:t xml:space="preserve">inventory category </w:t>
      </w:r>
      <w:r w:rsidR="00525816">
        <w:rPr>
          <w:rFonts w:ascii="Calibri" w:hAnsi="Calibri"/>
        </w:rPr>
        <w:t>calculation</w:t>
      </w:r>
      <w:r w:rsidR="00235061">
        <w:rPr>
          <w:rFonts w:ascii="Calibri" w:hAnsi="Calibri"/>
        </w:rPr>
        <w:t>: (1)</w:t>
      </w:r>
      <w:r w:rsidR="00235061" w:rsidRPr="00ED4794">
        <w:rPr>
          <w:rFonts w:ascii="Calibri" w:hAnsi="Calibri"/>
        </w:rPr>
        <w:t xml:space="preserve"> </w:t>
      </w:r>
      <w:r w:rsidR="00235061">
        <w:rPr>
          <w:rFonts w:ascii="Calibri" w:hAnsi="Calibri"/>
        </w:rPr>
        <w:t>d</w:t>
      </w:r>
      <w:r w:rsidR="00235061" w:rsidRPr="00ED4794">
        <w:rPr>
          <w:rFonts w:ascii="Calibri" w:hAnsi="Calibri"/>
        </w:rPr>
        <w:t>elineation of forest within burned areas is now based on the National Land Cover Dataset (Homer et al., 2015) rather than Ruefenacht et al. (2008)</w:t>
      </w:r>
      <w:r w:rsidR="00235061">
        <w:rPr>
          <w:rFonts w:ascii="Calibri" w:hAnsi="Calibri"/>
        </w:rPr>
        <w:t>; (2)</w:t>
      </w:r>
      <w:r w:rsidR="00235061" w:rsidRPr="00ED4794">
        <w:rPr>
          <w:rFonts w:ascii="Calibri" w:hAnsi="Calibri"/>
        </w:rPr>
        <w:t xml:space="preserve"> </w:t>
      </w:r>
      <w:r w:rsidR="00235061">
        <w:rPr>
          <w:rFonts w:ascii="Calibri" w:hAnsi="Calibri"/>
        </w:rPr>
        <w:t>f</w:t>
      </w:r>
      <w:r w:rsidR="00235061" w:rsidRPr="00ED4794">
        <w:rPr>
          <w:rFonts w:ascii="Calibri" w:hAnsi="Calibri"/>
        </w:rPr>
        <w:t>uel availabilities derived from FIA plot data are now aggregated by ecological regions rather than by state</w:t>
      </w:r>
      <w:r w:rsidR="00235061">
        <w:rPr>
          <w:rFonts w:ascii="Calibri" w:hAnsi="Calibri"/>
        </w:rPr>
        <w:t>; and (3)</w:t>
      </w:r>
      <w:r w:rsidR="00235061" w:rsidRPr="00ED4794" w:rsidDel="00DF1057">
        <w:rPr>
          <w:rFonts w:ascii="Calibri" w:hAnsi="Calibri"/>
        </w:rPr>
        <w:t xml:space="preserve"> </w:t>
      </w:r>
      <w:r w:rsidR="00235061">
        <w:rPr>
          <w:rFonts w:ascii="Calibri" w:hAnsi="Calibri"/>
        </w:rPr>
        <w:t>variable combustion factors based on burn severity, as specified by the MTBS dataset, are now applied instead of application of a</w:t>
      </w:r>
      <w:r w:rsidR="00235061" w:rsidRPr="00ED4794">
        <w:rPr>
          <w:rFonts w:ascii="Calibri" w:hAnsi="Calibri"/>
        </w:rPr>
        <w:t xml:space="preserve"> single combustion factor for all fires in the conterminous United States. The updates </w:t>
      </w:r>
      <w:r w:rsidR="00235061">
        <w:rPr>
          <w:rFonts w:ascii="Calibri" w:hAnsi="Calibri"/>
        </w:rPr>
        <w:t>to the</w:t>
      </w:r>
      <w:r w:rsidR="00235061" w:rsidRPr="00ED4794">
        <w:rPr>
          <w:rFonts w:ascii="Calibri" w:hAnsi="Calibri"/>
        </w:rPr>
        <w:t xml:space="preserve"> input parameters resulted in a small downward revision in the emissions estimates for 2014: 6.1 MMT CO</w:t>
      </w:r>
      <w:r w:rsidR="00235061" w:rsidRPr="00ED4794">
        <w:rPr>
          <w:rFonts w:ascii="Calibri" w:hAnsi="Calibri"/>
          <w:vertAlign w:val="subscript"/>
        </w:rPr>
        <w:t>2</w:t>
      </w:r>
      <w:r w:rsidR="00235061" w:rsidRPr="00ED4794">
        <w:rPr>
          <w:rFonts w:ascii="Calibri" w:hAnsi="Calibri"/>
        </w:rPr>
        <w:t>e for CH</w:t>
      </w:r>
      <w:r w:rsidR="00235061" w:rsidRPr="00ED4794">
        <w:rPr>
          <w:rFonts w:ascii="Calibri" w:hAnsi="Calibri"/>
          <w:vertAlign w:val="subscript"/>
        </w:rPr>
        <w:t>4</w:t>
      </w:r>
      <w:r w:rsidR="00235061" w:rsidRPr="00ED4794">
        <w:rPr>
          <w:rFonts w:ascii="Calibri" w:hAnsi="Calibri"/>
        </w:rPr>
        <w:t xml:space="preserve"> and 4.0 MMT CO</w:t>
      </w:r>
      <w:r w:rsidR="00235061" w:rsidRPr="00ED4794">
        <w:rPr>
          <w:rFonts w:ascii="Calibri" w:hAnsi="Calibri"/>
          <w:vertAlign w:val="subscript"/>
        </w:rPr>
        <w:t>2</w:t>
      </w:r>
      <w:r w:rsidR="00235061" w:rsidRPr="00ED4794">
        <w:rPr>
          <w:rFonts w:ascii="Calibri" w:hAnsi="Calibri"/>
        </w:rPr>
        <w:t>e for N</w:t>
      </w:r>
      <w:r w:rsidR="00235061" w:rsidRPr="00ED4794">
        <w:rPr>
          <w:rFonts w:ascii="Calibri" w:hAnsi="Calibri"/>
          <w:vertAlign w:val="subscript"/>
        </w:rPr>
        <w:t>2</w:t>
      </w:r>
      <w:r w:rsidR="00235061" w:rsidRPr="00ED4794">
        <w:rPr>
          <w:rFonts w:ascii="Calibri" w:hAnsi="Calibri"/>
        </w:rPr>
        <w:t>O, for a total of 10.1 MMT CO</w:t>
      </w:r>
      <w:r w:rsidR="00235061" w:rsidRPr="00ED4794">
        <w:rPr>
          <w:rFonts w:ascii="Calibri" w:hAnsi="Calibri"/>
          <w:vertAlign w:val="subscript"/>
        </w:rPr>
        <w:t>2</w:t>
      </w:r>
      <w:r w:rsidR="00235061" w:rsidRPr="00ED4794">
        <w:rPr>
          <w:rFonts w:ascii="Calibri" w:hAnsi="Calibri"/>
        </w:rPr>
        <w:t>e (compared to 11.9 MMT CO</w:t>
      </w:r>
      <w:r w:rsidR="00235061" w:rsidRPr="00ED4794">
        <w:rPr>
          <w:rFonts w:ascii="Calibri" w:hAnsi="Calibri"/>
          <w:vertAlign w:val="subscript"/>
        </w:rPr>
        <w:t>2</w:t>
      </w:r>
      <w:r w:rsidR="00235061" w:rsidRPr="00ED4794">
        <w:rPr>
          <w:rFonts w:ascii="Calibri" w:hAnsi="Calibri"/>
        </w:rPr>
        <w:t>e r</w:t>
      </w:r>
      <w:r w:rsidR="00235061">
        <w:rPr>
          <w:rFonts w:ascii="Calibri" w:hAnsi="Calibri"/>
        </w:rPr>
        <w:t>eported by the previous NGHGI).</w:t>
      </w:r>
    </w:p>
    <w:p w14:paraId="7661B807" w14:textId="5C7BC474" w:rsidR="00235061" w:rsidRDefault="00235061" w:rsidP="00235061">
      <w:pPr>
        <w:rPr>
          <w:rFonts w:ascii="Calibri" w:hAnsi="Calibri"/>
        </w:rPr>
      </w:pPr>
      <w:r w:rsidRPr="00DC5333">
        <w:rPr>
          <w:rFonts w:ascii="Calibri" w:hAnsi="Calibri"/>
        </w:rPr>
        <w:t xml:space="preserve">Our analysis suggests that the fuel availabilities </w:t>
      </w:r>
      <w:r>
        <w:rPr>
          <w:rFonts w:ascii="Calibri" w:hAnsi="Calibri"/>
        </w:rPr>
        <w:t xml:space="preserve">for the conterminous United States make the largest contribution to uncertainty. Because we apply national-mean fuel availabilities, rather than state-level fuel availabilities, to all fires in the conterminous United States, we might overestimate both the overall uncertainty and the uncertainty attributed to this </w:t>
      </w:r>
      <w:r w:rsidR="00786332">
        <w:rPr>
          <w:rFonts w:ascii="Calibri" w:hAnsi="Calibri"/>
        </w:rPr>
        <w:t>input</w:t>
      </w:r>
      <w:r>
        <w:rPr>
          <w:rFonts w:ascii="Calibri" w:hAnsi="Calibri"/>
        </w:rPr>
        <w:t xml:space="preserve">. Grouping of fuel availabilities by ecological region instead of by state, as is done in the newest iteration of the NGHGI, </w:t>
      </w:r>
      <w:r w:rsidR="00786332">
        <w:rPr>
          <w:rFonts w:ascii="Calibri" w:hAnsi="Calibri"/>
        </w:rPr>
        <w:t xml:space="preserve">may </w:t>
      </w:r>
      <w:r>
        <w:rPr>
          <w:rFonts w:ascii="Calibri" w:hAnsi="Calibri"/>
        </w:rPr>
        <w:t>reduce fuel input</w:t>
      </w:r>
      <w:r w:rsidR="00786332">
        <w:rPr>
          <w:rFonts w:ascii="Calibri" w:hAnsi="Calibri"/>
        </w:rPr>
        <w:t xml:space="preserve"> uncertainty</w:t>
      </w:r>
      <w:r>
        <w:rPr>
          <w:rFonts w:ascii="Calibri" w:hAnsi="Calibri"/>
        </w:rPr>
        <w:t>.</w:t>
      </w:r>
    </w:p>
    <w:p w14:paraId="6280DD72" w14:textId="77777777" w:rsidR="00235061" w:rsidRDefault="00235061" w:rsidP="00235061">
      <w:pPr>
        <w:spacing w:after="0" w:line="276" w:lineRule="auto"/>
      </w:pPr>
    </w:p>
    <w:p w14:paraId="2A84EF34" w14:textId="77777777" w:rsidR="00F0092B" w:rsidRDefault="00F0092B" w:rsidP="0062725B">
      <w:pPr>
        <w:pStyle w:val="Heading2"/>
        <w:numPr>
          <w:ilvl w:val="0"/>
          <w:numId w:val="0"/>
        </w:numPr>
        <w:sectPr w:rsidR="00F0092B">
          <w:pgSz w:w="12240" w:h="15840"/>
          <w:pgMar w:top="1440" w:right="1440" w:bottom="1440" w:left="1440" w:header="720" w:footer="720" w:gutter="0"/>
          <w:cols w:space="720"/>
          <w:docGrid w:linePitch="360"/>
        </w:sectPr>
      </w:pPr>
    </w:p>
    <w:p w14:paraId="71CF6DCA" w14:textId="62A12102" w:rsidR="000415B6" w:rsidRPr="00ED4794" w:rsidRDefault="0062725B" w:rsidP="0062725B">
      <w:pPr>
        <w:pStyle w:val="Heading2"/>
        <w:numPr>
          <w:ilvl w:val="0"/>
          <w:numId w:val="0"/>
        </w:numPr>
      </w:pPr>
      <w:r>
        <w:lastRenderedPageBreak/>
        <w:t xml:space="preserve">2.5 </w:t>
      </w:r>
      <w:r w:rsidR="008F6D5A">
        <w:t>Carbon stock change in h</w:t>
      </w:r>
      <w:r w:rsidR="000415B6">
        <w:t>arvested wood products</w:t>
      </w:r>
    </w:p>
    <w:p w14:paraId="4092B7D9" w14:textId="77777777" w:rsidR="000415B6" w:rsidRPr="0062725B" w:rsidRDefault="000415B6" w:rsidP="000B2554">
      <w:pPr>
        <w:pStyle w:val="ListParagraph"/>
        <w:keepNext/>
        <w:keepLines/>
        <w:numPr>
          <w:ilvl w:val="1"/>
          <w:numId w:val="6"/>
        </w:numPr>
        <w:spacing w:before="40" w:after="0"/>
        <w:contextualSpacing w:val="0"/>
        <w:outlineLvl w:val="1"/>
        <w:rPr>
          <w:rFonts w:asciiTheme="majorHAnsi" w:eastAsiaTheme="majorEastAsia" w:hAnsiTheme="majorHAnsi" w:cstheme="majorBidi"/>
          <w:vanish/>
          <w:color w:val="2E74B5" w:themeColor="accent1" w:themeShade="BF"/>
          <w:sz w:val="26"/>
          <w:szCs w:val="26"/>
        </w:rPr>
      </w:pPr>
      <w:bookmarkStart w:id="42" w:name="_Toc5291552"/>
      <w:bookmarkStart w:id="43" w:name="_Toc5291619"/>
      <w:bookmarkStart w:id="44" w:name="_Toc17461577"/>
      <w:bookmarkStart w:id="45" w:name="_Toc17462107"/>
      <w:bookmarkStart w:id="46" w:name="_Toc67835546"/>
      <w:bookmarkStart w:id="47" w:name="_Toc67835650"/>
      <w:bookmarkEnd w:id="42"/>
      <w:bookmarkEnd w:id="43"/>
      <w:bookmarkEnd w:id="44"/>
      <w:bookmarkEnd w:id="45"/>
      <w:bookmarkEnd w:id="46"/>
      <w:bookmarkEnd w:id="47"/>
    </w:p>
    <w:p w14:paraId="4183E872" w14:textId="77777777" w:rsidR="000415B6" w:rsidRPr="0062725B" w:rsidRDefault="000415B6" w:rsidP="000B2554">
      <w:pPr>
        <w:pStyle w:val="ListParagraph"/>
        <w:keepNext/>
        <w:keepLines/>
        <w:numPr>
          <w:ilvl w:val="1"/>
          <w:numId w:val="6"/>
        </w:numPr>
        <w:spacing w:before="40" w:after="0"/>
        <w:contextualSpacing w:val="0"/>
        <w:outlineLvl w:val="1"/>
        <w:rPr>
          <w:rFonts w:asciiTheme="majorHAnsi" w:eastAsiaTheme="majorEastAsia" w:hAnsiTheme="majorHAnsi" w:cstheme="majorBidi"/>
          <w:vanish/>
          <w:color w:val="2E74B5" w:themeColor="accent1" w:themeShade="BF"/>
          <w:sz w:val="26"/>
          <w:szCs w:val="26"/>
        </w:rPr>
      </w:pPr>
      <w:bookmarkStart w:id="48" w:name="_Toc5291553"/>
      <w:bookmarkStart w:id="49" w:name="_Toc5291620"/>
      <w:bookmarkStart w:id="50" w:name="_Toc17461578"/>
      <w:bookmarkStart w:id="51" w:name="_Toc17462108"/>
      <w:bookmarkStart w:id="52" w:name="_Toc67835547"/>
      <w:bookmarkStart w:id="53" w:name="_Toc67835651"/>
      <w:bookmarkEnd w:id="48"/>
      <w:bookmarkEnd w:id="49"/>
      <w:bookmarkEnd w:id="50"/>
      <w:bookmarkEnd w:id="51"/>
      <w:bookmarkEnd w:id="52"/>
      <w:bookmarkEnd w:id="53"/>
    </w:p>
    <w:p w14:paraId="056A7140" w14:textId="77777777" w:rsidR="000524F1" w:rsidRPr="00195F4D" w:rsidRDefault="000524F1" w:rsidP="0062725B">
      <w:pPr>
        <w:spacing w:before="240"/>
        <w:rPr>
          <w:rStyle w:val="Strong"/>
          <w:rFonts w:asciiTheme="majorHAnsi" w:eastAsiaTheme="majorEastAsia" w:hAnsiTheme="majorHAnsi" w:cstheme="majorBidi"/>
          <w:b w:val="0"/>
          <w:color w:val="2E74B5" w:themeColor="accent1" w:themeShade="BF"/>
          <w:sz w:val="26"/>
          <w:szCs w:val="26"/>
        </w:rPr>
      </w:pPr>
      <w:r w:rsidRPr="00195F4D">
        <w:rPr>
          <w:rStyle w:val="Strong"/>
          <w:rFonts w:asciiTheme="majorHAnsi" w:eastAsiaTheme="majorEastAsia" w:hAnsiTheme="majorHAnsi" w:cstheme="majorBidi"/>
          <w:b w:val="0"/>
          <w:color w:val="2E74B5" w:themeColor="accent1" w:themeShade="BF"/>
          <w:sz w:val="26"/>
          <w:szCs w:val="26"/>
        </w:rPr>
        <w:t>NGHGI Methods</w:t>
      </w:r>
    </w:p>
    <w:p w14:paraId="37F54164" w14:textId="260A36D1" w:rsidR="00350713" w:rsidRPr="0062725B" w:rsidRDefault="0040633A" w:rsidP="00350713">
      <w:pPr>
        <w:spacing w:before="240"/>
      </w:pPr>
      <w:r>
        <w:t xml:space="preserve">The harvested wood products (HWP) </w:t>
      </w:r>
      <w:r w:rsidR="00942002">
        <w:t>inventory category</w:t>
      </w:r>
      <w:r>
        <w:t xml:space="preserve"> accounts for c</w:t>
      </w:r>
      <w:r w:rsidRPr="0062725B">
        <w:t xml:space="preserve">hanges </w:t>
      </w:r>
      <w:r w:rsidR="00350713" w:rsidRPr="0062725B">
        <w:t>in carbon stock</w:t>
      </w:r>
      <w:r>
        <w:t>s</w:t>
      </w:r>
      <w:r w:rsidR="00350713" w:rsidRPr="0062725B">
        <w:t xml:space="preserve"> stored in </w:t>
      </w:r>
      <w:r>
        <w:t>HWPs</w:t>
      </w:r>
      <w:r w:rsidR="00350713" w:rsidRPr="0062725B">
        <w:t xml:space="preserve"> in use and in waste disposal sites. </w:t>
      </w:r>
      <w:r>
        <w:t>L</w:t>
      </w:r>
      <w:r w:rsidR="00350713" w:rsidRPr="0062725B">
        <w:t>ong-lived wood products can store a significant percentage of harvested carbon for decades. Thus, carbon removed from forest biomass due to harvest must be allocated across CO</w:t>
      </w:r>
      <w:r w:rsidR="00350713" w:rsidRPr="0062725B">
        <w:rPr>
          <w:vertAlign w:val="subscript"/>
        </w:rPr>
        <w:t>2</w:t>
      </w:r>
      <w:r w:rsidR="00350713" w:rsidRPr="0062725B">
        <w:t xml:space="preserve"> emissions that immediately enter the atmosphere, carbon that enters a variety of wood products (</w:t>
      </w:r>
      <w:r w:rsidR="00525816">
        <w:t xml:space="preserve">e.g. timber, </w:t>
      </w:r>
      <w:r w:rsidR="00350713" w:rsidRPr="0062725B">
        <w:t>paper) for some period of storage, and CO</w:t>
      </w:r>
      <w:r w:rsidR="00350713" w:rsidRPr="0062725B">
        <w:rPr>
          <w:vertAlign w:val="subscript"/>
        </w:rPr>
        <w:t>2</w:t>
      </w:r>
      <w:r w:rsidR="00350713" w:rsidRPr="0062725B">
        <w:t xml:space="preserve"> that enters the atmosphere through decay of wood products. HWP calculations are estimated in the NGHGI through Tier 2 and 3 methods, using U.S.-specific data and models. </w:t>
      </w:r>
    </w:p>
    <w:p w14:paraId="1B5A7820" w14:textId="613ABCFC" w:rsidR="0062725B" w:rsidRPr="0062725B" w:rsidRDefault="0062725B" w:rsidP="0062725B">
      <w:pPr>
        <w:spacing w:before="240"/>
      </w:pPr>
      <w:r w:rsidRPr="0062725B">
        <w:t xml:space="preserve">The NGHGI utilizes </w:t>
      </w:r>
      <w:r w:rsidR="000524F1">
        <w:t xml:space="preserve">the </w:t>
      </w:r>
      <w:r w:rsidRPr="0062725B">
        <w:t>methods outlined in Skog (2008) to estimate changes in carbon stored in wood products, both</w:t>
      </w:r>
      <w:r w:rsidR="00350713">
        <w:t xml:space="preserve"> those</w:t>
      </w:r>
      <w:r w:rsidRPr="0062725B">
        <w:t xml:space="preserve"> in use and</w:t>
      </w:r>
      <w:r w:rsidR="00350713">
        <w:t xml:space="preserve"> those</w:t>
      </w:r>
      <w:r w:rsidRPr="0062725B">
        <w:t xml:space="preserve"> in waste disposal sites. Skog’s methods are consistent with the IPCC (2006) “production method,” which accounts for all wood grown and harvested within the United States stored in products</w:t>
      </w:r>
      <w:r w:rsidR="00525816">
        <w:t>. That is,</w:t>
      </w:r>
      <w:r w:rsidRPr="0062725B">
        <w:t xml:space="preserve"> </w:t>
      </w:r>
      <w:r w:rsidR="00942002">
        <w:t xml:space="preserve">carbon stored in and emitted from </w:t>
      </w:r>
      <w:r w:rsidRPr="0062725B">
        <w:t xml:space="preserve">imported wood products are </w:t>
      </w:r>
      <w:r w:rsidR="00942002">
        <w:t xml:space="preserve">excluded from the U.S. NGHGI while carbon stored in and emitted from </w:t>
      </w:r>
      <w:r w:rsidR="00525816">
        <w:t>export</w:t>
      </w:r>
      <w:r w:rsidR="00942002">
        <w:t>ed wood</w:t>
      </w:r>
      <w:r w:rsidR="00525816">
        <w:t xml:space="preserve"> </w:t>
      </w:r>
      <w:r w:rsidR="00942002">
        <w:t xml:space="preserve">is </w:t>
      </w:r>
      <w:r w:rsidR="00525816">
        <w:t>accounted for</w:t>
      </w:r>
      <w:r w:rsidRPr="0062725B">
        <w:t xml:space="preserve">. The NGHGI accounts for carbon from wood products harvested in 1900 through the </w:t>
      </w:r>
      <w:r w:rsidR="00942002">
        <w:t>most recent inventory year</w:t>
      </w:r>
      <w:r w:rsidRPr="0062725B">
        <w:t xml:space="preserve">, accounting for gains in stored carbon from new harvest and production as well as losses of carbon from disposal and decay. </w:t>
      </w:r>
    </w:p>
    <w:p w14:paraId="1BC22A6F" w14:textId="45367BDB" w:rsidR="0062725B" w:rsidRPr="0062725B" w:rsidRDefault="0062725B" w:rsidP="0062725B">
      <w:pPr>
        <w:spacing w:before="240"/>
      </w:pPr>
      <w:r w:rsidRPr="0062725B">
        <w:t>Key equations used to estimate carbon in HWPs can be found in Skog (2008)</w:t>
      </w:r>
      <w:r w:rsidR="00822880">
        <w:t>:</w:t>
      </w:r>
      <w:r w:rsidRPr="0062725B">
        <w:t xml:space="preserve"> equations 1</w:t>
      </w:r>
      <w:r w:rsidR="00822880">
        <w:t>–</w:t>
      </w:r>
      <w:r w:rsidRPr="0062725B">
        <w:t>5 for wood products in use and equations 6</w:t>
      </w:r>
      <w:r w:rsidR="00822880">
        <w:t>–</w:t>
      </w:r>
      <w:r w:rsidRPr="0062725B">
        <w:t xml:space="preserve">10 for disposed and decaying wood products. Skog (2008) provides sources </w:t>
      </w:r>
      <w:r w:rsidR="003861B7">
        <w:t>for all inputs and parameters.</w:t>
      </w:r>
    </w:p>
    <w:p w14:paraId="726B993A" w14:textId="171943E7" w:rsidR="009C4FDB" w:rsidRPr="00195F4D" w:rsidRDefault="009C4FDB" w:rsidP="009C4FDB">
      <w:pPr>
        <w:spacing w:before="240"/>
        <w:rPr>
          <w:rStyle w:val="Strong"/>
          <w:rFonts w:asciiTheme="majorHAnsi" w:eastAsiaTheme="majorEastAsia" w:hAnsiTheme="majorHAnsi" w:cstheme="majorBidi"/>
          <w:b w:val="0"/>
          <w:color w:val="2E74B5" w:themeColor="accent1" w:themeShade="BF"/>
          <w:sz w:val="26"/>
          <w:szCs w:val="26"/>
        </w:rPr>
      </w:pPr>
      <w:r w:rsidRPr="00195F4D">
        <w:rPr>
          <w:rStyle w:val="Strong"/>
          <w:rFonts w:asciiTheme="majorHAnsi" w:eastAsiaTheme="majorEastAsia" w:hAnsiTheme="majorHAnsi" w:cstheme="majorBidi"/>
          <w:b w:val="0"/>
          <w:color w:val="2E74B5" w:themeColor="accent1" w:themeShade="BF"/>
          <w:sz w:val="26"/>
          <w:szCs w:val="26"/>
        </w:rPr>
        <w:t>Project Methods</w:t>
      </w:r>
    </w:p>
    <w:p w14:paraId="4B171770" w14:textId="7EBCF4FC" w:rsidR="0062725B" w:rsidRDefault="00737814" w:rsidP="0062725B">
      <w:pPr>
        <w:spacing w:before="240"/>
      </w:pPr>
      <w:r>
        <w:t xml:space="preserve">While Skog (2008) provides methods used in the current NGHGI, </w:t>
      </w:r>
      <w:r w:rsidR="0062725B" w:rsidRPr="0062725B">
        <w:t>Skog</w:t>
      </w:r>
      <w:r w:rsidR="00B509E1">
        <w:t xml:space="preserve"> et al.</w:t>
      </w:r>
      <w:r w:rsidR="0062725B" w:rsidRPr="0062725B">
        <w:t xml:space="preserve"> (2004)</w:t>
      </w:r>
      <w:r>
        <w:t xml:space="preserve"> provides </w:t>
      </w:r>
      <w:r w:rsidR="0062725B" w:rsidRPr="0062725B">
        <w:t xml:space="preserve"> contribution index </w:t>
      </w:r>
      <w:r>
        <w:t>results for attributing sources of uncertainty, and we use those results directly here</w:t>
      </w:r>
      <w:r w:rsidR="0062725B" w:rsidRPr="0062725B">
        <w:t xml:space="preserve">. </w:t>
      </w:r>
      <w:r>
        <w:t xml:space="preserve">However, the two papers use slightly different methods to estimate HWP carbon flux. </w:t>
      </w:r>
      <w:r w:rsidR="0062725B" w:rsidRPr="0062725B">
        <w:t>Skog</w:t>
      </w:r>
      <w:r w:rsidR="00C44E45">
        <w:t xml:space="preserve"> et al.</w:t>
      </w:r>
      <w:r w:rsidR="0062725B" w:rsidRPr="0062725B">
        <w:t xml:space="preserve"> (2004) evaluates uncertainty from only a subset of parameters and inputs</w:t>
      </w:r>
      <w:r>
        <w:t xml:space="preserve"> used </w:t>
      </w:r>
      <w:r w:rsidR="0062725B" w:rsidRPr="0062725B">
        <w:t>in Skog (2008)</w:t>
      </w:r>
      <w:r>
        <w:t>, lacking attribution results for</w:t>
      </w:r>
      <w:r w:rsidR="0062725B" w:rsidRPr="0062725B">
        <w:t xml:space="preserve"> (1) carbon in housing in 2001; (2) fraction of solid wood and paper products from imports</w:t>
      </w:r>
      <w:r w:rsidR="00CF6655">
        <w:t>; and</w:t>
      </w:r>
      <w:r w:rsidR="0062725B" w:rsidRPr="0062725B">
        <w:t xml:space="preserve"> (3) export carbon storage rate as a fraction of the storage rate for similar U.S. products. Neither </w:t>
      </w:r>
      <w:r w:rsidR="00A1070D">
        <w:t>publication</w:t>
      </w:r>
      <w:r w:rsidR="00A1070D" w:rsidRPr="0062725B">
        <w:t xml:space="preserve"> </w:t>
      </w:r>
      <w:r w:rsidR="0062725B" w:rsidRPr="0062725B">
        <w:t xml:space="preserve">accounts for uncertainty from </w:t>
      </w:r>
      <w:r w:rsidR="00A1070D">
        <w:t xml:space="preserve">(1) </w:t>
      </w:r>
      <w:r w:rsidR="0062725B" w:rsidRPr="0062725B">
        <w:t>fraction of products recovered for compost or burning</w:t>
      </w:r>
      <w:r w:rsidR="000D6766">
        <w:t>; (2)</w:t>
      </w:r>
      <w:r w:rsidR="0062725B" w:rsidRPr="0062725B">
        <w:t xml:space="preserve"> fraction of paper or solid wood products sent to dumps rather than landfills</w:t>
      </w:r>
      <w:r w:rsidR="0059284D">
        <w:t>; and (3)</w:t>
      </w:r>
      <w:r w:rsidR="0062725B" w:rsidRPr="0062725B">
        <w:t xml:space="preserve"> fraction of pulp from non-wood fiber and imported woodpulp. We </w:t>
      </w:r>
      <w:r w:rsidR="003861B7">
        <w:t xml:space="preserve">did </w:t>
      </w:r>
      <w:r w:rsidR="0062725B" w:rsidRPr="0062725B">
        <w:t>not investigate these additional sources of uncertainty.</w:t>
      </w:r>
    </w:p>
    <w:p w14:paraId="60039027" w14:textId="0E015548" w:rsidR="00737814" w:rsidRDefault="00737814" w:rsidP="0062725B">
      <w:pPr>
        <w:spacing w:before="240"/>
      </w:pPr>
      <w:r>
        <w:t>Skog et al. (2004) also accounts for uncertainty from parameters that are not used in Skog (2008 methods: (1) increased rate in production and trade, 1900 to 1961, (2) fraction of solidwood to anaerobic decay, and (3) fraction of paper to anaerobic decay. We therefore use only Skog et al. (2004) contribution index results for elements that are included in Skog (2008) by proportionately scaling up included index values such that they sum to 1.</w:t>
      </w:r>
    </w:p>
    <w:p w14:paraId="45A19C4B" w14:textId="77777777" w:rsidR="00652BD5" w:rsidRPr="0062725B" w:rsidRDefault="00652BD5" w:rsidP="0062725B">
      <w:pPr>
        <w:spacing w:before="240"/>
      </w:pPr>
    </w:p>
    <w:p w14:paraId="512D34DB" w14:textId="50A9AFA2" w:rsidR="00E3178F" w:rsidRPr="00195F4D" w:rsidRDefault="00E3178F" w:rsidP="00E3178F">
      <w:pPr>
        <w:spacing w:before="240"/>
        <w:rPr>
          <w:rStyle w:val="Strong"/>
          <w:rFonts w:asciiTheme="majorHAnsi" w:eastAsiaTheme="majorEastAsia" w:hAnsiTheme="majorHAnsi" w:cstheme="majorBidi"/>
          <w:b w:val="0"/>
          <w:color w:val="2E74B5" w:themeColor="accent1" w:themeShade="BF"/>
          <w:sz w:val="26"/>
          <w:szCs w:val="26"/>
        </w:rPr>
      </w:pPr>
      <w:r w:rsidRPr="00195F4D">
        <w:rPr>
          <w:rStyle w:val="Strong"/>
          <w:rFonts w:asciiTheme="majorHAnsi" w:eastAsiaTheme="majorEastAsia" w:hAnsiTheme="majorHAnsi" w:cstheme="majorBidi"/>
          <w:b w:val="0"/>
          <w:color w:val="2E74B5" w:themeColor="accent1" w:themeShade="BF"/>
          <w:sz w:val="26"/>
          <w:szCs w:val="26"/>
        </w:rPr>
        <w:lastRenderedPageBreak/>
        <w:t>Results</w:t>
      </w:r>
    </w:p>
    <w:p w14:paraId="74568398" w14:textId="472E5E3E" w:rsidR="00BA185F" w:rsidRPr="00F0092B" w:rsidRDefault="0062725B" w:rsidP="00C442A0">
      <w:pPr>
        <w:rPr>
          <w:i/>
        </w:rPr>
      </w:pPr>
      <w:r w:rsidRPr="00F0092B">
        <w:rPr>
          <w:b/>
          <w:i/>
          <w:color w:val="44546A" w:themeColor="text2"/>
        </w:rPr>
        <w:t xml:space="preserve">Table </w:t>
      </w:r>
      <w:r w:rsidR="005E4D1E">
        <w:rPr>
          <w:b/>
          <w:i/>
          <w:color w:val="44546A" w:themeColor="text2"/>
        </w:rPr>
        <w:t>2</w:t>
      </w:r>
      <w:r w:rsidR="00F0092B" w:rsidRPr="00F0092B">
        <w:rPr>
          <w:b/>
          <w:i/>
          <w:color w:val="44546A" w:themeColor="text2"/>
        </w:rPr>
        <w:t>-1</w:t>
      </w:r>
      <w:r w:rsidR="003861B7">
        <w:rPr>
          <w:b/>
          <w:i/>
          <w:color w:val="44546A" w:themeColor="text2"/>
        </w:rPr>
        <w:t>1</w:t>
      </w:r>
      <w:r w:rsidRPr="00F0092B">
        <w:rPr>
          <w:b/>
          <w:i/>
          <w:color w:val="44546A" w:themeColor="text2"/>
        </w:rPr>
        <w:t>. RESULTS – Contributions to uncertainty for harvested wood products in use and in waste disposal sites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5"/>
        <w:gridCol w:w="1969"/>
        <w:gridCol w:w="1969"/>
        <w:gridCol w:w="1967"/>
      </w:tblGrid>
      <w:tr w:rsidR="00BA185F" w:rsidRPr="00C442A0" w14:paraId="1009FC46" w14:textId="77777777" w:rsidTr="00CE32DB">
        <w:trPr>
          <w:cantSplit/>
          <w:trHeight w:val="710"/>
          <w:tblHeader/>
        </w:trPr>
        <w:tc>
          <w:tcPr>
            <w:tcW w:w="1842" w:type="pct"/>
            <w:tcBorders>
              <w:top w:val="single" w:sz="4" w:space="0" w:color="auto"/>
              <w:left w:val="single" w:sz="4" w:space="0" w:color="auto"/>
              <w:bottom w:val="single" w:sz="4" w:space="0" w:color="auto"/>
              <w:right w:val="single" w:sz="4" w:space="0" w:color="auto"/>
            </w:tcBorders>
            <w:shd w:val="clear" w:color="auto" w:fill="FFC000"/>
            <w:vAlign w:val="center"/>
          </w:tcPr>
          <w:p w14:paraId="5D12983D" w14:textId="77777777" w:rsidR="00BA185F" w:rsidRPr="00C442A0" w:rsidRDefault="00BA185F" w:rsidP="00CE32DB">
            <w:pPr>
              <w:spacing w:after="0" w:line="240" w:lineRule="auto"/>
              <w:jc w:val="center"/>
              <w:rPr>
                <w:rFonts w:ascii="Calibri" w:eastAsia="Times New Roman" w:hAnsi="Calibri" w:cs="Calibri"/>
                <w:b/>
                <w:color w:val="000000"/>
                <w:sz w:val="18"/>
                <w:szCs w:val="18"/>
              </w:rPr>
            </w:pPr>
            <w:r w:rsidRPr="00C442A0">
              <w:rPr>
                <w:rFonts w:ascii="Calibri" w:eastAsia="Times New Roman" w:hAnsi="Calibri" w:cs="Calibri"/>
                <w:b/>
                <w:color w:val="000000"/>
                <w:sz w:val="18"/>
                <w:szCs w:val="18"/>
              </w:rPr>
              <w:t>Variable held constant</w:t>
            </w:r>
          </w:p>
        </w:tc>
        <w:tc>
          <w:tcPr>
            <w:tcW w:w="1053" w:type="pct"/>
            <w:tcBorders>
              <w:top w:val="single" w:sz="4" w:space="0" w:color="auto"/>
              <w:left w:val="single" w:sz="4" w:space="0" w:color="auto"/>
              <w:bottom w:val="single" w:sz="4" w:space="0" w:color="auto"/>
              <w:right w:val="single" w:sz="4" w:space="0" w:color="auto"/>
            </w:tcBorders>
            <w:shd w:val="clear" w:color="auto" w:fill="FFC000"/>
            <w:noWrap/>
            <w:vAlign w:val="center"/>
          </w:tcPr>
          <w:p w14:paraId="2D67462F" w14:textId="77777777" w:rsidR="00BA185F" w:rsidRPr="00C442A0" w:rsidRDefault="00BA185F" w:rsidP="00CE32DB">
            <w:pPr>
              <w:spacing w:after="0" w:line="240" w:lineRule="auto"/>
              <w:jc w:val="center"/>
              <w:rPr>
                <w:rFonts w:ascii="Calibri" w:eastAsia="Times New Roman" w:hAnsi="Calibri" w:cs="Calibri"/>
                <w:b/>
                <w:color w:val="000000"/>
                <w:sz w:val="18"/>
                <w:szCs w:val="18"/>
              </w:rPr>
            </w:pPr>
            <w:r w:rsidRPr="00C442A0">
              <w:rPr>
                <w:rFonts w:ascii="Calibri" w:eastAsia="Times New Roman" w:hAnsi="Calibri" w:cs="Calibri"/>
                <w:b/>
                <w:color w:val="000000"/>
                <w:sz w:val="18"/>
                <w:szCs w:val="18"/>
              </w:rPr>
              <w:t>Range of 95% confidence interval (MMT CO</w:t>
            </w:r>
            <w:r w:rsidRPr="00C442A0">
              <w:rPr>
                <w:rFonts w:ascii="Calibri" w:eastAsia="Times New Roman" w:hAnsi="Calibri" w:cs="Calibri"/>
                <w:b/>
                <w:color w:val="000000"/>
                <w:sz w:val="18"/>
                <w:szCs w:val="18"/>
                <w:vertAlign w:val="subscript"/>
              </w:rPr>
              <w:t>2</w:t>
            </w:r>
            <w:r w:rsidRPr="00C442A0">
              <w:rPr>
                <w:rFonts w:ascii="Calibri" w:eastAsia="Times New Roman" w:hAnsi="Calibri" w:cs="Calibri"/>
                <w:b/>
                <w:color w:val="000000"/>
                <w:sz w:val="18"/>
                <w:szCs w:val="18"/>
              </w:rPr>
              <w:t>e)</w:t>
            </w:r>
          </w:p>
        </w:tc>
        <w:tc>
          <w:tcPr>
            <w:tcW w:w="1053" w:type="pct"/>
            <w:tcBorders>
              <w:top w:val="single" w:sz="4" w:space="0" w:color="auto"/>
              <w:left w:val="single" w:sz="4" w:space="0" w:color="auto"/>
              <w:bottom w:val="single" w:sz="4" w:space="0" w:color="auto"/>
              <w:right w:val="single" w:sz="4" w:space="0" w:color="auto"/>
            </w:tcBorders>
            <w:shd w:val="clear" w:color="auto" w:fill="FFC000"/>
            <w:noWrap/>
            <w:vAlign w:val="center"/>
          </w:tcPr>
          <w:p w14:paraId="6DFC53BC" w14:textId="77777777" w:rsidR="00BA185F" w:rsidRPr="00C442A0" w:rsidRDefault="00BA185F" w:rsidP="00CE32DB">
            <w:pPr>
              <w:spacing w:after="0" w:line="240" w:lineRule="auto"/>
              <w:jc w:val="center"/>
              <w:rPr>
                <w:rFonts w:ascii="Calibri" w:eastAsia="Times New Roman" w:hAnsi="Calibri" w:cs="Calibri"/>
                <w:b/>
                <w:color w:val="000000"/>
                <w:sz w:val="18"/>
                <w:szCs w:val="18"/>
              </w:rPr>
            </w:pPr>
            <w:r w:rsidRPr="00C442A0">
              <w:rPr>
                <w:rFonts w:ascii="Calibri" w:eastAsia="Times New Roman" w:hAnsi="Calibri" w:cs="Calibri"/>
                <w:b/>
                <w:color w:val="000000"/>
                <w:sz w:val="18"/>
                <w:szCs w:val="18"/>
              </w:rPr>
              <w:t>Contribution to uncertainty (%)</w:t>
            </w:r>
          </w:p>
        </w:tc>
        <w:tc>
          <w:tcPr>
            <w:tcW w:w="1053" w:type="pct"/>
            <w:tcBorders>
              <w:top w:val="single" w:sz="4" w:space="0" w:color="auto"/>
              <w:left w:val="single" w:sz="4" w:space="0" w:color="auto"/>
              <w:bottom w:val="single" w:sz="4" w:space="0" w:color="auto"/>
              <w:right w:val="single" w:sz="4" w:space="0" w:color="auto"/>
            </w:tcBorders>
            <w:shd w:val="clear" w:color="auto" w:fill="FFC000"/>
            <w:vAlign w:val="center"/>
          </w:tcPr>
          <w:p w14:paraId="04254B43" w14:textId="77777777" w:rsidR="00BA185F" w:rsidRPr="00C442A0" w:rsidRDefault="00BA185F" w:rsidP="00CE32DB">
            <w:pPr>
              <w:spacing w:after="0" w:line="240" w:lineRule="auto"/>
              <w:jc w:val="center"/>
              <w:rPr>
                <w:rFonts w:ascii="Calibri" w:eastAsia="Times New Roman" w:hAnsi="Calibri" w:cs="Calibri"/>
                <w:b/>
                <w:color w:val="000000"/>
                <w:sz w:val="18"/>
                <w:szCs w:val="18"/>
              </w:rPr>
            </w:pPr>
            <w:r w:rsidRPr="00C442A0">
              <w:rPr>
                <w:rFonts w:ascii="Calibri" w:eastAsia="Times New Roman" w:hAnsi="Calibri" w:cs="Calibri"/>
                <w:b/>
                <w:color w:val="000000"/>
                <w:sz w:val="18"/>
                <w:szCs w:val="18"/>
              </w:rPr>
              <w:t>Contribution to uncertainty</w:t>
            </w:r>
          </w:p>
          <w:p w14:paraId="25C4F579" w14:textId="77777777" w:rsidR="00BA185F" w:rsidRPr="00C442A0" w:rsidDel="001D4241" w:rsidRDefault="00BA185F" w:rsidP="00CE32DB">
            <w:pPr>
              <w:spacing w:after="0" w:line="240" w:lineRule="auto"/>
              <w:jc w:val="center"/>
              <w:rPr>
                <w:rFonts w:ascii="Calibri" w:eastAsia="Times New Roman" w:hAnsi="Calibri" w:cs="Calibri"/>
                <w:b/>
                <w:color w:val="000000"/>
                <w:sz w:val="18"/>
                <w:szCs w:val="18"/>
              </w:rPr>
            </w:pPr>
            <w:r w:rsidRPr="00C442A0">
              <w:rPr>
                <w:rFonts w:ascii="Calibri" w:eastAsia="Times New Roman" w:hAnsi="Calibri" w:cs="Calibri"/>
                <w:b/>
                <w:color w:val="000000"/>
                <w:sz w:val="18"/>
                <w:szCs w:val="18"/>
              </w:rPr>
              <w:t>(MMT CO</w:t>
            </w:r>
            <w:r w:rsidRPr="00C442A0">
              <w:rPr>
                <w:rFonts w:ascii="Calibri" w:eastAsia="Times New Roman" w:hAnsi="Calibri" w:cs="Calibri"/>
                <w:b/>
                <w:color w:val="000000"/>
                <w:sz w:val="18"/>
                <w:szCs w:val="18"/>
                <w:vertAlign w:val="subscript"/>
              </w:rPr>
              <w:t>2</w:t>
            </w:r>
            <w:r w:rsidRPr="00C442A0">
              <w:rPr>
                <w:rFonts w:ascii="Calibri" w:eastAsia="Times New Roman" w:hAnsi="Calibri" w:cs="Calibri"/>
                <w:b/>
                <w:color w:val="000000"/>
                <w:sz w:val="18"/>
                <w:szCs w:val="18"/>
              </w:rPr>
              <w:t>e)</w:t>
            </w:r>
          </w:p>
        </w:tc>
      </w:tr>
      <w:tr w:rsidR="00BA185F" w:rsidRPr="00C442A0" w14:paraId="108DB56A" w14:textId="77777777" w:rsidTr="00CE32DB">
        <w:trPr>
          <w:cantSplit/>
          <w:trHeight w:val="404"/>
        </w:trPr>
        <w:tc>
          <w:tcPr>
            <w:tcW w:w="1842" w:type="pct"/>
            <w:tcBorders>
              <w:top w:val="single" w:sz="4" w:space="0" w:color="auto"/>
              <w:left w:val="single" w:sz="4" w:space="0" w:color="auto"/>
              <w:bottom w:val="single" w:sz="4" w:space="0" w:color="auto"/>
              <w:right w:val="single" w:sz="4" w:space="0" w:color="auto"/>
            </w:tcBorders>
            <w:vAlign w:val="center"/>
          </w:tcPr>
          <w:p w14:paraId="5165A8B2" w14:textId="277553B0" w:rsidR="00BA185F" w:rsidRPr="00C442A0" w:rsidRDefault="00BA185F" w:rsidP="00CE32DB">
            <w:pPr>
              <w:spacing w:after="0" w:line="240" w:lineRule="auto"/>
              <w:rPr>
                <w:rFonts w:ascii="Calibri" w:eastAsia="Times New Roman" w:hAnsi="Calibri" w:cs="Calibri"/>
                <w:color w:val="000000"/>
                <w:sz w:val="18"/>
                <w:szCs w:val="18"/>
              </w:rPr>
            </w:pPr>
            <w:r w:rsidRPr="00C442A0">
              <w:rPr>
                <w:rFonts w:ascii="Calibri" w:eastAsia="Times New Roman" w:hAnsi="Calibri" w:cs="Calibri"/>
                <w:color w:val="000000"/>
                <w:sz w:val="18"/>
                <w:szCs w:val="18"/>
              </w:rPr>
              <w:t>None (all vary)</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05861C" w14:textId="78BE1E92" w:rsidR="00BA185F" w:rsidRPr="00C442A0" w:rsidRDefault="000D1C8F" w:rsidP="00CE32D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45</w:t>
            </w:r>
            <w:r w:rsidR="00BA185F" w:rsidRPr="00C442A0">
              <w:rPr>
                <w:rFonts w:ascii="Calibri" w:eastAsia="Times New Roman" w:hAnsi="Calibri" w:cs="Calibri"/>
                <w:color w:val="000000"/>
                <w:sz w:val="18"/>
                <w:szCs w:val="18"/>
              </w:rPr>
              <w:t>.</w:t>
            </w:r>
            <w:r>
              <w:rPr>
                <w:rFonts w:ascii="Calibri" w:eastAsia="Times New Roman" w:hAnsi="Calibri" w:cs="Calibri"/>
                <w:color w:val="000000"/>
                <w:sz w:val="18"/>
                <w:szCs w:val="18"/>
              </w:rPr>
              <w:t>9</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F6CB06" w14:textId="14B54171" w:rsidR="00BA185F" w:rsidRPr="00C442A0" w:rsidRDefault="00C442A0"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w:t>
            </w:r>
          </w:p>
        </w:tc>
        <w:tc>
          <w:tcPr>
            <w:tcW w:w="1053" w:type="pct"/>
            <w:tcBorders>
              <w:top w:val="single" w:sz="4" w:space="0" w:color="auto"/>
              <w:left w:val="single" w:sz="4" w:space="0" w:color="auto"/>
              <w:bottom w:val="single" w:sz="4" w:space="0" w:color="auto"/>
              <w:right w:val="single" w:sz="4" w:space="0" w:color="auto"/>
            </w:tcBorders>
            <w:vAlign w:val="center"/>
          </w:tcPr>
          <w:p w14:paraId="70D75967" w14:textId="3E724436" w:rsidR="00BA185F" w:rsidRPr="00C442A0" w:rsidRDefault="00C442A0"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w:t>
            </w:r>
          </w:p>
        </w:tc>
      </w:tr>
      <w:tr w:rsidR="00BA185F" w:rsidRPr="00C442A0" w14:paraId="0D566917" w14:textId="77777777" w:rsidTr="00CE32DB">
        <w:trPr>
          <w:cantSplit/>
          <w:trHeight w:val="404"/>
        </w:trPr>
        <w:tc>
          <w:tcPr>
            <w:tcW w:w="1842" w:type="pct"/>
            <w:tcBorders>
              <w:top w:val="single" w:sz="4" w:space="0" w:color="auto"/>
              <w:left w:val="single" w:sz="4" w:space="0" w:color="auto"/>
              <w:bottom w:val="single" w:sz="4" w:space="0" w:color="auto"/>
              <w:right w:val="single" w:sz="4" w:space="0" w:color="auto"/>
            </w:tcBorders>
            <w:vAlign w:val="center"/>
          </w:tcPr>
          <w:p w14:paraId="593FC8D7" w14:textId="64077445" w:rsidR="00BA185F" w:rsidRPr="00C442A0" w:rsidRDefault="00C442A0" w:rsidP="00CE32DB">
            <w:pPr>
              <w:spacing w:after="0" w:line="240" w:lineRule="auto"/>
              <w:rPr>
                <w:rFonts w:ascii="Calibri" w:eastAsia="Times New Roman" w:hAnsi="Calibri" w:cs="Calibri"/>
                <w:color w:val="000000"/>
                <w:sz w:val="18"/>
                <w:szCs w:val="18"/>
              </w:rPr>
            </w:pPr>
            <w:r w:rsidRPr="00C442A0">
              <w:rPr>
                <w:rFonts w:ascii="Calibri" w:eastAsia="Times New Roman" w:hAnsi="Calibri" w:cs="Calibri"/>
                <w:color w:val="000000"/>
                <w:sz w:val="18"/>
                <w:szCs w:val="18"/>
              </w:rPr>
              <w:t>Solid wood product (SWP) data</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08D01F" w14:textId="30CA0DFF" w:rsidR="00BA185F" w:rsidRPr="00C442A0" w:rsidRDefault="00BA185F"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w:t>
            </w:r>
            <w:r w:rsidR="00C442A0" w:rsidRPr="00C442A0">
              <w:rPr>
                <w:rFonts w:ascii="Calibri" w:eastAsia="Times New Roman" w:hAnsi="Calibri" w:cs="Calibri"/>
                <w:color w:val="000000"/>
                <w:sz w:val="18"/>
                <w:szCs w:val="18"/>
              </w:rPr>
              <w:t xml:space="preserve"> </w:t>
            </w:r>
            <w:r w:rsidRPr="00C442A0">
              <w:rPr>
                <w:rFonts w:ascii="Calibri" w:eastAsia="Times New Roman" w:hAnsi="Calibri" w:cs="Calibri"/>
                <w:color w:val="000000"/>
                <w:sz w:val="18"/>
                <w:szCs w:val="18"/>
                <w:vertAlign w:val="superscript"/>
              </w:rPr>
              <w:t>a</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25244F" w14:textId="27CEB4DC" w:rsidR="00BA185F" w:rsidRPr="00C442A0" w:rsidRDefault="00C442A0"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30.5</w:t>
            </w:r>
          </w:p>
        </w:tc>
        <w:tc>
          <w:tcPr>
            <w:tcW w:w="1053" w:type="pct"/>
            <w:tcBorders>
              <w:top w:val="single" w:sz="4" w:space="0" w:color="auto"/>
              <w:left w:val="single" w:sz="4" w:space="0" w:color="auto"/>
              <w:bottom w:val="single" w:sz="4" w:space="0" w:color="auto"/>
              <w:right w:val="single" w:sz="4" w:space="0" w:color="auto"/>
            </w:tcBorders>
            <w:vAlign w:val="center"/>
          </w:tcPr>
          <w:p w14:paraId="7BEEA5AA" w14:textId="2E79B3F2" w:rsidR="00BA185F" w:rsidRPr="00C442A0" w:rsidRDefault="000D1C8F">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1</w:t>
            </w:r>
            <w:r>
              <w:rPr>
                <w:rFonts w:ascii="Calibri" w:eastAsia="Times New Roman" w:hAnsi="Calibri" w:cs="Calibri"/>
                <w:color w:val="000000"/>
                <w:sz w:val="18"/>
                <w:szCs w:val="18"/>
              </w:rPr>
              <w:t>4</w:t>
            </w:r>
            <w:r w:rsidR="00C442A0" w:rsidRPr="00C442A0">
              <w:rPr>
                <w:rFonts w:ascii="Calibri" w:eastAsia="Times New Roman" w:hAnsi="Calibri" w:cs="Calibri"/>
                <w:color w:val="000000"/>
                <w:sz w:val="18"/>
                <w:szCs w:val="18"/>
              </w:rPr>
              <w:t>.</w:t>
            </w:r>
            <w:r>
              <w:rPr>
                <w:rFonts w:ascii="Calibri" w:eastAsia="Times New Roman" w:hAnsi="Calibri" w:cs="Calibri"/>
                <w:color w:val="000000"/>
                <w:sz w:val="18"/>
                <w:szCs w:val="18"/>
              </w:rPr>
              <w:t>0</w:t>
            </w:r>
          </w:p>
        </w:tc>
      </w:tr>
      <w:tr w:rsidR="00C442A0" w:rsidRPr="00C442A0" w14:paraId="44B3156B" w14:textId="77777777" w:rsidTr="00CE32DB">
        <w:trPr>
          <w:cantSplit/>
          <w:trHeight w:val="404"/>
        </w:trPr>
        <w:tc>
          <w:tcPr>
            <w:tcW w:w="1842" w:type="pct"/>
            <w:tcBorders>
              <w:top w:val="single" w:sz="4" w:space="0" w:color="auto"/>
              <w:left w:val="single" w:sz="4" w:space="0" w:color="auto"/>
              <w:bottom w:val="single" w:sz="4" w:space="0" w:color="auto"/>
              <w:right w:val="single" w:sz="4" w:space="0" w:color="auto"/>
            </w:tcBorders>
            <w:vAlign w:val="center"/>
          </w:tcPr>
          <w:p w14:paraId="5997A0D6" w14:textId="0BDE1FBE" w:rsidR="00C442A0" w:rsidRPr="00C442A0" w:rsidRDefault="00C442A0" w:rsidP="00CE32DB">
            <w:pPr>
              <w:spacing w:after="0" w:line="240" w:lineRule="auto"/>
              <w:rPr>
                <w:rFonts w:ascii="Calibri" w:eastAsia="Times New Roman" w:hAnsi="Calibri" w:cs="Calibri"/>
                <w:color w:val="000000"/>
                <w:sz w:val="18"/>
                <w:szCs w:val="18"/>
              </w:rPr>
            </w:pPr>
            <w:r w:rsidRPr="00C442A0">
              <w:rPr>
                <w:rFonts w:ascii="Calibri" w:eastAsia="Times New Roman" w:hAnsi="Calibri" w:cs="Calibri"/>
                <w:color w:val="000000"/>
                <w:sz w:val="18"/>
                <w:szCs w:val="18"/>
              </w:rPr>
              <w:t>Paper data</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020E81" w14:textId="56A0E3F1" w:rsidR="00C442A0" w:rsidRPr="00C442A0" w:rsidRDefault="00C442A0"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w:t>
            </w:r>
            <w:r w:rsidR="00525816" w:rsidRPr="00C442A0">
              <w:rPr>
                <w:rFonts w:ascii="Calibri" w:eastAsia="Times New Roman" w:hAnsi="Calibri" w:cs="Calibri"/>
                <w:color w:val="000000"/>
                <w:sz w:val="18"/>
                <w:szCs w:val="18"/>
                <w:vertAlign w:val="superscript"/>
              </w:rPr>
              <w:t xml:space="preserve"> </w:t>
            </w:r>
            <w:r w:rsidR="00525816">
              <w:rPr>
                <w:rFonts w:ascii="Calibri" w:eastAsia="Times New Roman" w:hAnsi="Calibri" w:cs="Calibri"/>
                <w:color w:val="000000"/>
                <w:sz w:val="18"/>
                <w:szCs w:val="18"/>
                <w:vertAlign w:val="superscript"/>
              </w:rPr>
              <w:t xml:space="preserve"> </w:t>
            </w:r>
            <w:r w:rsidR="00525816" w:rsidRPr="00C442A0">
              <w:rPr>
                <w:rFonts w:ascii="Calibri" w:eastAsia="Times New Roman" w:hAnsi="Calibri" w:cs="Calibri"/>
                <w:color w:val="000000"/>
                <w:sz w:val="18"/>
                <w:szCs w:val="18"/>
                <w:vertAlign w:val="superscript"/>
              </w:rPr>
              <w:t>a</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F33FC2" w14:textId="5F66A42E" w:rsidR="00C442A0" w:rsidRPr="00C442A0" w:rsidRDefault="00C442A0"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10.2</w:t>
            </w:r>
          </w:p>
        </w:tc>
        <w:tc>
          <w:tcPr>
            <w:tcW w:w="1053" w:type="pct"/>
            <w:tcBorders>
              <w:top w:val="single" w:sz="4" w:space="0" w:color="auto"/>
              <w:left w:val="single" w:sz="4" w:space="0" w:color="auto"/>
              <w:bottom w:val="single" w:sz="4" w:space="0" w:color="auto"/>
              <w:right w:val="single" w:sz="4" w:space="0" w:color="auto"/>
            </w:tcBorders>
            <w:vAlign w:val="center"/>
          </w:tcPr>
          <w:p w14:paraId="64E1C799" w14:textId="284645D5" w:rsidR="00C442A0" w:rsidRPr="00C442A0" w:rsidRDefault="000D1C8F">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w:t>
            </w:r>
            <w:r w:rsidR="00C442A0" w:rsidRPr="00C442A0">
              <w:rPr>
                <w:rFonts w:ascii="Calibri" w:eastAsia="Times New Roman" w:hAnsi="Calibri" w:cs="Calibri"/>
                <w:color w:val="000000"/>
                <w:sz w:val="18"/>
                <w:szCs w:val="18"/>
              </w:rPr>
              <w:t>.</w:t>
            </w:r>
            <w:r>
              <w:rPr>
                <w:rFonts w:ascii="Calibri" w:eastAsia="Times New Roman" w:hAnsi="Calibri" w:cs="Calibri"/>
                <w:color w:val="000000"/>
                <w:sz w:val="18"/>
                <w:szCs w:val="18"/>
              </w:rPr>
              <w:t>7</w:t>
            </w:r>
          </w:p>
        </w:tc>
      </w:tr>
      <w:tr w:rsidR="00BA185F" w:rsidRPr="00C442A0" w14:paraId="301CF985" w14:textId="77777777" w:rsidTr="00CE32DB">
        <w:trPr>
          <w:cantSplit/>
          <w:trHeight w:val="404"/>
        </w:trPr>
        <w:tc>
          <w:tcPr>
            <w:tcW w:w="1842" w:type="pct"/>
            <w:tcBorders>
              <w:top w:val="single" w:sz="4" w:space="0" w:color="auto"/>
              <w:left w:val="single" w:sz="4" w:space="0" w:color="auto"/>
              <w:bottom w:val="single" w:sz="4" w:space="0" w:color="auto"/>
              <w:right w:val="single" w:sz="4" w:space="0" w:color="auto"/>
            </w:tcBorders>
            <w:vAlign w:val="center"/>
          </w:tcPr>
          <w:p w14:paraId="6A1FD0AF" w14:textId="2FDD34BE" w:rsidR="00BA185F" w:rsidRPr="00C442A0" w:rsidRDefault="00C442A0" w:rsidP="00CE32DB">
            <w:pPr>
              <w:spacing w:after="0" w:line="240" w:lineRule="auto"/>
              <w:rPr>
                <w:rFonts w:ascii="Calibri" w:eastAsia="Times New Roman" w:hAnsi="Calibri" w:cs="Calibri"/>
                <w:color w:val="000000"/>
                <w:sz w:val="18"/>
                <w:szCs w:val="18"/>
              </w:rPr>
            </w:pPr>
            <w:r w:rsidRPr="00C442A0">
              <w:rPr>
                <w:rFonts w:ascii="Calibri" w:eastAsia="Times New Roman" w:hAnsi="Calibri" w:cs="Calibri"/>
                <w:color w:val="000000"/>
                <w:sz w:val="18"/>
                <w:szCs w:val="18"/>
              </w:rPr>
              <w:t>SWP conversion to carbon</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95BFCF" w14:textId="693F4696" w:rsidR="00BA185F" w:rsidRPr="00C442A0" w:rsidRDefault="00C442A0"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w:t>
            </w:r>
            <w:r w:rsidR="00525816">
              <w:rPr>
                <w:rFonts w:ascii="Calibri" w:eastAsia="Times New Roman" w:hAnsi="Calibri" w:cs="Calibri"/>
                <w:color w:val="000000"/>
                <w:sz w:val="18"/>
                <w:szCs w:val="18"/>
              </w:rPr>
              <w:t xml:space="preserve"> </w:t>
            </w:r>
            <w:r w:rsidR="00525816" w:rsidRPr="00C442A0">
              <w:rPr>
                <w:rFonts w:ascii="Calibri" w:eastAsia="Times New Roman" w:hAnsi="Calibri" w:cs="Calibri"/>
                <w:color w:val="000000"/>
                <w:sz w:val="18"/>
                <w:szCs w:val="18"/>
                <w:vertAlign w:val="superscript"/>
              </w:rPr>
              <w:t>a</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EC5A2A" w14:textId="0CE27474" w:rsidR="00BA185F" w:rsidRPr="00C442A0" w:rsidRDefault="00C442A0"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28.8</w:t>
            </w:r>
          </w:p>
        </w:tc>
        <w:tc>
          <w:tcPr>
            <w:tcW w:w="1053" w:type="pct"/>
            <w:tcBorders>
              <w:top w:val="single" w:sz="4" w:space="0" w:color="auto"/>
              <w:left w:val="single" w:sz="4" w:space="0" w:color="auto"/>
              <w:bottom w:val="single" w:sz="4" w:space="0" w:color="auto"/>
              <w:right w:val="single" w:sz="4" w:space="0" w:color="auto"/>
            </w:tcBorders>
            <w:vAlign w:val="center"/>
          </w:tcPr>
          <w:p w14:paraId="2E4BE1AA" w14:textId="18A02BF2" w:rsidR="00BA185F" w:rsidRPr="00C442A0" w:rsidRDefault="000D1C8F">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1</w:t>
            </w:r>
            <w:r>
              <w:rPr>
                <w:rFonts w:ascii="Calibri" w:eastAsia="Times New Roman" w:hAnsi="Calibri" w:cs="Calibri"/>
                <w:color w:val="000000"/>
                <w:sz w:val="18"/>
                <w:szCs w:val="18"/>
              </w:rPr>
              <w:t>3</w:t>
            </w:r>
            <w:r w:rsidR="00C442A0" w:rsidRPr="00C442A0">
              <w:rPr>
                <w:rFonts w:ascii="Calibri" w:eastAsia="Times New Roman" w:hAnsi="Calibri" w:cs="Calibri"/>
                <w:color w:val="000000"/>
                <w:sz w:val="18"/>
                <w:szCs w:val="18"/>
              </w:rPr>
              <w:t>.</w:t>
            </w:r>
            <w:r>
              <w:rPr>
                <w:rFonts w:ascii="Calibri" w:eastAsia="Times New Roman" w:hAnsi="Calibri" w:cs="Calibri"/>
                <w:color w:val="000000"/>
                <w:sz w:val="18"/>
                <w:szCs w:val="18"/>
              </w:rPr>
              <w:t>2</w:t>
            </w:r>
          </w:p>
        </w:tc>
      </w:tr>
      <w:tr w:rsidR="00BA185F" w:rsidRPr="00C442A0" w14:paraId="466A2F77" w14:textId="77777777" w:rsidTr="00CE32DB">
        <w:trPr>
          <w:cantSplit/>
          <w:trHeight w:val="451"/>
        </w:trPr>
        <w:tc>
          <w:tcPr>
            <w:tcW w:w="1842" w:type="pct"/>
            <w:tcBorders>
              <w:top w:val="single" w:sz="4" w:space="0" w:color="auto"/>
              <w:left w:val="single" w:sz="4" w:space="0" w:color="auto"/>
              <w:bottom w:val="single" w:sz="4" w:space="0" w:color="auto"/>
              <w:right w:val="single" w:sz="4" w:space="0" w:color="auto"/>
            </w:tcBorders>
            <w:vAlign w:val="center"/>
          </w:tcPr>
          <w:p w14:paraId="629D3716" w14:textId="683A7CA7" w:rsidR="00BA185F" w:rsidRPr="00C442A0" w:rsidRDefault="00C442A0" w:rsidP="00CE32DB">
            <w:pPr>
              <w:spacing w:after="0" w:line="240" w:lineRule="auto"/>
              <w:rPr>
                <w:rFonts w:ascii="Calibri" w:eastAsia="Times New Roman" w:hAnsi="Calibri" w:cs="Calibri"/>
                <w:color w:val="000000"/>
                <w:sz w:val="18"/>
                <w:szCs w:val="18"/>
              </w:rPr>
            </w:pPr>
            <w:r w:rsidRPr="00C442A0">
              <w:rPr>
                <w:rFonts w:ascii="Calibri" w:eastAsia="Times New Roman" w:hAnsi="Calibri" w:cs="Calibri"/>
                <w:color w:val="000000"/>
                <w:sz w:val="18"/>
                <w:szCs w:val="18"/>
              </w:rPr>
              <w:t>Paper conversion to carbon</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5723AE" w14:textId="4991FF3D" w:rsidR="00BA185F" w:rsidRPr="00C442A0" w:rsidRDefault="00C442A0"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w:t>
            </w:r>
            <w:r w:rsidR="00525816">
              <w:rPr>
                <w:rFonts w:ascii="Calibri" w:eastAsia="Times New Roman" w:hAnsi="Calibri" w:cs="Calibri"/>
                <w:color w:val="000000"/>
                <w:sz w:val="18"/>
                <w:szCs w:val="18"/>
              </w:rPr>
              <w:t xml:space="preserve"> </w:t>
            </w:r>
            <w:r w:rsidR="00525816" w:rsidRPr="00C442A0">
              <w:rPr>
                <w:rFonts w:ascii="Calibri" w:eastAsia="Times New Roman" w:hAnsi="Calibri" w:cs="Calibri"/>
                <w:color w:val="000000"/>
                <w:sz w:val="18"/>
                <w:szCs w:val="18"/>
                <w:vertAlign w:val="superscript"/>
              </w:rPr>
              <w:t>a</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009823" w14:textId="20CD4A36" w:rsidR="00BA185F" w:rsidRPr="00C442A0" w:rsidRDefault="00C442A0"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8.5</w:t>
            </w:r>
          </w:p>
        </w:tc>
        <w:tc>
          <w:tcPr>
            <w:tcW w:w="1053" w:type="pct"/>
            <w:tcBorders>
              <w:top w:val="single" w:sz="4" w:space="0" w:color="auto"/>
              <w:left w:val="single" w:sz="4" w:space="0" w:color="auto"/>
              <w:bottom w:val="single" w:sz="4" w:space="0" w:color="auto"/>
              <w:right w:val="single" w:sz="4" w:space="0" w:color="auto"/>
            </w:tcBorders>
            <w:vAlign w:val="center"/>
          </w:tcPr>
          <w:p w14:paraId="57D94CF5" w14:textId="53C29112" w:rsidR="00BA185F" w:rsidRPr="00C442A0" w:rsidRDefault="00C442A0">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3.</w:t>
            </w:r>
            <w:r w:rsidR="000D1C8F">
              <w:rPr>
                <w:rFonts w:ascii="Calibri" w:eastAsia="Times New Roman" w:hAnsi="Calibri" w:cs="Calibri"/>
                <w:color w:val="000000"/>
                <w:sz w:val="18"/>
                <w:szCs w:val="18"/>
              </w:rPr>
              <w:t>9</w:t>
            </w:r>
          </w:p>
        </w:tc>
      </w:tr>
      <w:tr w:rsidR="00BA185F" w:rsidRPr="00C442A0" w14:paraId="3F613EB3" w14:textId="77777777" w:rsidTr="00CE32DB">
        <w:trPr>
          <w:cantSplit/>
          <w:trHeight w:val="451"/>
        </w:trPr>
        <w:tc>
          <w:tcPr>
            <w:tcW w:w="1842" w:type="pct"/>
            <w:tcBorders>
              <w:top w:val="single" w:sz="4" w:space="0" w:color="auto"/>
              <w:left w:val="single" w:sz="4" w:space="0" w:color="auto"/>
              <w:bottom w:val="single" w:sz="4" w:space="0" w:color="auto"/>
              <w:right w:val="single" w:sz="4" w:space="0" w:color="auto"/>
            </w:tcBorders>
            <w:vAlign w:val="center"/>
          </w:tcPr>
          <w:p w14:paraId="72ABC79D" w14:textId="43FE77BE" w:rsidR="00BA185F" w:rsidRPr="00C442A0" w:rsidRDefault="00C442A0" w:rsidP="00CE32DB">
            <w:pPr>
              <w:spacing w:after="0" w:line="240" w:lineRule="auto"/>
              <w:rPr>
                <w:rFonts w:ascii="Calibri" w:eastAsia="Times New Roman" w:hAnsi="Calibri" w:cs="Calibri"/>
                <w:color w:val="000000"/>
                <w:sz w:val="18"/>
                <w:szCs w:val="18"/>
              </w:rPr>
            </w:pPr>
            <w:r w:rsidRPr="00C442A0">
              <w:rPr>
                <w:rFonts w:ascii="Calibri" w:eastAsia="Times New Roman" w:hAnsi="Calibri" w:cs="Calibri"/>
                <w:color w:val="000000"/>
                <w:sz w:val="18"/>
                <w:szCs w:val="18"/>
              </w:rPr>
              <w:t>SWP discard rate</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15B4A4" w14:textId="0517FDDD" w:rsidR="00BA185F" w:rsidRPr="00C442A0" w:rsidRDefault="00C442A0"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w:t>
            </w:r>
            <w:r w:rsidR="00525816">
              <w:rPr>
                <w:rFonts w:ascii="Calibri" w:eastAsia="Times New Roman" w:hAnsi="Calibri" w:cs="Calibri"/>
                <w:color w:val="000000"/>
                <w:sz w:val="18"/>
                <w:szCs w:val="18"/>
              </w:rPr>
              <w:t xml:space="preserve"> </w:t>
            </w:r>
            <w:r w:rsidR="00525816" w:rsidRPr="00C442A0">
              <w:rPr>
                <w:rFonts w:ascii="Calibri" w:eastAsia="Times New Roman" w:hAnsi="Calibri" w:cs="Calibri"/>
                <w:color w:val="000000"/>
                <w:sz w:val="18"/>
                <w:szCs w:val="18"/>
                <w:vertAlign w:val="superscript"/>
              </w:rPr>
              <w:t>a</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BFD2EB" w14:textId="257744C8" w:rsidR="00BA185F" w:rsidRPr="00C442A0" w:rsidRDefault="00C442A0"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5.1</w:t>
            </w:r>
          </w:p>
        </w:tc>
        <w:tc>
          <w:tcPr>
            <w:tcW w:w="1053" w:type="pct"/>
            <w:tcBorders>
              <w:top w:val="single" w:sz="4" w:space="0" w:color="auto"/>
              <w:left w:val="single" w:sz="4" w:space="0" w:color="auto"/>
              <w:bottom w:val="single" w:sz="4" w:space="0" w:color="auto"/>
              <w:right w:val="single" w:sz="4" w:space="0" w:color="auto"/>
            </w:tcBorders>
            <w:vAlign w:val="center"/>
          </w:tcPr>
          <w:p w14:paraId="040B44F6" w14:textId="55B91727" w:rsidR="00BA185F" w:rsidRPr="00C442A0" w:rsidRDefault="000D1C8F">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w:t>
            </w:r>
            <w:r w:rsidR="00C442A0" w:rsidRPr="00C442A0">
              <w:rPr>
                <w:rFonts w:ascii="Calibri" w:eastAsia="Times New Roman" w:hAnsi="Calibri" w:cs="Calibri"/>
                <w:color w:val="000000"/>
                <w:sz w:val="18"/>
                <w:szCs w:val="18"/>
              </w:rPr>
              <w:t>.</w:t>
            </w:r>
            <w:r>
              <w:rPr>
                <w:rFonts w:ascii="Calibri" w:eastAsia="Times New Roman" w:hAnsi="Calibri" w:cs="Calibri"/>
                <w:color w:val="000000"/>
                <w:sz w:val="18"/>
                <w:szCs w:val="18"/>
              </w:rPr>
              <w:t>3</w:t>
            </w:r>
          </w:p>
        </w:tc>
      </w:tr>
      <w:tr w:rsidR="00BA185F" w:rsidRPr="00C442A0" w14:paraId="6B05E2A5" w14:textId="77777777" w:rsidTr="00CE32DB">
        <w:trPr>
          <w:cantSplit/>
          <w:trHeight w:val="451"/>
        </w:trPr>
        <w:tc>
          <w:tcPr>
            <w:tcW w:w="1842" w:type="pct"/>
            <w:tcBorders>
              <w:top w:val="single" w:sz="4" w:space="0" w:color="auto"/>
              <w:left w:val="single" w:sz="4" w:space="0" w:color="auto"/>
              <w:bottom w:val="single" w:sz="4" w:space="0" w:color="auto"/>
              <w:right w:val="single" w:sz="4" w:space="0" w:color="auto"/>
            </w:tcBorders>
            <w:vAlign w:val="center"/>
          </w:tcPr>
          <w:p w14:paraId="10AF2EC0" w14:textId="0ACB8C27" w:rsidR="00BA185F" w:rsidRPr="00C442A0" w:rsidRDefault="00C442A0" w:rsidP="00CE32DB">
            <w:pPr>
              <w:spacing w:after="0" w:line="240" w:lineRule="auto"/>
              <w:rPr>
                <w:rFonts w:ascii="Calibri" w:eastAsia="Times New Roman" w:hAnsi="Calibri" w:cs="Calibri"/>
                <w:color w:val="000000"/>
                <w:sz w:val="18"/>
                <w:szCs w:val="18"/>
              </w:rPr>
            </w:pPr>
            <w:r w:rsidRPr="00C442A0">
              <w:rPr>
                <w:rFonts w:ascii="Calibri" w:eastAsia="Times New Roman" w:hAnsi="Calibri" w:cs="Calibri"/>
                <w:color w:val="000000"/>
                <w:sz w:val="18"/>
                <w:szCs w:val="18"/>
              </w:rPr>
              <w:t>Paper discard rate</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A1276F" w14:textId="40962675" w:rsidR="00BA185F" w:rsidRPr="00C442A0" w:rsidRDefault="00C442A0"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w:t>
            </w:r>
            <w:r w:rsidR="00525816">
              <w:rPr>
                <w:rFonts w:ascii="Calibri" w:eastAsia="Times New Roman" w:hAnsi="Calibri" w:cs="Calibri"/>
                <w:color w:val="000000"/>
                <w:sz w:val="18"/>
                <w:szCs w:val="18"/>
              </w:rPr>
              <w:t xml:space="preserve"> </w:t>
            </w:r>
            <w:r w:rsidR="00525816" w:rsidRPr="00C442A0">
              <w:rPr>
                <w:rFonts w:ascii="Calibri" w:eastAsia="Times New Roman" w:hAnsi="Calibri" w:cs="Calibri"/>
                <w:color w:val="000000"/>
                <w:sz w:val="18"/>
                <w:szCs w:val="18"/>
                <w:vertAlign w:val="superscript"/>
              </w:rPr>
              <w:t>a</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72A331" w14:textId="4C046403" w:rsidR="00BA185F" w:rsidRPr="00C442A0" w:rsidRDefault="00C442A0"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3.4</w:t>
            </w:r>
          </w:p>
        </w:tc>
        <w:tc>
          <w:tcPr>
            <w:tcW w:w="1053" w:type="pct"/>
            <w:tcBorders>
              <w:top w:val="single" w:sz="4" w:space="0" w:color="auto"/>
              <w:left w:val="single" w:sz="4" w:space="0" w:color="auto"/>
              <w:bottom w:val="single" w:sz="4" w:space="0" w:color="auto"/>
              <w:right w:val="single" w:sz="4" w:space="0" w:color="auto"/>
            </w:tcBorders>
            <w:vAlign w:val="center"/>
          </w:tcPr>
          <w:p w14:paraId="28EB6EC9" w14:textId="38BA0D28" w:rsidR="00BA185F" w:rsidRPr="00C442A0" w:rsidRDefault="00C442A0">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1.</w:t>
            </w:r>
            <w:r w:rsidR="000D1C8F">
              <w:rPr>
                <w:rFonts w:ascii="Calibri" w:eastAsia="Times New Roman" w:hAnsi="Calibri" w:cs="Calibri"/>
                <w:color w:val="000000"/>
                <w:sz w:val="18"/>
                <w:szCs w:val="18"/>
              </w:rPr>
              <w:t>6</w:t>
            </w:r>
          </w:p>
        </w:tc>
      </w:tr>
      <w:tr w:rsidR="00BA185F" w:rsidRPr="00C442A0" w14:paraId="6CFB5D21" w14:textId="77777777" w:rsidTr="00CE32DB">
        <w:trPr>
          <w:cantSplit/>
          <w:trHeight w:val="451"/>
        </w:trPr>
        <w:tc>
          <w:tcPr>
            <w:tcW w:w="1842" w:type="pct"/>
            <w:tcBorders>
              <w:top w:val="single" w:sz="4" w:space="0" w:color="auto"/>
              <w:left w:val="single" w:sz="4" w:space="0" w:color="auto"/>
              <w:bottom w:val="single" w:sz="4" w:space="0" w:color="auto"/>
              <w:right w:val="single" w:sz="4" w:space="0" w:color="auto"/>
            </w:tcBorders>
            <w:vAlign w:val="center"/>
          </w:tcPr>
          <w:p w14:paraId="5BD4B4AC" w14:textId="45CE814B" w:rsidR="00BA185F" w:rsidRPr="00C442A0" w:rsidRDefault="00C442A0" w:rsidP="00CE32DB">
            <w:pPr>
              <w:spacing w:after="0" w:line="240" w:lineRule="auto"/>
              <w:rPr>
                <w:rFonts w:ascii="Calibri" w:eastAsia="Times New Roman" w:hAnsi="Calibri" w:cs="Calibri"/>
                <w:color w:val="000000"/>
                <w:sz w:val="18"/>
                <w:szCs w:val="18"/>
              </w:rPr>
            </w:pPr>
            <w:r w:rsidRPr="00C442A0">
              <w:rPr>
                <w:rFonts w:ascii="Calibri" w:eastAsia="Times New Roman" w:hAnsi="Calibri" w:cs="Calibri"/>
                <w:color w:val="000000"/>
                <w:sz w:val="18"/>
                <w:szCs w:val="18"/>
              </w:rPr>
              <w:t>Decay rate in solid waste disposal sites</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241782" w14:textId="60F41372" w:rsidR="00BA185F" w:rsidRPr="00C442A0" w:rsidRDefault="00C442A0"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w:t>
            </w:r>
            <w:r w:rsidR="00525816">
              <w:rPr>
                <w:rFonts w:ascii="Calibri" w:eastAsia="Times New Roman" w:hAnsi="Calibri" w:cs="Calibri"/>
                <w:color w:val="000000"/>
                <w:sz w:val="18"/>
                <w:szCs w:val="18"/>
              </w:rPr>
              <w:t xml:space="preserve"> </w:t>
            </w:r>
            <w:r w:rsidR="00525816" w:rsidRPr="00C442A0">
              <w:rPr>
                <w:rFonts w:ascii="Calibri" w:eastAsia="Times New Roman" w:hAnsi="Calibri" w:cs="Calibri"/>
                <w:color w:val="000000"/>
                <w:sz w:val="18"/>
                <w:szCs w:val="18"/>
                <w:vertAlign w:val="superscript"/>
              </w:rPr>
              <w:t>a</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A694B8" w14:textId="0CA8FC70" w:rsidR="00BA185F" w:rsidRPr="00C442A0" w:rsidRDefault="00C442A0"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5.1</w:t>
            </w:r>
          </w:p>
        </w:tc>
        <w:tc>
          <w:tcPr>
            <w:tcW w:w="1053" w:type="pct"/>
            <w:tcBorders>
              <w:top w:val="single" w:sz="4" w:space="0" w:color="auto"/>
              <w:left w:val="single" w:sz="4" w:space="0" w:color="auto"/>
              <w:bottom w:val="single" w:sz="4" w:space="0" w:color="auto"/>
              <w:right w:val="single" w:sz="4" w:space="0" w:color="auto"/>
            </w:tcBorders>
            <w:vAlign w:val="center"/>
          </w:tcPr>
          <w:p w14:paraId="02A41D0E" w14:textId="568E1139" w:rsidR="00BA185F" w:rsidRPr="00C442A0" w:rsidRDefault="000D1C8F">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w:t>
            </w:r>
            <w:r w:rsidR="00C442A0" w:rsidRPr="00C442A0">
              <w:rPr>
                <w:rFonts w:ascii="Calibri" w:eastAsia="Times New Roman" w:hAnsi="Calibri" w:cs="Calibri"/>
                <w:color w:val="000000"/>
                <w:sz w:val="18"/>
                <w:szCs w:val="18"/>
              </w:rPr>
              <w:t>.</w:t>
            </w:r>
            <w:r>
              <w:rPr>
                <w:rFonts w:ascii="Calibri" w:eastAsia="Times New Roman" w:hAnsi="Calibri" w:cs="Calibri"/>
                <w:color w:val="000000"/>
                <w:sz w:val="18"/>
                <w:szCs w:val="18"/>
              </w:rPr>
              <w:t>3</w:t>
            </w:r>
          </w:p>
        </w:tc>
      </w:tr>
      <w:tr w:rsidR="00BA185F" w:rsidRPr="00C442A0" w14:paraId="150EF76B" w14:textId="77777777" w:rsidTr="00CE32DB">
        <w:trPr>
          <w:cantSplit/>
          <w:trHeight w:val="451"/>
        </w:trPr>
        <w:tc>
          <w:tcPr>
            <w:tcW w:w="1842" w:type="pct"/>
            <w:tcBorders>
              <w:top w:val="single" w:sz="4" w:space="0" w:color="auto"/>
              <w:left w:val="single" w:sz="4" w:space="0" w:color="auto"/>
              <w:bottom w:val="single" w:sz="4" w:space="0" w:color="auto"/>
              <w:right w:val="single" w:sz="4" w:space="0" w:color="auto"/>
            </w:tcBorders>
            <w:vAlign w:val="center"/>
          </w:tcPr>
          <w:p w14:paraId="023099EE" w14:textId="2A3C5568" w:rsidR="00BA185F" w:rsidRPr="00C442A0" w:rsidRDefault="00C442A0" w:rsidP="00CE32DB">
            <w:pPr>
              <w:spacing w:after="0" w:line="240" w:lineRule="auto"/>
              <w:rPr>
                <w:rFonts w:ascii="Calibri" w:eastAsia="Times New Roman" w:hAnsi="Calibri" w:cs="Calibri"/>
                <w:color w:val="000000"/>
                <w:sz w:val="18"/>
                <w:szCs w:val="18"/>
              </w:rPr>
            </w:pPr>
            <w:r w:rsidRPr="00C442A0">
              <w:rPr>
                <w:rFonts w:ascii="Calibri" w:eastAsia="Times New Roman" w:hAnsi="Calibri" w:cs="Calibri"/>
                <w:color w:val="000000"/>
                <w:sz w:val="18"/>
                <w:szCs w:val="18"/>
              </w:rPr>
              <w:t>SWP decay limit</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8DE8E6" w14:textId="64FAAEB5" w:rsidR="00BA185F" w:rsidRPr="00C442A0" w:rsidRDefault="00C442A0"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w:t>
            </w:r>
            <w:r w:rsidR="00525816">
              <w:rPr>
                <w:rFonts w:ascii="Calibri" w:eastAsia="Times New Roman" w:hAnsi="Calibri" w:cs="Calibri"/>
                <w:color w:val="000000"/>
                <w:sz w:val="18"/>
                <w:szCs w:val="18"/>
              </w:rPr>
              <w:t xml:space="preserve"> </w:t>
            </w:r>
            <w:r w:rsidR="00525816" w:rsidRPr="00C442A0">
              <w:rPr>
                <w:rFonts w:ascii="Calibri" w:eastAsia="Times New Roman" w:hAnsi="Calibri" w:cs="Calibri"/>
                <w:color w:val="000000"/>
                <w:sz w:val="18"/>
                <w:szCs w:val="18"/>
                <w:vertAlign w:val="superscript"/>
              </w:rPr>
              <w:t>a</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2C8430" w14:textId="2CBADD0E" w:rsidR="00BA185F" w:rsidRPr="00C442A0" w:rsidRDefault="00C442A0"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1.7</w:t>
            </w:r>
          </w:p>
        </w:tc>
        <w:tc>
          <w:tcPr>
            <w:tcW w:w="1053" w:type="pct"/>
            <w:tcBorders>
              <w:top w:val="single" w:sz="4" w:space="0" w:color="auto"/>
              <w:left w:val="single" w:sz="4" w:space="0" w:color="auto"/>
              <w:bottom w:val="single" w:sz="4" w:space="0" w:color="auto"/>
              <w:right w:val="single" w:sz="4" w:space="0" w:color="auto"/>
            </w:tcBorders>
            <w:vAlign w:val="center"/>
          </w:tcPr>
          <w:p w14:paraId="0ED824F8" w14:textId="2337AD0C" w:rsidR="00BA185F" w:rsidRPr="00C442A0" w:rsidRDefault="00C442A0">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0.</w:t>
            </w:r>
            <w:r w:rsidR="000D1C8F">
              <w:rPr>
                <w:rFonts w:ascii="Calibri" w:eastAsia="Times New Roman" w:hAnsi="Calibri" w:cs="Calibri"/>
                <w:color w:val="000000"/>
                <w:sz w:val="18"/>
                <w:szCs w:val="18"/>
              </w:rPr>
              <w:t>8</w:t>
            </w:r>
          </w:p>
        </w:tc>
      </w:tr>
      <w:tr w:rsidR="00C442A0" w:rsidRPr="00C442A0" w14:paraId="6778BD30" w14:textId="77777777" w:rsidTr="00CE32DB">
        <w:trPr>
          <w:cantSplit/>
          <w:trHeight w:val="451"/>
        </w:trPr>
        <w:tc>
          <w:tcPr>
            <w:tcW w:w="1842" w:type="pct"/>
            <w:tcBorders>
              <w:top w:val="single" w:sz="4" w:space="0" w:color="auto"/>
              <w:left w:val="single" w:sz="4" w:space="0" w:color="auto"/>
              <w:bottom w:val="single" w:sz="4" w:space="0" w:color="auto"/>
              <w:right w:val="single" w:sz="4" w:space="0" w:color="auto"/>
            </w:tcBorders>
            <w:vAlign w:val="center"/>
          </w:tcPr>
          <w:p w14:paraId="1314F0CC" w14:textId="2489D0E0" w:rsidR="00C442A0" w:rsidRPr="00C442A0" w:rsidRDefault="00C442A0" w:rsidP="00CE32DB">
            <w:pPr>
              <w:spacing w:after="0" w:line="240" w:lineRule="auto"/>
              <w:rPr>
                <w:rFonts w:ascii="Calibri" w:eastAsia="Times New Roman" w:hAnsi="Calibri" w:cs="Calibri"/>
                <w:color w:val="000000"/>
                <w:sz w:val="18"/>
                <w:szCs w:val="18"/>
              </w:rPr>
            </w:pPr>
            <w:r w:rsidRPr="00C442A0">
              <w:rPr>
                <w:rFonts w:ascii="Calibri" w:eastAsia="Times New Roman" w:hAnsi="Calibri" w:cs="Calibri"/>
                <w:color w:val="000000"/>
                <w:sz w:val="18"/>
                <w:szCs w:val="18"/>
              </w:rPr>
              <w:t>Paper decay limit</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6671C4" w14:textId="15E1C0A4" w:rsidR="00C442A0" w:rsidRPr="00C442A0" w:rsidRDefault="00C442A0"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w:t>
            </w:r>
            <w:r w:rsidR="00525816">
              <w:rPr>
                <w:rFonts w:ascii="Calibri" w:eastAsia="Times New Roman" w:hAnsi="Calibri" w:cs="Calibri"/>
                <w:color w:val="000000"/>
                <w:sz w:val="18"/>
                <w:szCs w:val="18"/>
              </w:rPr>
              <w:t xml:space="preserve"> </w:t>
            </w:r>
            <w:r w:rsidR="00525816" w:rsidRPr="00C442A0">
              <w:rPr>
                <w:rFonts w:ascii="Calibri" w:eastAsia="Times New Roman" w:hAnsi="Calibri" w:cs="Calibri"/>
                <w:color w:val="000000"/>
                <w:sz w:val="18"/>
                <w:szCs w:val="18"/>
                <w:vertAlign w:val="superscript"/>
              </w:rPr>
              <w:t>a</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2733C2" w14:textId="6B6F8657" w:rsidR="00C442A0" w:rsidRPr="00C442A0" w:rsidRDefault="00C442A0" w:rsidP="00CE32DB">
            <w:pPr>
              <w:spacing w:after="0" w:line="240" w:lineRule="auto"/>
              <w:jc w:val="center"/>
              <w:rPr>
                <w:rFonts w:ascii="Calibri" w:eastAsia="Times New Roman" w:hAnsi="Calibri" w:cs="Calibri"/>
                <w:color w:val="000000"/>
                <w:sz w:val="18"/>
                <w:szCs w:val="18"/>
              </w:rPr>
            </w:pPr>
            <w:r w:rsidRPr="00C442A0">
              <w:rPr>
                <w:rFonts w:ascii="Calibri" w:eastAsia="Times New Roman" w:hAnsi="Calibri" w:cs="Calibri"/>
                <w:color w:val="000000"/>
                <w:sz w:val="18"/>
                <w:szCs w:val="18"/>
              </w:rPr>
              <w:t>6.8</w:t>
            </w:r>
          </w:p>
        </w:tc>
        <w:tc>
          <w:tcPr>
            <w:tcW w:w="1053" w:type="pct"/>
            <w:tcBorders>
              <w:top w:val="single" w:sz="4" w:space="0" w:color="auto"/>
              <w:left w:val="single" w:sz="4" w:space="0" w:color="auto"/>
              <w:bottom w:val="single" w:sz="4" w:space="0" w:color="auto"/>
              <w:right w:val="single" w:sz="4" w:space="0" w:color="auto"/>
            </w:tcBorders>
            <w:vAlign w:val="center"/>
          </w:tcPr>
          <w:p w14:paraId="08F9853A" w14:textId="6D4FFDAB" w:rsidR="00C442A0" w:rsidRPr="00C442A0" w:rsidRDefault="000D1C8F">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w:t>
            </w:r>
            <w:r w:rsidR="00C442A0" w:rsidRPr="00C442A0">
              <w:rPr>
                <w:rFonts w:ascii="Calibri" w:eastAsia="Times New Roman" w:hAnsi="Calibri" w:cs="Calibri"/>
                <w:color w:val="000000"/>
                <w:sz w:val="18"/>
                <w:szCs w:val="18"/>
              </w:rPr>
              <w:t>.</w:t>
            </w:r>
            <w:r>
              <w:rPr>
                <w:rFonts w:ascii="Calibri" w:eastAsia="Times New Roman" w:hAnsi="Calibri" w:cs="Calibri"/>
                <w:color w:val="000000"/>
                <w:sz w:val="18"/>
                <w:szCs w:val="18"/>
              </w:rPr>
              <w:t>1</w:t>
            </w:r>
          </w:p>
        </w:tc>
      </w:tr>
    </w:tbl>
    <w:p w14:paraId="360354FB" w14:textId="2AE22793" w:rsidR="00BA185F" w:rsidRPr="00C442A0" w:rsidRDefault="00C442A0" w:rsidP="00C442A0">
      <w:pPr>
        <w:rPr>
          <w:rFonts w:ascii="Calibri" w:hAnsi="Calibri"/>
          <w:i/>
          <w:sz w:val="18"/>
          <w:szCs w:val="18"/>
        </w:rPr>
      </w:pPr>
      <w:r w:rsidRPr="00C442A0">
        <w:rPr>
          <w:rFonts w:ascii="Calibri" w:hAnsi="Calibri"/>
          <w:i/>
          <w:sz w:val="18"/>
          <w:szCs w:val="18"/>
        </w:rPr>
        <w:t>a) Not reported in Skog et al. (2004).</w:t>
      </w:r>
    </w:p>
    <w:p w14:paraId="6F1FB55F" w14:textId="2E7DEA9C" w:rsidR="00FE1BD2" w:rsidRPr="00195F4D" w:rsidRDefault="00683F4B" w:rsidP="00F0092B">
      <w:pPr>
        <w:spacing w:before="240" w:after="0"/>
        <w:rPr>
          <w:rStyle w:val="Strong"/>
          <w:rFonts w:asciiTheme="majorHAnsi" w:eastAsiaTheme="majorEastAsia" w:hAnsiTheme="majorHAnsi" w:cstheme="majorBidi"/>
          <w:b w:val="0"/>
          <w:color w:val="2E74B5" w:themeColor="accent1" w:themeShade="BF"/>
          <w:sz w:val="26"/>
          <w:szCs w:val="26"/>
        </w:rPr>
      </w:pPr>
      <w:r w:rsidRPr="00195F4D">
        <w:rPr>
          <w:rStyle w:val="Strong"/>
          <w:rFonts w:asciiTheme="majorHAnsi" w:eastAsiaTheme="majorEastAsia" w:hAnsiTheme="majorHAnsi" w:cstheme="majorBidi"/>
          <w:b w:val="0"/>
          <w:color w:val="2E74B5" w:themeColor="accent1" w:themeShade="BF"/>
          <w:sz w:val="26"/>
          <w:szCs w:val="26"/>
        </w:rPr>
        <w:t>Discussion</w:t>
      </w:r>
    </w:p>
    <w:p w14:paraId="421A8FDB" w14:textId="5FE674D4" w:rsidR="0035449B" w:rsidRDefault="0062725B" w:rsidP="00FE1BD2">
      <w:r w:rsidRPr="0062725B">
        <w:t>Though Skog</w:t>
      </w:r>
      <w:r w:rsidR="00F96574">
        <w:t xml:space="preserve"> et al.</w:t>
      </w:r>
      <w:r w:rsidRPr="0062725B">
        <w:t xml:space="preserve"> (2004) and Skog (2008) are not completely consistent in methods and uncertainty estimation, the </w:t>
      </w:r>
      <w:r w:rsidR="008C3B03">
        <w:t>95% confidence intervals</w:t>
      </w:r>
      <w:r w:rsidRPr="0062725B">
        <w:t xml:space="preserve"> estimated in both papers</w:t>
      </w:r>
      <w:r w:rsidR="008C3B03">
        <w:t xml:space="preserve"> as well as in the NGHGI</w:t>
      </w:r>
      <w:r w:rsidRPr="0062725B">
        <w:t xml:space="preserve"> </w:t>
      </w:r>
      <w:r w:rsidR="008C3B03">
        <w:t>are</w:t>
      </w:r>
      <w:r w:rsidR="008C3B03" w:rsidRPr="0062725B">
        <w:t xml:space="preserve"> </w:t>
      </w:r>
      <w:r w:rsidRPr="0062725B">
        <w:t xml:space="preserve">similar. The three factors accounted for in Skog (2008) uncertainty but not in Skog </w:t>
      </w:r>
      <w:r w:rsidR="00B24F88">
        <w:t xml:space="preserve">et al. </w:t>
      </w:r>
      <w:r w:rsidRPr="0062725B">
        <w:t>(2004) therefore likely account for little uncertainty. However, we cannot infer how much additional uncertainty might be contributed when accounting for uncertainty from factors not assessed in either paper</w:t>
      </w:r>
      <w:r w:rsidR="008C3B03">
        <w:t xml:space="preserve"> (</w:t>
      </w:r>
      <w:r w:rsidR="008C3B03" w:rsidRPr="0062725B">
        <w:t>fraction of products recovered for compost or burning</w:t>
      </w:r>
      <w:r w:rsidR="008C3B03">
        <w:t>,</w:t>
      </w:r>
      <w:r w:rsidR="008C3B03" w:rsidRPr="0062725B">
        <w:t xml:space="preserve"> fraction of </w:t>
      </w:r>
      <w:r w:rsidR="008C3B03">
        <w:t xml:space="preserve">products sent to dumps, and </w:t>
      </w:r>
      <w:r w:rsidR="008C3B03" w:rsidRPr="0062725B">
        <w:t>fraction of pulp from non-w</w:t>
      </w:r>
      <w:r w:rsidR="008C3B03">
        <w:t>ood fiber and imported woodpulp)</w:t>
      </w:r>
      <w:r w:rsidRPr="0062725B">
        <w:t xml:space="preserve">. The results </w:t>
      </w:r>
      <w:r w:rsidR="00737814">
        <w:t xml:space="preserve">here </w:t>
      </w:r>
      <w:r w:rsidRPr="0062725B">
        <w:t xml:space="preserve">show that HWP elements are </w:t>
      </w:r>
      <w:r w:rsidR="008C3B03">
        <w:t xml:space="preserve">in </w:t>
      </w:r>
      <w:r w:rsidRPr="0062725B">
        <w:t xml:space="preserve">the top 10 </w:t>
      </w:r>
      <w:r w:rsidR="008C3B03">
        <w:t xml:space="preserve">largest contributors to </w:t>
      </w:r>
      <w:r w:rsidRPr="0062725B">
        <w:t xml:space="preserve">total forest carbon </w:t>
      </w:r>
      <w:r w:rsidR="00850EE9">
        <w:t xml:space="preserve">flux </w:t>
      </w:r>
      <w:r w:rsidRPr="0062725B">
        <w:t xml:space="preserve">uncertainty, so updated analysis of HWP uncertainty that accounts for a broader range of uncertainty elements </w:t>
      </w:r>
      <w:r w:rsidR="008C3B03">
        <w:t>may</w:t>
      </w:r>
      <w:r w:rsidR="008C3B03" w:rsidRPr="0062725B">
        <w:t xml:space="preserve"> </w:t>
      </w:r>
      <w:r w:rsidRPr="0062725B">
        <w:t xml:space="preserve">be useful. </w:t>
      </w:r>
    </w:p>
    <w:p w14:paraId="6D69E492" w14:textId="77777777" w:rsidR="00F0092B" w:rsidRDefault="00F0092B" w:rsidP="00FE1BD2">
      <w:pPr>
        <w:sectPr w:rsidR="00F0092B">
          <w:pgSz w:w="12240" w:h="15840"/>
          <w:pgMar w:top="1440" w:right="1440" w:bottom="1440" w:left="1440" w:header="720" w:footer="720" w:gutter="0"/>
          <w:cols w:space="720"/>
          <w:docGrid w:linePitch="360"/>
        </w:sectPr>
      </w:pPr>
    </w:p>
    <w:p w14:paraId="155FF72A" w14:textId="030DB131" w:rsidR="00494BD7" w:rsidRDefault="00494BD7" w:rsidP="000B2554">
      <w:pPr>
        <w:pStyle w:val="Heading2"/>
        <w:numPr>
          <w:ilvl w:val="1"/>
          <w:numId w:val="16"/>
        </w:numPr>
      </w:pPr>
      <w:r>
        <w:lastRenderedPageBreak/>
        <w:t>N</w:t>
      </w:r>
      <w:r w:rsidRPr="003D42CC">
        <w:rPr>
          <w:vertAlign w:val="subscript"/>
        </w:rPr>
        <w:t>2</w:t>
      </w:r>
      <w:r>
        <w:t>O from N additions to forest soils</w:t>
      </w:r>
    </w:p>
    <w:p w14:paraId="074002C0" w14:textId="3DB62E6E" w:rsidR="004326E8" w:rsidRPr="00195F4D" w:rsidRDefault="004326E8" w:rsidP="004326E8">
      <w:pPr>
        <w:spacing w:before="240" w:after="0"/>
        <w:rPr>
          <w:rStyle w:val="Strong"/>
          <w:rFonts w:asciiTheme="majorHAnsi" w:eastAsiaTheme="majorEastAsia" w:hAnsiTheme="majorHAnsi" w:cstheme="majorBidi"/>
          <w:b w:val="0"/>
          <w:color w:val="2E74B5" w:themeColor="accent1" w:themeShade="BF"/>
          <w:sz w:val="26"/>
          <w:szCs w:val="26"/>
        </w:rPr>
      </w:pPr>
      <w:r w:rsidRPr="00195F4D">
        <w:rPr>
          <w:rStyle w:val="Strong"/>
          <w:rFonts w:asciiTheme="majorHAnsi" w:eastAsiaTheme="majorEastAsia" w:hAnsiTheme="majorHAnsi" w:cstheme="majorBidi"/>
          <w:b w:val="0"/>
          <w:color w:val="2E74B5" w:themeColor="accent1" w:themeShade="BF"/>
          <w:sz w:val="26"/>
          <w:szCs w:val="26"/>
        </w:rPr>
        <w:t>NGHGI Methods</w:t>
      </w:r>
    </w:p>
    <w:p w14:paraId="443B7DA8" w14:textId="4F68BA4D" w:rsidR="00932CBB" w:rsidRDefault="00932CBB" w:rsidP="00932CBB">
      <w:r>
        <w:t>Synthetic nitrogen fertilizers applied to U.S. forest soils result in direct</w:t>
      </w:r>
      <w:r w:rsidR="003C05A0">
        <w:t xml:space="preserve"> and indirect</w:t>
      </w:r>
      <w:r>
        <w:t xml:space="preserve"> N</w:t>
      </w:r>
      <w:r w:rsidRPr="00494BD7">
        <w:rPr>
          <w:vertAlign w:val="subscript"/>
        </w:rPr>
        <w:t>2</w:t>
      </w:r>
      <w:r>
        <w:t>O emissions (0.5 MMT CO</w:t>
      </w:r>
      <w:r w:rsidRPr="00D01A99">
        <w:rPr>
          <w:vertAlign w:val="subscript"/>
        </w:rPr>
        <w:t>2</w:t>
      </w:r>
      <w:r>
        <w:t xml:space="preserve">e), which are estimated using a Tier 1 </w:t>
      </w:r>
      <w:r w:rsidR="00F770FF">
        <w:t xml:space="preserve">method: forest </w:t>
      </w:r>
      <w:r>
        <w:t>area receiving N fertilizer is multiplied by application rates from the literature</w:t>
      </w:r>
      <w:r w:rsidR="00F770FF">
        <w:t xml:space="preserve"> and emissions factors</w:t>
      </w:r>
      <w:r>
        <w:t>. Indirect N</w:t>
      </w:r>
      <w:r w:rsidRPr="00494BD7">
        <w:rPr>
          <w:vertAlign w:val="subscript"/>
        </w:rPr>
        <w:t>2</w:t>
      </w:r>
      <w:r>
        <w:t>O emissions are calculated by first determining the fra</w:t>
      </w:r>
      <w:r w:rsidR="00525816">
        <w:t xml:space="preserve">ction of N volatilized, leached, and </w:t>
      </w:r>
      <w:r>
        <w:t>runoff, using IPCC default factors. This amount is then multiplied by other IPCC default factors to determine total N volatil</w:t>
      </w:r>
      <w:r w:rsidR="00525816">
        <w:t xml:space="preserve">ized </w:t>
      </w:r>
      <w:r w:rsidR="00205D21">
        <w:t>versus</w:t>
      </w:r>
      <w:r w:rsidR="00525816">
        <w:t xml:space="preserve"> N leached and </w:t>
      </w:r>
      <w:r>
        <w:t>runoff. Uncertainty is quantified using error propagation</w:t>
      </w:r>
      <w:r w:rsidR="00205D21">
        <w:t>, accounting for uncertainty in IPCC default factors, emissions factors, fertilization rates, and forest area receiving fertilizer.</w:t>
      </w:r>
      <w:r>
        <w:t xml:space="preserve"> </w:t>
      </w:r>
    </w:p>
    <w:p w14:paraId="395067DB" w14:textId="77777777" w:rsidR="00932CBB" w:rsidRPr="00195F4D" w:rsidRDefault="00932CBB" w:rsidP="004326E8">
      <w:pPr>
        <w:spacing w:after="0"/>
        <w:rPr>
          <w:rStyle w:val="Strong"/>
          <w:rFonts w:asciiTheme="majorHAnsi" w:eastAsiaTheme="majorEastAsia" w:hAnsiTheme="majorHAnsi" w:cstheme="majorBidi"/>
          <w:b w:val="0"/>
          <w:color w:val="2E74B5" w:themeColor="accent1" w:themeShade="BF"/>
          <w:sz w:val="26"/>
          <w:szCs w:val="26"/>
        </w:rPr>
      </w:pPr>
      <w:r w:rsidRPr="00195F4D">
        <w:rPr>
          <w:rStyle w:val="Strong"/>
          <w:rFonts w:asciiTheme="majorHAnsi" w:eastAsiaTheme="majorEastAsia" w:hAnsiTheme="majorHAnsi" w:cstheme="majorBidi"/>
          <w:b w:val="0"/>
          <w:color w:val="2E74B5" w:themeColor="accent1" w:themeShade="BF"/>
          <w:sz w:val="26"/>
          <w:szCs w:val="26"/>
        </w:rPr>
        <w:t>Discussion</w:t>
      </w:r>
    </w:p>
    <w:p w14:paraId="5CACFD85" w14:textId="58E23E39" w:rsidR="00932CBB" w:rsidRDefault="00205D21" w:rsidP="00932CBB">
      <w:r>
        <w:t xml:space="preserve">Due to </w:t>
      </w:r>
      <w:r w:rsidR="00932CBB">
        <w:t xml:space="preserve">the small </w:t>
      </w:r>
      <w:r>
        <w:t xml:space="preserve">magnitude </w:t>
      </w:r>
      <w:r w:rsidR="00932CBB">
        <w:t xml:space="preserve">of </w:t>
      </w:r>
      <w:r w:rsidR="00932CBB" w:rsidRPr="00245D8A">
        <w:t>N</w:t>
      </w:r>
      <w:r w:rsidR="00932CBB" w:rsidRPr="00245D8A">
        <w:rPr>
          <w:vertAlign w:val="subscript"/>
        </w:rPr>
        <w:t>2</w:t>
      </w:r>
      <w:r w:rsidR="00932CBB" w:rsidRPr="00245D8A">
        <w:t>O fluxes from N additions to forest soils</w:t>
      </w:r>
      <w:r w:rsidR="00932CBB">
        <w:t xml:space="preserve"> </w:t>
      </w:r>
      <w:r w:rsidR="00932CBB" w:rsidRPr="003C05A0">
        <w:t xml:space="preserve">(Table </w:t>
      </w:r>
      <w:r w:rsidR="005E4D1E">
        <w:t>2</w:t>
      </w:r>
      <w:r w:rsidR="00F0092B">
        <w:t>-1</w:t>
      </w:r>
      <w:r>
        <w:t>2</w:t>
      </w:r>
      <w:r w:rsidR="00932CBB" w:rsidRPr="003C05A0">
        <w:t>),</w:t>
      </w:r>
      <w:r w:rsidR="00932CBB">
        <w:t xml:space="preserve"> </w:t>
      </w:r>
      <w:r w:rsidR="00525816">
        <w:t xml:space="preserve">we did not undertake further uncertainty </w:t>
      </w:r>
      <w:r w:rsidR="00932CBB">
        <w:t>attribution analysis</w:t>
      </w:r>
      <w:r w:rsidR="00525816">
        <w:t xml:space="preserve"> beyond what is reported in the NGHGI (2018)</w:t>
      </w:r>
      <w:r w:rsidR="00932CBB">
        <w:t>.</w:t>
      </w:r>
    </w:p>
    <w:p w14:paraId="140D1D43" w14:textId="7A79F868" w:rsidR="00932CBB" w:rsidRPr="00245D8A" w:rsidRDefault="00932CBB" w:rsidP="00932CBB">
      <w:pPr>
        <w:pStyle w:val="Caption"/>
        <w:rPr>
          <w:b/>
        </w:rPr>
      </w:pPr>
      <w:r w:rsidRPr="00245D8A">
        <w:rPr>
          <w:b/>
          <w:sz w:val="22"/>
          <w:szCs w:val="22"/>
        </w:rPr>
        <w:t xml:space="preserve">Table </w:t>
      </w:r>
      <w:r w:rsidR="005E4D1E">
        <w:rPr>
          <w:b/>
          <w:sz w:val="22"/>
          <w:szCs w:val="22"/>
        </w:rPr>
        <w:t>2</w:t>
      </w:r>
      <w:r w:rsidR="00F0092B">
        <w:rPr>
          <w:b/>
          <w:sz w:val="22"/>
          <w:szCs w:val="22"/>
        </w:rPr>
        <w:t>-</w:t>
      </w:r>
      <w:r w:rsidR="00205D21">
        <w:rPr>
          <w:b/>
          <w:sz w:val="22"/>
          <w:szCs w:val="22"/>
        </w:rPr>
        <w:t>12</w:t>
      </w:r>
      <w:r w:rsidRPr="00D030CD">
        <w:rPr>
          <w:b/>
          <w:sz w:val="22"/>
          <w:szCs w:val="22"/>
        </w:rPr>
        <w:t>:</w:t>
      </w:r>
      <w:r>
        <w:rPr>
          <w:b/>
          <w:sz w:val="22"/>
          <w:szCs w:val="22"/>
        </w:rPr>
        <w:t xml:space="preserve"> </w:t>
      </w:r>
      <w:r w:rsidR="00A9645A">
        <w:rPr>
          <w:b/>
          <w:sz w:val="22"/>
          <w:szCs w:val="22"/>
        </w:rPr>
        <w:t>RESULTS – Contributions to u</w:t>
      </w:r>
      <w:r w:rsidRPr="00D030CD">
        <w:rPr>
          <w:b/>
          <w:sz w:val="22"/>
          <w:szCs w:val="22"/>
        </w:rPr>
        <w:t xml:space="preserve">ncertainty </w:t>
      </w:r>
      <w:r>
        <w:rPr>
          <w:b/>
          <w:sz w:val="22"/>
          <w:szCs w:val="22"/>
        </w:rPr>
        <w:t>of</w:t>
      </w:r>
      <w:r w:rsidRPr="00245D8A">
        <w:rPr>
          <w:b/>
          <w:sz w:val="22"/>
          <w:szCs w:val="22"/>
        </w:rPr>
        <w:t xml:space="preserve"> N</w:t>
      </w:r>
      <w:r w:rsidRPr="00245D8A">
        <w:rPr>
          <w:b/>
          <w:sz w:val="22"/>
          <w:szCs w:val="22"/>
          <w:vertAlign w:val="subscript"/>
        </w:rPr>
        <w:t>2</w:t>
      </w:r>
      <w:r w:rsidRPr="00245D8A">
        <w:rPr>
          <w:b/>
          <w:sz w:val="22"/>
          <w:szCs w:val="22"/>
        </w:rPr>
        <w:t xml:space="preserve">O </w:t>
      </w:r>
      <w:r>
        <w:rPr>
          <w:b/>
          <w:sz w:val="22"/>
          <w:szCs w:val="22"/>
        </w:rPr>
        <w:t>fluxes</w:t>
      </w:r>
      <w:r w:rsidRPr="00245D8A">
        <w:rPr>
          <w:b/>
          <w:sz w:val="22"/>
          <w:szCs w:val="22"/>
        </w:rPr>
        <w:t xml:space="preserve"> from N additions to forest soils</w:t>
      </w:r>
    </w:p>
    <w:tbl>
      <w:tblPr>
        <w:tblW w:w="8820" w:type="dxa"/>
        <w:tblInd w:w="-5" w:type="dxa"/>
        <w:tblLayout w:type="fixed"/>
        <w:tblLook w:val="04A0" w:firstRow="1" w:lastRow="0" w:firstColumn="1" w:lastColumn="0" w:noHBand="0" w:noVBand="1"/>
      </w:tblPr>
      <w:tblGrid>
        <w:gridCol w:w="2205"/>
        <w:gridCol w:w="2205"/>
        <w:gridCol w:w="2205"/>
        <w:gridCol w:w="2205"/>
      </w:tblGrid>
      <w:tr w:rsidR="003C05A0" w:rsidRPr="003C05A0" w14:paraId="1533E858" w14:textId="77777777" w:rsidTr="004326E8">
        <w:trPr>
          <w:trHeight w:val="439"/>
        </w:trPr>
        <w:tc>
          <w:tcPr>
            <w:tcW w:w="2205"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64D23355" w14:textId="77777777" w:rsidR="00932CBB" w:rsidRPr="003C05A0" w:rsidRDefault="00932CBB" w:rsidP="003C05A0">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Variable held constant</w:t>
            </w:r>
          </w:p>
        </w:tc>
        <w:tc>
          <w:tcPr>
            <w:tcW w:w="2205" w:type="dxa"/>
            <w:tcBorders>
              <w:top w:val="single" w:sz="4" w:space="0" w:color="auto"/>
              <w:left w:val="nil"/>
              <w:bottom w:val="single" w:sz="4" w:space="0" w:color="auto"/>
              <w:right w:val="single" w:sz="4" w:space="0" w:color="auto"/>
            </w:tcBorders>
            <w:shd w:val="clear" w:color="auto" w:fill="FFC000"/>
            <w:vAlign w:val="center"/>
            <w:hideMark/>
          </w:tcPr>
          <w:p w14:paraId="6F083E62" w14:textId="77777777" w:rsidR="00932CBB" w:rsidRPr="003C05A0" w:rsidRDefault="00932CBB" w:rsidP="003C05A0">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Range of 95% confidence interval (MMT CO</w:t>
            </w:r>
            <w:r w:rsidRPr="003C05A0">
              <w:rPr>
                <w:rFonts w:ascii="Calibri" w:eastAsia="Times New Roman" w:hAnsi="Calibri" w:cs="Calibri"/>
                <w:b/>
                <w:bCs/>
                <w:color w:val="000000"/>
                <w:sz w:val="18"/>
                <w:szCs w:val="18"/>
                <w:vertAlign w:val="subscript"/>
              </w:rPr>
              <w:t>2</w:t>
            </w:r>
            <w:r w:rsidRPr="003C05A0">
              <w:rPr>
                <w:rFonts w:ascii="Calibri" w:eastAsia="Times New Roman" w:hAnsi="Calibri" w:cs="Calibri"/>
                <w:b/>
                <w:bCs/>
                <w:color w:val="000000"/>
                <w:sz w:val="18"/>
                <w:szCs w:val="18"/>
              </w:rPr>
              <w:t>e)</w:t>
            </w:r>
          </w:p>
        </w:tc>
        <w:tc>
          <w:tcPr>
            <w:tcW w:w="2205" w:type="dxa"/>
            <w:tcBorders>
              <w:top w:val="single" w:sz="4" w:space="0" w:color="auto"/>
              <w:left w:val="nil"/>
              <w:bottom w:val="single" w:sz="4" w:space="0" w:color="auto"/>
              <w:right w:val="single" w:sz="4" w:space="0" w:color="auto"/>
            </w:tcBorders>
            <w:shd w:val="clear" w:color="auto" w:fill="FFC000"/>
            <w:vAlign w:val="center"/>
            <w:hideMark/>
          </w:tcPr>
          <w:p w14:paraId="2A4E3522" w14:textId="77777777" w:rsidR="00932CBB" w:rsidRPr="003C05A0" w:rsidRDefault="00932CBB" w:rsidP="003C05A0">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Contribution to uncertainty (%)</w:t>
            </w:r>
          </w:p>
        </w:tc>
        <w:tc>
          <w:tcPr>
            <w:tcW w:w="2205" w:type="dxa"/>
            <w:tcBorders>
              <w:top w:val="single" w:sz="4" w:space="0" w:color="auto"/>
              <w:left w:val="nil"/>
              <w:bottom w:val="single" w:sz="4" w:space="0" w:color="auto"/>
              <w:right w:val="single" w:sz="4" w:space="0" w:color="auto"/>
            </w:tcBorders>
            <w:shd w:val="clear" w:color="auto" w:fill="FFC000"/>
            <w:vAlign w:val="center"/>
            <w:hideMark/>
          </w:tcPr>
          <w:p w14:paraId="155912D3" w14:textId="77777777" w:rsidR="00932CBB" w:rsidRPr="003C05A0" w:rsidRDefault="00932CBB" w:rsidP="003C05A0">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Contribution to uncertainty (MMT CO</w:t>
            </w:r>
            <w:r w:rsidRPr="00081E93">
              <w:rPr>
                <w:rFonts w:ascii="Calibri" w:eastAsia="Times New Roman" w:hAnsi="Calibri" w:cs="Calibri"/>
                <w:b/>
                <w:bCs/>
                <w:color w:val="000000"/>
                <w:sz w:val="18"/>
                <w:szCs w:val="18"/>
                <w:vertAlign w:val="subscript"/>
              </w:rPr>
              <w:t>2</w:t>
            </w:r>
            <w:r w:rsidRPr="003C05A0">
              <w:rPr>
                <w:rFonts w:ascii="Calibri" w:eastAsia="Times New Roman" w:hAnsi="Calibri" w:cs="Calibri"/>
                <w:b/>
                <w:bCs/>
                <w:color w:val="000000"/>
                <w:sz w:val="18"/>
                <w:szCs w:val="18"/>
              </w:rPr>
              <w:t>e)</w:t>
            </w:r>
          </w:p>
        </w:tc>
      </w:tr>
      <w:tr w:rsidR="003C05A0" w:rsidRPr="003C05A0" w14:paraId="2C91954F" w14:textId="77777777" w:rsidTr="004326E8">
        <w:trPr>
          <w:trHeight w:val="439"/>
        </w:trPr>
        <w:tc>
          <w:tcPr>
            <w:tcW w:w="2205" w:type="dxa"/>
            <w:tcBorders>
              <w:top w:val="nil"/>
              <w:left w:val="single" w:sz="4" w:space="0" w:color="auto"/>
              <w:bottom w:val="single" w:sz="4" w:space="0" w:color="auto"/>
              <w:right w:val="single" w:sz="4" w:space="0" w:color="auto"/>
            </w:tcBorders>
            <w:shd w:val="clear" w:color="auto" w:fill="auto"/>
            <w:vAlign w:val="center"/>
            <w:hideMark/>
          </w:tcPr>
          <w:p w14:paraId="03653A96" w14:textId="6229F70D" w:rsidR="00932CBB" w:rsidRPr="003C05A0" w:rsidRDefault="001E048A" w:rsidP="003C05A0">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None (all vary)</w:t>
            </w:r>
          </w:p>
        </w:tc>
        <w:tc>
          <w:tcPr>
            <w:tcW w:w="2205" w:type="dxa"/>
            <w:tcBorders>
              <w:top w:val="nil"/>
              <w:left w:val="nil"/>
              <w:bottom w:val="single" w:sz="4" w:space="0" w:color="auto"/>
              <w:right w:val="single" w:sz="4" w:space="0" w:color="auto"/>
            </w:tcBorders>
            <w:shd w:val="clear" w:color="auto" w:fill="auto"/>
            <w:vAlign w:val="center"/>
            <w:hideMark/>
          </w:tcPr>
          <w:p w14:paraId="5D852BF6" w14:textId="7C5B5D37" w:rsidR="00932CBB" w:rsidRPr="004326E8" w:rsidRDefault="00932CBB" w:rsidP="003C05A0">
            <w:pPr>
              <w:spacing w:after="0" w:line="240" w:lineRule="auto"/>
              <w:jc w:val="center"/>
              <w:rPr>
                <w:rFonts w:ascii="Calibri" w:eastAsia="Times New Roman" w:hAnsi="Calibri" w:cs="Calibri"/>
                <w:bCs/>
                <w:color w:val="000000"/>
                <w:sz w:val="18"/>
                <w:szCs w:val="18"/>
              </w:rPr>
            </w:pPr>
            <w:r w:rsidRPr="004326E8">
              <w:rPr>
                <w:rFonts w:ascii="Calibri" w:eastAsia="Times New Roman" w:hAnsi="Calibri" w:cs="Calibri"/>
                <w:bCs/>
                <w:color w:val="000000"/>
                <w:sz w:val="18"/>
                <w:szCs w:val="18"/>
              </w:rPr>
              <w:t>1.0</w:t>
            </w:r>
            <w:r w:rsidR="003C05A0" w:rsidRPr="004326E8">
              <w:rPr>
                <w:rFonts w:ascii="Calibri" w:eastAsia="Times New Roman" w:hAnsi="Calibri" w:cs="Calibri"/>
                <w:bCs/>
                <w:color w:val="000000"/>
                <w:sz w:val="18"/>
                <w:szCs w:val="18"/>
              </w:rPr>
              <w:t>8</w:t>
            </w:r>
          </w:p>
        </w:tc>
        <w:tc>
          <w:tcPr>
            <w:tcW w:w="2205" w:type="dxa"/>
            <w:tcBorders>
              <w:top w:val="nil"/>
              <w:left w:val="nil"/>
              <w:bottom w:val="single" w:sz="4" w:space="0" w:color="auto"/>
              <w:right w:val="single" w:sz="4" w:space="0" w:color="auto"/>
            </w:tcBorders>
            <w:shd w:val="clear" w:color="auto" w:fill="auto"/>
            <w:vAlign w:val="center"/>
            <w:hideMark/>
          </w:tcPr>
          <w:p w14:paraId="58F4614B" w14:textId="0033D157" w:rsidR="00932CBB" w:rsidRPr="003C05A0" w:rsidRDefault="003C05A0" w:rsidP="003C05A0">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w:t>
            </w:r>
          </w:p>
        </w:tc>
        <w:tc>
          <w:tcPr>
            <w:tcW w:w="2205" w:type="dxa"/>
            <w:tcBorders>
              <w:top w:val="nil"/>
              <w:left w:val="nil"/>
              <w:bottom w:val="single" w:sz="4" w:space="0" w:color="auto"/>
              <w:right w:val="single" w:sz="4" w:space="0" w:color="auto"/>
            </w:tcBorders>
            <w:shd w:val="clear" w:color="auto" w:fill="auto"/>
            <w:vAlign w:val="center"/>
            <w:hideMark/>
          </w:tcPr>
          <w:p w14:paraId="32456DC9" w14:textId="2039E4DF" w:rsidR="00932CBB" w:rsidRPr="003C05A0" w:rsidRDefault="003C05A0" w:rsidP="003C05A0">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w:t>
            </w:r>
          </w:p>
        </w:tc>
      </w:tr>
      <w:tr w:rsidR="003C05A0" w:rsidRPr="003C05A0" w14:paraId="09259360" w14:textId="77777777" w:rsidTr="004326E8">
        <w:trPr>
          <w:trHeight w:val="439"/>
        </w:trPr>
        <w:tc>
          <w:tcPr>
            <w:tcW w:w="2205" w:type="dxa"/>
            <w:tcBorders>
              <w:top w:val="nil"/>
              <w:left w:val="single" w:sz="4" w:space="0" w:color="auto"/>
              <w:bottom w:val="single" w:sz="4" w:space="0" w:color="auto"/>
              <w:right w:val="single" w:sz="4" w:space="0" w:color="auto"/>
            </w:tcBorders>
            <w:shd w:val="clear" w:color="auto" w:fill="auto"/>
            <w:vAlign w:val="center"/>
            <w:hideMark/>
          </w:tcPr>
          <w:p w14:paraId="6819B0A5" w14:textId="77777777" w:rsidR="00932CBB" w:rsidRPr="003C05A0" w:rsidRDefault="00932CBB" w:rsidP="003C05A0">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Direct N</w:t>
            </w:r>
            <w:r w:rsidRPr="003C05A0">
              <w:rPr>
                <w:rFonts w:ascii="Calibri" w:eastAsia="Times New Roman" w:hAnsi="Calibri" w:cs="Calibri"/>
                <w:b/>
                <w:bCs/>
                <w:color w:val="000000"/>
                <w:sz w:val="18"/>
                <w:szCs w:val="18"/>
                <w:vertAlign w:val="subscript"/>
              </w:rPr>
              <w:t>2</w:t>
            </w:r>
            <w:r w:rsidRPr="003C05A0">
              <w:rPr>
                <w:rFonts w:ascii="Calibri" w:eastAsia="Times New Roman" w:hAnsi="Calibri" w:cs="Calibri"/>
                <w:b/>
                <w:bCs/>
                <w:color w:val="000000"/>
                <w:sz w:val="18"/>
                <w:szCs w:val="18"/>
              </w:rPr>
              <w:t>O Fluxes</w:t>
            </w:r>
          </w:p>
        </w:tc>
        <w:tc>
          <w:tcPr>
            <w:tcW w:w="2205" w:type="dxa"/>
            <w:tcBorders>
              <w:top w:val="nil"/>
              <w:left w:val="nil"/>
              <w:bottom w:val="single" w:sz="4" w:space="0" w:color="auto"/>
              <w:right w:val="single" w:sz="4" w:space="0" w:color="auto"/>
            </w:tcBorders>
            <w:shd w:val="clear" w:color="auto" w:fill="auto"/>
            <w:vAlign w:val="center"/>
            <w:hideMark/>
          </w:tcPr>
          <w:p w14:paraId="3C9A8594" w14:textId="5813F426" w:rsidR="00932CBB" w:rsidRPr="003C05A0" w:rsidRDefault="00932CBB" w:rsidP="003C05A0">
            <w:pPr>
              <w:spacing w:after="0" w:line="240" w:lineRule="auto"/>
              <w:jc w:val="center"/>
              <w:rPr>
                <w:rFonts w:ascii="Calibri" w:eastAsia="Times New Roman" w:hAnsi="Calibri" w:cs="Calibri"/>
                <w:color w:val="000000"/>
                <w:sz w:val="18"/>
                <w:szCs w:val="18"/>
              </w:rPr>
            </w:pPr>
            <w:r w:rsidRPr="003C05A0">
              <w:rPr>
                <w:rFonts w:ascii="Calibri" w:eastAsia="Times New Roman" w:hAnsi="Calibri" w:cs="Calibri"/>
                <w:color w:val="000000"/>
                <w:sz w:val="18"/>
                <w:szCs w:val="18"/>
              </w:rPr>
              <w:t>0.4</w:t>
            </w:r>
            <w:r w:rsidR="003C05A0" w:rsidRPr="003C05A0">
              <w:rPr>
                <w:rFonts w:ascii="Calibri" w:eastAsia="Times New Roman" w:hAnsi="Calibri" w:cs="Calibri"/>
                <w:color w:val="000000"/>
                <w:sz w:val="18"/>
                <w:szCs w:val="18"/>
              </w:rPr>
              <w:t>0</w:t>
            </w:r>
          </w:p>
        </w:tc>
        <w:tc>
          <w:tcPr>
            <w:tcW w:w="2205" w:type="dxa"/>
            <w:tcBorders>
              <w:top w:val="nil"/>
              <w:left w:val="nil"/>
              <w:bottom w:val="single" w:sz="4" w:space="0" w:color="auto"/>
              <w:right w:val="single" w:sz="4" w:space="0" w:color="auto"/>
            </w:tcBorders>
            <w:shd w:val="clear" w:color="auto" w:fill="auto"/>
            <w:vAlign w:val="center"/>
            <w:hideMark/>
          </w:tcPr>
          <w:p w14:paraId="0F035E3A" w14:textId="50F30AE5" w:rsidR="00932CBB" w:rsidRPr="003C05A0" w:rsidRDefault="006F111A" w:rsidP="003C05A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90</w:t>
            </w:r>
          </w:p>
        </w:tc>
        <w:tc>
          <w:tcPr>
            <w:tcW w:w="2205" w:type="dxa"/>
            <w:tcBorders>
              <w:top w:val="nil"/>
              <w:left w:val="nil"/>
              <w:bottom w:val="single" w:sz="4" w:space="0" w:color="auto"/>
              <w:right w:val="single" w:sz="4" w:space="0" w:color="auto"/>
            </w:tcBorders>
            <w:shd w:val="clear" w:color="auto" w:fill="auto"/>
            <w:vAlign w:val="center"/>
            <w:hideMark/>
          </w:tcPr>
          <w:p w14:paraId="0F429A49" w14:textId="141E7CF4" w:rsidR="00932CBB" w:rsidRPr="003C05A0" w:rsidRDefault="00932CBB" w:rsidP="003C05A0">
            <w:pPr>
              <w:spacing w:after="0" w:line="240" w:lineRule="auto"/>
              <w:jc w:val="center"/>
              <w:rPr>
                <w:rFonts w:ascii="Calibri" w:eastAsia="Times New Roman" w:hAnsi="Calibri" w:cs="Calibri"/>
                <w:color w:val="000000"/>
                <w:sz w:val="18"/>
                <w:szCs w:val="18"/>
              </w:rPr>
            </w:pPr>
            <w:r w:rsidRPr="003C05A0">
              <w:rPr>
                <w:rFonts w:ascii="Calibri" w:eastAsia="Times New Roman" w:hAnsi="Calibri" w:cs="Calibri"/>
                <w:color w:val="000000"/>
                <w:sz w:val="18"/>
                <w:szCs w:val="18"/>
              </w:rPr>
              <w:t>0.9</w:t>
            </w:r>
            <w:r w:rsidR="003C05A0" w:rsidRPr="003C05A0">
              <w:rPr>
                <w:rFonts w:ascii="Calibri" w:eastAsia="Times New Roman" w:hAnsi="Calibri" w:cs="Calibri"/>
                <w:color w:val="000000"/>
                <w:sz w:val="18"/>
                <w:szCs w:val="18"/>
              </w:rPr>
              <w:t>7</w:t>
            </w:r>
          </w:p>
        </w:tc>
      </w:tr>
      <w:tr w:rsidR="003C05A0" w:rsidRPr="003C05A0" w14:paraId="3D5F2C81" w14:textId="77777777" w:rsidTr="004326E8">
        <w:trPr>
          <w:trHeight w:val="439"/>
        </w:trPr>
        <w:tc>
          <w:tcPr>
            <w:tcW w:w="2205" w:type="dxa"/>
            <w:tcBorders>
              <w:top w:val="nil"/>
              <w:left w:val="single" w:sz="4" w:space="0" w:color="auto"/>
              <w:bottom w:val="single" w:sz="4" w:space="0" w:color="auto"/>
              <w:right w:val="single" w:sz="4" w:space="0" w:color="auto"/>
            </w:tcBorders>
            <w:shd w:val="clear" w:color="auto" w:fill="auto"/>
            <w:vAlign w:val="center"/>
            <w:hideMark/>
          </w:tcPr>
          <w:p w14:paraId="01938DD7" w14:textId="77777777" w:rsidR="00932CBB" w:rsidRPr="003C05A0" w:rsidRDefault="00932CBB" w:rsidP="003C05A0">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Indirect N</w:t>
            </w:r>
            <w:r w:rsidRPr="003C05A0">
              <w:rPr>
                <w:rFonts w:ascii="Calibri" w:eastAsia="Times New Roman" w:hAnsi="Calibri" w:cs="Calibri"/>
                <w:b/>
                <w:bCs/>
                <w:color w:val="000000"/>
                <w:sz w:val="18"/>
                <w:szCs w:val="18"/>
                <w:vertAlign w:val="subscript"/>
              </w:rPr>
              <w:t>2</w:t>
            </w:r>
            <w:r w:rsidRPr="003C05A0">
              <w:rPr>
                <w:rFonts w:ascii="Calibri" w:eastAsia="Times New Roman" w:hAnsi="Calibri" w:cs="Calibri"/>
                <w:b/>
                <w:bCs/>
                <w:color w:val="000000"/>
                <w:sz w:val="18"/>
                <w:szCs w:val="18"/>
              </w:rPr>
              <w:t>O Fluxes</w:t>
            </w:r>
          </w:p>
        </w:tc>
        <w:tc>
          <w:tcPr>
            <w:tcW w:w="2205" w:type="dxa"/>
            <w:tcBorders>
              <w:top w:val="nil"/>
              <w:left w:val="nil"/>
              <w:bottom w:val="single" w:sz="4" w:space="0" w:color="auto"/>
              <w:right w:val="single" w:sz="4" w:space="0" w:color="auto"/>
            </w:tcBorders>
            <w:shd w:val="clear" w:color="auto" w:fill="auto"/>
            <w:vAlign w:val="center"/>
            <w:hideMark/>
          </w:tcPr>
          <w:p w14:paraId="14B51AEB" w14:textId="108A48AC" w:rsidR="00932CBB" w:rsidRPr="003C05A0" w:rsidRDefault="00932CBB" w:rsidP="003C05A0">
            <w:pPr>
              <w:spacing w:after="0" w:line="240" w:lineRule="auto"/>
              <w:jc w:val="center"/>
              <w:rPr>
                <w:rFonts w:ascii="Calibri" w:eastAsia="Times New Roman" w:hAnsi="Calibri" w:cs="Calibri"/>
                <w:color w:val="000000"/>
                <w:sz w:val="18"/>
                <w:szCs w:val="18"/>
              </w:rPr>
            </w:pPr>
            <w:r w:rsidRPr="003C05A0">
              <w:rPr>
                <w:rFonts w:ascii="Calibri" w:eastAsia="Times New Roman" w:hAnsi="Calibri" w:cs="Calibri"/>
                <w:color w:val="000000"/>
                <w:sz w:val="18"/>
                <w:szCs w:val="18"/>
              </w:rPr>
              <w:t>1</w:t>
            </w:r>
            <w:r w:rsidR="003C05A0" w:rsidRPr="003C05A0">
              <w:rPr>
                <w:rFonts w:ascii="Calibri" w:eastAsia="Times New Roman" w:hAnsi="Calibri" w:cs="Calibri"/>
                <w:color w:val="000000"/>
                <w:sz w:val="18"/>
                <w:szCs w:val="18"/>
              </w:rPr>
              <w:t>.00</w:t>
            </w:r>
          </w:p>
        </w:tc>
        <w:tc>
          <w:tcPr>
            <w:tcW w:w="2205" w:type="dxa"/>
            <w:tcBorders>
              <w:top w:val="nil"/>
              <w:left w:val="nil"/>
              <w:bottom w:val="single" w:sz="4" w:space="0" w:color="auto"/>
              <w:right w:val="single" w:sz="4" w:space="0" w:color="auto"/>
            </w:tcBorders>
            <w:shd w:val="clear" w:color="auto" w:fill="auto"/>
            <w:vAlign w:val="center"/>
            <w:hideMark/>
          </w:tcPr>
          <w:p w14:paraId="02D66A7D" w14:textId="6DF886E3" w:rsidR="00932CBB" w:rsidRPr="003C05A0" w:rsidRDefault="00932CBB" w:rsidP="003C05A0">
            <w:pPr>
              <w:spacing w:after="0" w:line="240" w:lineRule="auto"/>
              <w:jc w:val="center"/>
              <w:rPr>
                <w:rFonts w:ascii="Calibri" w:eastAsia="Times New Roman" w:hAnsi="Calibri" w:cs="Calibri"/>
                <w:color w:val="000000"/>
                <w:sz w:val="18"/>
                <w:szCs w:val="18"/>
              </w:rPr>
            </w:pPr>
            <w:r w:rsidRPr="003C05A0">
              <w:rPr>
                <w:rFonts w:ascii="Calibri" w:eastAsia="Times New Roman" w:hAnsi="Calibri" w:cs="Calibri"/>
                <w:color w:val="000000"/>
                <w:sz w:val="18"/>
                <w:szCs w:val="18"/>
              </w:rPr>
              <w:t>10</w:t>
            </w:r>
          </w:p>
        </w:tc>
        <w:tc>
          <w:tcPr>
            <w:tcW w:w="2205" w:type="dxa"/>
            <w:tcBorders>
              <w:top w:val="nil"/>
              <w:left w:val="nil"/>
              <w:bottom w:val="single" w:sz="4" w:space="0" w:color="auto"/>
              <w:right w:val="single" w:sz="4" w:space="0" w:color="auto"/>
            </w:tcBorders>
            <w:shd w:val="clear" w:color="auto" w:fill="auto"/>
            <w:vAlign w:val="center"/>
            <w:hideMark/>
          </w:tcPr>
          <w:p w14:paraId="76BFF677" w14:textId="79B49B23" w:rsidR="00932CBB" w:rsidRPr="003C05A0" w:rsidRDefault="00932CBB" w:rsidP="003C05A0">
            <w:pPr>
              <w:spacing w:after="0" w:line="240" w:lineRule="auto"/>
              <w:jc w:val="center"/>
              <w:rPr>
                <w:rFonts w:ascii="Calibri" w:eastAsia="Times New Roman" w:hAnsi="Calibri" w:cs="Calibri"/>
                <w:color w:val="000000"/>
                <w:sz w:val="18"/>
                <w:szCs w:val="18"/>
              </w:rPr>
            </w:pPr>
            <w:r w:rsidRPr="003C05A0">
              <w:rPr>
                <w:rFonts w:ascii="Calibri" w:eastAsia="Times New Roman" w:hAnsi="Calibri" w:cs="Calibri"/>
                <w:color w:val="000000"/>
                <w:sz w:val="18"/>
                <w:szCs w:val="18"/>
              </w:rPr>
              <w:t>0.11</w:t>
            </w:r>
          </w:p>
        </w:tc>
      </w:tr>
    </w:tbl>
    <w:p w14:paraId="073B2E01" w14:textId="77777777" w:rsidR="00932CBB" w:rsidRDefault="00932CBB" w:rsidP="00932CBB"/>
    <w:p w14:paraId="7B87DC4B" w14:textId="77777777" w:rsidR="00F0092B" w:rsidRDefault="00F0092B" w:rsidP="00932CBB">
      <w:pPr>
        <w:sectPr w:rsidR="00F0092B">
          <w:pgSz w:w="12240" w:h="15840"/>
          <w:pgMar w:top="1440" w:right="1440" w:bottom="1440" w:left="1440" w:header="720" w:footer="720" w:gutter="0"/>
          <w:cols w:space="720"/>
          <w:docGrid w:linePitch="360"/>
        </w:sectPr>
      </w:pPr>
    </w:p>
    <w:p w14:paraId="04608760" w14:textId="3970A897" w:rsidR="00932CBB" w:rsidRDefault="008F6D5A" w:rsidP="000B2554">
      <w:pPr>
        <w:pStyle w:val="Heading2"/>
        <w:numPr>
          <w:ilvl w:val="1"/>
          <w:numId w:val="16"/>
        </w:numPr>
      </w:pPr>
      <w:bookmarkStart w:id="54" w:name="_Toc5268994"/>
      <w:bookmarkStart w:id="55" w:name="_Toc5282152"/>
      <w:r>
        <w:lastRenderedPageBreak/>
        <w:t>CO</w:t>
      </w:r>
      <w:r w:rsidRPr="008F6D5A">
        <w:rPr>
          <w:vertAlign w:val="subscript"/>
        </w:rPr>
        <w:t>2</w:t>
      </w:r>
      <w:r>
        <w:t>, CH</w:t>
      </w:r>
      <w:r w:rsidRPr="008F6D5A">
        <w:rPr>
          <w:vertAlign w:val="subscript"/>
        </w:rPr>
        <w:t>4</w:t>
      </w:r>
      <w:r>
        <w:t>, and N</w:t>
      </w:r>
      <w:r w:rsidRPr="008F6D5A">
        <w:rPr>
          <w:vertAlign w:val="subscript"/>
        </w:rPr>
        <w:t>2</w:t>
      </w:r>
      <w:r>
        <w:t>O from d</w:t>
      </w:r>
      <w:r w:rsidR="00932CBB">
        <w:t>rained organic forest soils</w:t>
      </w:r>
      <w:bookmarkEnd w:id="54"/>
      <w:bookmarkEnd w:id="55"/>
    </w:p>
    <w:p w14:paraId="7CFB1E40" w14:textId="6154F652" w:rsidR="004326E8" w:rsidRPr="00195F4D" w:rsidRDefault="004326E8" w:rsidP="004326E8">
      <w:pPr>
        <w:spacing w:before="240" w:after="0" w:line="276" w:lineRule="auto"/>
        <w:rPr>
          <w:rStyle w:val="Strong"/>
          <w:rFonts w:asciiTheme="majorHAnsi" w:eastAsiaTheme="majorEastAsia" w:hAnsiTheme="majorHAnsi" w:cstheme="majorBidi"/>
          <w:b w:val="0"/>
          <w:color w:val="2E74B5" w:themeColor="accent1" w:themeShade="BF"/>
          <w:sz w:val="26"/>
          <w:szCs w:val="26"/>
        </w:rPr>
      </w:pPr>
      <w:r w:rsidRPr="00195F4D">
        <w:rPr>
          <w:rStyle w:val="Strong"/>
          <w:rFonts w:asciiTheme="majorHAnsi" w:eastAsiaTheme="majorEastAsia" w:hAnsiTheme="majorHAnsi" w:cstheme="majorBidi"/>
          <w:b w:val="0"/>
          <w:color w:val="2E74B5" w:themeColor="accent1" w:themeShade="BF"/>
          <w:sz w:val="26"/>
          <w:szCs w:val="26"/>
        </w:rPr>
        <w:t>NGHGI Methods</w:t>
      </w:r>
    </w:p>
    <w:p w14:paraId="672B7A09" w14:textId="2AD35DBD" w:rsidR="00932CBB" w:rsidRDefault="00932CBB" w:rsidP="00932CBB">
      <w:pPr>
        <w:spacing w:line="276" w:lineRule="auto"/>
      </w:pPr>
      <w:r>
        <w:t>CO</w:t>
      </w:r>
      <w:r w:rsidRPr="00494BD7">
        <w:rPr>
          <w:vertAlign w:val="subscript"/>
        </w:rPr>
        <w:t>2</w:t>
      </w:r>
      <w:r>
        <w:t>, CH</w:t>
      </w:r>
      <w:r w:rsidRPr="00494BD7">
        <w:rPr>
          <w:vertAlign w:val="subscript"/>
        </w:rPr>
        <w:t>4</w:t>
      </w:r>
      <w:r>
        <w:t>, and N</w:t>
      </w:r>
      <w:r w:rsidRPr="00494BD7">
        <w:rPr>
          <w:vertAlign w:val="subscript"/>
        </w:rPr>
        <w:t>2</w:t>
      </w:r>
      <w:r>
        <w:t>O emissions from drained organic soils in forests (0.9 MMT CO</w:t>
      </w:r>
      <w:r w:rsidRPr="009625BF">
        <w:rPr>
          <w:vertAlign w:val="subscript"/>
        </w:rPr>
        <w:t>2</w:t>
      </w:r>
      <w:r>
        <w:t>e) are calculated using Tier 1 methodology. There ar</w:t>
      </w:r>
      <w:r w:rsidR="009275BF">
        <w:t xml:space="preserve">e three types of emissions: (1) </w:t>
      </w:r>
      <w:r>
        <w:t xml:space="preserve">direct emissions primarily from mineralization; </w:t>
      </w:r>
      <w:r w:rsidR="009275BF">
        <w:t>(</w:t>
      </w:r>
      <w:r>
        <w:t>2</w:t>
      </w:r>
      <w:r w:rsidR="009275BF">
        <w:t>)</w:t>
      </w:r>
      <w:r>
        <w:t xml:space="preserve"> indirect/off-site CO</w:t>
      </w:r>
      <w:r w:rsidRPr="00320F13">
        <w:rPr>
          <w:vertAlign w:val="subscript"/>
        </w:rPr>
        <w:t>2</w:t>
      </w:r>
      <w:r>
        <w:t xml:space="preserve"> emissions from dissolved organic carbon in drainage waters; </w:t>
      </w:r>
      <w:r w:rsidR="009275BF">
        <w:t>and (</w:t>
      </w:r>
      <w:r>
        <w:t>3</w:t>
      </w:r>
      <w:r w:rsidR="009275BF">
        <w:t>)</w:t>
      </w:r>
      <w:r>
        <w:t xml:space="preserve"> emissions from peat fires on organic soils. Using FIA and SSURGO data, area of drained organic forest soil is estimated and </w:t>
      </w:r>
      <w:r w:rsidR="009275BF">
        <w:t>multiplied by</w:t>
      </w:r>
      <w:r>
        <w:t xml:space="preserve"> IPCC default emission factors </w:t>
      </w:r>
      <w:r w:rsidR="005F4C12">
        <w:t xml:space="preserve">for </w:t>
      </w:r>
      <w:r w:rsidR="00525816">
        <w:t>CO</w:t>
      </w:r>
      <w:r w:rsidR="00525816" w:rsidRPr="00494BD7">
        <w:rPr>
          <w:vertAlign w:val="subscript"/>
        </w:rPr>
        <w:t>2</w:t>
      </w:r>
      <w:r w:rsidR="00525816">
        <w:t>, CH</w:t>
      </w:r>
      <w:r w:rsidR="00525816" w:rsidRPr="00494BD7">
        <w:rPr>
          <w:vertAlign w:val="subscript"/>
        </w:rPr>
        <w:t>4</w:t>
      </w:r>
      <w:r w:rsidR="00525816">
        <w:t>, and N</w:t>
      </w:r>
      <w:r w:rsidR="00525816" w:rsidRPr="00494BD7">
        <w:rPr>
          <w:vertAlign w:val="subscript"/>
        </w:rPr>
        <w:t>2</w:t>
      </w:r>
      <w:r w:rsidR="00525816">
        <w:t>O</w:t>
      </w:r>
      <w:r>
        <w:t xml:space="preserve">. </w:t>
      </w:r>
      <w:r w:rsidR="00E84149">
        <w:t xml:space="preserve">The 95% confidence interval is estimated </w:t>
      </w:r>
      <w:r w:rsidR="009275BF">
        <w:t>through</w:t>
      </w:r>
      <w:r>
        <w:t xml:space="preserve"> error propagation.</w:t>
      </w:r>
    </w:p>
    <w:p w14:paraId="09F59BE4" w14:textId="77777777" w:rsidR="00932CBB" w:rsidRPr="00195F4D" w:rsidRDefault="00932CBB" w:rsidP="004326E8">
      <w:pPr>
        <w:spacing w:after="0"/>
        <w:rPr>
          <w:rStyle w:val="Strong"/>
          <w:rFonts w:asciiTheme="majorHAnsi" w:eastAsiaTheme="majorEastAsia" w:hAnsiTheme="majorHAnsi" w:cstheme="majorBidi"/>
          <w:b w:val="0"/>
          <w:color w:val="2E74B5" w:themeColor="accent1" w:themeShade="BF"/>
          <w:sz w:val="26"/>
          <w:szCs w:val="26"/>
        </w:rPr>
      </w:pPr>
      <w:r w:rsidRPr="00195F4D">
        <w:rPr>
          <w:rStyle w:val="Strong"/>
          <w:rFonts w:asciiTheme="majorHAnsi" w:eastAsiaTheme="majorEastAsia" w:hAnsiTheme="majorHAnsi" w:cstheme="majorBidi"/>
          <w:b w:val="0"/>
          <w:color w:val="2E74B5" w:themeColor="accent1" w:themeShade="BF"/>
          <w:sz w:val="26"/>
          <w:szCs w:val="26"/>
        </w:rPr>
        <w:t>Discussion</w:t>
      </w:r>
    </w:p>
    <w:p w14:paraId="2E6A2D88" w14:textId="343B969B" w:rsidR="00932CBB" w:rsidRPr="00245D8A" w:rsidRDefault="00525816" w:rsidP="00932CBB">
      <w:pPr>
        <w:rPr>
          <w:b/>
        </w:rPr>
      </w:pPr>
      <w:r>
        <w:t>Due to</w:t>
      </w:r>
      <w:r w:rsidR="00932CBB">
        <w:t xml:space="preserve"> the small </w:t>
      </w:r>
      <w:r w:rsidR="00E84149">
        <w:t xml:space="preserve">magnitude </w:t>
      </w:r>
      <w:r w:rsidR="00932CBB">
        <w:t xml:space="preserve">of drained organic soil </w:t>
      </w:r>
      <w:r w:rsidR="00932CBB" w:rsidRPr="00245D8A">
        <w:t>CO</w:t>
      </w:r>
      <w:r w:rsidR="00932CBB" w:rsidRPr="00245D8A">
        <w:rPr>
          <w:vertAlign w:val="subscript"/>
        </w:rPr>
        <w:t>2</w:t>
      </w:r>
      <w:r w:rsidR="00932CBB" w:rsidRPr="00245D8A">
        <w:t>, CH</w:t>
      </w:r>
      <w:r w:rsidR="00932CBB" w:rsidRPr="00245D8A">
        <w:rPr>
          <w:vertAlign w:val="subscript"/>
        </w:rPr>
        <w:t>4</w:t>
      </w:r>
      <w:r w:rsidR="00932CBB" w:rsidRPr="00245D8A">
        <w:t>, and N</w:t>
      </w:r>
      <w:r w:rsidR="00932CBB" w:rsidRPr="00245D8A">
        <w:rPr>
          <w:vertAlign w:val="subscript"/>
        </w:rPr>
        <w:t>2</w:t>
      </w:r>
      <w:r w:rsidR="00932CBB" w:rsidRPr="00245D8A">
        <w:t>O</w:t>
      </w:r>
      <w:r w:rsidR="00932CBB">
        <w:t xml:space="preserve"> </w:t>
      </w:r>
      <w:r w:rsidR="00932CBB" w:rsidRPr="004326E8">
        <w:t>(</w:t>
      </w:r>
      <w:r w:rsidR="00AD1E50">
        <w:t xml:space="preserve">Table </w:t>
      </w:r>
      <w:r w:rsidR="005E4D1E">
        <w:t>2</w:t>
      </w:r>
      <w:r w:rsidR="00F0092B">
        <w:t>-1</w:t>
      </w:r>
      <w:r w:rsidR="00E84149">
        <w:t>3</w:t>
      </w:r>
      <w:r w:rsidR="00932CBB" w:rsidRPr="004326E8">
        <w:t>)</w:t>
      </w:r>
      <w:r w:rsidR="00932CBB">
        <w:t xml:space="preserve">, </w:t>
      </w:r>
      <w:r>
        <w:t xml:space="preserve">we did not perform </w:t>
      </w:r>
      <w:r w:rsidR="00932CBB">
        <w:t xml:space="preserve">further </w:t>
      </w:r>
      <w:r>
        <w:t xml:space="preserve">uncertainty </w:t>
      </w:r>
      <w:r w:rsidR="00932CBB">
        <w:t xml:space="preserve">attribution analysis </w:t>
      </w:r>
      <w:r>
        <w:t>beyond what is reported in the NGHGI (2018).</w:t>
      </w:r>
    </w:p>
    <w:p w14:paraId="3A617A9F" w14:textId="6D0D96A4" w:rsidR="00932CBB" w:rsidRPr="00245D8A" w:rsidRDefault="00932CBB" w:rsidP="00932CBB">
      <w:pPr>
        <w:pStyle w:val="Caption"/>
        <w:rPr>
          <w:b/>
        </w:rPr>
      </w:pPr>
      <w:bookmarkStart w:id="56" w:name="_Ref5264519"/>
      <w:r w:rsidRPr="00245D8A">
        <w:rPr>
          <w:b/>
          <w:sz w:val="22"/>
          <w:szCs w:val="22"/>
        </w:rPr>
        <w:t xml:space="preserve">Table </w:t>
      </w:r>
      <w:bookmarkEnd w:id="56"/>
      <w:r w:rsidR="005E4D1E">
        <w:rPr>
          <w:b/>
          <w:sz w:val="22"/>
          <w:szCs w:val="22"/>
        </w:rPr>
        <w:t>2</w:t>
      </w:r>
      <w:r w:rsidR="00F0092B">
        <w:rPr>
          <w:b/>
          <w:sz w:val="22"/>
          <w:szCs w:val="22"/>
        </w:rPr>
        <w:t>-</w:t>
      </w:r>
      <w:r w:rsidR="00E84149">
        <w:rPr>
          <w:b/>
          <w:sz w:val="22"/>
          <w:szCs w:val="22"/>
        </w:rPr>
        <w:t>13</w:t>
      </w:r>
      <w:r w:rsidRPr="00245D8A">
        <w:rPr>
          <w:b/>
          <w:sz w:val="22"/>
          <w:szCs w:val="22"/>
        </w:rPr>
        <w:t>:</w:t>
      </w:r>
      <w:r w:rsidRPr="00470F05">
        <w:rPr>
          <w:b/>
          <w:sz w:val="22"/>
          <w:szCs w:val="22"/>
        </w:rPr>
        <w:t xml:space="preserve"> </w:t>
      </w:r>
      <w:r w:rsidR="00674237">
        <w:rPr>
          <w:b/>
          <w:sz w:val="22"/>
          <w:szCs w:val="22"/>
        </w:rPr>
        <w:t>RESULTS – Contributions to u</w:t>
      </w:r>
      <w:r w:rsidR="00A9645A">
        <w:rPr>
          <w:b/>
          <w:sz w:val="22"/>
          <w:szCs w:val="22"/>
        </w:rPr>
        <w:t xml:space="preserve">ncertainty </w:t>
      </w:r>
      <w:r w:rsidRPr="00A96604">
        <w:rPr>
          <w:b/>
          <w:sz w:val="22"/>
          <w:szCs w:val="22"/>
        </w:rPr>
        <w:t>for CO</w:t>
      </w:r>
      <w:r w:rsidRPr="00A96604">
        <w:rPr>
          <w:b/>
          <w:sz w:val="22"/>
          <w:szCs w:val="22"/>
          <w:vertAlign w:val="subscript"/>
        </w:rPr>
        <w:t>2</w:t>
      </w:r>
      <w:r w:rsidRPr="00A96604">
        <w:rPr>
          <w:b/>
          <w:sz w:val="22"/>
          <w:szCs w:val="22"/>
        </w:rPr>
        <w:t>, CH</w:t>
      </w:r>
      <w:r w:rsidRPr="00A96604">
        <w:rPr>
          <w:b/>
          <w:sz w:val="22"/>
          <w:szCs w:val="22"/>
          <w:vertAlign w:val="subscript"/>
        </w:rPr>
        <w:t>4</w:t>
      </w:r>
      <w:r w:rsidRPr="00A96604">
        <w:rPr>
          <w:b/>
          <w:sz w:val="22"/>
          <w:szCs w:val="22"/>
        </w:rPr>
        <w:t>, and N</w:t>
      </w:r>
      <w:r w:rsidRPr="00A96604">
        <w:rPr>
          <w:b/>
          <w:sz w:val="22"/>
          <w:szCs w:val="22"/>
          <w:vertAlign w:val="subscript"/>
        </w:rPr>
        <w:t>2</w:t>
      </w:r>
      <w:r w:rsidRPr="00A96604">
        <w:rPr>
          <w:b/>
          <w:sz w:val="22"/>
          <w:szCs w:val="22"/>
        </w:rPr>
        <w:t>O from drained organic forest soils</w:t>
      </w:r>
    </w:p>
    <w:tbl>
      <w:tblPr>
        <w:tblW w:w="8820" w:type="dxa"/>
        <w:tblInd w:w="-5" w:type="dxa"/>
        <w:tblLook w:val="04A0" w:firstRow="1" w:lastRow="0" w:firstColumn="1" w:lastColumn="0" w:noHBand="0" w:noVBand="1"/>
      </w:tblPr>
      <w:tblGrid>
        <w:gridCol w:w="2205"/>
        <w:gridCol w:w="2205"/>
        <w:gridCol w:w="2205"/>
        <w:gridCol w:w="2205"/>
      </w:tblGrid>
      <w:tr w:rsidR="00932CBB" w:rsidRPr="004326E8" w14:paraId="72D2DD71" w14:textId="77777777" w:rsidTr="009275BF">
        <w:trPr>
          <w:trHeight w:val="710"/>
        </w:trPr>
        <w:tc>
          <w:tcPr>
            <w:tcW w:w="2205"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3AD3FEBC" w14:textId="77777777" w:rsidR="00932CBB" w:rsidRPr="004326E8" w:rsidRDefault="00932CBB" w:rsidP="004326E8">
            <w:pPr>
              <w:spacing w:after="0" w:line="240" w:lineRule="auto"/>
              <w:jc w:val="center"/>
              <w:rPr>
                <w:rFonts w:ascii="Calibri" w:eastAsia="Times New Roman" w:hAnsi="Calibri" w:cs="Calibri"/>
                <w:b/>
                <w:bCs/>
                <w:color w:val="000000"/>
                <w:sz w:val="18"/>
                <w:szCs w:val="18"/>
              </w:rPr>
            </w:pPr>
            <w:r w:rsidRPr="004326E8">
              <w:rPr>
                <w:rFonts w:ascii="Calibri" w:eastAsia="Times New Roman" w:hAnsi="Calibri" w:cs="Calibri"/>
                <w:b/>
                <w:bCs/>
                <w:color w:val="000000"/>
                <w:sz w:val="18"/>
                <w:szCs w:val="18"/>
              </w:rPr>
              <w:t>Variable held constant</w:t>
            </w:r>
          </w:p>
        </w:tc>
        <w:tc>
          <w:tcPr>
            <w:tcW w:w="2205" w:type="dxa"/>
            <w:tcBorders>
              <w:top w:val="single" w:sz="4" w:space="0" w:color="auto"/>
              <w:left w:val="nil"/>
              <w:bottom w:val="single" w:sz="4" w:space="0" w:color="auto"/>
              <w:right w:val="single" w:sz="4" w:space="0" w:color="auto"/>
            </w:tcBorders>
            <w:shd w:val="clear" w:color="auto" w:fill="FFC000"/>
            <w:vAlign w:val="center"/>
            <w:hideMark/>
          </w:tcPr>
          <w:p w14:paraId="71E0337B" w14:textId="77777777" w:rsidR="00932CBB" w:rsidRPr="004326E8" w:rsidRDefault="00932CBB" w:rsidP="004326E8">
            <w:pPr>
              <w:spacing w:after="0" w:line="240" w:lineRule="auto"/>
              <w:jc w:val="center"/>
              <w:rPr>
                <w:rFonts w:ascii="Calibri" w:eastAsia="Times New Roman" w:hAnsi="Calibri" w:cs="Calibri"/>
                <w:b/>
                <w:bCs/>
                <w:color w:val="000000"/>
                <w:sz w:val="18"/>
                <w:szCs w:val="18"/>
              </w:rPr>
            </w:pPr>
            <w:r w:rsidRPr="004326E8">
              <w:rPr>
                <w:rFonts w:ascii="Calibri" w:eastAsia="Times New Roman" w:hAnsi="Calibri" w:cs="Calibri"/>
                <w:b/>
                <w:bCs/>
                <w:color w:val="000000"/>
                <w:sz w:val="18"/>
                <w:szCs w:val="18"/>
              </w:rPr>
              <w:t>Range of 95% confidence interval (MMT CO</w:t>
            </w:r>
            <w:r w:rsidRPr="004326E8">
              <w:rPr>
                <w:rFonts w:ascii="Calibri" w:eastAsia="Times New Roman" w:hAnsi="Calibri" w:cs="Calibri"/>
                <w:b/>
                <w:bCs/>
                <w:color w:val="000000"/>
                <w:sz w:val="18"/>
                <w:szCs w:val="18"/>
                <w:vertAlign w:val="subscript"/>
              </w:rPr>
              <w:t>2</w:t>
            </w:r>
            <w:r w:rsidRPr="004326E8">
              <w:rPr>
                <w:rFonts w:ascii="Calibri" w:eastAsia="Times New Roman" w:hAnsi="Calibri" w:cs="Calibri"/>
                <w:b/>
                <w:bCs/>
                <w:color w:val="000000"/>
                <w:sz w:val="18"/>
                <w:szCs w:val="18"/>
              </w:rPr>
              <w:t>e)</w:t>
            </w:r>
          </w:p>
        </w:tc>
        <w:tc>
          <w:tcPr>
            <w:tcW w:w="2205" w:type="dxa"/>
            <w:tcBorders>
              <w:top w:val="single" w:sz="4" w:space="0" w:color="auto"/>
              <w:left w:val="nil"/>
              <w:bottom w:val="single" w:sz="4" w:space="0" w:color="auto"/>
              <w:right w:val="single" w:sz="4" w:space="0" w:color="auto"/>
            </w:tcBorders>
            <w:shd w:val="clear" w:color="auto" w:fill="FFC000"/>
            <w:vAlign w:val="center"/>
            <w:hideMark/>
          </w:tcPr>
          <w:p w14:paraId="4123F6EF" w14:textId="77777777" w:rsidR="00932CBB" w:rsidRPr="004326E8" w:rsidRDefault="00932CBB" w:rsidP="004326E8">
            <w:pPr>
              <w:spacing w:after="0" w:line="240" w:lineRule="auto"/>
              <w:jc w:val="center"/>
              <w:rPr>
                <w:rFonts w:ascii="Calibri" w:eastAsia="Times New Roman" w:hAnsi="Calibri" w:cs="Calibri"/>
                <w:b/>
                <w:bCs/>
                <w:color w:val="000000"/>
                <w:sz w:val="18"/>
                <w:szCs w:val="18"/>
              </w:rPr>
            </w:pPr>
            <w:r w:rsidRPr="004326E8">
              <w:rPr>
                <w:rFonts w:ascii="Calibri" w:eastAsia="Times New Roman" w:hAnsi="Calibri" w:cs="Calibri"/>
                <w:b/>
                <w:bCs/>
                <w:color w:val="000000"/>
                <w:sz w:val="18"/>
                <w:szCs w:val="18"/>
              </w:rPr>
              <w:t>Contribution to uncertainty (%)</w:t>
            </w:r>
          </w:p>
        </w:tc>
        <w:tc>
          <w:tcPr>
            <w:tcW w:w="2205" w:type="dxa"/>
            <w:tcBorders>
              <w:top w:val="single" w:sz="4" w:space="0" w:color="auto"/>
              <w:left w:val="nil"/>
              <w:bottom w:val="single" w:sz="4" w:space="0" w:color="auto"/>
              <w:right w:val="single" w:sz="4" w:space="0" w:color="auto"/>
            </w:tcBorders>
            <w:shd w:val="clear" w:color="auto" w:fill="FFC000"/>
            <w:vAlign w:val="center"/>
            <w:hideMark/>
          </w:tcPr>
          <w:p w14:paraId="1BC51567" w14:textId="77777777" w:rsidR="00932CBB" w:rsidRPr="004326E8" w:rsidRDefault="00932CBB" w:rsidP="004326E8">
            <w:pPr>
              <w:spacing w:after="0" w:line="240" w:lineRule="auto"/>
              <w:jc w:val="center"/>
              <w:rPr>
                <w:rFonts w:ascii="Calibri" w:eastAsia="Times New Roman" w:hAnsi="Calibri" w:cs="Calibri"/>
                <w:b/>
                <w:bCs/>
                <w:color w:val="000000"/>
                <w:sz w:val="18"/>
                <w:szCs w:val="18"/>
              </w:rPr>
            </w:pPr>
            <w:r w:rsidRPr="004326E8">
              <w:rPr>
                <w:rFonts w:ascii="Calibri" w:eastAsia="Times New Roman" w:hAnsi="Calibri" w:cs="Calibri"/>
                <w:b/>
                <w:bCs/>
                <w:color w:val="000000"/>
                <w:sz w:val="18"/>
                <w:szCs w:val="18"/>
              </w:rPr>
              <w:t>Contribution to uncertainty  (MMT CO</w:t>
            </w:r>
            <w:r w:rsidRPr="009275BF">
              <w:rPr>
                <w:rFonts w:ascii="Calibri" w:eastAsia="Times New Roman" w:hAnsi="Calibri" w:cs="Calibri"/>
                <w:b/>
                <w:bCs/>
                <w:color w:val="000000"/>
                <w:sz w:val="18"/>
                <w:szCs w:val="18"/>
                <w:vertAlign w:val="subscript"/>
              </w:rPr>
              <w:t>2</w:t>
            </w:r>
            <w:r w:rsidRPr="004326E8">
              <w:rPr>
                <w:rFonts w:ascii="Calibri" w:eastAsia="Times New Roman" w:hAnsi="Calibri" w:cs="Calibri"/>
                <w:b/>
                <w:bCs/>
                <w:color w:val="000000"/>
                <w:sz w:val="18"/>
                <w:szCs w:val="18"/>
              </w:rPr>
              <w:t>e)</w:t>
            </w:r>
          </w:p>
        </w:tc>
      </w:tr>
      <w:tr w:rsidR="00932CBB" w:rsidRPr="004326E8" w14:paraId="3080EB4F" w14:textId="77777777" w:rsidTr="009275BF">
        <w:trPr>
          <w:trHeight w:val="288"/>
        </w:trPr>
        <w:tc>
          <w:tcPr>
            <w:tcW w:w="2205" w:type="dxa"/>
            <w:tcBorders>
              <w:top w:val="nil"/>
              <w:left w:val="single" w:sz="4" w:space="0" w:color="auto"/>
              <w:bottom w:val="single" w:sz="4" w:space="0" w:color="auto"/>
              <w:right w:val="single" w:sz="4" w:space="0" w:color="auto"/>
            </w:tcBorders>
            <w:shd w:val="clear" w:color="auto" w:fill="auto"/>
            <w:vAlign w:val="center"/>
            <w:hideMark/>
          </w:tcPr>
          <w:p w14:paraId="1E862DC4" w14:textId="7D17C2F1" w:rsidR="00932CBB" w:rsidRPr="004326E8" w:rsidRDefault="001E048A" w:rsidP="009275BF">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None (all vary)</w:t>
            </w:r>
          </w:p>
        </w:tc>
        <w:tc>
          <w:tcPr>
            <w:tcW w:w="2205" w:type="dxa"/>
            <w:tcBorders>
              <w:top w:val="nil"/>
              <w:left w:val="nil"/>
              <w:bottom w:val="single" w:sz="4" w:space="0" w:color="auto"/>
              <w:right w:val="single" w:sz="4" w:space="0" w:color="auto"/>
            </w:tcBorders>
            <w:shd w:val="clear" w:color="auto" w:fill="auto"/>
            <w:vAlign w:val="center"/>
            <w:hideMark/>
          </w:tcPr>
          <w:p w14:paraId="1C967978" w14:textId="09D0B4BE" w:rsidR="00932CBB" w:rsidRPr="004326E8" w:rsidRDefault="00932CBB" w:rsidP="004326E8">
            <w:pPr>
              <w:spacing w:after="0" w:line="240" w:lineRule="auto"/>
              <w:jc w:val="center"/>
              <w:rPr>
                <w:rFonts w:ascii="Calibri" w:eastAsia="Times New Roman" w:hAnsi="Calibri" w:cs="Calibri"/>
                <w:bCs/>
                <w:color w:val="000000"/>
                <w:sz w:val="18"/>
                <w:szCs w:val="18"/>
              </w:rPr>
            </w:pPr>
            <w:r w:rsidRPr="004326E8">
              <w:rPr>
                <w:rFonts w:ascii="Calibri" w:eastAsia="Times New Roman" w:hAnsi="Calibri" w:cs="Calibri"/>
                <w:bCs/>
                <w:color w:val="000000"/>
                <w:sz w:val="18"/>
                <w:szCs w:val="18"/>
              </w:rPr>
              <w:t>0.5</w:t>
            </w:r>
            <w:r w:rsidR="004326E8">
              <w:rPr>
                <w:rFonts w:ascii="Calibri" w:eastAsia="Times New Roman" w:hAnsi="Calibri" w:cs="Calibri"/>
                <w:bCs/>
                <w:color w:val="000000"/>
                <w:sz w:val="18"/>
                <w:szCs w:val="18"/>
              </w:rPr>
              <w:t>5</w:t>
            </w:r>
          </w:p>
        </w:tc>
        <w:tc>
          <w:tcPr>
            <w:tcW w:w="2205" w:type="dxa"/>
            <w:tcBorders>
              <w:top w:val="nil"/>
              <w:left w:val="nil"/>
              <w:bottom w:val="single" w:sz="4" w:space="0" w:color="auto"/>
              <w:right w:val="single" w:sz="4" w:space="0" w:color="auto"/>
            </w:tcBorders>
            <w:shd w:val="clear" w:color="auto" w:fill="auto"/>
            <w:vAlign w:val="center"/>
            <w:hideMark/>
          </w:tcPr>
          <w:p w14:paraId="53BEAC16" w14:textId="2A8F597C" w:rsidR="00932CBB" w:rsidRPr="004326E8" w:rsidRDefault="004326E8" w:rsidP="004326E8">
            <w:pPr>
              <w:spacing w:after="0" w:line="240" w:lineRule="auto"/>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w:t>
            </w:r>
          </w:p>
        </w:tc>
        <w:tc>
          <w:tcPr>
            <w:tcW w:w="2205" w:type="dxa"/>
            <w:tcBorders>
              <w:top w:val="nil"/>
              <w:left w:val="nil"/>
              <w:bottom w:val="single" w:sz="4" w:space="0" w:color="auto"/>
              <w:right w:val="single" w:sz="4" w:space="0" w:color="auto"/>
            </w:tcBorders>
            <w:shd w:val="clear" w:color="auto" w:fill="auto"/>
            <w:vAlign w:val="center"/>
            <w:hideMark/>
          </w:tcPr>
          <w:p w14:paraId="54DCAA5F" w14:textId="44977F80" w:rsidR="00932CBB" w:rsidRPr="004326E8" w:rsidRDefault="004326E8" w:rsidP="004326E8">
            <w:pPr>
              <w:spacing w:after="0" w:line="240" w:lineRule="auto"/>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w:t>
            </w:r>
          </w:p>
        </w:tc>
      </w:tr>
      <w:tr w:rsidR="00932CBB" w:rsidRPr="004326E8" w14:paraId="57C277A7" w14:textId="77777777" w:rsidTr="009275BF">
        <w:trPr>
          <w:trHeight w:val="288"/>
        </w:trPr>
        <w:tc>
          <w:tcPr>
            <w:tcW w:w="2205" w:type="dxa"/>
            <w:tcBorders>
              <w:top w:val="nil"/>
              <w:left w:val="single" w:sz="4" w:space="0" w:color="auto"/>
              <w:bottom w:val="single" w:sz="4" w:space="0" w:color="auto"/>
              <w:right w:val="single" w:sz="4" w:space="0" w:color="auto"/>
            </w:tcBorders>
            <w:shd w:val="clear" w:color="auto" w:fill="auto"/>
            <w:vAlign w:val="center"/>
            <w:hideMark/>
          </w:tcPr>
          <w:p w14:paraId="5CD005A5" w14:textId="77777777" w:rsidR="00932CBB" w:rsidRPr="004326E8" w:rsidRDefault="00932CBB" w:rsidP="009275BF">
            <w:pPr>
              <w:spacing w:after="0" w:line="240" w:lineRule="auto"/>
              <w:rPr>
                <w:rFonts w:ascii="Calibri" w:eastAsia="Times New Roman" w:hAnsi="Calibri" w:cs="Calibri"/>
                <w:b/>
                <w:bCs/>
                <w:color w:val="000000"/>
                <w:sz w:val="18"/>
                <w:szCs w:val="18"/>
              </w:rPr>
            </w:pPr>
            <w:r w:rsidRPr="004326E8">
              <w:rPr>
                <w:rFonts w:ascii="Calibri" w:eastAsia="Times New Roman" w:hAnsi="Calibri" w:cs="Calibri"/>
                <w:b/>
                <w:bCs/>
                <w:color w:val="000000"/>
                <w:sz w:val="18"/>
                <w:szCs w:val="18"/>
              </w:rPr>
              <w:t>CO</w:t>
            </w:r>
            <w:r w:rsidRPr="004326E8">
              <w:rPr>
                <w:rFonts w:ascii="Calibri" w:eastAsia="Times New Roman" w:hAnsi="Calibri" w:cs="Calibri"/>
                <w:b/>
                <w:bCs/>
                <w:color w:val="000000"/>
                <w:sz w:val="18"/>
                <w:szCs w:val="18"/>
                <w:vertAlign w:val="subscript"/>
              </w:rPr>
              <w:t>2</w:t>
            </w:r>
          </w:p>
        </w:tc>
        <w:tc>
          <w:tcPr>
            <w:tcW w:w="2205" w:type="dxa"/>
            <w:tcBorders>
              <w:top w:val="nil"/>
              <w:left w:val="nil"/>
              <w:bottom w:val="single" w:sz="4" w:space="0" w:color="auto"/>
              <w:right w:val="single" w:sz="4" w:space="0" w:color="auto"/>
            </w:tcBorders>
            <w:shd w:val="clear" w:color="auto" w:fill="auto"/>
            <w:vAlign w:val="center"/>
            <w:hideMark/>
          </w:tcPr>
          <w:p w14:paraId="337583E0" w14:textId="030334A2" w:rsidR="00932CBB" w:rsidRPr="004326E8" w:rsidRDefault="00932CBB" w:rsidP="004326E8">
            <w:pPr>
              <w:spacing w:after="0" w:line="240" w:lineRule="auto"/>
              <w:jc w:val="center"/>
              <w:rPr>
                <w:rFonts w:ascii="Calibri" w:eastAsia="Times New Roman" w:hAnsi="Calibri" w:cs="Calibri"/>
                <w:color w:val="000000"/>
                <w:sz w:val="18"/>
                <w:szCs w:val="18"/>
              </w:rPr>
            </w:pPr>
            <w:r w:rsidRPr="004326E8">
              <w:rPr>
                <w:rFonts w:ascii="Calibri" w:eastAsia="Times New Roman" w:hAnsi="Calibri" w:cs="Calibri"/>
                <w:color w:val="000000"/>
                <w:sz w:val="18"/>
                <w:szCs w:val="18"/>
              </w:rPr>
              <w:t>0.22</w:t>
            </w:r>
          </w:p>
        </w:tc>
        <w:tc>
          <w:tcPr>
            <w:tcW w:w="2205" w:type="dxa"/>
            <w:tcBorders>
              <w:top w:val="nil"/>
              <w:left w:val="nil"/>
              <w:bottom w:val="single" w:sz="4" w:space="0" w:color="auto"/>
              <w:right w:val="single" w:sz="4" w:space="0" w:color="auto"/>
            </w:tcBorders>
            <w:shd w:val="clear" w:color="auto" w:fill="auto"/>
            <w:vAlign w:val="center"/>
            <w:hideMark/>
          </w:tcPr>
          <w:p w14:paraId="3E5108A9" w14:textId="0622E383" w:rsidR="00932CBB" w:rsidRPr="004326E8" w:rsidRDefault="00932CBB" w:rsidP="004326E8">
            <w:pPr>
              <w:spacing w:after="0" w:line="240" w:lineRule="auto"/>
              <w:jc w:val="center"/>
              <w:rPr>
                <w:rFonts w:ascii="Calibri" w:eastAsia="Times New Roman" w:hAnsi="Calibri" w:cs="Calibri"/>
                <w:color w:val="000000"/>
                <w:sz w:val="18"/>
                <w:szCs w:val="18"/>
              </w:rPr>
            </w:pPr>
            <w:r w:rsidRPr="004326E8">
              <w:rPr>
                <w:rFonts w:ascii="Calibri" w:eastAsia="Times New Roman" w:hAnsi="Calibri" w:cs="Calibri"/>
                <w:color w:val="000000"/>
                <w:sz w:val="18"/>
                <w:szCs w:val="18"/>
              </w:rPr>
              <w:t>87</w:t>
            </w:r>
            <w:r w:rsidR="004326E8">
              <w:rPr>
                <w:rFonts w:ascii="Calibri" w:eastAsia="Times New Roman" w:hAnsi="Calibri" w:cs="Calibri"/>
                <w:color w:val="000000"/>
                <w:sz w:val="18"/>
                <w:szCs w:val="18"/>
              </w:rPr>
              <w:t>.3</w:t>
            </w:r>
          </w:p>
        </w:tc>
        <w:tc>
          <w:tcPr>
            <w:tcW w:w="2205" w:type="dxa"/>
            <w:tcBorders>
              <w:top w:val="nil"/>
              <w:left w:val="nil"/>
              <w:bottom w:val="single" w:sz="4" w:space="0" w:color="auto"/>
              <w:right w:val="single" w:sz="4" w:space="0" w:color="auto"/>
            </w:tcBorders>
            <w:shd w:val="clear" w:color="auto" w:fill="auto"/>
            <w:vAlign w:val="center"/>
            <w:hideMark/>
          </w:tcPr>
          <w:p w14:paraId="45C5FE88" w14:textId="3F2515C2" w:rsidR="00932CBB" w:rsidRPr="004326E8" w:rsidRDefault="00932CBB" w:rsidP="004326E8">
            <w:pPr>
              <w:spacing w:after="0" w:line="240" w:lineRule="auto"/>
              <w:jc w:val="center"/>
              <w:rPr>
                <w:rFonts w:ascii="Calibri" w:eastAsia="Times New Roman" w:hAnsi="Calibri" w:cs="Calibri"/>
                <w:color w:val="000000"/>
                <w:sz w:val="18"/>
                <w:szCs w:val="18"/>
              </w:rPr>
            </w:pPr>
            <w:r w:rsidRPr="004326E8">
              <w:rPr>
                <w:rFonts w:ascii="Calibri" w:eastAsia="Times New Roman" w:hAnsi="Calibri" w:cs="Calibri"/>
                <w:color w:val="000000"/>
                <w:sz w:val="18"/>
                <w:szCs w:val="18"/>
              </w:rPr>
              <w:t>0.4</w:t>
            </w:r>
            <w:r w:rsidR="004326E8">
              <w:rPr>
                <w:rFonts w:ascii="Calibri" w:eastAsia="Times New Roman" w:hAnsi="Calibri" w:cs="Calibri"/>
                <w:color w:val="000000"/>
                <w:sz w:val="18"/>
                <w:szCs w:val="18"/>
              </w:rPr>
              <w:t>8</w:t>
            </w:r>
          </w:p>
        </w:tc>
      </w:tr>
      <w:tr w:rsidR="00932CBB" w:rsidRPr="004326E8" w14:paraId="18086C4F" w14:textId="77777777" w:rsidTr="009275BF">
        <w:trPr>
          <w:trHeight w:val="288"/>
        </w:trPr>
        <w:tc>
          <w:tcPr>
            <w:tcW w:w="2205" w:type="dxa"/>
            <w:tcBorders>
              <w:top w:val="nil"/>
              <w:left w:val="single" w:sz="4" w:space="0" w:color="auto"/>
              <w:bottom w:val="single" w:sz="4" w:space="0" w:color="auto"/>
              <w:right w:val="single" w:sz="4" w:space="0" w:color="auto"/>
            </w:tcBorders>
            <w:shd w:val="clear" w:color="auto" w:fill="auto"/>
            <w:vAlign w:val="center"/>
            <w:hideMark/>
          </w:tcPr>
          <w:p w14:paraId="5A75301C" w14:textId="77777777" w:rsidR="00932CBB" w:rsidRPr="004326E8" w:rsidRDefault="00932CBB" w:rsidP="009275BF">
            <w:pPr>
              <w:spacing w:after="0" w:line="240" w:lineRule="auto"/>
              <w:rPr>
                <w:rFonts w:ascii="Calibri" w:eastAsia="Times New Roman" w:hAnsi="Calibri" w:cs="Calibri"/>
                <w:b/>
                <w:bCs/>
                <w:color w:val="000000"/>
                <w:sz w:val="18"/>
                <w:szCs w:val="18"/>
              </w:rPr>
            </w:pPr>
            <w:r w:rsidRPr="004326E8">
              <w:rPr>
                <w:rFonts w:ascii="Calibri" w:eastAsia="Times New Roman" w:hAnsi="Calibri" w:cs="Calibri"/>
                <w:b/>
                <w:bCs/>
                <w:color w:val="000000"/>
                <w:sz w:val="18"/>
                <w:szCs w:val="18"/>
              </w:rPr>
              <w:t>CO</w:t>
            </w:r>
            <w:r w:rsidRPr="004326E8">
              <w:rPr>
                <w:rFonts w:ascii="Calibri" w:eastAsia="Times New Roman" w:hAnsi="Calibri" w:cs="Calibri"/>
                <w:b/>
                <w:bCs/>
                <w:color w:val="000000"/>
                <w:sz w:val="18"/>
                <w:szCs w:val="18"/>
                <w:vertAlign w:val="subscript"/>
              </w:rPr>
              <w:t>2</w:t>
            </w:r>
            <w:r w:rsidRPr="004326E8">
              <w:rPr>
                <w:rFonts w:ascii="Calibri" w:eastAsia="Times New Roman" w:hAnsi="Calibri" w:cs="Calibri"/>
                <w:b/>
                <w:bCs/>
                <w:color w:val="000000"/>
                <w:sz w:val="18"/>
                <w:szCs w:val="18"/>
              </w:rPr>
              <w:t xml:space="preserve"> dissolved</w:t>
            </w:r>
          </w:p>
        </w:tc>
        <w:tc>
          <w:tcPr>
            <w:tcW w:w="2205" w:type="dxa"/>
            <w:tcBorders>
              <w:top w:val="nil"/>
              <w:left w:val="nil"/>
              <w:bottom w:val="single" w:sz="4" w:space="0" w:color="auto"/>
              <w:right w:val="single" w:sz="4" w:space="0" w:color="auto"/>
            </w:tcBorders>
            <w:shd w:val="clear" w:color="auto" w:fill="auto"/>
            <w:vAlign w:val="center"/>
            <w:hideMark/>
          </w:tcPr>
          <w:p w14:paraId="5CC39855" w14:textId="7D5519A0" w:rsidR="00932CBB" w:rsidRPr="004326E8" w:rsidRDefault="00932CBB" w:rsidP="004326E8">
            <w:pPr>
              <w:spacing w:after="0" w:line="240" w:lineRule="auto"/>
              <w:jc w:val="center"/>
              <w:rPr>
                <w:rFonts w:ascii="Calibri" w:eastAsia="Times New Roman" w:hAnsi="Calibri" w:cs="Calibri"/>
                <w:color w:val="000000"/>
                <w:sz w:val="18"/>
                <w:szCs w:val="18"/>
              </w:rPr>
            </w:pPr>
            <w:r w:rsidRPr="004326E8">
              <w:rPr>
                <w:rFonts w:ascii="Calibri" w:eastAsia="Times New Roman" w:hAnsi="Calibri" w:cs="Calibri"/>
                <w:color w:val="000000"/>
                <w:sz w:val="18"/>
                <w:szCs w:val="18"/>
              </w:rPr>
              <w:t>0.5</w:t>
            </w:r>
            <w:r w:rsidR="004326E8">
              <w:rPr>
                <w:rFonts w:ascii="Calibri" w:eastAsia="Times New Roman" w:hAnsi="Calibri" w:cs="Calibri"/>
                <w:color w:val="000000"/>
                <w:sz w:val="18"/>
                <w:szCs w:val="18"/>
              </w:rPr>
              <w:t>4</w:t>
            </w:r>
          </w:p>
        </w:tc>
        <w:tc>
          <w:tcPr>
            <w:tcW w:w="2205" w:type="dxa"/>
            <w:tcBorders>
              <w:top w:val="nil"/>
              <w:left w:val="nil"/>
              <w:bottom w:val="single" w:sz="4" w:space="0" w:color="auto"/>
              <w:right w:val="single" w:sz="4" w:space="0" w:color="auto"/>
            </w:tcBorders>
            <w:shd w:val="clear" w:color="auto" w:fill="auto"/>
            <w:vAlign w:val="center"/>
            <w:hideMark/>
          </w:tcPr>
          <w:p w14:paraId="56B7DFE0" w14:textId="6E589EE3" w:rsidR="00932CBB" w:rsidRPr="004326E8" w:rsidRDefault="00932CBB" w:rsidP="004326E8">
            <w:pPr>
              <w:spacing w:after="0" w:line="240" w:lineRule="auto"/>
              <w:jc w:val="center"/>
              <w:rPr>
                <w:rFonts w:ascii="Calibri" w:eastAsia="Times New Roman" w:hAnsi="Calibri" w:cs="Calibri"/>
                <w:color w:val="000000"/>
                <w:sz w:val="18"/>
                <w:szCs w:val="18"/>
              </w:rPr>
            </w:pPr>
            <w:r w:rsidRPr="004326E8">
              <w:rPr>
                <w:rFonts w:ascii="Calibri" w:eastAsia="Times New Roman" w:hAnsi="Calibri" w:cs="Calibri"/>
                <w:color w:val="000000"/>
                <w:sz w:val="18"/>
                <w:szCs w:val="18"/>
              </w:rPr>
              <w:t>2</w:t>
            </w:r>
            <w:r w:rsidR="004326E8">
              <w:rPr>
                <w:rFonts w:ascii="Calibri" w:eastAsia="Times New Roman" w:hAnsi="Calibri" w:cs="Calibri"/>
                <w:color w:val="000000"/>
                <w:sz w:val="18"/>
                <w:szCs w:val="18"/>
              </w:rPr>
              <w:t>.</w:t>
            </w:r>
            <w:r w:rsidRPr="004326E8">
              <w:rPr>
                <w:rFonts w:ascii="Calibri" w:eastAsia="Times New Roman" w:hAnsi="Calibri" w:cs="Calibri"/>
                <w:color w:val="000000"/>
                <w:sz w:val="18"/>
                <w:szCs w:val="18"/>
              </w:rPr>
              <w:t>6</w:t>
            </w:r>
          </w:p>
        </w:tc>
        <w:tc>
          <w:tcPr>
            <w:tcW w:w="2205" w:type="dxa"/>
            <w:tcBorders>
              <w:top w:val="nil"/>
              <w:left w:val="nil"/>
              <w:bottom w:val="single" w:sz="4" w:space="0" w:color="auto"/>
              <w:right w:val="single" w:sz="4" w:space="0" w:color="auto"/>
            </w:tcBorders>
            <w:shd w:val="clear" w:color="auto" w:fill="auto"/>
            <w:vAlign w:val="center"/>
            <w:hideMark/>
          </w:tcPr>
          <w:p w14:paraId="67147CE6" w14:textId="19E43D13" w:rsidR="00932CBB" w:rsidRPr="004326E8" w:rsidRDefault="00932CBB" w:rsidP="004326E8">
            <w:pPr>
              <w:spacing w:after="0" w:line="240" w:lineRule="auto"/>
              <w:jc w:val="center"/>
              <w:rPr>
                <w:rFonts w:ascii="Calibri" w:eastAsia="Times New Roman" w:hAnsi="Calibri" w:cs="Calibri"/>
                <w:color w:val="000000"/>
                <w:sz w:val="18"/>
                <w:szCs w:val="18"/>
              </w:rPr>
            </w:pPr>
            <w:r w:rsidRPr="004326E8">
              <w:rPr>
                <w:rFonts w:ascii="Calibri" w:eastAsia="Times New Roman" w:hAnsi="Calibri" w:cs="Calibri"/>
                <w:color w:val="000000"/>
                <w:sz w:val="18"/>
                <w:szCs w:val="18"/>
              </w:rPr>
              <w:t>0</w:t>
            </w:r>
            <w:r w:rsidR="004326E8">
              <w:rPr>
                <w:rFonts w:ascii="Calibri" w:eastAsia="Times New Roman" w:hAnsi="Calibri" w:cs="Calibri"/>
                <w:color w:val="000000"/>
                <w:sz w:val="18"/>
                <w:szCs w:val="18"/>
              </w:rPr>
              <w:t>.01</w:t>
            </w:r>
          </w:p>
        </w:tc>
      </w:tr>
      <w:tr w:rsidR="00932CBB" w:rsidRPr="004326E8" w14:paraId="28D499E4" w14:textId="77777777" w:rsidTr="009275BF">
        <w:trPr>
          <w:trHeight w:val="288"/>
        </w:trPr>
        <w:tc>
          <w:tcPr>
            <w:tcW w:w="2205" w:type="dxa"/>
            <w:tcBorders>
              <w:top w:val="nil"/>
              <w:left w:val="single" w:sz="4" w:space="0" w:color="auto"/>
              <w:bottom w:val="single" w:sz="4" w:space="0" w:color="auto"/>
              <w:right w:val="single" w:sz="4" w:space="0" w:color="auto"/>
            </w:tcBorders>
            <w:shd w:val="clear" w:color="auto" w:fill="auto"/>
            <w:vAlign w:val="center"/>
            <w:hideMark/>
          </w:tcPr>
          <w:p w14:paraId="162FC3A1" w14:textId="77777777" w:rsidR="00932CBB" w:rsidRPr="004326E8" w:rsidRDefault="00932CBB" w:rsidP="009275BF">
            <w:pPr>
              <w:spacing w:after="0" w:line="240" w:lineRule="auto"/>
              <w:rPr>
                <w:rFonts w:ascii="Calibri" w:eastAsia="Times New Roman" w:hAnsi="Calibri" w:cs="Calibri"/>
                <w:b/>
                <w:bCs/>
                <w:color w:val="000000"/>
                <w:sz w:val="18"/>
                <w:szCs w:val="18"/>
              </w:rPr>
            </w:pPr>
            <w:r w:rsidRPr="004326E8">
              <w:rPr>
                <w:rFonts w:ascii="Calibri" w:eastAsia="Times New Roman" w:hAnsi="Calibri" w:cs="Calibri"/>
                <w:b/>
                <w:bCs/>
                <w:color w:val="000000"/>
                <w:sz w:val="18"/>
                <w:szCs w:val="18"/>
              </w:rPr>
              <w:t>CH</w:t>
            </w:r>
            <w:r w:rsidRPr="004326E8">
              <w:rPr>
                <w:rFonts w:ascii="Calibri" w:eastAsia="Times New Roman" w:hAnsi="Calibri" w:cs="Calibri"/>
                <w:b/>
                <w:bCs/>
                <w:color w:val="000000"/>
                <w:sz w:val="18"/>
                <w:szCs w:val="18"/>
                <w:vertAlign w:val="subscript"/>
              </w:rPr>
              <w:t>4</w:t>
            </w:r>
          </w:p>
        </w:tc>
        <w:tc>
          <w:tcPr>
            <w:tcW w:w="2205" w:type="dxa"/>
            <w:tcBorders>
              <w:top w:val="nil"/>
              <w:left w:val="nil"/>
              <w:bottom w:val="single" w:sz="4" w:space="0" w:color="auto"/>
              <w:right w:val="single" w:sz="4" w:space="0" w:color="auto"/>
            </w:tcBorders>
            <w:shd w:val="clear" w:color="auto" w:fill="auto"/>
            <w:vAlign w:val="center"/>
            <w:hideMark/>
          </w:tcPr>
          <w:p w14:paraId="4170C26B" w14:textId="54157BDA" w:rsidR="00932CBB" w:rsidRPr="004326E8" w:rsidRDefault="00932CBB" w:rsidP="004326E8">
            <w:pPr>
              <w:spacing w:after="0" w:line="240" w:lineRule="auto"/>
              <w:jc w:val="center"/>
              <w:rPr>
                <w:rFonts w:ascii="Calibri" w:eastAsia="Times New Roman" w:hAnsi="Calibri" w:cs="Calibri"/>
                <w:color w:val="000000"/>
                <w:sz w:val="18"/>
                <w:szCs w:val="18"/>
              </w:rPr>
            </w:pPr>
            <w:r w:rsidRPr="004326E8">
              <w:rPr>
                <w:rFonts w:ascii="Calibri" w:eastAsia="Times New Roman" w:hAnsi="Calibri" w:cs="Calibri"/>
                <w:color w:val="000000"/>
                <w:sz w:val="18"/>
                <w:szCs w:val="18"/>
              </w:rPr>
              <w:t>0.5</w:t>
            </w:r>
            <w:r w:rsidR="004326E8">
              <w:rPr>
                <w:rFonts w:ascii="Calibri" w:eastAsia="Times New Roman" w:hAnsi="Calibri" w:cs="Calibri"/>
                <w:color w:val="000000"/>
                <w:sz w:val="18"/>
                <w:szCs w:val="18"/>
              </w:rPr>
              <w:t>5</w:t>
            </w:r>
          </w:p>
        </w:tc>
        <w:tc>
          <w:tcPr>
            <w:tcW w:w="2205" w:type="dxa"/>
            <w:tcBorders>
              <w:top w:val="nil"/>
              <w:left w:val="nil"/>
              <w:bottom w:val="single" w:sz="4" w:space="0" w:color="auto"/>
              <w:right w:val="single" w:sz="4" w:space="0" w:color="auto"/>
            </w:tcBorders>
            <w:shd w:val="clear" w:color="auto" w:fill="auto"/>
            <w:vAlign w:val="center"/>
            <w:hideMark/>
          </w:tcPr>
          <w:p w14:paraId="1DDF4EED" w14:textId="58D45696" w:rsidR="00932CBB" w:rsidRPr="004326E8" w:rsidRDefault="00932CBB" w:rsidP="004326E8">
            <w:pPr>
              <w:spacing w:after="0" w:line="240" w:lineRule="auto"/>
              <w:jc w:val="center"/>
              <w:rPr>
                <w:rFonts w:ascii="Calibri" w:eastAsia="Times New Roman" w:hAnsi="Calibri" w:cs="Calibri"/>
                <w:color w:val="000000"/>
                <w:sz w:val="18"/>
                <w:szCs w:val="18"/>
              </w:rPr>
            </w:pPr>
            <w:r w:rsidRPr="004326E8">
              <w:rPr>
                <w:rFonts w:ascii="Calibri" w:eastAsia="Times New Roman" w:hAnsi="Calibri" w:cs="Calibri"/>
                <w:color w:val="000000"/>
                <w:sz w:val="18"/>
                <w:szCs w:val="18"/>
              </w:rPr>
              <w:t>0</w:t>
            </w:r>
            <w:r w:rsidR="004326E8">
              <w:rPr>
                <w:rFonts w:ascii="Calibri" w:eastAsia="Times New Roman" w:hAnsi="Calibri" w:cs="Calibri"/>
                <w:color w:val="000000"/>
                <w:sz w:val="18"/>
                <w:szCs w:val="18"/>
              </w:rPr>
              <w:t>.0</w:t>
            </w:r>
          </w:p>
        </w:tc>
        <w:tc>
          <w:tcPr>
            <w:tcW w:w="2205" w:type="dxa"/>
            <w:tcBorders>
              <w:top w:val="nil"/>
              <w:left w:val="nil"/>
              <w:bottom w:val="single" w:sz="4" w:space="0" w:color="auto"/>
              <w:right w:val="single" w:sz="4" w:space="0" w:color="auto"/>
            </w:tcBorders>
            <w:shd w:val="clear" w:color="auto" w:fill="auto"/>
            <w:vAlign w:val="center"/>
            <w:hideMark/>
          </w:tcPr>
          <w:p w14:paraId="1AE39B96" w14:textId="6407C88F" w:rsidR="00932CBB" w:rsidRPr="004326E8" w:rsidRDefault="00932CBB" w:rsidP="004326E8">
            <w:pPr>
              <w:spacing w:after="0" w:line="240" w:lineRule="auto"/>
              <w:jc w:val="center"/>
              <w:rPr>
                <w:rFonts w:ascii="Calibri" w:eastAsia="Times New Roman" w:hAnsi="Calibri" w:cs="Calibri"/>
                <w:color w:val="000000"/>
                <w:sz w:val="18"/>
                <w:szCs w:val="18"/>
              </w:rPr>
            </w:pPr>
            <w:r w:rsidRPr="004326E8">
              <w:rPr>
                <w:rFonts w:ascii="Calibri" w:eastAsia="Times New Roman" w:hAnsi="Calibri" w:cs="Calibri"/>
                <w:color w:val="000000"/>
                <w:sz w:val="18"/>
                <w:szCs w:val="18"/>
              </w:rPr>
              <w:t>0</w:t>
            </w:r>
            <w:r w:rsidR="004326E8">
              <w:rPr>
                <w:rFonts w:ascii="Calibri" w:eastAsia="Times New Roman" w:hAnsi="Calibri" w:cs="Calibri"/>
                <w:color w:val="000000"/>
                <w:sz w:val="18"/>
                <w:szCs w:val="18"/>
              </w:rPr>
              <w:t>.0</w:t>
            </w:r>
          </w:p>
        </w:tc>
      </w:tr>
      <w:tr w:rsidR="00932CBB" w:rsidRPr="004326E8" w14:paraId="36E11260" w14:textId="77777777" w:rsidTr="009275BF">
        <w:trPr>
          <w:trHeight w:val="288"/>
        </w:trPr>
        <w:tc>
          <w:tcPr>
            <w:tcW w:w="2205" w:type="dxa"/>
            <w:tcBorders>
              <w:top w:val="nil"/>
              <w:left w:val="single" w:sz="4" w:space="0" w:color="auto"/>
              <w:bottom w:val="single" w:sz="4" w:space="0" w:color="auto"/>
              <w:right w:val="single" w:sz="4" w:space="0" w:color="auto"/>
            </w:tcBorders>
            <w:shd w:val="clear" w:color="auto" w:fill="auto"/>
            <w:vAlign w:val="center"/>
            <w:hideMark/>
          </w:tcPr>
          <w:p w14:paraId="7F2095D8" w14:textId="77777777" w:rsidR="00932CBB" w:rsidRPr="004326E8" w:rsidRDefault="00932CBB" w:rsidP="009275BF">
            <w:pPr>
              <w:spacing w:after="0" w:line="240" w:lineRule="auto"/>
              <w:rPr>
                <w:rFonts w:ascii="Calibri" w:eastAsia="Times New Roman" w:hAnsi="Calibri" w:cs="Calibri"/>
                <w:b/>
                <w:bCs/>
                <w:color w:val="000000"/>
                <w:sz w:val="18"/>
                <w:szCs w:val="18"/>
              </w:rPr>
            </w:pPr>
            <w:r w:rsidRPr="004326E8">
              <w:rPr>
                <w:rFonts w:ascii="Calibri" w:eastAsia="Times New Roman" w:hAnsi="Calibri" w:cs="Calibri"/>
                <w:b/>
                <w:bCs/>
                <w:color w:val="000000"/>
                <w:sz w:val="18"/>
                <w:szCs w:val="18"/>
              </w:rPr>
              <w:t>N</w:t>
            </w:r>
            <w:r w:rsidRPr="004326E8">
              <w:rPr>
                <w:rFonts w:ascii="Calibri" w:eastAsia="Times New Roman" w:hAnsi="Calibri" w:cs="Calibri"/>
                <w:b/>
                <w:bCs/>
                <w:color w:val="000000"/>
                <w:sz w:val="18"/>
                <w:szCs w:val="18"/>
                <w:vertAlign w:val="subscript"/>
              </w:rPr>
              <w:t>2</w:t>
            </w:r>
            <w:r w:rsidRPr="004326E8">
              <w:rPr>
                <w:rFonts w:ascii="Calibri" w:eastAsia="Times New Roman" w:hAnsi="Calibri" w:cs="Calibri"/>
                <w:b/>
                <w:bCs/>
                <w:color w:val="000000"/>
                <w:sz w:val="18"/>
                <w:szCs w:val="18"/>
              </w:rPr>
              <w:t>O</w:t>
            </w:r>
          </w:p>
        </w:tc>
        <w:tc>
          <w:tcPr>
            <w:tcW w:w="2205" w:type="dxa"/>
            <w:tcBorders>
              <w:top w:val="nil"/>
              <w:left w:val="nil"/>
              <w:bottom w:val="single" w:sz="4" w:space="0" w:color="auto"/>
              <w:right w:val="single" w:sz="4" w:space="0" w:color="auto"/>
            </w:tcBorders>
            <w:shd w:val="clear" w:color="auto" w:fill="auto"/>
            <w:vAlign w:val="center"/>
            <w:hideMark/>
          </w:tcPr>
          <w:p w14:paraId="20216D64" w14:textId="77777777" w:rsidR="00932CBB" w:rsidRPr="004326E8" w:rsidRDefault="00932CBB" w:rsidP="004326E8">
            <w:pPr>
              <w:spacing w:after="0" w:line="240" w:lineRule="auto"/>
              <w:jc w:val="center"/>
              <w:rPr>
                <w:rFonts w:ascii="Calibri" w:eastAsia="Times New Roman" w:hAnsi="Calibri" w:cs="Calibri"/>
                <w:color w:val="000000"/>
                <w:sz w:val="18"/>
                <w:szCs w:val="18"/>
              </w:rPr>
            </w:pPr>
            <w:r w:rsidRPr="004326E8">
              <w:rPr>
                <w:rFonts w:ascii="Calibri" w:eastAsia="Times New Roman" w:hAnsi="Calibri" w:cs="Calibri"/>
                <w:color w:val="000000"/>
                <w:sz w:val="18"/>
                <w:szCs w:val="18"/>
              </w:rPr>
              <w:t>0.51</w:t>
            </w:r>
          </w:p>
        </w:tc>
        <w:tc>
          <w:tcPr>
            <w:tcW w:w="2205" w:type="dxa"/>
            <w:tcBorders>
              <w:top w:val="nil"/>
              <w:left w:val="nil"/>
              <w:bottom w:val="single" w:sz="4" w:space="0" w:color="auto"/>
              <w:right w:val="single" w:sz="4" w:space="0" w:color="auto"/>
            </w:tcBorders>
            <w:shd w:val="clear" w:color="auto" w:fill="auto"/>
            <w:vAlign w:val="center"/>
            <w:hideMark/>
          </w:tcPr>
          <w:p w14:paraId="3D6E5ACA" w14:textId="6EFC5C7D" w:rsidR="00932CBB" w:rsidRPr="004326E8" w:rsidRDefault="00932CBB" w:rsidP="004326E8">
            <w:pPr>
              <w:spacing w:after="0" w:line="240" w:lineRule="auto"/>
              <w:jc w:val="center"/>
              <w:rPr>
                <w:rFonts w:ascii="Calibri" w:eastAsia="Times New Roman" w:hAnsi="Calibri" w:cs="Calibri"/>
                <w:color w:val="000000"/>
                <w:sz w:val="18"/>
                <w:szCs w:val="18"/>
              </w:rPr>
            </w:pPr>
            <w:r w:rsidRPr="004326E8">
              <w:rPr>
                <w:rFonts w:ascii="Calibri" w:eastAsia="Times New Roman" w:hAnsi="Calibri" w:cs="Calibri"/>
                <w:color w:val="000000"/>
                <w:sz w:val="18"/>
                <w:szCs w:val="18"/>
              </w:rPr>
              <w:t>10</w:t>
            </w:r>
            <w:r w:rsidR="004326E8">
              <w:rPr>
                <w:rFonts w:ascii="Calibri" w:eastAsia="Times New Roman" w:hAnsi="Calibri" w:cs="Calibri"/>
                <w:color w:val="000000"/>
                <w:sz w:val="18"/>
                <w:szCs w:val="18"/>
              </w:rPr>
              <w:t>.</w:t>
            </w:r>
            <w:r w:rsidRPr="004326E8">
              <w:rPr>
                <w:rFonts w:ascii="Calibri" w:eastAsia="Times New Roman" w:hAnsi="Calibri" w:cs="Calibri"/>
                <w:color w:val="000000"/>
                <w:sz w:val="18"/>
                <w:szCs w:val="18"/>
              </w:rPr>
              <w:t>1</w:t>
            </w:r>
          </w:p>
        </w:tc>
        <w:tc>
          <w:tcPr>
            <w:tcW w:w="2205" w:type="dxa"/>
            <w:tcBorders>
              <w:top w:val="nil"/>
              <w:left w:val="nil"/>
              <w:bottom w:val="single" w:sz="4" w:space="0" w:color="auto"/>
              <w:right w:val="single" w:sz="4" w:space="0" w:color="auto"/>
            </w:tcBorders>
            <w:shd w:val="clear" w:color="auto" w:fill="auto"/>
            <w:vAlign w:val="center"/>
            <w:hideMark/>
          </w:tcPr>
          <w:p w14:paraId="4D9DB978" w14:textId="0F93770C" w:rsidR="00932CBB" w:rsidRPr="004326E8" w:rsidRDefault="00932CBB" w:rsidP="004326E8">
            <w:pPr>
              <w:spacing w:after="0" w:line="240" w:lineRule="auto"/>
              <w:jc w:val="center"/>
              <w:rPr>
                <w:rFonts w:ascii="Calibri" w:eastAsia="Times New Roman" w:hAnsi="Calibri" w:cs="Calibri"/>
                <w:color w:val="000000"/>
                <w:sz w:val="18"/>
                <w:szCs w:val="18"/>
              </w:rPr>
            </w:pPr>
            <w:r w:rsidRPr="004326E8">
              <w:rPr>
                <w:rFonts w:ascii="Calibri" w:eastAsia="Times New Roman" w:hAnsi="Calibri" w:cs="Calibri"/>
                <w:color w:val="000000"/>
                <w:sz w:val="18"/>
                <w:szCs w:val="18"/>
              </w:rPr>
              <w:t>0.0</w:t>
            </w:r>
            <w:r w:rsidR="004326E8">
              <w:rPr>
                <w:rFonts w:ascii="Calibri" w:eastAsia="Times New Roman" w:hAnsi="Calibri" w:cs="Calibri"/>
                <w:color w:val="000000"/>
                <w:sz w:val="18"/>
                <w:szCs w:val="18"/>
              </w:rPr>
              <w:t>6</w:t>
            </w:r>
          </w:p>
        </w:tc>
      </w:tr>
    </w:tbl>
    <w:p w14:paraId="7D092091" w14:textId="77777777" w:rsidR="00F61B76" w:rsidRDefault="00F61B76">
      <w:pPr>
        <w:sectPr w:rsidR="00F61B76">
          <w:pgSz w:w="12240" w:h="15840"/>
          <w:pgMar w:top="1440" w:right="1440" w:bottom="1440" w:left="1440" w:header="720" w:footer="720" w:gutter="0"/>
          <w:cols w:space="720"/>
          <w:docGrid w:linePitch="360"/>
        </w:sectPr>
      </w:pPr>
    </w:p>
    <w:p w14:paraId="54416D84" w14:textId="2CDDD24C" w:rsidR="000A4A0C" w:rsidRPr="0066082C" w:rsidRDefault="00603C21" w:rsidP="004326E8">
      <w:pPr>
        <w:pStyle w:val="Heading1"/>
      </w:pPr>
      <w:bookmarkStart w:id="57" w:name="_Toc84784381"/>
      <w:r w:rsidRPr="0066082C">
        <w:lastRenderedPageBreak/>
        <w:t>C</w:t>
      </w:r>
      <w:r w:rsidR="008E77A4">
        <w:t>ropland</w:t>
      </w:r>
      <w:r w:rsidR="00DA7B4C">
        <w:t>s</w:t>
      </w:r>
      <w:r w:rsidR="008E77A4">
        <w:t xml:space="preserve"> and Grassland</w:t>
      </w:r>
      <w:r w:rsidR="00DA7B4C">
        <w:t>s</w:t>
      </w:r>
      <w:bookmarkEnd w:id="57"/>
    </w:p>
    <w:p w14:paraId="0248D4CD" w14:textId="77777777" w:rsidR="00F61B76" w:rsidRPr="00F61B76" w:rsidRDefault="00F61B76" w:rsidP="000B2554">
      <w:pPr>
        <w:pStyle w:val="ListParagraph"/>
        <w:keepNext/>
        <w:keepLines/>
        <w:numPr>
          <w:ilvl w:val="0"/>
          <w:numId w:val="6"/>
        </w:numPr>
        <w:spacing w:before="240" w:after="0"/>
        <w:contextualSpacing w:val="0"/>
        <w:outlineLvl w:val="0"/>
        <w:rPr>
          <w:rFonts w:asciiTheme="majorHAnsi" w:eastAsiaTheme="majorEastAsia" w:hAnsiTheme="majorHAnsi" w:cstheme="majorBidi"/>
          <w:vanish/>
          <w:color w:val="2E74B5" w:themeColor="accent1" w:themeShade="BF"/>
          <w:sz w:val="32"/>
          <w:szCs w:val="32"/>
        </w:rPr>
      </w:pPr>
      <w:bookmarkStart w:id="58" w:name="_Toc5268924"/>
      <w:bookmarkStart w:id="59" w:name="_Toc5268997"/>
      <w:bookmarkStart w:id="60" w:name="_Toc5291559"/>
      <w:bookmarkStart w:id="61" w:name="_Toc5291626"/>
      <w:bookmarkStart w:id="62" w:name="_Toc5291681"/>
      <w:bookmarkStart w:id="63" w:name="_Toc5291712"/>
      <w:bookmarkStart w:id="64" w:name="_Toc5291764"/>
      <w:bookmarkStart w:id="65" w:name="_Toc5291800"/>
      <w:bookmarkStart w:id="66" w:name="_Toc5291847"/>
      <w:bookmarkStart w:id="67" w:name="_Toc5291876"/>
      <w:bookmarkStart w:id="68" w:name="_Toc5291948"/>
      <w:bookmarkStart w:id="69" w:name="_Toc5292153"/>
      <w:bookmarkStart w:id="70" w:name="_Toc5292173"/>
      <w:bookmarkStart w:id="71" w:name="_Toc5292193"/>
      <w:bookmarkStart w:id="72" w:name="_Toc5292221"/>
      <w:bookmarkStart w:id="73" w:name="_Toc5828596"/>
      <w:bookmarkStart w:id="74" w:name="_Toc5828643"/>
      <w:bookmarkStart w:id="75" w:name="_Toc5828824"/>
      <w:bookmarkStart w:id="76" w:name="_Toc5893042"/>
      <w:bookmarkStart w:id="77" w:name="_Toc5893160"/>
      <w:bookmarkStart w:id="78" w:name="_Toc5915394"/>
      <w:bookmarkStart w:id="79" w:name="_Toc14186103"/>
      <w:bookmarkStart w:id="80" w:name="_Toc14188340"/>
      <w:bookmarkStart w:id="81" w:name="_Toc15908785"/>
      <w:bookmarkStart w:id="82" w:name="_Toc15908798"/>
      <w:bookmarkStart w:id="83" w:name="_Toc17461582"/>
      <w:bookmarkStart w:id="84" w:name="_Toc17462112"/>
      <w:bookmarkStart w:id="85" w:name="_Toc17462441"/>
      <w:bookmarkStart w:id="86" w:name="_Toc17462475"/>
      <w:bookmarkStart w:id="87" w:name="_Toc17462488"/>
      <w:bookmarkStart w:id="88" w:name="_Toc28703415"/>
      <w:bookmarkStart w:id="89" w:name="_Toc67835466"/>
      <w:bookmarkStart w:id="90" w:name="_Toc67835551"/>
      <w:bookmarkStart w:id="91" w:name="_Toc67835655"/>
      <w:bookmarkStart w:id="92" w:name="_Toc67835734"/>
      <w:bookmarkStart w:id="93" w:name="_Toc82430800"/>
      <w:bookmarkStart w:id="94" w:name="_Toc82446761"/>
      <w:bookmarkStart w:id="95" w:name="_Toc82892397"/>
      <w:bookmarkStart w:id="96" w:name="_Toc84605773"/>
      <w:bookmarkStart w:id="97" w:name="_Toc84784382"/>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26DC36D8" w14:textId="77777777" w:rsidR="00F61B76" w:rsidRPr="00F61B76" w:rsidRDefault="00F61B76" w:rsidP="000B2554">
      <w:pPr>
        <w:pStyle w:val="ListParagraph"/>
        <w:keepNext/>
        <w:keepLines/>
        <w:numPr>
          <w:ilvl w:val="0"/>
          <w:numId w:val="6"/>
        </w:numPr>
        <w:spacing w:before="240" w:after="0"/>
        <w:contextualSpacing w:val="0"/>
        <w:outlineLvl w:val="0"/>
        <w:rPr>
          <w:rFonts w:asciiTheme="majorHAnsi" w:eastAsiaTheme="majorEastAsia" w:hAnsiTheme="majorHAnsi" w:cstheme="majorBidi"/>
          <w:vanish/>
          <w:color w:val="2E74B5" w:themeColor="accent1" w:themeShade="BF"/>
          <w:sz w:val="32"/>
          <w:szCs w:val="32"/>
        </w:rPr>
      </w:pPr>
      <w:bookmarkStart w:id="98" w:name="_Toc5268925"/>
      <w:bookmarkStart w:id="99" w:name="_Toc5268998"/>
      <w:bookmarkStart w:id="100" w:name="_Toc5291560"/>
      <w:bookmarkStart w:id="101" w:name="_Toc5291627"/>
      <w:bookmarkStart w:id="102" w:name="_Toc5291682"/>
      <w:bookmarkStart w:id="103" w:name="_Toc5291713"/>
      <w:bookmarkStart w:id="104" w:name="_Toc5291765"/>
      <w:bookmarkStart w:id="105" w:name="_Toc5291801"/>
      <w:bookmarkStart w:id="106" w:name="_Toc5291848"/>
      <w:bookmarkStart w:id="107" w:name="_Toc5291877"/>
      <w:bookmarkStart w:id="108" w:name="_Toc5291949"/>
      <w:bookmarkStart w:id="109" w:name="_Toc5292154"/>
      <w:bookmarkStart w:id="110" w:name="_Toc5292174"/>
      <w:bookmarkStart w:id="111" w:name="_Toc5292194"/>
      <w:bookmarkStart w:id="112" w:name="_Toc5292222"/>
      <w:bookmarkStart w:id="113" w:name="_Toc5828597"/>
      <w:bookmarkStart w:id="114" w:name="_Toc5828644"/>
      <w:bookmarkStart w:id="115" w:name="_Toc5828825"/>
      <w:bookmarkStart w:id="116" w:name="_Toc5893043"/>
      <w:bookmarkStart w:id="117" w:name="_Toc5893161"/>
      <w:bookmarkStart w:id="118" w:name="_Toc5915395"/>
      <w:bookmarkStart w:id="119" w:name="_Toc14186104"/>
      <w:bookmarkStart w:id="120" w:name="_Toc14188341"/>
      <w:bookmarkStart w:id="121" w:name="_Toc15908786"/>
      <w:bookmarkStart w:id="122" w:name="_Toc15908799"/>
      <w:bookmarkStart w:id="123" w:name="_Toc17461583"/>
      <w:bookmarkStart w:id="124" w:name="_Toc17462113"/>
      <w:bookmarkStart w:id="125" w:name="_Toc17462442"/>
      <w:bookmarkStart w:id="126" w:name="_Toc17462476"/>
      <w:bookmarkStart w:id="127" w:name="_Toc17462489"/>
      <w:bookmarkStart w:id="128" w:name="_Toc28703416"/>
      <w:bookmarkStart w:id="129" w:name="_Toc67835467"/>
      <w:bookmarkStart w:id="130" w:name="_Toc67835552"/>
      <w:bookmarkStart w:id="131" w:name="_Toc67835656"/>
      <w:bookmarkStart w:id="132" w:name="_Toc67835735"/>
      <w:bookmarkStart w:id="133" w:name="_Toc82430801"/>
      <w:bookmarkStart w:id="134" w:name="_Toc82446762"/>
      <w:bookmarkStart w:id="135" w:name="_Toc82892398"/>
      <w:bookmarkStart w:id="136" w:name="_Toc84605774"/>
      <w:bookmarkStart w:id="137" w:name="_Toc84784383"/>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0CA99F47" w14:textId="77777777" w:rsidR="00F61B76" w:rsidRPr="00F61B76" w:rsidRDefault="00F61B76" w:rsidP="000B2554">
      <w:pPr>
        <w:pStyle w:val="ListParagraph"/>
        <w:keepNext/>
        <w:keepLines/>
        <w:numPr>
          <w:ilvl w:val="0"/>
          <w:numId w:val="6"/>
        </w:numPr>
        <w:spacing w:before="240" w:after="0"/>
        <w:contextualSpacing w:val="0"/>
        <w:outlineLvl w:val="0"/>
        <w:rPr>
          <w:rFonts w:asciiTheme="majorHAnsi" w:eastAsiaTheme="majorEastAsia" w:hAnsiTheme="majorHAnsi" w:cstheme="majorBidi"/>
          <w:vanish/>
          <w:color w:val="2E74B5" w:themeColor="accent1" w:themeShade="BF"/>
          <w:sz w:val="32"/>
          <w:szCs w:val="32"/>
        </w:rPr>
      </w:pPr>
      <w:bookmarkStart w:id="138" w:name="_Toc5268926"/>
      <w:bookmarkStart w:id="139" w:name="_Toc5268999"/>
      <w:bookmarkStart w:id="140" w:name="_Toc5291561"/>
      <w:bookmarkStart w:id="141" w:name="_Toc5291628"/>
      <w:bookmarkStart w:id="142" w:name="_Toc5291683"/>
      <w:bookmarkStart w:id="143" w:name="_Toc5291714"/>
      <w:bookmarkStart w:id="144" w:name="_Toc5291766"/>
      <w:bookmarkStart w:id="145" w:name="_Toc5291802"/>
      <w:bookmarkStart w:id="146" w:name="_Toc5291849"/>
      <w:bookmarkStart w:id="147" w:name="_Toc5291878"/>
      <w:bookmarkStart w:id="148" w:name="_Toc5291950"/>
      <w:bookmarkStart w:id="149" w:name="_Toc5292155"/>
      <w:bookmarkStart w:id="150" w:name="_Toc5292175"/>
      <w:bookmarkStart w:id="151" w:name="_Toc5292195"/>
      <w:bookmarkStart w:id="152" w:name="_Toc5292223"/>
      <w:bookmarkStart w:id="153" w:name="_Toc5828598"/>
      <w:bookmarkStart w:id="154" w:name="_Toc5828645"/>
      <w:bookmarkStart w:id="155" w:name="_Toc5828826"/>
      <w:bookmarkStart w:id="156" w:name="_Toc5893044"/>
      <w:bookmarkStart w:id="157" w:name="_Toc5893162"/>
      <w:bookmarkStart w:id="158" w:name="_Toc5915396"/>
      <w:bookmarkStart w:id="159" w:name="_Toc14186105"/>
      <w:bookmarkStart w:id="160" w:name="_Toc14188342"/>
      <w:bookmarkStart w:id="161" w:name="_Toc15908787"/>
      <w:bookmarkStart w:id="162" w:name="_Toc15908800"/>
      <w:bookmarkStart w:id="163" w:name="_Toc17461584"/>
      <w:bookmarkStart w:id="164" w:name="_Toc17462114"/>
      <w:bookmarkStart w:id="165" w:name="_Toc17462443"/>
      <w:bookmarkStart w:id="166" w:name="_Toc17462477"/>
      <w:bookmarkStart w:id="167" w:name="_Toc17462490"/>
      <w:bookmarkStart w:id="168" w:name="_Toc28703417"/>
      <w:bookmarkStart w:id="169" w:name="_Toc67835468"/>
      <w:bookmarkStart w:id="170" w:name="_Toc67835553"/>
      <w:bookmarkStart w:id="171" w:name="_Toc67835657"/>
      <w:bookmarkStart w:id="172" w:name="_Toc67835736"/>
      <w:bookmarkStart w:id="173" w:name="_Toc82430802"/>
      <w:bookmarkStart w:id="174" w:name="_Toc82446763"/>
      <w:bookmarkStart w:id="175" w:name="_Toc82892399"/>
      <w:bookmarkStart w:id="176" w:name="_Toc84605775"/>
      <w:bookmarkStart w:id="177" w:name="_Toc84784384"/>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5F2610F4" w14:textId="7B605980" w:rsidR="00603C21" w:rsidRPr="006E6ADF" w:rsidRDefault="00AF05A3" w:rsidP="004326E8">
      <w:pPr>
        <w:pStyle w:val="Heading2"/>
        <w:numPr>
          <w:ilvl w:val="0"/>
          <w:numId w:val="0"/>
        </w:numPr>
        <w:spacing w:before="240"/>
        <w:ind w:left="576"/>
      </w:pPr>
      <w:r>
        <w:t xml:space="preserve">3.1 </w:t>
      </w:r>
      <w:r w:rsidR="00603C21" w:rsidRPr="00627E59">
        <w:t>Carbon stock change, N</w:t>
      </w:r>
      <w:r w:rsidR="00603C21" w:rsidRPr="004326E8">
        <w:rPr>
          <w:vertAlign w:val="subscript"/>
        </w:rPr>
        <w:t>2</w:t>
      </w:r>
      <w:r w:rsidR="00603C21" w:rsidRPr="00627E59">
        <w:t>O</w:t>
      </w:r>
      <w:r w:rsidR="00C71BFC">
        <w:t xml:space="preserve">, and rice </w:t>
      </w:r>
      <w:r w:rsidR="008F6D5A">
        <w:t>CH</w:t>
      </w:r>
      <w:r w:rsidR="008F6D5A" w:rsidRPr="008F6D5A">
        <w:rPr>
          <w:vertAlign w:val="subscript"/>
        </w:rPr>
        <w:t>4</w:t>
      </w:r>
      <w:r w:rsidR="00C71BFC">
        <w:t xml:space="preserve"> on </w:t>
      </w:r>
      <w:r w:rsidR="003F17EB">
        <w:t>Tier 3</w:t>
      </w:r>
      <w:r w:rsidR="003F17EB" w:rsidRPr="00627E59">
        <w:t xml:space="preserve"> </w:t>
      </w:r>
      <w:r w:rsidR="00603C21" w:rsidRPr="00627E59">
        <w:t>soils</w:t>
      </w:r>
      <w:r w:rsidR="00603C21">
        <w:t xml:space="preserve">  </w:t>
      </w:r>
    </w:p>
    <w:p w14:paraId="74568BD9" w14:textId="2CF5CE3D" w:rsidR="00871AF9" w:rsidRPr="00195F4D" w:rsidRDefault="000477BC" w:rsidP="004326E8">
      <w:pPr>
        <w:pStyle w:val="2-Header"/>
        <w:numPr>
          <w:ilvl w:val="0"/>
          <w:numId w:val="0"/>
        </w:numPr>
        <w:spacing w:before="240"/>
        <w:ind w:left="576" w:hanging="576"/>
        <w:rPr>
          <w:rStyle w:val="Strong"/>
          <w:b w:val="0"/>
        </w:rPr>
      </w:pPr>
      <w:r w:rsidRPr="00195F4D">
        <w:rPr>
          <w:rStyle w:val="Strong"/>
          <w:rFonts w:asciiTheme="majorHAnsi" w:hAnsiTheme="majorHAnsi"/>
          <w:b w:val="0"/>
        </w:rPr>
        <w:t>NGHGI methods</w:t>
      </w:r>
    </w:p>
    <w:p w14:paraId="69B0CB04" w14:textId="554FD038" w:rsidR="00871AF9" w:rsidRDefault="00871AF9" w:rsidP="00871AF9">
      <w:r>
        <w:t xml:space="preserve">The NGHGI </w:t>
      </w:r>
      <w:r w:rsidR="00083B2E">
        <w:t xml:space="preserve">uses a combination of </w:t>
      </w:r>
      <w:r>
        <w:t>Tier 1, 2, and 3 methods to estimate fluxes of CO</w:t>
      </w:r>
      <w:r w:rsidRPr="00081E93">
        <w:rPr>
          <w:vertAlign w:val="subscript"/>
        </w:rPr>
        <w:t>2</w:t>
      </w:r>
      <w:r>
        <w:t>, N</w:t>
      </w:r>
      <w:r w:rsidRPr="00081E93">
        <w:rPr>
          <w:vertAlign w:val="subscript"/>
        </w:rPr>
        <w:t>2</w:t>
      </w:r>
      <w:r w:rsidR="00081E93">
        <w:t>O</w:t>
      </w:r>
      <w:r>
        <w:t>, and CH</w:t>
      </w:r>
      <w:r w:rsidRPr="00081E93">
        <w:rPr>
          <w:vertAlign w:val="subscript"/>
        </w:rPr>
        <w:t>4</w:t>
      </w:r>
      <w:r>
        <w:t xml:space="preserve"> from </w:t>
      </w:r>
      <w:r w:rsidR="00083B2E">
        <w:t xml:space="preserve">cropland and grassland </w:t>
      </w:r>
      <w:r>
        <w:t xml:space="preserve">soils. The U.S. Tier 3 approach, which covers 78% of managed U.S. cropland and grassland soils, utilizes DayCent, a biogeochemical soil model (NGHGI, 2018). </w:t>
      </w:r>
      <w:r w:rsidR="004607E2">
        <w:t>S</w:t>
      </w:r>
      <w:r>
        <w:t>oils</w:t>
      </w:r>
      <w:r w:rsidR="00421A86">
        <w:t xml:space="preserve"> with insufficient data to parameterize </w:t>
      </w:r>
      <w:r w:rsidR="00E91243">
        <w:t>DayCent</w:t>
      </w:r>
      <w:r w:rsidR="00421A86">
        <w:t xml:space="preserve"> </w:t>
      </w:r>
      <w:r>
        <w:t>includ</w:t>
      </w:r>
      <w:r w:rsidR="00421A86">
        <w:t>e</w:t>
      </w:r>
      <w:r>
        <w:t xml:space="preserve"> </w:t>
      </w:r>
      <w:r w:rsidR="00421A86">
        <w:t xml:space="preserve">organic soils, </w:t>
      </w:r>
      <w:r>
        <w:t>federal grasslands, shaley and gravelly soils, and minor crop types</w:t>
      </w:r>
      <w:r w:rsidR="00421A86">
        <w:t xml:space="preserve">. </w:t>
      </w:r>
      <w:r>
        <w:t>Tier 1 and Tier 2 methods</w:t>
      </w:r>
      <w:r w:rsidR="00421A86">
        <w:t xml:space="preserve"> are used for non-</w:t>
      </w:r>
      <w:r w:rsidR="00E91243">
        <w:t>DayCent</w:t>
      </w:r>
      <w:r w:rsidR="00421A86">
        <w:t xml:space="preserve"> soils</w:t>
      </w:r>
      <w:r w:rsidR="00083B2E">
        <w:t>, using</w:t>
      </w:r>
      <w:r>
        <w:t xml:space="preserve"> IPCC</w:t>
      </w:r>
      <w:r w:rsidR="00C71BFC">
        <w:t xml:space="preserve"> (2006, 2019)</w:t>
      </w:r>
      <w:r>
        <w:t xml:space="preserve"> </w:t>
      </w:r>
      <w:r w:rsidR="00C71BFC">
        <w:t>equations and parameters</w:t>
      </w:r>
      <w:r>
        <w:t>.</w:t>
      </w:r>
      <w:r w:rsidR="00083B2E">
        <w:t xml:space="preserve"> In </w:t>
      </w:r>
      <w:r w:rsidR="00BE7458">
        <w:t>chapter</w:t>
      </w:r>
      <w:r w:rsidR="00083B2E">
        <w:t xml:space="preserve"> 3.1 we focus on Tier 3 methods.</w:t>
      </w:r>
    </w:p>
    <w:p w14:paraId="3E693DFB" w14:textId="0C091AA8" w:rsidR="00871AF9" w:rsidRDefault="004607E2" w:rsidP="00871AF9">
      <w:r>
        <w:t xml:space="preserve">Many </w:t>
      </w:r>
      <w:r w:rsidR="00871AF9">
        <w:t xml:space="preserve">DayCent </w:t>
      </w:r>
      <w:r>
        <w:t xml:space="preserve">inputs </w:t>
      </w:r>
      <w:r w:rsidR="00871AF9">
        <w:t xml:space="preserve">are </w:t>
      </w:r>
      <w:proofErr w:type="spellStart"/>
      <w:r>
        <w:t>dervied</w:t>
      </w:r>
      <w:proofErr w:type="spellEnd"/>
      <w:r w:rsidR="00871AF9">
        <w:t xml:space="preserve"> from the National Resources Inventory (NRI), a statistical survey of non-federal lands in the conterminous U.S. and Hawaii. Land use and management data</w:t>
      </w:r>
      <w:r>
        <w:t>,</w:t>
      </w:r>
      <w:r w:rsidR="00871AF9">
        <w:t xml:space="preserve"> including crop type, irrigation, and soil attributes</w:t>
      </w:r>
      <w:r>
        <w:t>,</w:t>
      </w:r>
      <w:r w:rsidR="00871AF9">
        <w:t xml:space="preserve"> are collected from NRI survey locations</w:t>
      </w:r>
      <w:r w:rsidR="00083B2E">
        <w:t xml:space="preserve">, with each location </w:t>
      </w:r>
      <w:r w:rsidR="00871AF9">
        <w:t xml:space="preserve">classified as Cropland Remaining Cropland, Grassland Remaining Grassland, or Land Converted to </w:t>
      </w:r>
      <w:r w:rsidR="00083B2E">
        <w:t xml:space="preserve">Cropland or </w:t>
      </w:r>
      <w:r w:rsidR="00871AF9">
        <w:t xml:space="preserve">Grassland if they have been converted </w:t>
      </w:r>
      <w:r w:rsidR="00083B2E">
        <w:t xml:space="preserve">at any time in the previous </w:t>
      </w:r>
      <w:r w:rsidR="00871AF9">
        <w:t xml:space="preserve">20 years. </w:t>
      </w:r>
    </w:p>
    <w:p w14:paraId="667BA4BE" w14:textId="0DEBFF1D" w:rsidR="00871AF9" w:rsidRDefault="00871AF9" w:rsidP="00871AF9">
      <w:r>
        <w:t>NRI data was initially collected in five-year cycles beginning in 1982, shifting to annual collection in 1998. They have been collected up until 201</w:t>
      </w:r>
      <w:r w:rsidR="00FC2766">
        <w:t>5</w:t>
      </w:r>
      <w:r>
        <w:t>, and the subsequent</w:t>
      </w:r>
      <w:r w:rsidR="0066082C">
        <w:t xml:space="preserve"> years </w:t>
      </w:r>
      <w:r w:rsidR="00083B2E">
        <w:t xml:space="preserve">have been extrapolated from historical trends using </w:t>
      </w:r>
      <w:r w:rsidR="00FC2766">
        <w:t xml:space="preserve">a </w:t>
      </w:r>
      <w:r>
        <w:t xml:space="preserve">linear </w:t>
      </w:r>
      <w:r w:rsidR="00FC2766">
        <w:t xml:space="preserve">model of </w:t>
      </w:r>
      <w:r w:rsidR="00083B2E">
        <w:t xml:space="preserve">historical </w:t>
      </w:r>
      <w:r>
        <w:t>GH</w:t>
      </w:r>
      <w:r w:rsidR="00C71BFC">
        <w:t>G</w:t>
      </w:r>
      <w:r>
        <w:t xml:space="preserve"> fluxes </w:t>
      </w:r>
      <w:r w:rsidR="00FC2766">
        <w:t xml:space="preserve">as a function of </w:t>
      </w:r>
      <w:r>
        <w:t>annual observable</w:t>
      </w:r>
      <w:r w:rsidR="00083B2E">
        <w:t>s</w:t>
      </w:r>
      <w:r>
        <w:t xml:space="preserve"> like commodity statistics and weather. </w:t>
      </w:r>
      <w:r w:rsidR="00083B2E">
        <w:t xml:space="preserve">The </w:t>
      </w:r>
      <w:r w:rsidR="00FC2766">
        <w:t xml:space="preserve">2021 </w:t>
      </w:r>
      <w:r w:rsidR="00083B2E">
        <w:t>NGHGI report included NRI data updated to 2015, so surrogate data was used for inventory years 2016-2018.</w:t>
      </w:r>
    </w:p>
    <w:p w14:paraId="3A159748" w14:textId="56D10C0D" w:rsidR="00083B2E" w:rsidRDefault="00871AF9" w:rsidP="00871AF9">
      <w:r>
        <w:t xml:space="preserve">Additional DayCent inputs </w:t>
      </w:r>
      <w:r w:rsidR="00083B2E">
        <w:t>include</w:t>
      </w:r>
      <w:r>
        <w:t>: net primary productivity from the NASA-CASA MODIS Enhanced Vegetation Index, tillage data from Conservation Technology Information Center</w:t>
      </w:r>
      <w:r w:rsidR="00C71BFC">
        <w:t xml:space="preserve"> (CTIC)</w:t>
      </w:r>
      <w:r>
        <w:t xml:space="preserve">, fertilizer use and rates by crop type from USDA Economic Research Service, manure data from the USDA Natural Resources Conservation Service, daily weather data from the PRISM Climate Group, and soil attributes from the </w:t>
      </w:r>
      <w:r w:rsidR="00C71BFC">
        <w:t>SSURGO</w:t>
      </w:r>
      <w:r>
        <w:t xml:space="preserve"> Database. These inputs all have varying levels of uncertainty.</w:t>
      </w:r>
      <w:r w:rsidR="00083B2E">
        <w:t xml:space="preserve"> </w:t>
      </w:r>
    </w:p>
    <w:p w14:paraId="306BEFB5" w14:textId="642465C9" w:rsidR="00871AF9" w:rsidRDefault="00083B2E" w:rsidP="00871AF9">
      <w:r>
        <w:t xml:space="preserve">In the </w:t>
      </w:r>
      <w:r w:rsidR="00607447">
        <w:t xml:space="preserve">2020 </w:t>
      </w:r>
      <w:r>
        <w:t xml:space="preserve">NGHGI report, Tier 3 methods incorporated additional management data from the NRCS Conservation Effects and Assessment Project (CEAP), which collects information on crop-specific synthetic and manure fertilizer application rates, tillage, and cover crops on a subset of NRI points over 2002-2006. Artificial neural network and predictive mean matching methods are used to extrapolate CEAP observations to all NRI locations (NGHGI, 2020). </w:t>
      </w:r>
    </w:p>
    <w:p w14:paraId="37D7AEB3" w14:textId="7D08556F" w:rsidR="00871AF9" w:rsidRDefault="00FC2766" w:rsidP="00871AF9">
      <w:r>
        <w:t xml:space="preserve">Tier 3 cropland and grassland soil flux </w:t>
      </w:r>
      <w:r w:rsidR="00871AF9">
        <w:t>uncertainty is driven by three components (</w:t>
      </w:r>
      <w:r w:rsidR="005B7E91">
        <w:rPr>
          <w:rFonts w:cstheme="minorHAnsi"/>
          <w:bCs/>
          <w:bdr w:val="none" w:sz="0" w:space="0" w:color="auto" w:frame="1"/>
        </w:rPr>
        <w:t>NGHGI, 2018</w:t>
      </w:r>
      <w:r>
        <w:rPr>
          <w:rFonts w:cstheme="minorHAnsi"/>
          <w:bCs/>
          <w:bdr w:val="none" w:sz="0" w:space="0" w:color="auto" w:frame="1"/>
        </w:rPr>
        <w:t>, Annex 3</w:t>
      </w:r>
      <w:r w:rsidR="00871AF9">
        <w:t>; Ogle et al., 2010; Ogle et al., 2003)</w:t>
      </w:r>
      <w:r w:rsidR="00C71BFC">
        <w:t>:</w:t>
      </w:r>
    </w:p>
    <w:p w14:paraId="6855C87D" w14:textId="17EDF549" w:rsidR="00871AF9" w:rsidRDefault="00871AF9" w:rsidP="000B2554">
      <w:pPr>
        <w:pStyle w:val="ListParagraph"/>
        <w:numPr>
          <w:ilvl w:val="0"/>
          <w:numId w:val="8"/>
        </w:numPr>
      </w:pPr>
      <w:r w:rsidRPr="00A86203">
        <w:rPr>
          <w:i/>
        </w:rPr>
        <w:t>Structural uncertainty</w:t>
      </w:r>
      <w:r>
        <w:t xml:space="preserve">: Uncertainty attributed to DayCent model structure and parameterization. </w:t>
      </w:r>
    </w:p>
    <w:p w14:paraId="7C64DE73" w14:textId="3A665D24" w:rsidR="00871AF9" w:rsidRDefault="00871AF9" w:rsidP="000B2554">
      <w:pPr>
        <w:pStyle w:val="ListParagraph"/>
        <w:numPr>
          <w:ilvl w:val="0"/>
          <w:numId w:val="8"/>
        </w:numPr>
      </w:pPr>
      <w:r w:rsidRPr="00A86203">
        <w:rPr>
          <w:i/>
        </w:rPr>
        <w:t>Input uncertainty</w:t>
      </w:r>
      <w:r>
        <w:t xml:space="preserve">: Uncertainty in the activity and management data inputs, such as crop type or land-use type, land area of each land-use/management type, fertilization rates, and tillage practices. </w:t>
      </w:r>
    </w:p>
    <w:p w14:paraId="75A02906" w14:textId="27FA3845" w:rsidR="00871AF9" w:rsidRDefault="00871AF9" w:rsidP="000B2554">
      <w:pPr>
        <w:pStyle w:val="ListParagraph"/>
        <w:numPr>
          <w:ilvl w:val="0"/>
          <w:numId w:val="8"/>
        </w:numPr>
      </w:pPr>
      <w:r w:rsidRPr="00A86203">
        <w:rPr>
          <w:i/>
        </w:rPr>
        <w:lastRenderedPageBreak/>
        <w:t>Scaling uncertainty</w:t>
      </w:r>
      <w:r>
        <w:t xml:space="preserve">: Uncertainty in the accuracy of land stratification and total land area estimates for each land-use/management type. This represents a minor fraction of total </w:t>
      </w:r>
      <w:r w:rsidR="00083B2E">
        <w:t xml:space="preserve">Tier 3 </w:t>
      </w:r>
      <w:r>
        <w:t>uncertainty, and is estimated from the NRI.</w:t>
      </w:r>
    </w:p>
    <w:p w14:paraId="115063BC" w14:textId="43C282C7" w:rsidR="00871AF9" w:rsidRDefault="00871AF9" w:rsidP="00871AF9">
      <w:r>
        <w:t xml:space="preserve">To calculate the Tier 3 95% confidence intervals </w:t>
      </w:r>
      <w:r w:rsidR="00FC2766">
        <w:t xml:space="preserve">reported in the NGHGI </w:t>
      </w:r>
      <w:r>
        <w:t xml:space="preserve">for each GHG flux estimate, all three sources of </w:t>
      </w:r>
      <w:r w:rsidR="00083B2E">
        <w:t xml:space="preserve">uncertainty </w:t>
      </w:r>
      <w:r>
        <w:t>are accounted for</w:t>
      </w:r>
      <w:r w:rsidRPr="009625BF">
        <w:t xml:space="preserve"> </w:t>
      </w:r>
      <w:r w:rsidRPr="00A8647D">
        <w:t>(</w:t>
      </w:r>
      <w:r w:rsidR="009625BF" w:rsidRPr="00A8647D">
        <w:fldChar w:fldCharType="begin"/>
      </w:r>
      <w:r w:rsidR="009625BF" w:rsidRPr="00A8647D">
        <w:instrText xml:space="preserve"> REF _Ref4763170 \h  \* MERGEFORMAT </w:instrText>
      </w:r>
      <w:r w:rsidR="009625BF" w:rsidRPr="00A8647D">
        <w:fldChar w:fldCharType="separate"/>
      </w:r>
      <w:r w:rsidR="00FB4CFE" w:rsidRPr="00FB4CFE">
        <w:t>Table</w:t>
      </w:r>
      <w:r w:rsidR="00083B2E">
        <w:t xml:space="preserve"> </w:t>
      </w:r>
      <w:r w:rsidR="005E4D1E">
        <w:t>2</w:t>
      </w:r>
      <w:r w:rsidR="00083B2E">
        <w:t>-14</w:t>
      </w:r>
      <w:r w:rsidR="009625BF" w:rsidRPr="00A8647D">
        <w:fldChar w:fldCharType="end"/>
      </w:r>
      <w:r w:rsidRPr="00A8647D">
        <w:t>).</w:t>
      </w:r>
    </w:p>
    <w:p w14:paraId="4E916209" w14:textId="3F9C4927" w:rsidR="0066082C" w:rsidRDefault="00871AF9" w:rsidP="00587718">
      <w:r>
        <w:t xml:space="preserve">First, input uncertainty and structural uncertainty are combined through Monte Carlo analysis. </w:t>
      </w:r>
      <w:r w:rsidR="001415A9">
        <w:t>S</w:t>
      </w:r>
      <w:r w:rsidR="00FC193C">
        <w:t>ome data inputs, such as weather and soils data</w:t>
      </w:r>
      <w:r w:rsidR="001415A9">
        <w:t>,</w:t>
      </w:r>
      <w:r w:rsidR="00FC193C">
        <w:t xml:space="preserve"> are </w:t>
      </w:r>
      <w:r w:rsidR="001415A9">
        <w:t xml:space="preserve">assumed </w:t>
      </w:r>
      <w:r w:rsidR="00FC193C">
        <w:t xml:space="preserve">to have zero uncertainty. </w:t>
      </w:r>
      <w:r w:rsidR="00FB4911">
        <w:t>S</w:t>
      </w:r>
      <w:r w:rsidR="00FC193C">
        <w:t>tructural uncertainty</w:t>
      </w:r>
      <w:r w:rsidR="00FB4911">
        <w:t xml:space="preserve"> is derived by regressing </w:t>
      </w:r>
      <w:r w:rsidR="001415A9">
        <w:t xml:space="preserve">direct </w:t>
      </w:r>
      <w:r w:rsidR="002D332A">
        <w:t xml:space="preserve">GHG </w:t>
      </w:r>
      <w:r w:rsidR="001415A9">
        <w:t xml:space="preserve">measurements from experimental plots and select NRI locations on DayCent outputs. </w:t>
      </w:r>
      <w:r w:rsidR="002D332A">
        <w:t xml:space="preserve">Input and structural </w:t>
      </w:r>
      <w:r w:rsidR="004C0E81">
        <w:t xml:space="preserve">variances are run through a Monte Carlo analysis together, estimating 100 results for each </w:t>
      </w:r>
      <w:r w:rsidR="001415A9">
        <w:t xml:space="preserve">of 670,000 </w:t>
      </w:r>
      <w:r w:rsidR="004C0E81">
        <w:t xml:space="preserve">NRI </w:t>
      </w:r>
      <w:r w:rsidR="001415A9">
        <w:t>locations</w:t>
      </w:r>
      <w:r w:rsidR="004C0E81">
        <w:t xml:space="preserve">. Each Monte Carlo replicate is area weight-summed across the country to find national GHG </w:t>
      </w:r>
      <w:r w:rsidR="001415A9">
        <w:t>flux</w:t>
      </w:r>
      <w:r w:rsidR="004C0E81">
        <w:t xml:space="preserve">, then the </w:t>
      </w:r>
      <w:r w:rsidR="00FB4911">
        <w:t xml:space="preserve">combined </w:t>
      </w:r>
      <w:r w:rsidR="004C0E81">
        <w:t>inpu</w:t>
      </w:r>
      <w:r w:rsidR="00FB4911">
        <w:t xml:space="preserve">t and </w:t>
      </w:r>
      <w:r w:rsidR="004C0E81">
        <w:t>structur</w:t>
      </w:r>
      <w:r w:rsidR="00FB4911">
        <w:t>al</w:t>
      </w:r>
      <w:r w:rsidR="004C0E81">
        <w:t xml:space="preserve"> variance is estimated </w:t>
      </w:r>
      <w:r w:rsidR="00FB4911">
        <w:t xml:space="preserve">directly from the 100 national flux results. </w:t>
      </w:r>
    </w:p>
    <w:p w14:paraId="5B8A40A4" w14:textId="3E9C53D0" w:rsidR="00A8647D" w:rsidRDefault="006F720B" w:rsidP="00587718">
      <w:pPr>
        <w:rPr>
          <w:rFonts w:cstheme="minorHAnsi"/>
          <w:bdr w:val="none" w:sz="0" w:space="0" w:color="auto" w:frame="1"/>
        </w:rPr>
      </w:pPr>
      <w:r w:rsidRPr="00627E59">
        <w:rPr>
          <w:rStyle w:val="user-generated"/>
          <w:rFonts w:cstheme="minorHAnsi"/>
          <w:bdr w:val="none" w:sz="0" w:space="0" w:color="auto" w:frame="1"/>
        </w:rPr>
        <w:t xml:space="preserve">Second, scaling uncertainty is calculated as the </w:t>
      </w:r>
      <w:r w:rsidR="00FB4911">
        <w:rPr>
          <w:rStyle w:val="user-generated"/>
          <w:rFonts w:cstheme="minorHAnsi"/>
          <w:bdr w:val="none" w:sz="0" w:space="0" w:color="auto" w:frame="1"/>
        </w:rPr>
        <w:t xml:space="preserve">variance of GHG emissions at NRI locations </w:t>
      </w:r>
      <w:r w:rsidRPr="00627E59">
        <w:rPr>
          <w:rStyle w:val="user-generated"/>
          <w:rFonts w:cstheme="minorHAnsi"/>
          <w:bdr w:val="none" w:sz="0" w:space="0" w:color="auto" w:frame="1"/>
        </w:rPr>
        <w:t xml:space="preserve">within each strata, averaged across strata. Scaling variance </w:t>
      </w:r>
      <w:r w:rsidR="00FB4911">
        <w:rPr>
          <w:rStyle w:val="user-generated"/>
          <w:rFonts w:cstheme="minorHAnsi"/>
          <w:bdr w:val="none" w:sz="0" w:space="0" w:color="auto" w:frame="1"/>
        </w:rPr>
        <w:t xml:space="preserve">is summed with </w:t>
      </w:r>
      <w:r w:rsidRPr="00627E59">
        <w:rPr>
          <w:rStyle w:val="user-generated"/>
          <w:rFonts w:cstheme="minorHAnsi"/>
          <w:bdr w:val="none" w:sz="0" w:space="0" w:color="auto" w:frame="1"/>
        </w:rPr>
        <w:t>model input</w:t>
      </w:r>
      <w:r w:rsidR="00FB4911">
        <w:rPr>
          <w:rStyle w:val="user-generated"/>
          <w:rFonts w:cstheme="minorHAnsi"/>
          <w:bdr w:val="none" w:sz="0" w:space="0" w:color="auto" w:frame="1"/>
        </w:rPr>
        <w:t xml:space="preserve"> and </w:t>
      </w:r>
      <w:r w:rsidRPr="00627E59">
        <w:rPr>
          <w:rStyle w:val="user-generated"/>
          <w:rFonts w:cstheme="minorHAnsi"/>
          <w:bdr w:val="none" w:sz="0" w:space="0" w:color="auto" w:frame="1"/>
        </w:rPr>
        <w:t>structur</w:t>
      </w:r>
      <w:r w:rsidR="00FB4911">
        <w:rPr>
          <w:rStyle w:val="user-generated"/>
          <w:rFonts w:cstheme="minorHAnsi"/>
          <w:bdr w:val="none" w:sz="0" w:space="0" w:color="auto" w:frame="1"/>
        </w:rPr>
        <w:t>al</w:t>
      </w:r>
      <w:r w:rsidRPr="00627E59">
        <w:rPr>
          <w:rStyle w:val="user-generated"/>
          <w:rFonts w:cstheme="minorHAnsi"/>
          <w:bdr w:val="none" w:sz="0" w:space="0" w:color="auto" w:frame="1"/>
        </w:rPr>
        <w:t xml:space="preserve"> variance to </w:t>
      </w:r>
      <w:r w:rsidR="00FB4911">
        <w:rPr>
          <w:rStyle w:val="user-generated"/>
          <w:rFonts w:cstheme="minorHAnsi"/>
          <w:bdr w:val="none" w:sz="0" w:space="0" w:color="auto" w:frame="1"/>
        </w:rPr>
        <w:t xml:space="preserve">find </w:t>
      </w:r>
      <w:r w:rsidRPr="00627E59">
        <w:rPr>
          <w:rStyle w:val="user-generated"/>
          <w:rFonts w:cstheme="minorHAnsi"/>
          <w:bdr w:val="none" w:sz="0" w:space="0" w:color="auto" w:frame="1"/>
        </w:rPr>
        <w:t>total variance,</w:t>
      </w:r>
      <w:r w:rsidR="00FB4911">
        <w:rPr>
          <w:rStyle w:val="user-generated"/>
          <w:rFonts w:cstheme="minorHAnsi"/>
          <w:bdr w:val="none" w:sz="0" w:space="0" w:color="auto" w:frame="1"/>
        </w:rPr>
        <w:t xml:space="preserve"> assuming independence and normal distribution,</w:t>
      </w:r>
      <w:r w:rsidRPr="00627E59">
        <w:rPr>
          <w:rStyle w:val="user-generated"/>
          <w:rFonts w:cstheme="minorHAnsi"/>
          <w:bdr w:val="none" w:sz="0" w:space="0" w:color="auto" w:frame="1"/>
        </w:rPr>
        <w:t xml:space="preserve"> which is used to </w:t>
      </w:r>
      <w:r w:rsidR="00FB4911">
        <w:rPr>
          <w:rStyle w:val="user-generated"/>
          <w:rFonts w:cstheme="minorHAnsi"/>
          <w:bdr w:val="none" w:sz="0" w:space="0" w:color="auto" w:frame="1"/>
        </w:rPr>
        <w:t xml:space="preserve">derive </w:t>
      </w:r>
      <w:r w:rsidRPr="00627E59">
        <w:rPr>
          <w:rStyle w:val="user-generated"/>
          <w:rFonts w:cstheme="minorHAnsi"/>
          <w:bdr w:val="none" w:sz="0" w:space="0" w:color="auto" w:frame="1"/>
        </w:rPr>
        <w:t>the 95% confidence interval for each GHG flux estimate.</w:t>
      </w:r>
    </w:p>
    <w:p w14:paraId="101A9194" w14:textId="506B174A" w:rsidR="00A8647D" w:rsidRDefault="00A46408" w:rsidP="00587718">
      <w:pPr>
        <w:rPr>
          <w:rStyle w:val="user-generated"/>
          <w:rFonts w:cstheme="minorHAnsi"/>
          <w:bdr w:val="none" w:sz="0" w:space="0" w:color="auto" w:frame="1"/>
        </w:rPr>
      </w:pPr>
      <w:r>
        <w:rPr>
          <w:rStyle w:val="user-generated"/>
          <w:rFonts w:cstheme="minorHAnsi"/>
          <w:bdr w:val="none" w:sz="0" w:space="0" w:color="auto" w:frame="1"/>
        </w:rPr>
        <w:t xml:space="preserve">As noted above, </w:t>
      </w:r>
      <w:r w:rsidR="006F720B" w:rsidRPr="00627E59">
        <w:rPr>
          <w:rStyle w:val="user-generated"/>
          <w:rFonts w:cstheme="minorHAnsi"/>
          <w:bdr w:val="none" w:sz="0" w:space="0" w:color="auto" w:frame="1"/>
        </w:rPr>
        <w:t xml:space="preserve">a linear regression using surrogate data with autoregressive moving average errors is used to extrapolate emissions data </w:t>
      </w:r>
      <w:r w:rsidR="00FC2766">
        <w:rPr>
          <w:rStyle w:val="user-generated"/>
          <w:rFonts w:cstheme="minorHAnsi"/>
          <w:bdr w:val="none" w:sz="0" w:space="0" w:color="auto" w:frame="1"/>
        </w:rPr>
        <w:t xml:space="preserve">beyond years where NRI variables are observed </w:t>
      </w:r>
      <w:r w:rsidR="00FB4911">
        <w:rPr>
          <w:rStyle w:val="user-generated"/>
          <w:rFonts w:cstheme="minorHAnsi"/>
          <w:bdr w:val="none" w:sz="0" w:space="0" w:color="auto" w:frame="1"/>
        </w:rPr>
        <w:t>(</w:t>
      </w:r>
      <w:r w:rsidR="006F720B" w:rsidRPr="00627E59">
        <w:rPr>
          <w:rStyle w:val="user-generated"/>
          <w:rFonts w:cstheme="minorHAnsi"/>
          <w:bdr w:val="none" w:sz="0" w:space="0" w:color="auto" w:frame="1"/>
        </w:rPr>
        <w:t>NGHGI</w:t>
      </w:r>
      <w:r w:rsidR="00FB4911">
        <w:rPr>
          <w:rStyle w:val="user-generated"/>
          <w:rFonts w:cstheme="minorHAnsi"/>
          <w:bdr w:val="none" w:sz="0" w:space="0" w:color="auto" w:frame="1"/>
        </w:rPr>
        <w:t xml:space="preserve">, </w:t>
      </w:r>
      <w:r w:rsidR="00FC2766">
        <w:rPr>
          <w:rStyle w:val="user-generated"/>
          <w:rFonts w:cstheme="minorHAnsi"/>
          <w:bdr w:val="none" w:sz="0" w:space="0" w:color="auto" w:frame="1"/>
        </w:rPr>
        <w:t>2020</w:t>
      </w:r>
      <w:r w:rsidR="00C71BFC">
        <w:rPr>
          <w:rStyle w:val="user-generated"/>
          <w:rFonts w:cstheme="minorHAnsi"/>
          <w:bdr w:val="none" w:sz="0" w:space="0" w:color="auto" w:frame="1"/>
        </w:rPr>
        <w:t>)</w:t>
      </w:r>
      <w:r w:rsidR="006F720B" w:rsidRPr="00627E59">
        <w:rPr>
          <w:rStyle w:val="user-generated"/>
          <w:rFonts w:cstheme="minorHAnsi"/>
          <w:bdr w:val="none" w:sz="0" w:space="0" w:color="auto" w:frame="1"/>
        </w:rPr>
        <w:t xml:space="preserve">. This regression contributes additional uncertainty to </w:t>
      </w:r>
      <w:r w:rsidR="00FC2766">
        <w:rPr>
          <w:rStyle w:val="user-generated"/>
          <w:rFonts w:cstheme="minorHAnsi"/>
          <w:bdr w:val="none" w:sz="0" w:space="0" w:color="auto" w:frame="1"/>
        </w:rPr>
        <w:t xml:space="preserve">extrapolated </w:t>
      </w:r>
      <w:r w:rsidR="00FB4911">
        <w:rPr>
          <w:rStyle w:val="user-generated"/>
          <w:rFonts w:cstheme="minorHAnsi"/>
          <w:bdr w:val="none" w:sz="0" w:space="0" w:color="auto" w:frame="1"/>
        </w:rPr>
        <w:t>emissions estimates</w:t>
      </w:r>
      <w:r w:rsidR="006F720B" w:rsidRPr="00627E59">
        <w:rPr>
          <w:rStyle w:val="user-generated"/>
          <w:rFonts w:cstheme="minorHAnsi"/>
          <w:bdr w:val="none" w:sz="0" w:space="0" w:color="auto" w:frame="1"/>
        </w:rPr>
        <w:t>.</w:t>
      </w:r>
    </w:p>
    <w:p w14:paraId="664FA22C" w14:textId="77777777" w:rsidR="00A8647D" w:rsidRDefault="00A8647D" w:rsidP="00587718">
      <w:pPr>
        <w:rPr>
          <w:rStyle w:val="user-generated"/>
        </w:rPr>
      </w:pPr>
    </w:p>
    <w:p w14:paraId="43257F79" w14:textId="77777777" w:rsidR="00AD1E50" w:rsidRDefault="00AD1E50" w:rsidP="00587718">
      <w:pPr>
        <w:rPr>
          <w:rStyle w:val="user-generated"/>
        </w:rPr>
      </w:pPr>
    </w:p>
    <w:p w14:paraId="1098276B" w14:textId="77777777" w:rsidR="00AD1E50" w:rsidRDefault="00AD1E50" w:rsidP="00587718">
      <w:pPr>
        <w:rPr>
          <w:rStyle w:val="user-generated"/>
        </w:rPr>
      </w:pPr>
    </w:p>
    <w:p w14:paraId="382CDAE9" w14:textId="77777777" w:rsidR="00AD1E50" w:rsidRDefault="00AD1E50" w:rsidP="00587718">
      <w:pPr>
        <w:rPr>
          <w:rStyle w:val="user-generated"/>
        </w:rPr>
      </w:pPr>
    </w:p>
    <w:p w14:paraId="2BD6E879" w14:textId="77777777" w:rsidR="00AD1E50" w:rsidRDefault="00AD1E50" w:rsidP="00587718">
      <w:pPr>
        <w:rPr>
          <w:rStyle w:val="user-generated"/>
        </w:rPr>
      </w:pPr>
    </w:p>
    <w:p w14:paraId="6EA13CE6" w14:textId="77777777" w:rsidR="00AD1E50" w:rsidRDefault="00AD1E50" w:rsidP="00587718">
      <w:pPr>
        <w:rPr>
          <w:rStyle w:val="user-generated"/>
        </w:rPr>
      </w:pPr>
    </w:p>
    <w:p w14:paraId="3AAA46AE" w14:textId="77777777" w:rsidR="00AD1E50" w:rsidRDefault="00AD1E50" w:rsidP="00587718">
      <w:pPr>
        <w:rPr>
          <w:rStyle w:val="user-generated"/>
        </w:rPr>
      </w:pPr>
    </w:p>
    <w:p w14:paraId="31665641" w14:textId="77777777" w:rsidR="00AD1E50" w:rsidRDefault="00AD1E50" w:rsidP="00587718">
      <w:pPr>
        <w:rPr>
          <w:rStyle w:val="user-generated"/>
        </w:rPr>
      </w:pPr>
    </w:p>
    <w:p w14:paraId="63F5D37E" w14:textId="77777777" w:rsidR="00652BD5" w:rsidRDefault="00652BD5" w:rsidP="00587718">
      <w:pPr>
        <w:rPr>
          <w:rStyle w:val="user-generated"/>
        </w:rPr>
      </w:pPr>
    </w:p>
    <w:p w14:paraId="68BF7857" w14:textId="77777777" w:rsidR="00652BD5" w:rsidRDefault="00652BD5" w:rsidP="00587718">
      <w:pPr>
        <w:rPr>
          <w:rStyle w:val="user-generated"/>
        </w:rPr>
      </w:pPr>
    </w:p>
    <w:p w14:paraId="18F21DE1" w14:textId="77777777" w:rsidR="00AD1E50" w:rsidRDefault="00AD1E50" w:rsidP="00587718">
      <w:pPr>
        <w:rPr>
          <w:rStyle w:val="user-generated"/>
        </w:rPr>
      </w:pPr>
    </w:p>
    <w:p w14:paraId="24D17A66" w14:textId="77777777" w:rsidR="00FB4911" w:rsidRDefault="00FB4911" w:rsidP="00587718">
      <w:pPr>
        <w:rPr>
          <w:rStyle w:val="user-generated"/>
        </w:rPr>
      </w:pPr>
    </w:p>
    <w:p w14:paraId="55DAEEDD" w14:textId="77777777" w:rsidR="00FC2766" w:rsidRDefault="00FC2766" w:rsidP="00587718">
      <w:pPr>
        <w:rPr>
          <w:rStyle w:val="user-generated"/>
        </w:rPr>
      </w:pPr>
    </w:p>
    <w:p w14:paraId="5B45745E" w14:textId="376951CB" w:rsidR="006E6ADF" w:rsidRPr="009C49E3" w:rsidRDefault="006E6ADF" w:rsidP="006E6ADF">
      <w:pPr>
        <w:pStyle w:val="Caption"/>
        <w:keepNext/>
        <w:rPr>
          <w:b/>
          <w:sz w:val="22"/>
          <w:szCs w:val="22"/>
        </w:rPr>
      </w:pPr>
      <w:bookmarkStart w:id="178" w:name="_Ref4763170"/>
      <w:bookmarkStart w:id="179" w:name="_Ref4763212"/>
      <w:r w:rsidRPr="009C49E3">
        <w:rPr>
          <w:b/>
          <w:sz w:val="22"/>
          <w:szCs w:val="22"/>
        </w:rPr>
        <w:lastRenderedPageBreak/>
        <w:t xml:space="preserve">Table </w:t>
      </w:r>
      <w:bookmarkEnd w:id="178"/>
      <w:r w:rsidR="005E4D1E">
        <w:rPr>
          <w:b/>
          <w:sz w:val="22"/>
          <w:szCs w:val="22"/>
        </w:rPr>
        <w:t>2</w:t>
      </w:r>
      <w:r w:rsidR="00AD1E50">
        <w:rPr>
          <w:b/>
          <w:sz w:val="22"/>
          <w:szCs w:val="22"/>
        </w:rPr>
        <w:t>-1</w:t>
      </w:r>
      <w:r w:rsidR="00083B2E">
        <w:rPr>
          <w:b/>
          <w:sz w:val="22"/>
          <w:szCs w:val="22"/>
        </w:rPr>
        <w:t>4</w:t>
      </w:r>
      <w:r w:rsidRPr="009C49E3">
        <w:rPr>
          <w:b/>
          <w:sz w:val="22"/>
          <w:szCs w:val="22"/>
        </w:rPr>
        <w:t xml:space="preserve">: </w:t>
      </w:r>
      <w:bookmarkStart w:id="180" w:name="_Ref4763218"/>
      <w:r w:rsidRPr="009C49E3">
        <w:rPr>
          <w:b/>
          <w:sz w:val="22"/>
          <w:szCs w:val="22"/>
        </w:rPr>
        <w:t xml:space="preserve">Cropland and </w:t>
      </w:r>
      <w:r w:rsidR="004B3068">
        <w:rPr>
          <w:b/>
          <w:sz w:val="22"/>
          <w:szCs w:val="22"/>
        </w:rPr>
        <w:t>g</w:t>
      </w:r>
      <w:r w:rsidRPr="009C49E3">
        <w:rPr>
          <w:b/>
          <w:sz w:val="22"/>
          <w:szCs w:val="22"/>
        </w:rPr>
        <w:t xml:space="preserve">rassland </w:t>
      </w:r>
      <w:r w:rsidR="00083B2E">
        <w:rPr>
          <w:b/>
          <w:sz w:val="22"/>
          <w:szCs w:val="22"/>
        </w:rPr>
        <w:t>s</w:t>
      </w:r>
      <w:r w:rsidR="00083B2E" w:rsidRPr="009C49E3">
        <w:rPr>
          <w:b/>
          <w:sz w:val="22"/>
          <w:szCs w:val="22"/>
        </w:rPr>
        <w:t xml:space="preserve">oil </w:t>
      </w:r>
      <w:r w:rsidRPr="009C49E3">
        <w:rPr>
          <w:b/>
          <w:sz w:val="22"/>
          <w:szCs w:val="22"/>
        </w:rPr>
        <w:t>CO</w:t>
      </w:r>
      <w:r w:rsidRPr="009C49E3">
        <w:rPr>
          <w:b/>
          <w:sz w:val="22"/>
          <w:szCs w:val="22"/>
          <w:vertAlign w:val="subscript"/>
        </w:rPr>
        <w:t>2</w:t>
      </w:r>
      <w:r w:rsidRPr="009C49E3">
        <w:rPr>
          <w:b/>
          <w:sz w:val="22"/>
          <w:szCs w:val="22"/>
        </w:rPr>
        <w:t>, N</w:t>
      </w:r>
      <w:r w:rsidRPr="009C49E3">
        <w:rPr>
          <w:b/>
          <w:sz w:val="22"/>
          <w:szCs w:val="22"/>
          <w:vertAlign w:val="subscript"/>
        </w:rPr>
        <w:t>2</w:t>
      </w:r>
      <w:r w:rsidRPr="009C49E3">
        <w:rPr>
          <w:b/>
          <w:sz w:val="22"/>
          <w:szCs w:val="22"/>
        </w:rPr>
        <w:t xml:space="preserve">O, </w:t>
      </w:r>
      <w:r w:rsidR="00A8647D">
        <w:rPr>
          <w:b/>
          <w:sz w:val="22"/>
          <w:szCs w:val="22"/>
        </w:rPr>
        <w:t xml:space="preserve">and </w:t>
      </w:r>
      <w:r w:rsidRPr="009C49E3">
        <w:rPr>
          <w:b/>
          <w:sz w:val="22"/>
          <w:szCs w:val="22"/>
        </w:rPr>
        <w:t>CH</w:t>
      </w:r>
      <w:r w:rsidRPr="009C49E3">
        <w:rPr>
          <w:b/>
          <w:sz w:val="22"/>
          <w:szCs w:val="22"/>
          <w:vertAlign w:val="subscript"/>
        </w:rPr>
        <w:t xml:space="preserve">4 </w:t>
      </w:r>
      <w:r w:rsidRPr="009C49E3">
        <w:rPr>
          <w:b/>
          <w:sz w:val="22"/>
          <w:szCs w:val="22"/>
        </w:rPr>
        <w:t>flux estimates and uncertainties</w:t>
      </w:r>
      <w:r w:rsidR="00A8647D">
        <w:rPr>
          <w:b/>
          <w:sz w:val="22"/>
          <w:szCs w:val="22"/>
        </w:rPr>
        <w:t>,</w:t>
      </w:r>
      <w:r w:rsidRPr="009C49E3">
        <w:rPr>
          <w:b/>
          <w:sz w:val="22"/>
          <w:szCs w:val="22"/>
        </w:rPr>
        <w:t xml:space="preserve"> Tier</w:t>
      </w:r>
      <w:bookmarkEnd w:id="179"/>
      <w:bookmarkEnd w:id="180"/>
      <w:r w:rsidR="00A8647D">
        <w:rPr>
          <w:b/>
          <w:sz w:val="22"/>
          <w:szCs w:val="22"/>
        </w:rPr>
        <w:t xml:space="preserve"> 3 (NGHGI, 2018)</w:t>
      </w:r>
    </w:p>
    <w:tbl>
      <w:tblPr>
        <w:tblStyle w:val="TableGrid"/>
        <w:tblW w:w="0" w:type="auto"/>
        <w:tblLook w:val="04A0" w:firstRow="1" w:lastRow="0" w:firstColumn="1" w:lastColumn="0" w:noHBand="0" w:noVBand="1"/>
      </w:tblPr>
      <w:tblGrid>
        <w:gridCol w:w="761"/>
        <w:gridCol w:w="2250"/>
        <w:gridCol w:w="2250"/>
        <w:gridCol w:w="2061"/>
        <w:gridCol w:w="1444"/>
      </w:tblGrid>
      <w:tr w:rsidR="009275BF" w14:paraId="0DA358FF" w14:textId="77777777" w:rsidTr="009275BF">
        <w:tc>
          <w:tcPr>
            <w:tcW w:w="3011" w:type="dxa"/>
            <w:gridSpan w:val="2"/>
            <w:shd w:val="clear" w:color="auto" w:fill="FFC000" w:themeFill="accent4"/>
          </w:tcPr>
          <w:p w14:paraId="2F3FC9B5" w14:textId="1339604F" w:rsidR="009275BF" w:rsidRPr="009A5984" w:rsidRDefault="009275BF" w:rsidP="00C456F8">
            <w:pPr>
              <w:rPr>
                <w:b/>
                <w:sz w:val="18"/>
                <w:szCs w:val="18"/>
              </w:rPr>
            </w:pPr>
          </w:p>
        </w:tc>
        <w:tc>
          <w:tcPr>
            <w:tcW w:w="2250" w:type="dxa"/>
            <w:shd w:val="clear" w:color="auto" w:fill="FFC000"/>
            <w:vAlign w:val="center"/>
          </w:tcPr>
          <w:p w14:paraId="25EB6DD6" w14:textId="77777777" w:rsidR="009275BF" w:rsidRDefault="009275BF" w:rsidP="00C456F8">
            <w:pPr>
              <w:jc w:val="center"/>
              <w:rPr>
                <w:b/>
                <w:sz w:val="18"/>
                <w:szCs w:val="18"/>
              </w:rPr>
            </w:pPr>
            <w:r w:rsidRPr="009A5984">
              <w:rPr>
                <w:b/>
                <w:sz w:val="18"/>
                <w:szCs w:val="18"/>
              </w:rPr>
              <w:t xml:space="preserve">2016 Flux Estimate </w:t>
            </w:r>
          </w:p>
          <w:p w14:paraId="3D29F467" w14:textId="53E163C3" w:rsidR="009275BF" w:rsidRPr="009A5984" w:rsidRDefault="009275BF" w:rsidP="00C456F8">
            <w:pPr>
              <w:jc w:val="center"/>
              <w:rPr>
                <w:b/>
                <w:sz w:val="18"/>
                <w:szCs w:val="18"/>
              </w:rPr>
            </w:pPr>
            <w:r w:rsidRPr="009A5984">
              <w:rPr>
                <w:b/>
                <w:sz w:val="18"/>
                <w:szCs w:val="18"/>
              </w:rPr>
              <w:t>(MMT CO</w:t>
            </w:r>
            <w:r w:rsidRPr="009A5984">
              <w:rPr>
                <w:b/>
                <w:sz w:val="18"/>
                <w:szCs w:val="18"/>
                <w:vertAlign w:val="subscript"/>
              </w:rPr>
              <w:t>2</w:t>
            </w:r>
            <w:r w:rsidRPr="009A5984">
              <w:rPr>
                <w:b/>
                <w:sz w:val="18"/>
                <w:szCs w:val="18"/>
              </w:rPr>
              <w:t>e)</w:t>
            </w:r>
          </w:p>
        </w:tc>
        <w:tc>
          <w:tcPr>
            <w:tcW w:w="2061" w:type="dxa"/>
            <w:shd w:val="clear" w:color="auto" w:fill="FFC000"/>
            <w:vAlign w:val="center"/>
          </w:tcPr>
          <w:p w14:paraId="0D91F07B" w14:textId="77777777" w:rsidR="009275BF" w:rsidRPr="009A5984" w:rsidRDefault="009275BF" w:rsidP="00C456F8">
            <w:pPr>
              <w:jc w:val="center"/>
              <w:rPr>
                <w:b/>
                <w:sz w:val="18"/>
                <w:szCs w:val="18"/>
              </w:rPr>
            </w:pPr>
            <w:r w:rsidRPr="009A5984">
              <w:rPr>
                <w:b/>
                <w:sz w:val="18"/>
                <w:szCs w:val="18"/>
              </w:rPr>
              <w:t>Lower/Upper Bound (MMT CO</w:t>
            </w:r>
            <w:r w:rsidRPr="009A5984">
              <w:rPr>
                <w:b/>
                <w:sz w:val="18"/>
                <w:szCs w:val="18"/>
                <w:vertAlign w:val="subscript"/>
              </w:rPr>
              <w:t>2</w:t>
            </w:r>
            <w:r w:rsidRPr="009A5984">
              <w:rPr>
                <w:b/>
                <w:sz w:val="18"/>
                <w:szCs w:val="18"/>
              </w:rPr>
              <w:t>e)</w:t>
            </w:r>
          </w:p>
        </w:tc>
        <w:tc>
          <w:tcPr>
            <w:tcW w:w="1444" w:type="dxa"/>
            <w:shd w:val="clear" w:color="auto" w:fill="FFC000"/>
            <w:vAlign w:val="center"/>
          </w:tcPr>
          <w:p w14:paraId="32C36917" w14:textId="77777777" w:rsidR="009275BF" w:rsidRPr="009A5984" w:rsidRDefault="009275BF" w:rsidP="00C456F8">
            <w:pPr>
              <w:jc w:val="center"/>
              <w:rPr>
                <w:b/>
                <w:sz w:val="18"/>
                <w:szCs w:val="18"/>
              </w:rPr>
            </w:pPr>
            <w:r w:rsidRPr="009A5984">
              <w:rPr>
                <w:b/>
                <w:sz w:val="18"/>
                <w:szCs w:val="18"/>
              </w:rPr>
              <w:t>Lower/Upper Bound (%)</w:t>
            </w:r>
          </w:p>
        </w:tc>
      </w:tr>
      <w:tr w:rsidR="009275BF" w14:paraId="3694FF9E" w14:textId="77777777" w:rsidTr="00C456F8">
        <w:tc>
          <w:tcPr>
            <w:tcW w:w="761" w:type="dxa"/>
            <w:vMerge w:val="restart"/>
            <w:textDirection w:val="btLr"/>
            <w:vAlign w:val="center"/>
          </w:tcPr>
          <w:p w14:paraId="0130BC74" w14:textId="77777777" w:rsidR="009275BF" w:rsidRPr="009A5984" w:rsidRDefault="009275BF" w:rsidP="00C456F8">
            <w:pPr>
              <w:ind w:left="113" w:right="113"/>
              <w:jc w:val="center"/>
              <w:rPr>
                <w:b/>
                <w:sz w:val="18"/>
                <w:szCs w:val="18"/>
              </w:rPr>
            </w:pPr>
            <w:r w:rsidRPr="009A5984">
              <w:rPr>
                <w:b/>
                <w:sz w:val="18"/>
                <w:szCs w:val="18"/>
              </w:rPr>
              <w:t>Mineral C stock change</w:t>
            </w:r>
          </w:p>
        </w:tc>
        <w:tc>
          <w:tcPr>
            <w:tcW w:w="2250" w:type="dxa"/>
            <w:vAlign w:val="center"/>
          </w:tcPr>
          <w:p w14:paraId="45BA5015" w14:textId="77777777" w:rsidR="009275BF" w:rsidRPr="009A5984" w:rsidRDefault="009275BF" w:rsidP="00C456F8">
            <w:pPr>
              <w:jc w:val="center"/>
              <w:rPr>
                <w:sz w:val="18"/>
                <w:szCs w:val="18"/>
              </w:rPr>
            </w:pPr>
            <w:r w:rsidRPr="009A5984">
              <w:rPr>
                <w:sz w:val="18"/>
                <w:szCs w:val="18"/>
              </w:rPr>
              <w:t>Cropland remaining Cropland</w:t>
            </w:r>
          </w:p>
        </w:tc>
        <w:tc>
          <w:tcPr>
            <w:tcW w:w="2250" w:type="dxa"/>
            <w:vAlign w:val="center"/>
          </w:tcPr>
          <w:p w14:paraId="179F1A56" w14:textId="62F51524" w:rsidR="009275BF" w:rsidRPr="009A5984" w:rsidRDefault="00DA2AAD" w:rsidP="00C456F8">
            <w:pPr>
              <w:jc w:val="center"/>
              <w:rPr>
                <w:sz w:val="18"/>
                <w:szCs w:val="18"/>
              </w:rPr>
            </w:pPr>
            <w:r>
              <w:rPr>
                <w:sz w:val="18"/>
                <w:szCs w:val="18"/>
              </w:rPr>
              <w:t>-</w:t>
            </w:r>
            <w:r w:rsidR="009275BF" w:rsidRPr="009A5984">
              <w:rPr>
                <w:sz w:val="18"/>
                <w:szCs w:val="18"/>
              </w:rPr>
              <w:t>36.3</w:t>
            </w:r>
          </w:p>
        </w:tc>
        <w:tc>
          <w:tcPr>
            <w:tcW w:w="2061" w:type="dxa"/>
            <w:vAlign w:val="center"/>
          </w:tcPr>
          <w:p w14:paraId="4DC218FA" w14:textId="78B8B514" w:rsidR="009275BF" w:rsidRPr="009A5984" w:rsidRDefault="00DA2AAD" w:rsidP="00C456F8">
            <w:pPr>
              <w:jc w:val="center"/>
              <w:rPr>
                <w:sz w:val="18"/>
                <w:szCs w:val="18"/>
              </w:rPr>
            </w:pPr>
            <w:r>
              <w:rPr>
                <w:sz w:val="18"/>
                <w:szCs w:val="18"/>
              </w:rPr>
              <w:t>-</w:t>
            </w:r>
            <w:r w:rsidR="009275BF" w:rsidRPr="009A5984">
              <w:rPr>
                <w:sz w:val="18"/>
                <w:szCs w:val="18"/>
              </w:rPr>
              <w:t>80.2 / 7.5</w:t>
            </w:r>
          </w:p>
        </w:tc>
        <w:tc>
          <w:tcPr>
            <w:tcW w:w="1444" w:type="dxa"/>
            <w:vAlign w:val="center"/>
          </w:tcPr>
          <w:p w14:paraId="2A451074" w14:textId="77777777" w:rsidR="009275BF" w:rsidRPr="009A5984" w:rsidRDefault="009275BF" w:rsidP="00C456F8">
            <w:pPr>
              <w:jc w:val="center"/>
              <w:rPr>
                <w:sz w:val="18"/>
                <w:szCs w:val="18"/>
              </w:rPr>
            </w:pPr>
            <w:r w:rsidRPr="009A5984">
              <w:rPr>
                <w:sz w:val="18"/>
                <w:szCs w:val="18"/>
              </w:rPr>
              <w:t>121</w:t>
            </w:r>
          </w:p>
        </w:tc>
      </w:tr>
      <w:tr w:rsidR="009275BF" w14:paraId="258E79E3" w14:textId="77777777" w:rsidTr="00C456F8">
        <w:tc>
          <w:tcPr>
            <w:tcW w:w="761" w:type="dxa"/>
            <w:vMerge/>
          </w:tcPr>
          <w:p w14:paraId="7E9603FC" w14:textId="77777777" w:rsidR="009275BF" w:rsidRPr="009A5984" w:rsidRDefault="009275BF" w:rsidP="00C456F8">
            <w:pPr>
              <w:rPr>
                <w:b/>
                <w:sz w:val="18"/>
                <w:szCs w:val="18"/>
              </w:rPr>
            </w:pPr>
          </w:p>
        </w:tc>
        <w:tc>
          <w:tcPr>
            <w:tcW w:w="2250" w:type="dxa"/>
            <w:vAlign w:val="center"/>
          </w:tcPr>
          <w:p w14:paraId="5C23DE0B" w14:textId="77777777" w:rsidR="009275BF" w:rsidRPr="009A5984" w:rsidRDefault="009275BF" w:rsidP="00C456F8">
            <w:pPr>
              <w:jc w:val="center"/>
              <w:rPr>
                <w:sz w:val="18"/>
                <w:szCs w:val="18"/>
              </w:rPr>
            </w:pPr>
            <w:r w:rsidRPr="009A5984">
              <w:rPr>
                <w:sz w:val="18"/>
                <w:szCs w:val="18"/>
              </w:rPr>
              <w:t>Land converted to Cropland</w:t>
            </w:r>
          </w:p>
        </w:tc>
        <w:tc>
          <w:tcPr>
            <w:tcW w:w="2250" w:type="dxa"/>
            <w:vAlign w:val="center"/>
          </w:tcPr>
          <w:p w14:paraId="670A43CE" w14:textId="77777777" w:rsidR="009275BF" w:rsidRPr="009A5984" w:rsidRDefault="009275BF" w:rsidP="00C456F8">
            <w:pPr>
              <w:jc w:val="center"/>
              <w:rPr>
                <w:sz w:val="18"/>
                <w:szCs w:val="18"/>
              </w:rPr>
            </w:pPr>
            <w:r w:rsidRPr="009A5984">
              <w:rPr>
                <w:sz w:val="18"/>
                <w:szCs w:val="18"/>
              </w:rPr>
              <w:t>14.6</w:t>
            </w:r>
          </w:p>
        </w:tc>
        <w:tc>
          <w:tcPr>
            <w:tcW w:w="2061" w:type="dxa"/>
            <w:vAlign w:val="center"/>
          </w:tcPr>
          <w:p w14:paraId="0FD820B0" w14:textId="7D9E394F" w:rsidR="009275BF" w:rsidRPr="009A5984" w:rsidRDefault="00DA2AAD" w:rsidP="00C456F8">
            <w:pPr>
              <w:jc w:val="center"/>
              <w:rPr>
                <w:sz w:val="18"/>
                <w:szCs w:val="18"/>
              </w:rPr>
            </w:pPr>
            <w:r>
              <w:rPr>
                <w:sz w:val="18"/>
                <w:szCs w:val="18"/>
              </w:rPr>
              <w:t>-</w:t>
            </w:r>
            <w:r w:rsidR="009275BF" w:rsidRPr="009A5984">
              <w:rPr>
                <w:sz w:val="18"/>
                <w:szCs w:val="18"/>
              </w:rPr>
              <w:t>3.5 / 32.7</w:t>
            </w:r>
          </w:p>
        </w:tc>
        <w:tc>
          <w:tcPr>
            <w:tcW w:w="1444" w:type="dxa"/>
            <w:vAlign w:val="center"/>
          </w:tcPr>
          <w:p w14:paraId="716AB429" w14:textId="77777777" w:rsidR="009275BF" w:rsidRPr="009A5984" w:rsidRDefault="009275BF" w:rsidP="00C456F8">
            <w:pPr>
              <w:jc w:val="center"/>
              <w:rPr>
                <w:sz w:val="18"/>
                <w:szCs w:val="18"/>
              </w:rPr>
            </w:pPr>
            <w:r w:rsidRPr="009A5984">
              <w:rPr>
                <w:sz w:val="18"/>
                <w:szCs w:val="18"/>
              </w:rPr>
              <w:t>124</w:t>
            </w:r>
          </w:p>
        </w:tc>
      </w:tr>
      <w:tr w:rsidR="009275BF" w14:paraId="73020437" w14:textId="77777777" w:rsidTr="00C456F8">
        <w:tc>
          <w:tcPr>
            <w:tcW w:w="761" w:type="dxa"/>
            <w:vMerge/>
          </w:tcPr>
          <w:p w14:paraId="62C6AEB2" w14:textId="77777777" w:rsidR="009275BF" w:rsidRPr="009A5984" w:rsidRDefault="009275BF" w:rsidP="00C456F8">
            <w:pPr>
              <w:rPr>
                <w:b/>
                <w:sz w:val="18"/>
                <w:szCs w:val="18"/>
              </w:rPr>
            </w:pPr>
          </w:p>
        </w:tc>
        <w:tc>
          <w:tcPr>
            <w:tcW w:w="2250" w:type="dxa"/>
            <w:vAlign w:val="center"/>
          </w:tcPr>
          <w:p w14:paraId="7B28D7EC" w14:textId="77777777" w:rsidR="009275BF" w:rsidRPr="009A5984" w:rsidRDefault="009275BF" w:rsidP="00C456F8">
            <w:pPr>
              <w:jc w:val="center"/>
              <w:rPr>
                <w:sz w:val="18"/>
                <w:szCs w:val="18"/>
              </w:rPr>
            </w:pPr>
            <w:r w:rsidRPr="009A5984">
              <w:rPr>
                <w:sz w:val="18"/>
                <w:szCs w:val="18"/>
              </w:rPr>
              <w:t>Grassland remaining Grassland</w:t>
            </w:r>
          </w:p>
        </w:tc>
        <w:tc>
          <w:tcPr>
            <w:tcW w:w="2250" w:type="dxa"/>
            <w:vAlign w:val="center"/>
          </w:tcPr>
          <w:p w14:paraId="68F08333" w14:textId="1985A30C" w:rsidR="009275BF" w:rsidRPr="009A5984" w:rsidRDefault="00DA2AAD" w:rsidP="00C456F8">
            <w:pPr>
              <w:jc w:val="center"/>
              <w:rPr>
                <w:sz w:val="18"/>
                <w:szCs w:val="18"/>
              </w:rPr>
            </w:pPr>
            <w:r>
              <w:rPr>
                <w:sz w:val="18"/>
                <w:szCs w:val="18"/>
              </w:rPr>
              <w:t>-</w:t>
            </w:r>
            <w:r w:rsidR="009275BF" w:rsidRPr="009A5984">
              <w:rPr>
                <w:sz w:val="18"/>
                <w:szCs w:val="18"/>
              </w:rPr>
              <w:t>4.2</w:t>
            </w:r>
          </w:p>
        </w:tc>
        <w:tc>
          <w:tcPr>
            <w:tcW w:w="2061" w:type="dxa"/>
            <w:vAlign w:val="center"/>
          </w:tcPr>
          <w:p w14:paraId="6DE62F24" w14:textId="67CE130F" w:rsidR="009275BF" w:rsidRPr="009A5984" w:rsidRDefault="00DA2AAD" w:rsidP="00C456F8">
            <w:pPr>
              <w:jc w:val="center"/>
              <w:rPr>
                <w:sz w:val="18"/>
                <w:szCs w:val="18"/>
              </w:rPr>
            </w:pPr>
            <w:r>
              <w:rPr>
                <w:sz w:val="18"/>
                <w:szCs w:val="18"/>
              </w:rPr>
              <w:t>-</w:t>
            </w:r>
            <w:r w:rsidR="009275BF" w:rsidRPr="009A5984">
              <w:rPr>
                <w:sz w:val="18"/>
                <w:szCs w:val="18"/>
              </w:rPr>
              <w:t>44.8 / 36.3</w:t>
            </w:r>
          </w:p>
        </w:tc>
        <w:tc>
          <w:tcPr>
            <w:tcW w:w="1444" w:type="dxa"/>
            <w:vAlign w:val="center"/>
          </w:tcPr>
          <w:p w14:paraId="32AB5C55" w14:textId="77777777" w:rsidR="009275BF" w:rsidRPr="009A5984" w:rsidRDefault="009275BF" w:rsidP="00C456F8">
            <w:pPr>
              <w:jc w:val="center"/>
              <w:rPr>
                <w:sz w:val="18"/>
                <w:szCs w:val="18"/>
              </w:rPr>
            </w:pPr>
            <w:r w:rsidRPr="009A5984">
              <w:rPr>
                <w:sz w:val="18"/>
                <w:szCs w:val="18"/>
              </w:rPr>
              <w:t>958</w:t>
            </w:r>
          </w:p>
        </w:tc>
      </w:tr>
      <w:tr w:rsidR="009275BF" w14:paraId="29F736C7" w14:textId="77777777" w:rsidTr="00C456F8">
        <w:tc>
          <w:tcPr>
            <w:tcW w:w="761" w:type="dxa"/>
            <w:vMerge/>
          </w:tcPr>
          <w:p w14:paraId="5B32CD4E" w14:textId="77777777" w:rsidR="009275BF" w:rsidRPr="009A5984" w:rsidRDefault="009275BF" w:rsidP="00C456F8">
            <w:pPr>
              <w:rPr>
                <w:b/>
                <w:sz w:val="18"/>
                <w:szCs w:val="18"/>
              </w:rPr>
            </w:pPr>
          </w:p>
        </w:tc>
        <w:tc>
          <w:tcPr>
            <w:tcW w:w="2250" w:type="dxa"/>
            <w:vAlign w:val="center"/>
          </w:tcPr>
          <w:p w14:paraId="46FB0CFE" w14:textId="77777777" w:rsidR="009275BF" w:rsidRPr="009A5984" w:rsidRDefault="009275BF" w:rsidP="00C456F8">
            <w:pPr>
              <w:jc w:val="center"/>
              <w:rPr>
                <w:sz w:val="18"/>
                <w:szCs w:val="18"/>
              </w:rPr>
            </w:pPr>
            <w:r w:rsidRPr="009A5984">
              <w:rPr>
                <w:sz w:val="18"/>
                <w:szCs w:val="18"/>
              </w:rPr>
              <w:t>Land converted to Grassland</w:t>
            </w:r>
          </w:p>
        </w:tc>
        <w:tc>
          <w:tcPr>
            <w:tcW w:w="2250" w:type="dxa"/>
            <w:vAlign w:val="center"/>
          </w:tcPr>
          <w:p w14:paraId="282E3614" w14:textId="7F7CC449" w:rsidR="009275BF" w:rsidRPr="009A5984" w:rsidRDefault="00DA2AAD" w:rsidP="00C456F8">
            <w:pPr>
              <w:jc w:val="center"/>
              <w:rPr>
                <w:sz w:val="18"/>
                <w:szCs w:val="18"/>
              </w:rPr>
            </w:pPr>
            <w:r>
              <w:rPr>
                <w:sz w:val="18"/>
                <w:szCs w:val="18"/>
              </w:rPr>
              <w:t>-</w:t>
            </w:r>
            <w:r w:rsidR="009275BF" w:rsidRPr="009A5984">
              <w:rPr>
                <w:sz w:val="18"/>
                <w:szCs w:val="18"/>
              </w:rPr>
              <w:t>8.6</w:t>
            </w:r>
          </w:p>
        </w:tc>
        <w:tc>
          <w:tcPr>
            <w:tcW w:w="2061" w:type="dxa"/>
            <w:vAlign w:val="center"/>
          </w:tcPr>
          <w:p w14:paraId="0FDD73E3" w14:textId="1E82E527" w:rsidR="009275BF" w:rsidRPr="009A5984" w:rsidRDefault="00DA2AAD" w:rsidP="00C456F8">
            <w:pPr>
              <w:jc w:val="center"/>
              <w:rPr>
                <w:sz w:val="18"/>
                <w:szCs w:val="18"/>
              </w:rPr>
            </w:pPr>
            <w:r>
              <w:rPr>
                <w:sz w:val="18"/>
                <w:szCs w:val="18"/>
              </w:rPr>
              <w:t>-</w:t>
            </w:r>
            <w:r w:rsidR="009275BF" w:rsidRPr="009A5984">
              <w:rPr>
                <w:sz w:val="18"/>
                <w:szCs w:val="18"/>
              </w:rPr>
              <w:t xml:space="preserve">17.4 / </w:t>
            </w:r>
            <w:r>
              <w:rPr>
                <w:sz w:val="18"/>
                <w:szCs w:val="18"/>
              </w:rPr>
              <w:t>-</w:t>
            </w:r>
            <w:r w:rsidR="009275BF" w:rsidRPr="009A5984">
              <w:rPr>
                <w:sz w:val="18"/>
                <w:szCs w:val="18"/>
              </w:rPr>
              <w:t>0.3</w:t>
            </w:r>
          </w:p>
        </w:tc>
        <w:tc>
          <w:tcPr>
            <w:tcW w:w="1444" w:type="dxa"/>
            <w:vAlign w:val="center"/>
          </w:tcPr>
          <w:p w14:paraId="3DB37E0B" w14:textId="77777777" w:rsidR="009275BF" w:rsidRPr="009A5984" w:rsidRDefault="009275BF" w:rsidP="00C456F8">
            <w:pPr>
              <w:jc w:val="center"/>
              <w:rPr>
                <w:sz w:val="18"/>
                <w:szCs w:val="18"/>
              </w:rPr>
            </w:pPr>
            <w:r w:rsidRPr="009A5984">
              <w:rPr>
                <w:sz w:val="18"/>
                <w:szCs w:val="18"/>
              </w:rPr>
              <w:t>103</w:t>
            </w:r>
          </w:p>
        </w:tc>
      </w:tr>
      <w:tr w:rsidR="009275BF" w14:paraId="5B772C6A" w14:textId="77777777" w:rsidTr="00C456F8">
        <w:trPr>
          <w:trHeight w:val="728"/>
        </w:trPr>
        <w:tc>
          <w:tcPr>
            <w:tcW w:w="761" w:type="dxa"/>
            <w:vMerge w:val="restart"/>
            <w:textDirection w:val="btLr"/>
            <w:vAlign w:val="center"/>
          </w:tcPr>
          <w:p w14:paraId="0AEA3BE1" w14:textId="77777777" w:rsidR="009275BF" w:rsidRPr="009A5984" w:rsidRDefault="009275BF" w:rsidP="00C456F8">
            <w:pPr>
              <w:ind w:left="113" w:right="113"/>
              <w:jc w:val="center"/>
              <w:rPr>
                <w:b/>
                <w:sz w:val="18"/>
                <w:szCs w:val="18"/>
              </w:rPr>
            </w:pPr>
            <w:r w:rsidRPr="009A5984">
              <w:rPr>
                <w:b/>
                <w:sz w:val="18"/>
                <w:szCs w:val="18"/>
              </w:rPr>
              <w:t>Soil N</w:t>
            </w:r>
            <w:r w:rsidRPr="009A5984">
              <w:rPr>
                <w:b/>
                <w:sz w:val="18"/>
                <w:szCs w:val="18"/>
                <w:vertAlign w:val="subscript"/>
              </w:rPr>
              <w:t>2</w:t>
            </w:r>
            <w:r w:rsidRPr="009A5984">
              <w:rPr>
                <w:b/>
                <w:sz w:val="18"/>
                <w:szCs w:val="18"/>
              </w:rPr>
              <w:t>O emissions*</w:t>
            </w:r>
          </w:p>
        </w:tc>
        <w:tc>
          <w:tcPr>
            <w:tcW w:w="2250" w:type="dxa"/>
            <w:vAlign w:val="center"/>
          </w:tcPr>
          <w:p w14:paraId="5707D006" w14:textId="77777777" w:rsidR="009275BF" w:rsidRPr="009A5984" w:rsidRDefault="009275BF" w:rsidP="00C456F8">
            <w:pPr>
              <w:jc w:val="center"/>
              <w:rPr>
                <w:sz w:val="18"/>
                <w:szCs w:val="18"/>
              </w:rPr>
            </w:pPr>
            <w:r w:rsidRPr="009A5984">
              <w:rPr>
                <w:sz w:val="18"/>
                <w:szCs w:val="18"/>
              </w:rPr>
              <w:t>Direct</w:t>
            </w:r>
          </w:p>
        </w:tc>
        <w:tc>
          <w:tcPr>
            <w:tcW w:w="2250" w:type="dxa"/>
            <w:vAlign w:val="center"/>
          </w:tcPr>
          <w:p w14:paraId="61C4533D" w14:textId="77777777" w:rsidR="009275BF" w:rsidRPr="009A5984" w:rsidRDefault="009275BF" w:rsidP="00C456F8">
            <w:pPr>
              <w:jc w:val="center"/>
              <w:rPr>
                <w:sz w:val="18"/>
                <w:szCs w:val="18"/>
              </w:rPr>
            </w:pPr>
            <w:r w:rsidRPr="009A5984">
              <w:rPr>
                <w:sz w:val="18"/>
                <w:szCs w:val="18"/>
              </w:rPr>
              <w:t>237.6</w:t>
            </w:r>
          </w:p>
        </w:tc>
        <w:tc>
          <w:tcPr>
            <w:tcW w:w="2061" w:type="dxa"/>
            <w:vAlign w:val="center"/>
          </w:tcPr>
          <w:p w14:paraId="43BA3BED" w14:textId="77777777" w:rsidR="009275BF" w:rsidRPr="009A5984" w:rsidRDefault="009275BF" w:rsidP="00C456F8">
            <w:pPr>
              <w:jc w:val="center"/>
              <w:rPr>
                <w:sz w:val="18"/>
                <w:szCs w:val="18"/>
              </w:rPr>
            </w:pPr>
            <w:r w:rsidRPr="009A5984">
              <w:rPr>
                <w:sz w:val="18"/>
                <w:szCs w:val="18"/>
              </w:rPr>
              <w:t>199.2 / 276.1</w:t>
            </w:r>
          </w:p>
        </w:tc>
        <w:tc>
          <w:tcPr>
            <w:tcW w:w="1444" w:type="dxa"/>
            <w:vAlign w:val="center"/>
          </w:tcPr>
          <w:p w14:paraId="5A99DB19" w14:textId="77777777" w:rsidR="009275BF" w:rsidRPr="009A5984" w:rsidRDefault="009275BF" w:rsidP="00C456F8">
            <w:pPr>
              <w:jc w:val="center"/>
              <w:rPr>
                <w:sz w:val="18"/>
                <w:szCs w:val="18"/>
              </w:rPr>
            </w:pPr>
            <w:r w:rsidRPr="009A5984">
              <w:rPr>
                <w:sz w:val="18"/>
                <w:szCs w:val="18"/>
              </w:rPr>
              <w:t>16</w:t>
            </w:r>
          </w:p>
        </w:tc>
      </w:tr>
      <w:tr w:rsidR="009275BF" w14:paraId="67FB390A" w14:textId="77777777" w:rsidTr="00C456F8">
        <w:trPr>
          <w:trHeight w:val="692"/>
        </w:trPr>
        <w:tc>
          <w:tcPr>
            <w:tcW w:w="761" w:type="dxa"/>
            <w:vMerge/>
          </w:tcPr>
          <w:p w14:paraId="5C70F29C" w14:textId="77777777" w:rsidR="009275BF" w:rsidRPr="009A5984" w:rsidRDefault="009275BF" w:rsidP="00C456F8">
            <w:pPr>
              <w:rPr>
                <w:b/>
                <w:sz w:val="18"/>
                <w:szCs w:val="18"/>
              </w:rPr>
            </w:pPr>
          </w:p>
        </w:tc>
        <w:tc>
          <w:tcPr>
            <w:tcW w:w="2250" w:type="dxa"/>
            <w:vAlign w:val="center"/>
          </w:tcPr>
          <w:p w14:paraId="74182F5F" w14:textId="77777777" w:rsidR="009275BF" w:rsidRPr="009A5984" w:rsidRDefault="009275BF" w:rsidP="00C456F8">
            <w:pPr>
              <w:jc w:val="center"/>
              <w:rPr>
                <w:sz w:val="18"/>
                <w:szCs w:val="18"/>
              </w:rPr>
            </w:pPr>
            <w:r w:rsidRPr="009A5984">
              <w:rPr>
                <w:sz w:val="18"/>
                <w:szCs w:val="18"/>
              </w:rPr>
              <w:t>Indirect</w:t>
            </w:r>
          </w:p>
        </w:tc>
        <w:tc>
          <w:tcPr>
            <w:tcW w:w="2250" w:type="dxa"/>
            <w:vAlign w:val="center"/>
          </w:tcPr>
          <w:p w14:paraId="5EDE5482" w14:textId="77777777" w:rsidR="009275BF" w:rsidRPr="009A5984" w:rsidRDefault="009275BF" w:rsidP="00C456F8">
            <w:pPr>
              <w:jc w:val="center"/>
              <w:rPr>
                <w:sz w:val="18"/>
                <w:szCs w:val="18"/>
              </w:rPr>
            </w:pPr>
            <w:r w:rsidRPr="009A5984">
              <w:rPr>
                <w:sz w:val="18"/>
                <w:szCs w:val="18"/>
              </w:rPr>
              <w:t>45.9</w:t>
            </w:r>
          </w:p>
        </w:tc>
        <w:tc>
          <w:tcPr>
            <w:tcW w:w="2061" w:type="dxa"/>
            <w:vAlign w:val="center"/>
          </w:tcPr>
          <w:p w14:paraId="125CE8F4" w14:textId="77777777" w:rsidR="009275BF" w:rsidRPr="009A5984" w:rsidRDefault="009275BF" w:rsidP="00C456F8">
            <w:pPr>
              <w:jc w:val="center"/>
              <w:rPr>
                <w:sz w:val="18"/>
                <w:szCs w:val="18"/>
              </w:rPr>
            </w:pPr>
            <w:r w:rsidRPr="009A5984">
              <w:rPr>
                <w:sz w:val="18"/>
                <w:szCs w:val="18"/>
              </w:rPr>
              <w:t>16.0 / 116.8</w:t>
            </w:r>
          </w:p>
        </w:tc>
        <w:tc>
          <w:tcPr>
            <w:tcW w:w="1444" w:type="dxa"/>
            <w:vAlign w:val="center"/>
          </w:tcPr>
          <w:p w14:paraId="1161976F" w14:textId="77777777" w:rsidR="009275BF" w:rsidRPr="009A5984" w:rsidRDefault="009275BF" w:rsidP="00C456F8">
            <w:pPr>
              <w:jc w:val="center"/>
              <w:rPr>
                <w:sz w:val="18"/>
                <w:szCs w:val="18"/>
              </w:rPr>
            </w:pPr>
            <w:r w:rsidRPr="009A5984">
              <w:rPr>
                <w:sz w:val="18"/>
                <w:szCs w:val="18"/>
              </w:rPr>
              <w:t>65 / 154</w:t>
            </w:r>
          </w:p>
        </w:tc>
      </w:tr>
      <w:tr w:rsidR="009275BF" w14:paraId="61D6BED6" w14:textId="77777777" w:rsidTr="00C456F8">
        <w:trPr>
          <w:cantSplit/>
          <w:trHeight w:val="638"/>
        </w:trPr>
        <w:tc>
          <w:tcPr>
            <w:tcW w:w="761" w:type="dxa"/>
            <w:textDirection w:val="btLr"/>
            <w:vAlign w:val="center"/>
          </w:tcPr>
          <w:p w14:paraId="3949B6CE" w14:textId="77777777" w:rsidR="009275BF" w:rsidRPr="009A5984" w:rsidRDefault="009275BF" w:rsidP="00C456F8">
            <w:pPr>
              <w:ind w:left="113" w:right="113"/>
              <w:jc w:val="center"/>
              <w:rPr>
                <w:b/>
                <w:sz w:val="18"/>
                <w:szCs w:val="18"/>
              </w:rPr>
            </w:pPr>
            <w:r w:rsidRPr="009A5984">
              <w:rPr>
                <w:b/>
                <w:sz w:val="18"/>
                <w:szCs w:val="18"/>
              </w:rPr>
              <w:t>CH</w:t>
            </w:r>
            <w:r w:rsidRPr="009A5984">
              <w:rPr>
                <w:b/>
                <w:sz w:val="18"/>
                <w:szCs w:val="18"/>
                <w:vertAlign w:val="subscript"/>
              </w:rPr>
              <w:t>4</w:t>
            </w:r>
            <w:r w:rsidRPr="009A5984">
              <w:rPr>
                <w:b/>
                <w:sz w:val="18"/>
                <w:szCs w:val="18"/>
              </w:rPr>
              <w:t xml:space="preserve"> </w:t>
            </w:r>
          </w:p>
        </w:tc>
        <w:tc>
          <w:tcPr>
            <w:tcW w:w="2250" w:type="dxa"/>
            <w:vAlign w:val="center"/>
          </w:tcPr>
          <w:p w14:paraId="5BF6CDE8" w14:textId="77777777" w:rsidR="009275BF" w:rsidRPr="009A5984" w:rsidRDefault="009275BF" w:rsidP="00C456F8">
            <w:pPr>
              <w:jc w:val="center"/>
              <w:rPr>
                <w:sz w:val="18"/>
                <w:szCs w:val="18"/>
              </w:rPr>
            </w:pPr>
            <w:r w:rsidRPr="009A5984">
              <w:rPr>
                <w:sz w:val="18"/>
                <w:szCs w:val="18"/>
              </w:rPr>
              <w:t>Rice cultivation</w:t>
            </w:r>
          </w:p>
        </w:tc>
        <w:tc>
          <w:tcPr>
            <w:tcW w:w="2250" w:type="dxa"/>
            <w:vAlign w:val="center"/>
          </w:tcPr>
          <w:p w14:paraId="26462BA7" w14:textId="77777777" w:rsidR="009275BF" w:rsidRPr="009A5984" w:rsidRDefault="009275BF" w:rsidP="00C456F8">
            <w:pPr>
              <w:jc w:val="center"/>
              <w:rPr>
                <w:sz w:val="18"/>
                <w:szCs w:val="18"/>
              </w:rPr>
            </w:pPr>
            <w:r w:rsidRPr="009A5984">
              <w:rPr>
                <w:sz w:val="18"/>
                <w:szCs w:val="18"/>
              </w:rPr>
              <w:t>11.9</w:t>
            </w:r>
          </w:p>
        </w:tc>
        <w:tc>
          <w:tcPr>
            <w:tcW w:w="2061" w:type="dxa"/>
            <w:vAlign w:val="center"/>
          </w:tcPr>
          <w:p w14:paraId="6D056E7F" w14:textId="77777777" w:rsidR="009275BF" w:rsidRPr="009A5984" w:rsidRDefault="009275BF" w:rsidP="00C456F8">
            <w:pPr>
              <w:jc w:val="center"/>
              <w:rPr>
                <w:sz w:val="18"/>
                <w:szCs w:val="18"/>
              </w:rPr>
            </w:pPr>
            <w:r w:rsidRPr="009A5984">
              <w:rPr>
                <w:sz w:val="18"/>
                <w:szCs w:val="18"/>
              </w:rPr>
              <w:t>7.7 / 16.2</w:t>
            </w:r>
          </w:p>
        </w:tc>
        <w:tc>
          <w:tcPr>
            <w:tcW w:w="1444" w:type="dxa"/>
            <w:vAlign w:val="center"/>
          </w:tcPr>
          <w:p w14:paraId="046CED42" w14:textId="77777777" w:rsidR="009275BF" w:rsidRPr="009A5984" w:rsidRDefault="009275BF" w:rsidP="00C456F8">
            <w:pPr>
              <w:jc w:val="center"/>
              <w:rPr>
                <w:sz w:val="18"/>
                <w:szCs w:val="18"/>
              </w:rPr>
            </w:pPr>
            <w:r w:rsidRPr="009A5984">
              <w:rPr>
                <w:sz w:val="18"/>
                <w:szCs w:val="18"/>
              </w:rPr>
              <w:t>36</w:t>
            </w:r>
          </w:p>
        </w:tc>
      </w:tr>
      <w:tr w:rsidR="009275BF" w14:paraId="4A3CAE6E" w14:textId="77777777" w:rsidTr="009275BF">
        <w:trPr>
          <w:cantSplit/>
          <w:trHeight w:val="638"/>
        </w:trPr>
        <w:tc>
          <w:tcPr>
            <w:tcW w:w="3011" w:type="dxa"/>
            <w:gridSpan w:val="2"/>
            <w:shd w:val="clear" w:color="auto" w:fill="FFC000" w:themeFill="accent4"/>
            <w:vAlign w:val="center"/>
          </w:tcPr>
          <w:p w14:paraId="06640AFC" w14:textId="50740CF4" w:rsidR="009275BF" w:rsidRPr="009A5984" w:rsidRDefault="009275BF" w:rsidP="00C456F8">
            <w:pPr>
              <w:jc w:val="center"/>
              <w:rPr>
                <w:b/>
                <w:sz w:val="18"/>
                <w:szCs w:val="18"/>
              </w:rPr>
            </w:pPr>
            <w:r w:rsidRPr="009A5984">
              <w:rPr>
                <w:b/>
                <w:sz w:val="18"/>
                <w:szCs w:val="18"/>
              </w:rPr>
              <w:t>Tier 3 Total</w:t>
            </w:r>
          </w:p>
        </w:tc>
        <w:tc>
          <w:tcPr>
            <w:tcW w:w="2250" w:type="dxa"/>
            <w:shd w:val="clear" w:color="auto" w:fill="FFC000" w:themeFill="accent4"/>
            <w:vAlign w:val="center"/>
          </w:tcPr>
          <w:p w14:paraId="470626F6" w14:textId="77777777" w:rsidR="009275BF" w:rsidRPr="009A5984" w:rsidRDefault="009275BF" w:rsidP="00C456F8">
            <w:pPr>
              <w:jc w:val="center"/>
              <w:rPr>
                <w:sz w:val="18"/>
                <w:szCs w:val="18"/>
              </w:rPr>
            </w:pPr>
            <w:r w:rsidRPr="009A5984">
              <w:rPr>
                <w:sz w:val="18"/>
                <w:szCs w:val="18"/>
              </w:rPr>
              <w:t>260.9</w:t>
            </w:r>
          </w:p>
        </w:tc>
        <w:tc>
          <w:tcPr>
            <w:tcW w:w="2061" w:type="dxa"/>
            <w:shd w:val="clear" w:color="auto" w:fill="FFC000" w:themeFill="accent4"/>
            <w:vAlign w:val="center"/>
          </w:tcPr>
          <w:p w14:paraId="521174CC" w14:textId="08BD1273" w:rsidR="009275BF" w:rsidRPr="009275BF" w:rsidRDefault="009275BF" w:rsidP="009275BF">
            <w:pPr>
              <w:jc w:val="center"/>
              <w:rPr>
                <w:sz w:val="18"/>
                <w:szCs w:val="18"/>
              </w:rPr>
            </w:pPr>
            <w:r w:rsidRPr="009275BF">
              <w:rPr>
                <w:sz w:val="18"/>
                <w:szCs w:val="18"/>
              </w:rPr>
              <w:t>171.4 / 350.4</w:t>
            </w:r>
          </w:p>
        </w:tc>
        <w:tc>
          <w:tcPr>
            <w:tcW w:w="1444" w:type="dxa"/>
            <w:shd w:val="clear" w:color="auto" w:fill="FFC000" w:themeFill="accent4"/>
            <w:vAlign w:val="center"/>
          </w:tcPr>
          <w:p w14:paraId="02BA9041" w14:textId="77777777" w:rsidR="009275BF" w:rsidRPr="009A5984" w:rsidRDefault="009275BF" w:rsidP="00C456F8">
            <w:pPr>
              <w:jc w:val="center"/>
              <w:rPr>
                <w:sz w:val="18"/>
                <w:szCs w:val="18"/>
              </w:rPr>
            </w:pPr>
            <w:r w:rsidRPr="009A5984">
              <w:rPr>
                <w:sz w:val="18"/>
                <w:szCs w:val="18"/>
              </w:rPr>
              <w:t>34</w:t>
            </w:r>
          </w:p>
        </w:tc>
      </w:tr>
    </w:tbl>
    <w:p w14:paraId="59845DD5" w14:textId="46C9CD75" w:rsidR="00FB4911" w:rsidRDefault="00A8647D" w:rsidP="003B4036">
      <w:pPr>
        <w:spacing w:after="0"/>
      </w:pPr>
      <w:r>
        <w:rPr>
          <w:i/>
          <w:sz w:val="18"/>
          <w:szCs w:val="18"/>
        </w:rPr>
        <w:t>Tier 3 total uncertainty</w:t>
      </w:r>
      <w:r w:rsidR="00C71BFC">
        <w:rPr>
          <w:i/>
          <w:sz w:val="18"/>
          <w:szCs w:val="18"/>
        </w:rPr>
        <w:t xml:space="preserve"> reported here</w:t>
      </w:r>
      <w:r>
        <w:rPr>
          <w:i/>
          <w:sz w:val="18"/>
          <w:szCs w:val="18"/>
        </w:rPr>
        <w:t xml:space="preserve"> is calculated by error propagation, assuming normal distribution </w:t>
      </w:r>
      <w:r w:rsidR="009275BF">
        <w:rPr>
          <w:i/>
          <w:sz w:val="18"/>
          <w:szCs w:val="18"/>
        </w:rPr>
        <w:t xml:space="preserve">and independence for all Tier 3 </w:t>
      </w:r>
      <w:r>
        <w:rPr>
          <w:i/>
          <w:sz w:val="18"/>
          <w:szCs w:val="18"/>
        </w:rPr>
        <w:t xml:space="preserve">categories (for categories </w:t>
      </w:r>
      <w:r w:rsidR="00FB4911">
        <w:rPr>
          <w:i/>
          <w:sz w:val="18"/>
          <w:szCs w:val="18"/>
        </w:rPr>
        <w:t xml:space="preserve">with non-symmetric distribution, </w:t>
      </w:r>
      <w:r>
        <w:rPr>
          <w:i/>
          <w:sz w:val="18"/>
          <w:szCs w:val="18"/>
        </w:rPr>
        <w:t xml:space="preserve">the average </w:t>
      </w:r>
      <w:r w:rsidR="00FB4911">
        <w:rPr>
          <w:i/>
          <w:sz w:val="18"/>
          <w:szCs w:val="18"/>
        </w:rPr>
        <w:t xml:space="preserve">of the upper and lower </w:t>
      </w:r>
      <w:r>
        <w:rPr>
          <w:i/>
          <w:sz w:val="18"/>
          <w:szCs w:val="18"/>
        </w:rPr>
        <w:t xml:space="preserve">error bar is used to </w:t>
      </w:r>
      <w:r w:rsidR="00FB4911">
        <w:rPr>
          <w:i/>
          <w:sz w:val="18"/>
          <w:szCs w:val="18"/>
        </w:rPr>
        <w:t xml:space="preserve">assign </w:t>
      </w:r>
      <w:r>
        <w:rPr>
          <w:i/>
          <w:sz w:val="18"/>
          <w:szCs w:val="18"/>
        </w:rPr>
        <w:t xml:space="preserve">a symmetric standard error). </w:t>
      </w:r>
      <w:r w:rsidR="00C71BFC">
        <w:rPr>
          <w:i/>
          <w:sz w:val="18"/>
          <w:szCs w:val="18"/>
        </w:rPr>
        <w:t>Negative values indicate CO</w:t>
      </w:r>
      <w:r w:rsidR="00C71BFC" w:rsidRPr="00C71BFC">
        <w:rPr>
          <w:i/>
          <w:sz w:val="18"/>
          <w:szCs w:val="18"/>
          <w:vertAlign w:val="subscript"/>
        </w:rPr>
        <w:t>2</w:t>
      </w:r>
      <w:r w:rsidR="001713A8">
        <w:rPr>
          <w:i/>
          <w:sz w:val="18"/>
          <w:szCs w:val="18"/>
        </w:rPr>
        <w:t xml:space="preserve"> </w:t>
      </w:r>
      <w:r w:rsidR="00C71BFC">
        <w:rPr>
          <w:i/>
          <w:sz w:val="18"/>
          <w:szCs w:val="18"/>
        </w:rPr>
        <w:t>sequestration</w:t>
      </w:r>
      <w:r w:rsidR="001713A8">
        <w:rPr>
          <w:i/>
          <w:sz w:val="18"/>
          <w:szCs w:val="18"/>
        </w:rPr>
        <w:t xml:space="preserve">. </w:t>
      </w:r>
      <w:r>
        <w:rPr>
          <w:i/>
          <w:sz w:val="18"/>
          <w:szCs w:val="18"/>
        </w:rPr>
        <w:t>S</w:t>
      </w:r>
      <w:r w:rsidRPr="00A8647D">
        <w:rPr>
          <w:i/>
          <w:sz w:val="18"/>
          <w:szCs w:val="18"/>
        </w:rPr>
        <w:t xml:space="preserve">ee Section </w:t>
      </w:r>
      <w:r w:rsidR="005E4D1E">
        <w:rPr>
          <w:i/>
          <w:sz w:val="18"/>
          <w:szCs w:val="18"/>
        </w:rPr>
        <w:t xml:space="preserve">2, </w:t>
      </w:r>
      <w:r w:rsidRPr="00A8647D">
        <w:rPr>
          <w:i/>
          <w:sz w:val="18"/>
          <w:szCs w:val="18"/>
        </w:rPr>
        <w:t>3.2 for Tier 1 and 2 uncertainties</w:t>
      </w:r>
      <w:r>
        <w:t xml:space="preserve">. </w:t>
      </w:r>
    </w:p>
    <w:p w14:paraId="0F40C8C0" w14:textId="1F13B313" w:rsidR="00A8647D" w:rsidRPr="008449CA" w:rsidRDefault="00694898" w:rsidP="00A8647D">
      <w:pPr>
        <w:rPr>
          <w:i/>
          <w:sz w:val="18"/>
          <w:szCs w:val="18"/>
        </w:rPr>
      </w:pPr>
      <w:r w:rsidRPr="00694898">
        <w:rPr>
          <w:sz w:val="18"/>
          <w:szCs w:val="18"/>
        </w:rPr>
        <w:t>*</w:t>
      </w:r>
      <w:r w:rsidR="00A8647D" w:rsidRPr="008449CA">
        <w:rPr>
          <w:i/>
          <w:sz w:val="18"/>
          <w:szCs w:val="18"/>
        </w:rPr>
        <w:t>Soil N</w:t>
      </w:r>
      <w:r w:rsidR="00A8647D" w:rsidRPr="008449CA">
        <w:rPr>
          <w:i/>
          <w:sz w:val="18"/>
          <w:szCs w:val="18"/>
          <w:vertAlign w:val="subscript"/>
        </w:rPr>
        <w:t>2</w:t>
      </w:r>
      <w:r w:rsidR="00A8647D" w:rsidRPr="008449CA">
        <w:rPr>
          <w:i/>
          <w:sz w:val="18"/>
          <w:szCs w:val="18"/>
        </w:rPr>
        <w:t>O emissions are quantified through a combination of Tier 3 and Tier 1 approaches. Direct N</w:t>
      </w:r>
      <w:r w:rsidR="00A8647D" w:rsidRPr="008449CA">
        <w:rPr>
          <w:i/>
          <w:sz w:val="18"/>
          <w:szCs w:val="18"/>
          <w:vertAlign w:val="subscript"/>
        </w:rPr>
        <w:t>2</w:t>
      </w:r>
      <w:r w:rsidR="00A8647D" w:rsidRPr="008449CA">
        <w:rPr>
          <w:i/>
          <w:sz w:val="18"/>
          <w:szCs w:val="18"/>
        </w:rPr>
        <w:t xml:space="preserve">O emissions </w:t>
      </w:r>
      <w:r w:rsidR="00FB4911">
        <w:rPr>
          <w:i/>
          <w:sz w:val="18"/>
          <w:szCs w:val="18"/>
        </w:rPr>
        <w:t xml:space="preserve">are estimated using </w:t>
      </w:r>
      <w:r w:rsidR="00A8647D" w:rsidRPr="008449CA">
        <w:rPr>
          <w:i/>
          <w:sz w:val="18"/>
          <w:szCs w:val="18"/>
        </w:rPr>
        <w:t>DayCent</w:t>
      </w:r>
      <w:r w:rsidR="00FB4911">
        <w:rPr>
          <w:i/>
          <w:sz w:val="18"/>
          <w:szCs w:val="18"/>
        </w:rPr>
        <w:t>,</w:t>
      </w:r>
      <w:r w:rsidR="00A8647D" w:rsidRPr="008449CA">
        <w:rPr>
          <w:i/>
          <w:sz w:val="18"/>
          <w:szCs w:val="18"/>
        </w:rPr>
        <w:t xml:space="preserve"> and DayCent outputs for N volatilization and NO</w:t>
      </w:r>
      <w:r w:rsidR="00A8647D" w:rsidRPr="00C71BFC">
        <w:rPr>
          <w:i/>
          <w:sz w:val="18"/>
          <w:szCs w:val="18"/>
          <w:vertAlign w:val="subscript"/>
        </w:rPr>
        <w:t>3</w:t>
      </w:r>
      <w:r w:rsidR="00A8647D" w:rsidRPr="008449CA">
        <w:rPr>
          <w:i/>
          <w:sz w:val="18"/>
          <w:szCs w:val="18"/>
        </w:rPr>
        <w:t xml:space="preserve"> leaching/runoff are combined with Tier 1 </w:t>
      </w:r>
      <w:r w:rsidR="00FB4911">
        <w:rPr>
          <w:i/>
          <w:sz w:val="18"/>
          <w:szCs w:val="18"/>
        </w:rPr>
        <w:t>parameters</w:t>
      </w:r>
      <w:r w:rsidR="00FB4911" w:rsidRPr="008449CA">
        <w:rPr>
          <w:i/>
          <w:sz w:val="18"/>
          <w:szCs w:val="18"/>
        </w:rPr>
        <w:t xml:space="preserve"> </w:t>
      </w:r>
      <w:r w:rsidR="00A8647D" w:rsidRPr="008449CA">
        <w:rPr>
          <w:i/>
          <w:sz w:val="18"/>
          <w:szCs w:val="18"/>
        </w:rPr>
        <w:t>to derive indirect emissions. For soils not covered by DayCent, an exclusively Tier 1 approach is used for both direct and indirect N</w:t>
      </w:r>
      <w:r w:rsidR="00A8647D" w:rsidRPr="008449CA">
        <w:rPr>
          <w:i/>
          <w:sz w:val="18"/>
          <w:szCs w:val="18"/>
          <w:vertAlign w:val="subscript"/>
        </w:rPr>
        <w:t>2</w:t>
      </w:r>
      <w:r w:rsidR="00A8647D" w:rsidRPr="008449CA">
        <w:rPr>
          <w:i/>
          <w:sz w:val="18"/>
          <w:szCs w:val="18"/>
        </w:rPr>
        <w:t>O emissions. NGHGI N</w:t>
      </w:r>
      <w:r w:rsidR="00A8647D" w:rsidRPr="008449CA">
        <w:rPr>
          <w:i/>
          <w:sz w:val="18"/>
          <w:szCs w:val="18"/>
          <w:vertAlign w:val="subscript"/>
        </w:rPr>
        <w:t>2</w:t>
      </w:r>
      <w:r w:rsidR="00A8647D" w:rsidRPr="008449CA">
        <w:rPr>
          <w:i/>
          <w:sz w:val="18"/>
          <w:szCs w:val="18"/>
        </w:rPr>
        <w:t>O results are not reported by Tier 3 vs. Tier 1. Because DayCent covers 91% of direct N</w:t>
      </w:r>
      <w:r w:rsidR="00A8647D" w:rsidRPr="008449CA">
        <w:rPr>
          <w:i/>
          <w:sz w:val="18"/>
          <w:szCs w:val="18"/>
          <w:vertAlign w:val="subscript"/>
        </w:rPr>
        <w:t>2</w:t>
      </w:r>
      <w:r w:rsidR="00A8647D" w:rsidRPr="008449CA">
        <w:rPr>
          <w:i/>
          <w:sz w:val="18"/>
          <w:szCs w:val="18"/>
        </w:rPr>
        <w:t>O emissions, all N</w:t>
      </w:r>
      <w:r w:rsidR="00A8647D" w:rsidRPr="008449CA">
        <w:rPr>
          <w:i/>
          <w:sz w:val="18"/>
          <w:szCs w:val="18"/>
          <w:vertAlign w:val="subscript"/>
        </w:rPr>
        <w:t>2</w:t>
      </w:r>
      <w:r w:rsidR="00A8647D" w:rsidRPr="008449CA">
        <w:rPr>
          <w:i/>
          <w:sz w:val="18"/>
          <w:szCs w:val="18"/>
        </w:rPr>
        <w:t xml:space="preserve">O emissions are </w:t>
      </w:r>
      <w:r w:rsidR="00421A86">
        <w:rPr>
          <w:i/>
          <w:sz w:val="18"/>
          <w:szCs w:val="18"/>
        </w:rPr>
        <w:t xml:space="preserve">included in Table </w:t>
      </w:r>
      <w:r w:rsidR="005E4D1E">
        <w:rPr>
          <w:i/>
          <w:sz w:val="18"/>
          <w:szCs w:val="18"/>
        </w:rPr>
        <w:t>2</w:t>
      </w:r>
      <w:r w:rsidR="00421A86">
        <w:rPr>
          <w:i/>
          <w:sz w:val="18"/>
          <w:szCs w:val="18"/>
        </w:rPr>
        <w:t>-14</w:t>
      </w:r>
      <w:r w:rsidR="00A8647D" w:rsidRPr="008449CA">
        <w:rPr>
          <w:i/>
          <w:sz w:val="18"/>
          <w:szCs w:val="18"/>
        </w:rPr>
        <w:t>, for simplicity.</w:t>
      </w:r>
    </w:p>
    <w:p w14:paraId="4177BCFB" w14:textId="1CE1AC0B" w:rsidR="009625BF" w:rsidRPr="00195F4D" w:rsidRDefault="000477BC" w:rsidP="001713A8">
      <w:pPr>
        <w:pStyle w:val="Heading2"/>
        <w:numPr>
          <w:ilvl w:val="0"/>
          <w:numId w:val="0"/>
        </w:numPr>
        <w:ind w:left="576" w:hanging="576"/>
        <w:rPr>
          <w:b/>
        </w:rPr>
      </w:pPr>
      <w:bookmarkStart w:id="181" w:name="_Toc5025322"/>
      <w:bookmarkEnd w:id="181"/>
      <w:r w:rsidRPr="00195F4D">
        <w:rPr>
          <w:rStyle w:val="Strong"/>
          <w:b w:val="0"/>
        </w:rPr>
        <w:t>Project methods</w:t>
      </w:r>
    </w:p>
    <w:p w14:paraId="454C36E9" w14:textId="64643E3F" w:rsidR="00E074FE" w:rsidRDefault="00607447" w:rsidP="009A3466">
      <w:r>
        <w:t>I</w:t>
      </w:r>
      <w:r w:rsidR="00B11CBA" w:rsidRPr="000614E1">
        <w:t xml:space="preserve">t was not possible to </w:t>
      </w:r>
      <w:r w:rsidR="00421A86">
        <w:t xml:space="preserve">replicate NGHGI </w:t>
      </w:r>
      <w:r w:rsidR="00E074FE">
        <w:t xml:space="preserve">Tier 3 </w:t>
      </w:r>
      <w:r w:rsidR="00B11CBA" w:rsidRPr="000614E1">
        <w:t xml:space="preserve">cropland and grassland </w:t>
      </w:r>
      <w:r w:rsidR="00421A86">
        <w:t>calculations</w:t>
      </w:r>
      <w:r w:rsidR="00B11CBA" w:rsidRPr="000614E1">
        <w:t xml:space="preserve"> due to the </w:t>
      </w:r>
      <w:r w:rsidR="00421A86">
        <w:t>confidentiality</w:t>
      </w:r>
      <w:r w:rsidR="00B11CBA" w:rsidRPr="000614E1">
        <w:t xml:space="preserve"> of the </w:t>
      </w:r>
      <w:r w:rsidR="0066082C">
        <w:t>NRI</w:t>
      </w:r>
      <w:r w:rsidR="00B11CBA" w:rsidRPr="000614E1">
        <w:t xml:space="preserve"> dataset. </w:t>
      </w:r>
      <w:r w:rsidR="00E074FE">
        <w:t xml:space="preserve">As an alternative, we </w:t>
      </w:r>
      <w:r w:rsidR="00B11CBA" w:rsidRPr="000614E1">
        <w:t>issue</w:t>
      </w:r>
      <w:r w:rsidR="00E074FE">
        <w:t>d</w:t>
      </w:r>
      <w:r w:rsidR="00B11CBA" w:rsidRPr="000614E1">
        <w:t xml:space="preserve"> an expert elicitation </w:t>
      </w:r>
      <w:r w:rsidR="00421A86">
        <w:t xml:space="preserve">survey </w:t>
      </w:r>
      <w:r w:rsidR="00B11CBA" w:rsidRPr="000614E1">
        <w:t xml:space="preserve">to </w:t>
      </w:r>
      <w:r>
        <w:t xml:space="preserve">attribute uncertainty across all identified </w:t>
      </w:r>
      <w:r w:rsidR="00E074FE">
        <w:t xml:space="preserve">Tier 3 </w:t>
      </w:r>
      <w:r w:rsidR="00B11CBA" w:rsidRPr="000614E1">
        <w:t xml:space="preserve">cropland and grassland elements. </w:t>
      </w:r>
      <w:r w:rsidR="00895DCA" w:rsidRPr="002814DA">
        <w:t xml:space="preserve">The full survey </w:t>
      </w:r>
      <w:r>
        <w:t>is available in Section 3 of the Supplementary Material</w:t>
      </w:r>
      <w:r w:rsidR="002814DA" w:rsidRPr="002814DA">
        <w:t xml:space="preserve">. </w:t>
      </w:r>
    </w:p>
    <w:p w14:paraId="7C2FC436" w14:textId="49A6A2E5" w:rsidR="009A3466" w:rsidRDefault="00E91243" w:rsidP="009A3466">
      <w:r>
        <w:t>W</w:t>
      </w:r>
      <w:r w:rsidR="009A3466">
        <w:t>e tailored U.S. EPA expert elicitation guidance for the U.S. NGHGI (U.S. EPA</w:t>
      </w:r>
      <w:r w:rsidR="00E074FE">
        <w:t>,</w:t>
      </w:r>
      <w:r w:rsidR="009A3466">
        <w:t xml:space="preserve"> 2002) to the particular objectives of this study. </w:t>
      </w:r>
      <w:r>
        <w:t>W</w:t>
      </w:r>
      <w:r w:rsidR="009A3466">
        <w:t xml:space="preserve">e seek to </w:t>
      </w:r>
      <w:r>
        <w:t xml:space="preserve">deterministically </w:t>
      </w:r>
      <w:r w:rsidR="009A3466">
        <w:t xml:space="preserve">attribute reported uncertainty across elements, rather than derive point estimates and distributions for NGHGI inputs, </w:t>
      </w:r>
      <w:r>
        <w:t xml:space="preserve">so </w:t>
      </w:r>
      <w:r w:rsidR="009A3466">
        <w:t xml:space="preserve">it was not possible to utilize existing EPA (2002) expert elicitation templates directly. </w:t>
      </w:r>
    </w:p>
    <w:p w14:paraId="571F7AFF" w14:textId="47515C58" w:rsidR="00467758" w:rsidRDefault="009A3466" w:rsidP="00467758">
      <w:r>
        <w:t>First we defined the objectives of the elicitation (Morgan, 2014; U.S. EPA 2002), which were two-fold</w:t>
      </w:r>
      <w:r w:rsidR="00467758">
        <w:t>: 1) to quantify the uncertainty associated with each data and model element used to calculate U.S. mineral soil GHG fluxes</w:t>
      </w:r>
      <w:r w:rsidR="00A13C30">
        <w:t xml:space="preserve"> on croplands and grasslands</w:t>
      </w:r>
      <w:r w:rsidR="00B11CBA">
        <w:t xml:space="preserve"> (note that</w:t>
      </w:r>
      <w:r w:rsidR="00E074FE">
        <w:t xml:space="preserve"> Tier 3 methods are not applied to</w:t>
      </w:r>
      <w:r w:rsidR="00B11CBA">
        <w:t xml:space="preserve"> organic soils)</w:t>
      </w:r>
      <w:r w:rsidR="00467758">
        <w:t xml:space="preserve">, and 2) to rank priority research, model development, </w:t>
      </w:r>
      <w:r w:rsidR="00421A86">
        <w:t>inter</w:t>
      </w:r>
      <w:r w:rsidR="00467758">
        <w:t>model comparison, and data-generating activities for reducing uncertainty in national soil GHG emission estimates.</w:t>
      </w:r>
      <w:r w:rsidR="00B11CBA">
        <w:t xml:space="preserve"> </w:t>
      </w:r>
    </w:p>
    <w:p w14:paraId="11E5CEDB" w14:textId="1B1BF4FF" w:rsidR="009A3466" w:rsidRDefault="009A3466" w:rsidP="00467758">
      <w:r>
        <w:lastRenderedPageBreak/>
        <w:t xml:space="preserve">Given these objectives, we carried out research and planning required to </w:t>
      </w:r>
      <w:r w:rsidR="00E074FE">
        <w:t xml:space="preserve">develop survey questions and supportive framing to reduce bias in </w:t>
      </w:r>
      <w:r>
        <w:t>expert responses (U.S. EPA, 2002). For objective (1)</w:t>
      </w:r>
      <w:r w:rsidR="00E074FE">
        <w:t xml:space="preserve"> (uncertainty attribution)</w:t>
      </w:r>
      <w:r>
        <w:t>, we collected all available published research on both point estimate and uncertainty estimation methods for the inventory categories of interest, and summarize</w:t>
      </w:r>
      <w:r w:rsidR="00E074FE">
        <w:t>d</w:t>
      </w:r>
      <w:r>
        <w:t xml:space="preserve"> this information </w:t>
      </w:r>
      <w:r w:rsidR="00E074FE">
        <w:t xml:space="preserve">at the top of the survey for </w:t>
      </w:r>
      <w:r>
        <w:t>participating experts</w:t>
      </w:r>
      <w:r w:rsidR="000F7AB9">
        <w:t xml:space="preserve"> (NGHGI, 2018; Ogle et al. 2015; Ogle et al, 2010; Ogle et al, 2003; Del Grosso et al., 2008)</w:t>
      </w:r>
      <w:r>
        <w:t>. For objective (2)</w:t>
      </w:r>
      <w:r w:rsidR="00E074FE">
        <w:t xml:space="preserve"> (research priority ranking)</w:t>
      </w:r>
      <w:r>
        <w:t>, we</w:t>
      </w:r>
      <w:r w:rsidR="000F7AB9">
        <w:t xml:space="preserve"> identified a comprehensive set of research actions with potential to improve accuracy and precision in inventory categories of interest</w:t>
      </w:r>
      <w:r w:rsidR="00E074FE">
        <w:t xml:space="preserve"> using literature review</w:t>
      </w:r>
      <w:r w:rsidR="000F7AB9">
        <w:t>.</w:t>
      </w:r>
      <w:r>
        <w:t xml:space="preserve"> Two literature searches were conducted – one focused on CO</w:t>
      </w:r>
      <w:r w:rsidRPr="00627E59">
        <w:rPr>
          <w:vertAlign w:val="subscript"/>
        </w:rPr>
        <w:t>2</w:t>
      </w:r>
      <w:r>
        <w:t xml:space="preserve"> fluxes in cropland and grassland, and the other on CH</w:t>
      </w:r>
      <w:r w:rsidRPr="00627E59">
        <w:rPr>
          <w:vertAlign w:val="subscript"/>
        </w:rPr>
        <w:t>4</w:t>
      </w:r>
      <w:r>
        <w:t xml:space="preserve"> and N</w:t>
      </w:r>
      <w:r w:rsidRPr="00627E59">
        <w:rPr>
          <w:vertAlign w:val="subscript"/>
        </w:rPr>
        <w:t>2</w:t>
      </w:r>
      <w:r>
        <w:t xml:space="preserve">O fluxes. The search was limited to papers published between 2010 and 2018. Papers were </w:t>
      </w:r>
      <w:r w:rsidR="00E074FE">
        <w:t>identified using Google Scholar with keywords including “model”, “soil organic carbon”, “soil”, “N</w:t>
      </w:r>
      <w:r w:rsidR="00E074FE" w:rsidRPr="00A4727E">
        <w:rPr>
          <w:vertAlign w:val="subscript"/>
        </w:rPr>
        <w:t>2</w:t>
      </w:r>
      <w:r w:rsidR="00E074FE">
        <w:t>O”, “nitrogen”, “CH</w:t>
      </w:r>
      <w:r w:rsidR="00E074FE" w:rsidRPr="00A4727E">
        <w:rPr>
          <w:vertAlign w:val="subscript"/>
        </w:rPr>
        <w:t>4</w:t>
      </w:r>
      <w:r w:rsidR="00E074FE">
        <w:t xml:space="preserve">”, “methane”, “additional research”, “research need”, and others to ensure suitable papers were not missed. Papers returned by Google Scholar search were </w:t>
      </w:r>
      <w:r>
        <w:t>ranked according to number of citations, and reviewed in full if they discussed soil CO</w:t>
      </w:r>
      <w:r w:rsidRPr="00627E59">
        <w:rPr>
          <w:vertAlign w:val="subscript"/>
        </w:rPr>
        <w:t>2</w:t>
      </w:r>
      <w:r>
        <w:t>, N</w:t>
      </w:r>
      <w:r w:rsidRPr="00627E59">
        <w:rPr>
          <w:vertAlign w:val="subscript"/>
        </w:rPr>
        <w:t>2</w:t>
      </w:r>
      <w:r>
        <w:t>O, and/or CH</w:t>
      </w:r>
      <w:r w:rsidRPr="00627E59">
        <w:rPr>
          <w:vertAlign w:val="subscript"/>
        </w:rPr>
        <w:t>4</w:t>
      </w:r>
      <w:r>
        <w:t xml:space="preserve"> findings, research needs, or modeling for GHG fluxes on croplands or grasslands.</w:t>
      </w:r>
      <w:r w:rsidR="00E074FE">
        <w:t xml:space="preserve"> Since more recently published papers would be handicapped with respect to number of citations, we carried out the citation ranking separately for each year from 2016-2018. </w:t>
      </w:r>
      <w:r>
        <w:t xml:space="preserve">Additional papers recommended by </w:t>
      </w:r>
      <w:r w:rsidR="000F7AB9">
        <w:t>experts</w:t>
      </w:r>
      <w:r>
        <w:t xml:space="preserve"> were also reviewed.</w:t>
      </w:r>
      <w:r w:rsidR="000F7AB9">
        <w:t xml:space="preserve"> In total, 58 papers</w:t>
      </w:r>
      <w:r w:rsidR="00E074FE">
        <w:t xml:space="preserve"> met the criteria for inclusion in the</w:t>
      </w:r>
      <w:r w:rsidR="000F7AB9">
        <w:t xml:space="preserve"> literature review for objective (2).</w:t>
      </w:r>
    </w:p>
    <w:p w14:paraId="64A62428" w14:textId="516E0057" w:rsidR="000F7AB9" w:rsidRDefault="005E4D1E" w:rsidP="00467758">
      <w:r>
        <w:t>Using the</w:t>
      </w:r>
      <w:r w:rsidR="000F7AB9">
        <w:t xml:space="preserve"> literature reviews, we defined a set of survey questions for each objective, including careful definition of the quantities that experts were being asked to estimate and sufficient framing information for each prompt to reduce bias in response (U.S. EPA, 2002, Morgan 2014). The survey was divided into two sections, with each focused on </w:t>
      </w:r>
      <w:r w:rsidR="00E074FE">
        <w:t xml:space="preserve">a single objective. </w:t>
      </w:r>
    </w:p>
    <w:p w14:paraId="0EFFA73A" w14:textId="1FE44B1F" w:rsidR="000F7AB9" w:rsidRDefault="005E4D1E" w:rsidP="000F7AB9">
      <w:r>
        <w:t>Survey s</w:t>
      </w:r>
      <w:r w:rsidR="000F7AB9">
        <w:t>ection 1 was divided into three prompts. In</w:t>
      </w:r>
      <w:r>
        <w:t xml:space="preserve"> s</w:t>
      </w:r>
      <w:r w:rsidR="000F7AB9">
        <w:t xml:space="preserve">ection 1, </w:t>
      </w:r>
      <w:r>
        <w:t>p</w:t>
      </w:r>
      <w:r w:rsidR="000F7AB9">
        <w:t xml:space="preserve">rompt 1, participants were asked to provide their best estimate of the percentage contribution of various model inputs, model structure, and other sources of uncertainty, to total </w:t>
      </w:r>
      <w:r w:rsidR="00057AF7">
        <w:t>reported</w:t>
      </w:r>
      <w:r w:rsidR="000F7AB9">
        <w:t xml:space="preserve"> uncertainty for soil GHG emissions estimates</w:t>
      </w:r>
      <w:r w:rsidR="00057AF7">
        <w:t xml:space="preserve"> of interest</w:t>
      </w:r>
      <w:r w:rsidR="000F7AB9">
        <w:t>.</w:t>
      </w:r>
      <w:r w:rsidR="00057AF7">
        <w:t xml:space="preserve"> For reference, respondents were provided a description of how uncertainty is estimated for Tier 3 calculations and a table of U.S. cropland and grassland soil CO</w:t>
      </w:r>
      <w:r w:rsidR="00057AF7" w:rsidRPr="00627E59">
        <w:rPr>
          <w:vertAlign w:val="subscript"/>
        </w:rPr>
        <w:t>2</w:t>
      </w:r>
      <w:r w:rsidR="00057AF7">
        <w:t>, N</w:t>
      </w:r>
      <w:r w:rsidR="00057AF7" w:rsidRPr="00627E59">
        <w:rPr>
          <w:vertAlign w:val="subscript"/>
        </w:rPr>
        <w:t>2</w:t>
      </w:r>
      <w:r w:rsidR="00057AF7">
        <w:t>O, and CH</w:t>
      </w:r>
      <w:r w:rsidR="00057AF7" w:rsidRPr="00627E59">
        <w:rPr>
          <w:vertAlign w:val="subscript"/>
        </w:rPr>
        <w:t>4</w:t>
      </w:r>
      <w:r w:rsidR="00057AF7">
        <w:t xml:space="preserve"> flux estimates and uncertainties by </w:t>
      </w:r>
      <w:r>
        <w:t>T</w:t>
      </w:r>
      <w:r w:rsidR="00057AF7">
        <w:t xml:space="preserve">ier. </w:t>
      </w:r>
      <w:r w:rsidR="000F7AB9">
        <w:t xml:space="preserve">They were asked to </w:t>
      </w:r>
      <w:r w:rsidR="00057AF7">
        <w:t>attribute reported uncertainty across</w:t>
      </w:r>
      <w:r w:rsidR="000F7AB9">
        <w:t xml:space="preserve"> 11 DayCent inputs and</w:t>
      </w:r>
      <w:r w:rsidR="00057AF7">
        <w:t xml:space="preserve"> DayCent processes and </w:t>
      </w:r>
      <w:r w:rsidR="000F7AB9">
        <w:t xml:space="preserve">parameters. To aid responses, each element was hyperlinked to a pop-out box that further elaborated on how that specific element played a role in DayCent calculations and how it could contribute to uncertainty. Respondents were also provided an example to guide their responses: if a participant believed that one of the elements, for example fertilization management, contributed 10% to total uncertainty, they were suggesting that fertilization management </w:t>
      </w:r>
      <w:r w:rsidR="00057AF7">
        <w:t>contributed</w:t>
      </w:r>
      <w:r w:rsidR="000F7AB9">
        <w:t xml:space="preserve"> 8.95 MMT CO</w:t>
      </w:r>
      <w:r w:rsidR="000F7AB9" w:rsidRPr="00627E59">
        <w:rPr>
          <w:vertAlign w:val="subscript"/>
        </w:rPr>
        <w:t>2</w:t>
      </w:r>
      <w:r w:rsidR="000F7AB9">
        <w:t xml:space="preserve">e of the </w:t>
      </w:r>
      <w:r w:rsidR="00057AF7">
        <w:t xml:space="preserve">total </w:t>
      </w:r>
      <w:r w:rsidR="000F7AB9">
        <w:t>Tier 3 89.5 MMT CO</w:t>
      </w:r>
      <w:r w:rsidR="000F7AB9" w:rsidRPr="00081E93">
        <w:rPr>
          <w:vertAlign w:val="subscript"/>
        </w:rPr>
        <w:t>2</w:t>
      </w:r>
      <w:r w:rsidR="000F7AB9">
        <w:t>e 95% confidence interval</w:t>
      </w:r>
      <w:r w:rsidR="00057AF7">
        <w:t xml:space="preserve"> (encompassing all Tier 3 cropland and grassland soil fluxes)</w:t>
      </w:r>
      <w:r w:rsidR="000F7AB9">
        <w:t xml:space="preserve"> in one direction of the mean. We specified that uncertainty </w:t>
      </w:r>
      <w:r w:rsidR="00057AF7">
        <w:t>attribution</w:t>
      </w:r>
      <w:r w:rsidR="000F7AB9">
        <w:t xml:space="preserve"> would be assumed to be symmetric about the mean unless the respondent specified otherwise (none did so). Experts were instructed that the</w:t>
      </w:r>
      <w:r w:rsidR="00057AF7">
        <w:t>ir</w:t>
      </w:r>
      <w:r w:rsidR="000F7AB9">
        <w:t xml:space="preserve"> percentage </w:t>
      </w:r>
      <w:r w:rsidR="00057AF7">
        <w:t xml:space="preserve">attributions </w:t>
      </w:r>
      <w:r w:rsidR="000F7AB9">
        <w:t>were to sum to 100% or less.</w:t>
      </w:r>
    </w:p>
    <w:p w14:paraId="00BF1ADD" w14:textId="02729120" w:rsidR="000F7AB9" w:rsidRDefault="005E4D1E" w:rsidP="000F7AB9">
      <w:r>
        <w:t>In s</w:t>
      </w:r>
      <w:r w:rsidR="000F7AB9">
        <w:t xml:space="preserve">ection 1, </w:t>
      </w:r>
      <w:r>
        <w:t>p</w:t>
      </w:r>
      <w:r w:rsidR="000F7AB9">
        <w:t xml:space="preserve">rompt 2, experts were asked to complete a similar exercise as in </w:t>
      </w:r>
      <w:r>
        <w:t>p</w:t>
      </w:r>
      <w:r w:rsidR="000F7AB9">
        <w:t xml:space="preserve">rompt 1, but for elements that are not included in calculation of the Tier 3 95% confidence interval. Respondents could attribute any percentage to these elements, as long as their estimates reflected the additional uncertainty that </w:t>
      </w:r>
      <w:r w:rsidR="00057AF7">
        <w:t xml:space="preserve">would be reflected in </w:t>
      </w:r>
      <w:r w:rsidR="000F7AB9">
        <w:t xml:space="preserve">the 95% confidence interval, </w:t>
      </w:r>
      <w:r w:rsidR="00057AF7">
        <w:t xml:space="preserve">if that element’s </w:t>
      </w:r>
      <w:r w:rsidR="000F7AB9">
        <w:t xml:space="preserve">true </w:t>
      </w:r>
      <w:r w:rsidR="000F7AB9" w:rsidRPr="003C4985">
        <w:rPr>
          <w:rFonts w:cstheme="minorHAnsi"/>
        </w:rPr>
        <w:t xml:space="preserve">variance </w:t>
      </w:r>
      <w:r w:rsidR="00057AF7">
        <w:rPr>
          <w:rFonts w:cstheme="minorHAnsi"/>
        </w:rPr>
        <w:t xml:space="preserve">had </w:t>
      </w:r>
      <w:r w:rsidR="000F7AB9" w:rsidRPr="003C4985">
        <w:rPr>
          <w:rFonts w:cstheme="minorHAnsi"/>
        </w:rPr>
        <w:t xml:space="preserve">been incorporated into the analysis. Again, </w:t>
      </w:r>
      <w:r w:rsidR="000F7AB9">
        <w:rPr>
          <w:rFonts w:cstheme="minorHAnsi"/>
        </w:rPr>
        <w:t>respondents</w:t>
      </w:r>
      <w:r w:rsidR="000F7AB9" w:rsidRPr="003C4985">
        <w:rPr>
          <w:rFonts w:cstheme="minorHAnsi"/>
        </w:rPr>
        <w:t xml:space="preserve"> were provided an example to guide their responses: </w:t>
      </w:r>
      <w:r w:rsidR="000F7AB9" w:rsidRPr="00661FF7">
        <w:rPr>
          <w:rFonts w:cstheme="minorHAnsi"/>
        </w:rPr>
        <w:t>if a participant believed that</w:t>
      </w:r>
      <w:r w:rsidR="00057AF7">
        <w:rPr>
          <w:rFonts w:cstheme="minorHAnsi"/>
        </w:rPr>
        <w:t>, for example,</w:t>
      </w:r>
      <w:r w:rsidR="000F7AB9" w:rsidRPr="00661FF7">
        <w:rPr>
          <w:rFonts w:cstheme="minorHAnsi"/>
        </w:rPr>
        <w:t xml:space="preserve"> “</w:t>
      </w:r>
      <w:r w:rsidR="000F7AB9">
        <w:rPr>
          <w:rFonts w:cstheme="minorHAnsi"/>
        </w:rPr>
        <w:t>s</w:t>
      </w:r>
      <w:r w:rsidR="000F7AB9" w:rsidRPr="00661FF7">
        <w:rPr>
          <w:rFonts w:cstheme="minorHAnsi"/>
        </w:rPr>
        <w:t xml:space="preserve">oil properties” contributed 10% to the total </w:t>
      </w:r>
      <w:r w:rsidR="000F7AB9" w:rsidRPr="00661FF7">
        <w:rPr>
          <w:rFonts w:cstheme="minorHAnsi"/>
        </w:rPr>
        <w:lastRenderedPageBreak/>
        <w:t xml:space="preserve">uncertainty, this meant it represented an expansion of the </w:t>
      </w:r>
      <w:r w:rsidR="00057AF7">
        <w:rPr>
          <w:rFonts w:cstheme="minorHAnsi"/>
        </w:rPr>
        <w:t xml:space="preserve">reported </w:t>
      </w:r>
      <w:r w:rsidR="000F7AB9" w:rsidRPr="00661FF7">
        <w:rPr>
          <w:rFonts w:cstheme="minorHAnsi"/>
        </w:rPr>
        <w:t>95% confidence interval by 5% (of the mean, in MMT CO</w:t>
      </w:r>
      <w:r w:rsidR="000F7AB9" w:rsidRPr="00661FF7">
        <w:rPr>
          <w:rFonts w:cstheme="minorHAnsi"/>
          <w:bdr w:val="none" w:sz="0" w:space="0" w:color="auto" w:frame="1"/>
          <w:vertAlign w:val="subscript"/>
        </w:rPr>
        <w:t>2</w:t>
      </w:r>
      <w:r w:rsidR="000F7AB9" w:rsidRPr="00661FF7">
        <w:rPr>
          <w:rFonts w:cstheme="minorHAnsi"/>
        </w:rPr>
        <w:t xml:space="preserve">e) in each direction (upper limit and lower limit), </w:t>
      </w:r>
      <w:r w:rsidR="000F7AB9">
        <w:rPr>
          <w:rFonts w:cstheme="minorHAnsi"/>
        </w:rPr>
        <w:t>assuming symmetry</w:t>
      </w:r>
      <w:r w:rsidR="000F7AB9" w:rsidRPr="00661FF7">
        <w:rPr>
          <w:rFonts w:cstheme="minorHAnsi"/>
        </w:rPr>
        <w:t>. </w:t>
      </w:r>
    </w:p>
    <w:p w14:paraId="3E764C01" w14:textId="242E2829" w:rsidR="000F7AB9" w:rsidRDefault="000F7AB9" w:rsidP="000F7AB9">
      <w:r>
        <w:t xml:space="preserve">In </w:t>
      </w:r>
      <w:r w:rsidR="005E4D1E">
        <w:t>s</w:t>
      </w:r>
      <w:r>
        <w:t xml:space="preserve">ection 1, </w:t>
      </w:r>
      <w:r w:rsidR="005E4D1E">
        <w:t>p</w:t>
      </w:r>
      <w:r>
        <w:t>rompt 3, we asked experts to rat</w:t>
      </w:r>
      <w:r w:rsidR="00057AF7">
        <w:t xml:space="preserve">e the importance of the planned and </w:t>
      </w:r>
      <w:r>
        <w:t>suggested improvements</w:t>
      </w:r>
      <w:r w:rsidR="00057AF7">
        <w:t xml:space="preserve"> described in the NGHGI</w:t>
      </w:r>
      <w:r>
        <w:t xml:space="preserve"> </w:t>
      </w:r>
      <w:r w:rsidR="00057AF7">
        <w:t xml:space="preserve">for cropland and </w:t>
      </w:r>
      <w:r>
        <w:t xml:space="preserve">grassland Tier 3 estimates, and their ability to reduce U.S. soil GHG emissions uncertainty or to address omitted fluxes. Experts could select one of five responses – Not important, </w:t>
      </w:r>
      <w:proofErr w:type="gramStart"/>
      <w:r>
        <w:t>Slightly</w:t>
      </w:r>
      <w:proofErr w:type="gramEnd"/>
      <w:r>
        <w:t xml:space="preserve"> important, Important, Very important, and Extremely important – for each planned</w:t>
      </w:r>
      <w:r w:rsidR="00057AF7">
        <w:t xml:space="preserve"> or </w:t>
      </w:r>
      <w:r>
        <w:t>suggested improvement.</w:t>
      </w:r>
    </w:p>
    <w:p w14:paraId="5B4E9349" w14:textId="4B3E506A" w:rsidR="000F7AB9" w:rsidRDefault="005E4D1E" w:rsidP="000F7AB9">
      <w:r>
        <w:t>Survey s</w:t>
      </w:r>
      <w:r w:rsidR="000F7AB9">
        <w:t xml:space="preserve">ection 2 was also divided three prompts, focused on identifying research priorities in 1) primary soil research; 2) soil model development and intermodel comparison; and 3) data needs. Respondents were asked to rank the importance of various research, model development, intermodel comparison, and data generating activities, specifically with regard to reducing uncertainty in national U.S. soil GHG emission estimates. The elements available for ranking in this section were identified through literature review of </w:t>
      </w:r>
      <w:r w:rsidR="007D6D6E">
        <w:t>over 70</w:t>
      </w:r>
      <w:r w:rsidR="000F7AB9">
        <w:t xml:space="preserve"> papers. </w:t>
      </w:r>
    </w:p>
    <w:p w14:paraId="118FE097" w14:textId="2A6AED71" w:rsidR="000F7AB9" w:rsidRDefault="000F7AB9" w:rsidP="00467758">
      <w:r>
        <w:t>A draft of the expert elicitation survey was reviewed by experts that prepare the cropland and grassland NGHGI calculations to ensure accuracy and usefulness</w:t>
      </w:r>
      <w:r w:rsidR="00057AF7">
        <w:t>, and the survey was refined based on their review (U.S. EPA, 2002)</w:t>
      </w:r>
      <w:r>
        <w:t xml:space="preserve">. </w:t>
      </w:r>
    </w:p>
    <w:p w14:paraId="274A59DA" w14:textId="2D029E40" w:rsidR="000F7AB9" w:rsidRDefault="000F7AB9" w:rsidP="00467758">
      <w:r>
        <w:t xml:space="preserve">We also defined the expertise required to participate in the survey (Morgan, 2014). Participation in </w:t>
      </w:r>
      <w:r w:rsidR="005E4D1E">
        <w:t>s</w:t>
      </w:r>
      <w:r>
        <w:t>ection 1 of the survey required knowledge of Century/DayCent or similar biogeochemical soil models and IPCC accounting.</w:t>
      </w:r>
      <w:r w:rsidR="00E91243">
        <w:t xml:space="preserve"> We posit that experts with this knowledge will have a practitioner’s view of the influence of different inputs, parameters, and model components on model outputs, therefore making them suitable candidates for expert elicitation.</w:t>
      </w:r>
      <w:r>
        <w:t xml:space="preserve"> We included a prompt asking experts to confirm that they possessed this knowledge before completing </w:t>
      </w:r>
      <w:r w:rsidR="005E4D1E">
        <w:t>s</w:t>
      </w:r>
      <w:r>
        <w:t xml:space="preserve">ection 1. Any expert in soil science and GHG measurement and accounting was encouraged to complete survey </w:t>
      </w:r>
      <w:r w:rsidR="005E4D1E">
        <w:t>s</w:t>
      </w:r>
      <w:r>
        <w:t>ection 2. In the survey text we stressed that a knowledge of Century/DayCent was not required for this section.</w:t>
      </w:r>
    </w:p>
    <w:p w14:paraId="6002E731" w14:textId="276C4500" w:rsidR="000F7AB9" w:rsidRDefault="000F7AB9" w:rsidP="00467758">
      <w:r>
        <w:t xml:space="preserve">To target suitable experts, </w:t>
      </w:r>
      <w:r>
        <w:t xml:space="preserve">the final survey was distributed through three channels – to the primary authors of </w:t>
      </w:r>
      <w:r w:rsidR="007D6D6E">
        <w:t xml:space="preserve">reviewed </w:t>
      </w:r>
      <w:r>
        <w:t xml:space="preserve">papers, to USDA and EPA scientists that had previously been contacted for this </w:t>
      </w:r>
      <w:r w:rsidR="00057AF7">
        <w:t xml:space="preserve">study </w:t>
      </w:r>
      <w:r>
        <w:t>or that had been listed as contributors to the cropland and grassland section of the NGHGI, and to the listserv of the International Soil Carbon Network</w:t>
      </w:r>
      <w:r w:rsidR="00057AF7">
        <w:t xml:space="preserve"> (ISCN)</w:t>
      </w:r>
      <w:r>
        <w:t xml:space="preserve">. In sum, the survey was sent to 984 people, the majority of which came from the ISCN </w:t>
      </w:r>
      <w:r w:rsidRPr="004777D4">
        <w:t>listserv (</w:t>
      </w:r>
      <w:r w:rsidRPr="00587718">
        <w:t>879</w:t>
      </w:r>
      <w:r>
        <w:t xml:space="preserve"> individuals), who were provided three weeks to complete the survey. Of </w:t>
      </w:r>
      <w:r w:rsidRPr="004777D4">
        <w:t xml:space="preserve">the </w:t>
      </w:r>
      <w:r w:rsidRPr="00587718">
        <w:t>4</w:t>
      </w:r>
      <w:r w:rsidRPr="004777D4">
        <w:t>7 individuals</w:t>
      </w:r>
      <w:r>
        <w:t xml:space="preserve"> </w:t>
      </w:r>
      <w:r w:rsidR="00E074FE">
        <w:t xml:space="preserve">that </w:t>
      </w:r>
      <w:r>
        <w:t xml:space="preserve">clicked into the survey, 19 provided responses. Seven experts completed some or all of </w:t>
      </w:r>
      <w:r w:rsidR="007D6D6E">
        <w:t>s</w:t>
      </w:r>
      <w:r>
        <w:t xml:space="preserve">ection 1 (not all questions required responses), and 19 completed </w:t>
      </w:r>
      <w:r w:rsidR="007D6D6E">
        <w:t>s</w:t>
      </w:r>
      <w:r>
        <w:t xml:space="preserve">ection 2. The 19 that completed </w:t>
      </w:r>
      <w:r w:rsidR="007D6D6E">
        <w:t>s</w:t>
      </w:r>
      <w:r>
        <w:t xml:space="preserve">ection 2 included the seven from </w:t>
      </w:r>
      <w:r w:rsidR="007D6D6E">
        <w:t>s</w:t>
      </w:r>
      <w:r>
        <w:t>ection 1.</w:t>
      </w:r>
    </w:p>
    <w:p w14:paraId="0BDB04B9" w14:textId="3016A5FA" w:rsidR="000F7AB9" w:rsidRPr="00801FD3" w:rsidRDefault="000F7AB9" w:rsidP="000F7AB9">
      <w:r>
        <w:t xml:space="preserve">We hypothesize that </w:t>
      </w:r>
      <w:r w:rsidR="00E074FE">
        <w:t xml:space="preserve">the </w:t>
      </w:r>
      <w:r>
        <w:t xml:space="preserve">low response rate </w:t>
      </w:r>
      <w:r w:rsidR="00E074FE">
        <w:t xml:space="preserve">is due to several </w:t>
      </w:r>
      <w:r>
        <w:t xml:space="preserve">reasons: 1) </w:t>
      </w:r>
      <w:r w:rsidR="00E074FE">
        <w:t xml:space="preserve">Participation in </w:t>
      </w:r>
      <w:r w:rsidR="007D6D6E">
        <w:t>s</w:t>
      </w:r>
      <w:r>
        <w:t xml:space="preserve">ection 1 was </w:t>
      </w:r>
      <w:r w:rsidR="00E074FE">
        <w:t xml:space="preserve">limited to </w:t>
      </w:r>
      <w:r>
        <w:t xml:space="preserve">those with knowledge of Century/DayCent or other similar biogeochemical models, and IPCC accounting were requested to participate; 2) </w:t>
      </w:r>
      <w:r w:rsidR="007D6D6E">
        <w:t>s</w:t>
      </w:r>
      <w:r>
        <w:t>ection 2 was comprehensive and if respondents were not familiar with the breadth of soil science discussed, they may have been deterred from participation; 3) the majority of experts on the primary author list were academics and scientists in other countries, and perhaps were not as invested in providing feedback that would benefit the U.S. NGHGI. Despite this, some consistent themes emerged, particularly around the need for more data and a better understanding of the N</w:t>
      </w:r>
      <w:r w:rsidRPr="00627E59">
        <w:rPr>
          <w:vertAlign w:val="subscript"/>
        </w:rPr>
        <w:t>2</w:t>
      </w:r>
      <w:r>
        <w:t>O cycle.</w:t>
      </w:r>
      <w:r w:rsidR="00E074FE">
        <w:t xml:space="preserve"> </w:t>
      </w:r>
    </w:p>
    <w:p w14:paraId="5EB44AD3" w14:textId="24D3E789" w:rsidR="00467758" w:rsidRDefault="000F7AB9">
      <w:r>
        <w:lastRenderedPageBreak/>
        <w:t>Of those who responded, most had expertise in the fields of soil science (87%), biogeochemistry (6</w:t>
      </w:r>
      <w:r w:rsidR="00206964">
        <w:t>7%), and the carbon cycle (67%);</w:t>
      </w:r>
      <w:r>
        <w:t xml:space="preserve"> 53% worked in academia, followed by 33% in government, and the rem</w:t>
      </w:r>
      <w:r w:rsidR="00446ED5">
        <w:t>ainder in NGO or private sector; 20% had 6-10 years of experience in their field(s) of expertise, 26% had 11-20 years of experience, 40% had 21-30 years of experience, and 13% had 31+ years of experience.</w:t>
      </w:r>
    </w:p>
    <w:p w14:paraId="34A07EDD" w14:textId="49022330" w:rsidR="00051155" w:rsidRDefault="00051155" w:rsidP="00CD3319"/>
    <w:p w14:paraId="7EDA5437" w14:textId="5C6A73B6" w:rsidR="00467758" w:rsidRPr="00195F4D" w:rsidRDefault="00947777">
      <w:pPr>
        <w:pStyle w:val="Heading2"/>
        <w:numPr>
          <w:ilvl w:val="0"/>
          <w:numId w:val="0"/>
        </w:numPr>
        <w:rPr>
          <w:rStyle w:val="Strong"/>
          <w:rFonts w:asciiTheme="minorHAnsi" w:eastAsiaTheme="minorHAnsi" w:hAnsiTheme="minorHAnsi" w:cstheme="minorBidi"/>
          <w:b w:val="0"/>
          <w:color w:val="auto"/>
          <w:sz w:val="22"/>
          <w:szCs w:val="22"/>
        </w:rPr>
      </w:pPr>
      <w:r w:rsidRPr="00195F4D">
        <w:rPr>
          <w:rStyle w:val="Strong"/>
          <w:b w:val="0"/>
        </w:rPr>
        <w:t>Results</w:t>
      </w:r>
    </w:p>
    <w:p w14:paraId="66F65B23" w14:textId="062E85A5" w:rsidR="0066082C" w:rsidRDefault="005E4D1E" w:rsidP="001713A8">
      <w:pPr>
        <w:pStyle w:val="4-Heading"/>
      </w:pPr>
      <w:r>
        <w:t>Survey s</w:t>
      </w:r>
      <w:r w:rsidRPr="00303954">
        <w:t xml:space="preserve">ection </w:t>
      </w:r>
      <w:r w:rsidR="00467758" w:rsidRPr="00303954">
        <w:t>1</w:t>
      </w:r>
    </w:p>
    <w:p w14:paraId="4FC4876C" w14:textId="457F13D9" w:rsidR="001713A8" w:rsidRPr="00CD3319" w:rsidRDefault="001713A8" w:rsidP="009323DC">
      <w:r>
        <w:t xml:space="preserve">The results for </w:t>
      </w:r>
      <w:r w:rsidR="007D6D6E">
        <w:t xml:space="preserve">section </w:t>
      </w:r>
      <w:r>
        <w:t xml:space="preserve">1, </w:t>
      </w:r>
      <w:r w:rsidR="007D6D6E">
        <w:t xml:space="preserve">prompts </w:t>
      </w:r>
      <w:r>
        <w:t>1 and 2 are displayed below in</w:t>
      </w:r>
      <w:r w:rsidRPr="009625BF">
        <w:t xml:space="preserve"> </w:t>
      </w:r>
      <w:r w:rsidR="00051155" w:rsidRPr="00D35EC2">
        <w:fldChar w:fldCharType="begin"/>
      </w:r>
      <w:r w:rsidR="00051155" w:rsidRPr="00051155">
        <w:instrText xml:space="preserve"> REF _Ref4763616 \h  \* MERGEFORMAT </w:instrText>
      </w:r>
      <w:r w:rsidR="00051155" w:rsidRPr="00D35EC2">
        <w:fldChar w:fldCharType="separate"/>
      </w:r>
      <w:r w:rsidR="00051155" w:rsidRPr="003B4036">
        <w:rPr>
          <w:bCs/>
        </w:rPr>
        <w:t xml:space="preserve">Tables </w:t>
      </w:r>
      <w:r w:rsidR="005E4D1E">
        <w:rPr>
          <w:bCs/>
        </w:rPr>
        <w:t>2</w:t>
      </w:r>
      <w:r w:rsidR="00051155" w:rsidRPr="003B4036">
        <w:rPr>
          <w:bCs/>
        </w:rPr>
        <w:t>-15</w:t>
      </w:r>
      <w:r w:rsidR="00051155" w:rsidRPr="00D35EC2">
        <w:fldChar w:fldCharType="end"/>
      </w:r>
      <w:r w:rsidRPr="00825F2D">
        <w:t xml:space="preserve"> and</w:t>
      </w:r>
      <w:r w:rsidR="00051155">
        <w:t xml:space="preserve"> </w:t>
      </w:r>
      <w:r w:rsidR="005E4D1E">
        <w:t>2</w:t>
      </w:r>
      <w:r w:rsidR="00051155">
        <w:t>-16.</w:t>
      </w:r>
      <w:r w:rsidRPr="00825F2D">
        <w:t xml:space="preserve"> </w:t>
      </w:r>
    </w:p>
    <w:p w14:paraId="418C2BFA" w14:textId="208B6DD3" w:rsidR="001713A8" w:rsidRPr="009C49E3" w:rsidRDefault="001713A8" w:rsidP="001713A8">
      <w:pPr>
        <w:pStyle w:val="Caption"/>
        <w:keepNext/>
        <w:rPr>
          <w:b/>
          <w:sz w:val="22"/>
          <w:szCs w:val="22"/>
        </w:rPr>
      </w:pPr>
      <w:r w:rsidRPr="009C49E3">
        <w:rPr>
          <w:b/>
          <w:sz w:val="22"/>
          <w:szCs w:val="22"/>
        </w:rPr>
        <w:t xml:space="preserve">Table </w:t>
      </w:r>
      <w:r w:rsidR="005E4D1E">
        <w:rPr>
          <w:b/>
          <w:sz w:val="22"/>
          <w:szCs w:val="22"/>
        </w:rPr>
        <w:t>2</w:t>
      </w:r>
      <w:r w:rsidR="00AD1E50">
        <w:rPr>
          <w:b/>
          <w:sz w:val="22"/>
          <w:szCs w:val="22"/>
        </w:rPr>
        <w:t>-1</w:t>
      </w:r>
      <w:r w:rsidR="00051155">
        <w:rPr>
          <w:b/>
          <w:sz w:val="22"/>
          <w:szCs w:val="22"/>
        </w:rPr>
        <w:t>5</w:t>
      </w:r>
      <w:r w:rsidRPr="009C49E3">
        <w:rPr>
          <w:b/>
          <w:sz w:val="22"/>
          <w:szCs w:val="22"/>
        </w:rPr>
        <w:t xml:space="preserve">: </w:t>
      </w:r>
      <w:r w:rsidR="00A9645A">
        <w:rPr>
          <w:b/>
          <w:sz w:val="22"/>
          <w:szCs w:val="22"/>
        </w:rPr>
        <w:t xml:space="preserve">RESULTS - </w:t>
      </w:r>
      <w:r w:rsidRPr="009C49E3">
        <w:rPr>
          <w:b/>
          <w:sz w:val="22"/>
          <w:szCs w:val="22"/>
        </w:rPr>
        <w:t>Prompt 1</w:t>
      </w:r>
      <w:r w:rsidR="00825F2D">
        <w:rPr>
          <w:b/>
          <w:sz w:val="22"/>
          <w:szCs w:val="22"/>
        </w:rPr>
        <w:t xml:space="preserve"> responses</w:t>
      </w:r>
      <w:r w:rsidRPr="009C49E3">
        <w:rPr>
          <w:b/>
          <w:sz w:val="22"/>
          <w:szCs w:val="22"/>
        </w:rPr>
        <w:t xml:space="preserve"> –contributors to Tier 3 uncertainty</w:t>
      </w:r>
      <w:r w:rsidR="00A13C30">
        <w:rPr>
          <w:b/>
          <w:sz w:val="22"/>
          <w:szCs w:val="22"/>
        </w:rPr>
        <w:t>, included in reported 95% confidence interval</w:t>
      </w:r>
    </w:p>
    <w:tbl>
      <w:tblPr>
        <w:tblStyle w:val="TableGrid"/>
        <w:tblW w:w="8635" w:type="dxa"/>
        <w:tblLook w:val="04A0" w:firstRow="1" w:lastRow="0" w:firstColumn="1" w:lastColumn="0" w:noHBand="0" w:noVBand="1"/>
      </w:tblPr>
      <w:tblGrid>
        <w:gridCol w:w="1885"/>
        <w:gridCol w:w="2790"/>
        <w:gridCol w:w="1620"/>
        <w:gridCol w:w="1350"/>
        <w:gridCol w:w="990"/>
      </w:tblGrid>
      <w:tr w:rsidR="00206964" w14:paraId="1A22BD9F" w14:textId="77777777" w:rsidTr="000B2554">
        <w:tc>
          <w:tcPr>
            <w:tcW w:w="1885" w:type="dxa"/>
            <w:shd w:val="clear" w:color="auto" w:fill="FFC000"/>
            <w:vAlign w:val="center"/>
          </w:tcPr>
          <w:p w14:paraId="397FE552" w14:textId="77777777" w:rsidR="00057AF7" w:rsidRPr="005E1383" w:rsidRDefault="00057AF7" w:rsidP="00825F2D">
            <w:pPr>
              <w:jc w:val="center"/>
              <w:rPr>
                <w:rFonts w:cstheme="minorHAnsi"/>
                <w:b/>
                <w:sz w:val="18"/>
                <w:szCs w:val="18"/>
              </w:rPr>
            </w:pPr>
            <w:r w:rsidRPr="005E1383">
              <w:rPr>
                <w:rFonts w:cstheme="minorHAnsi"/>
                <w:b/>
                <w:sz w:val="18"/>
                <w:szCs w:val="18"/>
              </w:rPr>
              <w:t>Category</w:t>
            </w:r>
          </w:p>
        </w:tc>
        <w:tc>
          <w:tcPr>
            <w:tcW w:w="2790" w:type="dxa"/>
            <w:shd w:val="clear" w:color="auto" w:fill="FFC000"/>
            <w:vAlign w:val="center"/>
          </w:tcPr>
          <w:p w14:paraId="7A8D49E9" w14:textId="77777777" w:rsidR="00057AF7" w:rsidRPr="005E1383" w:rsidRDefault="00057AF7" w:rsidP="00825F2D">
            <w:pPr>
              <w:jc w:val="center"/>
              <w:rPr>
                <w:rFonts w:cstheme="minorHAnsi"/>
                <w:b/>
                <w:sz w:val="18"/>
                <w:szCs w:val="18"/>
              </w:rPr>
            </w:pPr>
            <w:r w:rsidRPr="005E1383">
              <w:rPr>
                <w:rFonts w:cstheme="minorHAnsi"/>
                <w:b/>
                <w:sz w:val="18"/>
                <w:szCs w:val="18"/>
              </w:rPr>
              <w:t>Element</w:t>
            </w:r>
          </w:p>
        </w:tc>
        <w:tc>
          <w:tcPr>
            <w:tcW w:w="1620" w:type="dxa"/>
            <w:shd w:val="clear" w:color="auto" w:fill="FFC000"/>
            <w:vAlign w:val="center"/>
          </w:tcPr>
          <w:p w14:paraId="195968A8" w14:textId="616B1E94" w:rsidR="00057AF7" w:rsidRPr="005E1383" w:rsidRDefault="00057AF7" w:rsidP="00801FD3">
            <w:pPr>
              <w:jc w:val="center"/>
              <w:rPr>
                <w:rFonts w:cstheme="minorHAnsi"/>
                <w:b/>
                <w:sz w:val="18"/>
                <w:szCs w:val="18"/>
              </w:rPr>
            </w:pPr>
            <w:r>
              <w:rPr>
                <w:rFonts w:cstheme="minorHAnsi"/>
                <w:b/>
                <w:sz w:val="18"/>
                <w:szCs w:val="18"/>
              </w:rPr>
              <w:t>Average c</w:t>
            </w:r>
            <w:r w:rsidRPr="005E1383">
              <w:rPr>
                <w:rFonts w:cstheme="minorHAnsi"/>
                <w:b/>
                <w:sz w:val="18"/>
                <w:szCs w:val="18"/>
              </w:rPr>
              <w:t>ontribution to uncertainty</w:t>
            </w:r>
            <w:r>
              <w:rPr>
                <w:rFonts w:cstheme="minorHAnsi"/>
                <w:b/>
                <w:sz w:val="18"/>
                <w:szCs w:val="18"/>
              </w:rPr>
              <w:t xml:space="preserve"> indicated by respondents (%)</w:t>
            </w:r>
          </w:p>
        </w:tc>
        <w:tc>
          <w:tcPr>
            <w:tcW w:w="1350" w:type="dxa"/>
            <w:shd w:val="clear" w:color="auto" w:fill="FFC000"/>
            <w:vAlign w:val="center"/>
          </w:tcPr>
          <w:p w14:paraId="4CA24B1A" w14:textId="37F4E677" w:rsidR="00057AF7" w:rsidRPr="005E1383" w:rsidRDefault="00057AF7" w:rsidP="00206964">
            <w:pPr>
              <w:jc w:val="center"/>
              <w:rPr>
                <w:rFonts w:cstheme="minorHAnsi"/>
                <w:b/>
                <w:sz w:val="18"/>
                <w:szCs w:val="18"/>
              </w:rPr>
            </w:pPr>
            <w:r>
              <w:rPr>
                <w:rFonts w:cstheme="minorHAnsi"/>
                <w:b/>
                <w:sz w:val="18"/>
                <w:szCs w:val="18"/>
              </w:rPr>
              <w:t>Standard deviation across respondents</w:t>
            </w:r>
          </w:p>
        </w:tc>
        <w:tc>
          <w:tcPr>
            <w:tcW w:w="990" w:type="dxa"/>
            <w:shd w:val="clear" w:color="auto" w:fill="FFC000"/>
            <w:vAlign w:val="center"/>
          </w:tcPr>
          <w:p w14:paraId="1610B5FF" w14:textId="1AF53942" w:rsidR="00057AF7" w:rsidRPr="005E1383" w:rsidRDefault="00057AF7" w:rsidP="00825F2D">
            <w:pPr>
              <w:jc w:val="center"/>
              <w:rPr>
                <w:rFonts w:cstheme="minorHAnsi"/>
                <w:b/>
                <w:sz w:val="18"/>
                <w:szCs w:val="18"/>
              </w:rPr>
            </w:pPr>
            <w:r w:rsidRPr="005E1383">
              <w:rPr>
                <w:rFonts w:cstheme="minorHAnsi"/>
                <w:b/>
                <w:sz w:val="18"/>
                <w:szCs w:val="18"/>
              </w:rPr>
              <w:t># of responses</w:t>
            </w:r>
          </w:p>
        </w:tc>
      </w:tr>
      <w:tr w:rsidR="00206964" w14:paraId="2753CB3C" w14:textId="77777777" w:rsidTr="000B2554">
        <w:tc>
          <w:tcPr>
            <w:tcW w:w="1885" w:type="dxa"/>
          </w:tcPr>
          <w:p w14:paraId="41D14944" w14:textId="174260D4" w:rsidR="00057AF7" w:rsidRPr="005E1383" w:rsidRDefault="00057AF7">
            <w:pPr>
              <w:rPr>
                <w:rFonts w:cstheme="minorHAnsi"/>
                <w:sz w:val="18"/>
                <w:szCs w:val="18"/>
              </w:rPr>
            </w:pPr>
            <w:r w:rsidRPr="005E1383">
              <w:rPr>
                <w:rFonts w:cstheme="minorHAnsi"/>
                <w:sz w:val="18"/>
                <w:szCs w:val="18"/>
              </w:rPr>
              <w:t xml:space="preserve">DayCent </w:t>
            </w:r>
            <w:r>
              <w:rPr>
                <w:rFonts w:cstheme="minorHAnsi"/>
                <w:sz w:val="18"/>
                <w:szCs w:val="18"/>
              </w:rPr>
              <w:t>model structure/parameters</w:t>
            </w:r>
          </w:p>
        </w:tc>
        <w:tc>
          <w:tcPr>
            <w:tcW w:w="2790" w:type="dxa"/>
          </w:tcPr>
          <w:p w14:paraId="14F47AA4" w14:textId="77777777" w:rsidR="00057AF7" w:rsidRPr="005E1383" w:rsidRDefault="00057AF7" w:rsidP="001713A8">
            <w:pPr>
              <w:rPr>
                <w:rFonts w:cstheme="minorHAnsi"/>
                <w:sz w:val="18"/>
                <w:szCs w:val="18"/>
              </w:rPr>
            </w:pPr>
            <w:r w:rsidRPr="005E1383">
              <w:rPr>
                <w:rFonts w:cstheme="minorHAnsi"/>
                <w:sz w:val="18"/>
                <w:szCs w:val="18"/>
              </w:rPr>
              <w:t>Organic matter formation and decomposition</w:t>
            </w:r>
          </w:p>
          <w:p w14:paraId="02119D41" w14:textId="77777777" w:rsidR="00057AF7" w:rsidRPr="005E1383" w:rsidRDefault="00057AF7" w:rsidP="001713A8">
            <w:pPr>
              <w:rPr>
                <w:rFonts w:cstheme="minorHAnsi"/>
                <w:sz w:val="18"/>
                <w:szCs w:val="18"/>
              </w:rPr>
            </w:pPr>
          </w:p>
        </w:tc>
        <w:tc>
          <w:tcPr>
            <w:tcW w:w="1620" w:type="dxa"/>
            <w:vAlign w:val="center"/>
          </w:tcPr>
          <w:p w14:paraId="78CA7883" w14:textId="0B01C159" w:rsidR="00057AF7" w:rsidRPr="005E1383" w:rsidRDefault="00057AF7" w:rsidP="00A13C30">
            <w:pPr>
              <w:jc w:val="center"/>
              <w:rPr>
                <w:rFonts w:cstheme="minorHAnsi"/>
                <w:sz w:val="18"/>
                <w:szCs w:val="18"/>
              </w:rPr>
            </w:pPr>
            <w:r>
              <w:rPr>
                <w:rFonts w:cstheme="minorHAnsi"/>
                <w:sz w:val="18"/>
                <w:szCs w:val="18"/>
              </w:rPr>
              <w:t>17</w:t>
            </w:r>
          </w:p>
        </w:tc>
        <w:tc>
          <w:tcPr>
            <w:tcW w:w="1350" w:type="dxa"/>
            <w:vAlign w:val="center"/>
          </w:tcPr>
          <w:p w14:paraId="614CC5EB" w14:textId="7FCD9D83" w:rsidR="00057AF7" w:rsidRPr="005E1383" w:rsidRDefault="00ED5794" w:rsidP="00801FD3">
            <w:pPr>
              <w:jc w:val="center"/>
              <w:rPr>
                <w:rFonts w:cstheme="minorHAnsi"/>
                <w:sz w:val="18"/>
                <w:szCs w:val="18"/>
              </w:rPr>
            </w:pPr>
            <w:r>
              <w:rPr>
                <w:rFonts w:cstheme="minorHAnsi"/>
                <w:sz w:val="18"/>
                <w:szCs w:val="18"/>
              </w:rPr>
              <w:t>9.1</w:t>
            </w:r>
          </w:p>
        </w:tc>
        <w:tc>
          <w:tcPr>
            <w:tcW w:w="990" w:type="dxa"/>
            <w:vAlign w:val="center"/>
          </w:tcPr>
          <w:p w14:paraId="0A7E38C0" w14:textId="09281225" w:rsidR="00057AF7" w:rsidRPr="005E1383" w:rsidRDefault="00057AF7" w:rsidP="00A13C30">
            <w:pPr>
              <w:jc w:val="center"/>
              <w:rPr>
                <w:rFonts w:cstheme="minorHAnsi"/>
                <w:sz w:val="18"/>
                <w:szCs w:val="18"/>
              </w:rPr>
            </w:pPr>
            <w:r w:rsidRPr="005E1383">
              <w:rPr>
                <w:rFonts w:cstheme="minorHAnsi"/>
                <w:sz w:val="18"/>
                <w:szCs w:val="18"/>
              </w:rPr>
              <w:t>5</w:t>
            </w:r>
          </w:p>
        </w:tc>
      </w:tr>
      <w:tr w:rsidR="00206964" w14:paraId="11A78A8E" w14:textId="77777777" w:rsidTr="000B2554">
        <w:tc>
          <w:tcPr>
            <w:tcW w:w="1885" w:type="dxa"/>
          </w:tcPr>
          <w:p w14:paraId="54A87A16" w14:textId="6889557E" w:rsidR="00057AF7" w:rsidRPr="005E1383" w:rsidRDefault="00057AF7" w:rsidP="001713A8">
            <w:pPr>
              <w:rPr>
                <w:rFonts w:cstheme="minorHAnsi"/>
                <w:sz w:val="18"/>
                <w:szCs w:val="18"/>
              </w:rPr>
            </w:pPr>
            <w:r w:rsidRPr="005E1383">
              <w:rPr>
                <w:rFonts w:cstheme="minorHAnsi"/>
                <w:sz w:val="18"/>
                <w:szCs w:val="18"/>
              </w:rPr>
              <w:t xml:space="preserve">DayCent </w:t>
            </w:r>
            <w:r>
              <w:rPr>
                <w:rFonts w:cstheme="minorHAnsi"/>
                <w:sz w:val="18"/>
                <w:szCs w:val="18"/>
              </w:rPr>
              <w:t>model structure/parameters</w:t>
            </w:r>
          </w:p>
        </w:tc>
        <w:tc>
          <w:tcPr>
            <w:tcW w:w="2790" w:type="dxa"/>
          </w:tcPr>
          <w:p w14:paraId="5E608E29" w14:textId="77777777" w:rsidR="00057AF7" w:rsidRPr="005E1383" w:rsidRDefault="00057AF7" w:rsidP="001713A8">
            <w:pPr>
              <w:rPr>
                <w:rFonts w:cstheme="minorHAnsi"/>
                <w:sz w:val="18"/>
                <w:szCs w:val="18"/>
              </w:rPr>
            </w:pPr>
            <w:r w:rsidRPr="005E1383">
              <w:rPr>
                <w:rFonts w:cstheme="minorHAnsi"/>
                <w:sz w:val="18"/>
                <w:szCs w:val="18"/>
              </w:rPr>
              <w:t>Nitrification and denitrification processes</w:t>
            </w:r>
          </w:p>
          <w:p w14:paraId="393A9183" w14:textId="77777777" w:rsidR="00057AF7" w:rsidRPr="005E1383" w:rsidRDefault="00057AF7" w:rsidP="001713A8">
            <w:pPr>
              <w:rPr>
                <w:rFonts w:cstheme="minorHAnsi"/>
                <w:sz w:val="18"/>
                <w:szCs w:val="18"/>
              </w:rPr>
            </w:pPr>
          </w:p>
        </w:tc>
        <w:tc>
          <w:tcPr>
            <w:tcW w:w="1620" w:type="dxa"/>
            <w:vAlign w:val="center"/>
          </w:tcPr>
          <w:p w14:paraId="16ED2788" w14:textId="42B1A3E5" w:rsidR="00057AF7" w:rsidRPr="005E1383" w:rsidRDefault="00057AF7" w:rsidP="00A13C30">
            <w:pPr>
              <w:jc w:val="center"/>
              <w:rPr>
                <w:rFonts w:cstheme="minorHAnsi"/>
                <w:sz w:val="18"/>
                <w:szCs w:val="18"/>
              </w:rPr>
            </w:pPr>
            <w:r>
              <w:rPr>
                <w:rFonts w:cstheme="minorHAnsi"/>
                <w:sz w:val="18"/>
                <w:szCs w:val="18"/>
              </w:rPr>
              <w:t>16</w:t>
            </w:r>
          </w:p>
        </w:tc>
        <w:tc>
          <w:tcPr>
            <w:tcW w:w="1350" w:type="dxa"/>
            <w:vAlign w:val="center"/>
          </w:tcPr>
          <w:p w14:paraId="2EC840C3" w14:textId="0E20ADDF" w:rsidR="00057AF7" w:rsidRPr="005E1383" w:rsidRDefault="00ED5794" w:rsidP="00801FD3">
            <w:pPr>
              <w:jc w:val="center"/>
              <w:rPr>
                <w:rFonts w:cstheme="minorHAnsi"/>
                <w:sz w:val="18"/>
                <w:szCs w:val="18"/>
              </w:rPr>
            </w:pPr>
            <w:r>
              <w:rPr>
                <w:rFonts w:cstheme="minorHAnsi"/>
                <w:sz w:val="18"/>
                <w:szCs w:val="18"/>
              </w:rPr>
              <w:t>6.5</w:t>
            </w:r>
          </w:p>
        </w:tc>
        <w:tc>
          <w:tcPr>
            <w:tcW w:w="990" w:type="dxa"/>
            <w:vAlign w:val="center"/>
          </w:tcPr>
          <w:p w14:paraId="23125730" w14:textId="5951B637" w:rsidR="00057AF7" w:rsidRPr="005E1383" w:rsidRDefault="00057AF7" w:rsidP="00A13C30">
            <w:pPr>
              <w:jc w:val="center"/>
              <w:rPr>
                <w:rFonts w:cstheme="minorHAnsi"/>
                <w:sz w:val="18"/>
                <w:szCs w:val="18"/>
              </w:rPr>
            </w:pPr>
            <w:r w:rsidRPr="005E1383">
              <w:rPr>
                <w:rFonts w:cstheme="minorHAnsi"/>
                <w:sz w:val="18"/>
                <w:szCs w:val="18"/>
              </w:rPr>
              <w:t>5</w:t>
            </w:r>
          </w:p>
        </w:tc>
      </w:tr>
      <w:tr w:rsidR="00206964" w14:paraId="2F313C08" w14:textId="77777777" w:rsidTr="000B2554">
        <w:tc>
          <w:tcPr>
            <w:tcW w:w="1885" w:type="dxa"/>
          </w:tcPr>
          <w:p w14:paraId="637B3350" w14:textId="77777777" w:rsidR="00057AF7" w:rsidRPr="005E1383" w:rsidRDefault="00057AF7" w:rsidP="001713A8">
            <w:pPr>
              <w:rPr>
                <w:rFonts w:cstheme="minorHAnsi"/>
                <w:sz w:val="18"/>
                <w:szCs w:val="18"/>
              </w:rPr>
            </w:pPr>
            <w:r w:rsidRPr="005E1383">
              <w:rPr>
                <w:rFonts w:cstheme="minorHAnsi"/>
                <w:sz w:val="18"/>
                <w:szCs w:val="18"/>
              </w:rPr>
              <w:t>DayCent inputs</w:t>
            </w:r>
          </w:p>
        </w:tc>
        <w:tc>
          <w:tcPr>
            <w:tcW w:w="2790" w:type="dxa"/>
          </w:tcPr>
          <w:p w14:paraId="086C7A14" w14:textId="77777777" w:rsidR="00057AF7" w:rsidRPr="005E1383" w:rsidRDefault="00057AF7" w:rsidP="001713A8">
            <w:pPr>
              <w:rPr>
                <w:rFonts w:cstheme="minorHAnsi"/>
                <w:sz w:val="18"/>
                <w:szCs w:val="18"/>
              </w:rPr>
            </w:pPr>
            <w:r w:rsidRPr="005E1383">
              <w:rPr>
                <w:rFonts w:cstheme="minorHAnsi"/>
                <w:sz w:val="18"/>
                <w:szCs w:val="18"/>
              </w:rPr>
              <w:t>Manure and other organic fertilizer applications</w:t>
            </w:r>
          </w:p>
          <w:p w14:paraId="449407F7" w14:textId="77777777" w:rsidR="00057AF7" w:rsidRPr="005E1383" w:rsidRDefault="00057AF7" w:rsidP="001713A8">
            <w:pPr>
              <w:rPr>
                <w:rFonts w:cstheme="minorHAnsi"/>
                <w:sz w:val="18"/>
                <w:szCs w:val="18"/>
              </w:rPr>
            </w:pPr>
          </w:p>
        </w:tc>
        <w:tc>
          <w:tcPr>
            <w:tcW w:w="1620" w:type="dxa"/>
            <w:vAlign w:val="center"/>
          </w:tcPr>
          <w:p w14:paraId="7E025921" w14:textId="190F995A" w:rsidR="00057AF7" w:rsidRPr="005E1383" w:rsidRDefault="00057AF7" w:rsidP="00A13C30">
            <w:pPr>
              <w:jc w:val="center"/>
              <w:rPr>
                <w:rFonts w:cstheme="minorHAnsi"/>
                <w:sz w:val="18"/>
                <w:szCs w:val="18"/>
              </w:rPr>
            </w:pPr>
            <w:r w:rsidRPr="005E1383">
              <w:rPr>
                <w:rFonts w:cstheme="minorHAnsi"/>
                <w:sz w:val="18"/>
                <w:szCs w:val="18"/>
              </w:rPr>
              <w:t>1</w:t>
            </w:r>
            <w:r>
              <w:rPr>
                <w:rFonts w:cstheme="minorHAnsi"/>
                <w:sz w:val="18"/>
                <w:szCs w:val="18"/>
              </w:rPr>
              <w:t>5.5</w:t>
            </w:r>
          </w:p>
        </w:tc>
        <w:tc>
          <w:tcPr>
            <w:tcW w:w="1350" w:type="dxa"/>
            <w:vAlign w:val="center"/>
          </w:tcPr>
          <w:p w14:paraId="06993CCC" w14:textId="16BAF132" w:rsidR="00057AF7" w:rsidRPr="005E1383" w:rsidRDefault="00ED5794" w:rsidP="00801FD3">
            <w:pPr>
              <w:jc w:val="center"/>
              <w:rPr>
                <w:rFonts w:cstheme="minorHAnsi"/>
                <w:sz w:val="18"/>
                <w:szCs w:val="18"/>
              </w:rPr>
            </w:pPr>
            <w:r>
              <w:rPr>
                <w:rFonts w:cstheme="minorHAnsi"/>
                <w:sz w:val="18"/>
                <w:szCs w:val="18"/>
              </w:rPr>
              <w:t>10.7</w:t>
            </w:r>
          </w:p>
        </w:tc>
        <w:tc>
          <w:tcPr>
            <w:tcW w:w="990" w:type="dxa"/>
            <w:vAlign w:val="center"/>
          </w:tcPr>
          <w:p w14:paraId="3B22555A" w14:textId="53693814" w:rsidR="00057AF7" w:rsidRPr="005E1383" w:rsidRDefault="00057AF7" w:rsidP="00A13C30">
            <w:pPr>
              <w:jc w:val="center"/>
              <w:rPr>
                <w:rFonts w:cstheme="minorHAnsi"/>
                <w:sz w:val="18"/>
                <w:szCs w:val="18"/>
              </w:rPr>
            </w:pPr>
            <w:r w:rsidRPr="005E1383">
              <w:rPr>
                <w:rFonts w:cstheme="minorHAnsi"/>
                <w:sz w:val="18"/>
                <w:szCs w:val="18"/>
              </w:rPr>
              <w:t>5</w:t>
            </w:r>
          </w:p>
        </w:tc>
      </w:tr>
      <w:tr w:rsidR="00206964" w14:paraId="23CACDE5" w14:textId="77777777" w:rsidTr="000B2554">
        <w:tc>
          <w:tcPr>
            <w:tcW w:w="1885" w:type="dxa"/>
          </w:tcPr>
          <w:p w14:paraId="0ED8CCAF" w14:textId="77777777" w:rsidR="00057AF7" w:rsidRPr="005E1383" w:rsidRDefault="00057AF7" w:rsidP="001713A8">
            <w:pPr>
              <w:rPr>
                <w:rFonts w:cstheme="minorHAnsi"/>
                <w:sz w:val="18"/>
                <w:szCs w:val="18"/>
              </w:rPr>
            </w:pPr>
            <w:r w:rsidRPr="005E1383">
              <w:rPr>
                <w:rFonts w:cstheme="minorHAnsi"/>
                <w:sz w:val="18"/>
                <w:szCs w:val="18"/>
              </w:rPr>
              <w:t>DayCent inputs</w:t>
            </w:r>
          </w:p>
        </w:tc>
        <w:tc>
          <w:tcPr>
            <w:tcW w:w="2790" w:type="dxa"/>
          </w:tcPr>
          <w:p w14:paraId="2E311DE2" w14:textId="77777777" w:rsidR="00057AF7" w:rsidRPr="005E1383" w:rsidRDefault="00057AF7" w:rsidP="001713A8">
            <w:pPr>
              <w:rPr>
                <w:rFonts w:cstheme="minorHAnsi"/>
                <w:sz w:val="18"/>
                <w:szCs w:val="18"/>
              </w:rPr>
            </w:pPr>
            <w:r w:rsidRPr="005E1383">
              <w:rPr>
                <w:rFonts w:cstheme="minorHAnsi"/>
                <w:sz w:val="18"/>
                <w:szCs w:val="18"/>
              </w:rPr>
              <w:t>Tillage (conventional, reduced, no-till)</w:t>
            </w:r>
          </w:p>
          <w:p w14:paraId="2D542572" w14:textId="77777777" w:rsidR="00057AF7" w:rsidRPr="005E1383" w:rsidRDefault="00057AF7" w:rsidP="001713A8">
            <w:pPr>
              <w:rPr>
                <w:rFonts w:cstheme="minorHAnsi"/>
                <w:sz w:val="18"/>
                <w:szCs w:val="18"/>
              </w:rPr>
            </w:pPr>
          </w:p>
        </w:tc>
        <w:tc>
          <w:tcPr>
            <w:tcW w:w="1620" w:type="dxa"/>
            <w:vAlign w:val="center"/>
          </w:tcPr>
          <w:p w14:paraId="102D3EB0" w14:textId="30358BC9" w:rsidR="00057AF7" w:rsidRPr="005E1383" w:rsidRDefault="00057AF7" w:rsidP="00A13C30">
            <w:pPr>
              <w:jc w:val="center"/>
              <w:rPr>
                <w:rFonts w:cstheme="minorHAnsi"/>
                <w:sz w:val="18"/>
                <w:szCs w:val="18"/>
              </w:rPr>
            </w:pPr>
            <w:r>
              <w:rPr>
                <w:rFonts w:cstheme="minorHAnsi"/>
                <w:sz w:val="18"/>
                <w:szCs w:val="18"/>
              </w:rPr>
              <w:t>15.5</w:t>
            </w:r>
          </w:p>
        </w:tc>
        <w:tc>
          <w:tcPr>
            <w:tcW w:w="1350" w:type="dxa"/>
            <w:vAlign w:val="center"/>
          </w:tcPr>
          <w:p w14:paraId="7A6A9103" w14:textId="1F806834" w:rsidR="00057AF7" w:rsidRPr="005E1383" w:rsidRDefault="00ED5794" w:rsidP="00801FD3">
            <w:pPr>
              <w:jc w:val="center"/>
              <w:rPr>
                <w:rFonts w:cstheme="minorHAnsi"/>
                <w:sz w:val="18"/>
                <w:szCs w:val="18"/>
              </w:rPr>
            </w:pPr>
            <w:r>
              <w:rPr>
                <w:rFonts w:cstheme="minorHAnsi"/>
                <w:sz w:val="18"/>
                <w:szCs w:val="18"/>
              </w:rPr>
              <w:t>12.3</w:t>
            </w:r>
          </w:p>
        </w:tc>
        <w:tc>
          <w:tcPr>
            <w:tcW w:w="990" w:type="dxa"/>
            <w:vAlign w:val="center"/>
          </w:tcPr>
          <w:p w14:paraId="32CAA939" w14:textId="3FBE164E" w:rsidR="00057AF7" w:rsidRPr="005E1383" w:rsidRDefault="00057AF7" w:rsidP="00A13C30">
            <w:pPr>
              <w:jc w:val="center"/>
              <w:rPr>
                <w:rFonts w:cstheme="minorHAnsi"/>
                <w:sz w:val="18"/>
                <w:szCs w:val="18"/>
              </w:rPr>
            </w:pPr>
            <w:r w:rsidRPr="005E1383">
              <w:rPr>
                <w:rFonts w:cstheme="minorHAnsi"/>
                <w:sz w:val="18"/>
                <w:szCs w:val="18"/>
              </w:rPr>
              <w:t>5</w:t>
            </w:r>
          </w:p>
        </w:tc>
      </w:tr>
      <w:tr w:rsidR="00206964" w14:paraId="5C6E8430" w14:textId="77777777" w:rsidTr="000B2554">
        <w:tc>
          <w:tcPr>
            <w:tcW w:w="1885" w:type="dxa"/>
          </w:tcPr>
          <w:p w14:paraId="36498A08" w14:textId="77777777" w:rsidR="00057AF7" w:rsidRPr="005E1383" w:rsidRDefault="00057AF7" w:rsidP="001713A8">
            <w:pPr>
              <w:rPr>
                <w:rFonts w:cstheme="minorHAnsi"/>
                <w:sz w:val="18"/>
                <w:szCs w:val="18"/>
              </w:rPr>
            </w:pPr>
            <w:r w:rsidRPr="005E1383">
              <w:rPr>
                <w:rFonts w:cstheme="minorHAnsi"/>
                <w:sz w:val="18"/>
                <w:szCs w:val="18"/>
              </w:rPr>
              <w:t>DayCent inputs</w:t>
            </w:r>
          </w:p>
        </w:tc>
        <w:tc>
          <w:tcPr>
            <w:tcW w:w="2790" w:type="dxa"/>
          </w:tcPr>
          <w:p w14:paraId="3E412574" w14:textId="77777777" w:rsidR="00057AF7" w:rsidRPr="005E1383" w:rsidRDefault="00057AF7" w:rsidP="001713A8">
            <w:pPr>
              <w:rPr>
                <w:rFonts w:cstheme="minorHAnsi"/>
                <w:sz w:val="18"/>
                <w:szCs w:val="18"/>
              </w:rPr>
            </w:pPr>
            <w:r w:rsidRPr="005E1383">
              <w:rPr>
                <w:rFonts w:cstheme="minorHAnsi"/>
                <w:sz w:val="18"/>
                <w:szCs w:val="18"/>
              </w:rPr>
              <w:t>Fertilization management</w:t>
            </w:r>
          </w:p>
        </w:tc>
        <w:tc>
          <w:tcPr>
            <w:tcW w:w="1620" w:type="dxa"/>
            <w:vAlign w:val="center"/>
          </w:tcPr>
          <w:p w14:paraId="6446B718" w14:textId="6F297CC6" w:rsidR="00057AF7" w:rsidRPr="005E1383" w:rsidRDefault="00057AF7" w:rsidP="00A13C30">
            <w:pPr>
              <w:jc w:val="center"/>
              <w:rPr>
                <w:rFonts w:cstheme="minorHAnsi"/>
                <w:sz w:val="18"/>
                <w:szCs w:val="18"/>
              </w:rPr>
            </w:pPr>
            <w:r>
              <w:rPr>
                <w:rFonts w:cstheme="minorHAnsi"/>
                <w:sz w:val="18"/>
                <w:szCs w:val="18"/>
              </w:rPr>
              <w:t>14.5</w:t>
            </w:r>
          </w:p>
        </w:tc>
        <w:tc>
          <w:tcPr>
            <w:tcW w:w="1350" w:type="dxa"/>
            <w:vAlign w:val="center"/>
          </w:tcPr>
          <w:p w14:paraId="690A804D" w14:textId="6DF36406" w:rsidR="00057AF7" w:rsidRPr="005E1383" w:rsidRDefault="004462D2" w:rsidP="00801FD3">
            <w:pPr>
              <w:jc w:val="center"/>
              <w:rPr>
                <w:rFonts w:cstheme="minorHAnsi"/>
                <w:sz w:val="18"/>
                <w:szCs w:val="18"/>
              </w:rPr>
            </w:pPr>
            <w:r>
              <w:rPr>
                <w:rFonts w:cstheme="minorHAnsi"/>
                <w:sz w:val="18"/>
                <w:szCs w:val="18"/>
              </w:rPr>
              <w:t>6.2</w:t>
            </w:r>
          </w:p>
        </w:tc>
        <w:tc>
          <w:tcPr>
            <w:tcW w:w="990" w:type="dxa"/>
            <w:vAlign w:val="center"/>
          </w:tcPr>
          <w:p w14:paraId="07EAF966" w14:textId="654A28C2" w:rsidR="00057AF7" w:rsidRPr="005E1383" w:rsidRDefault="00057AF7" w:rsidP="00A13C30">
            <w:pPr>
              <w:jc w:val="center"/>
              <w:rPr>
                <w:rFonts w:cstheme="minorHAnsi"/>
                <w:sz w:val="18"/>
                <w:szCs w:val="18"/>
              </w:rPr>
            </w:pPr>
            <w:r w:rsidRPr="005E1383">
              <w:rPr>
                <w:rFonts w:cstheme="minorHAnsi"/>
                <w:sz w:val="18"/>
                <w:szCs w:val="18"/>
              </w:rPr>
              <w:t>5</w:t>
            </w:r>
          </w:p>
        </w:tc>
      </w:tr>
      <w:tr w:rsidR="00206964" w14:paraId="28E2039E" w14:textId="77777777" w:rsidTr="000B2554">
        <w:tc>
          <w:tcPr>
            <w:tcW w:w="1885" w:type="dxa"/>
          </w:tcPr>
          <w:p w14:paraId="16D1FFE1" w14:textId="77A1B09E" w:rsidR="00057AF7" w:rsidRPr="005E1383" w:rsidRDefault="00057AF7" w:rsidP="001713A8">
            <w:pPr>
              <w:rPr>
                <w:rFonts w:cstheme="minorHAnsi"/>
                <w:sz w:val="18"/>
                <w:szCs w:val="18"/>
              </w:rPr>
            </w:pPr>
            <w:r w:rsidRPr="005E1383">
              <w:rPr>
                <w:rFonts w:cstheme="minorHAnsi"/>
                <w:sz w:val="18"/>
                <w:szCs w:val="18"/>
              </w:rPr>
              <w:t xml:space="preserve">DayCent </w:t>
            </w:r>
            <w:r>
              <w:rPr>
                <w:rFonts w:cstheme="minorHAnsi"/>
                <w:sz w:val="18"/>
                <w:szCs w:val="18"/>
              </w:rPr>
              <w:t>model structure/parameters</w:t>
            </w:r>
          </w:p>
        </w:tc>
        <w:tc>
          <w:tcPr>
            <w:tcW w:w="2790" w:type="dxa"/>
          </w:tcPr>
          <w:p w14:paraId="1152176F" w14:textId="77777777" w:rsidR="00057AF7" w:rsidRPr="005E1383" w:rsidRDefault="00057AF7" w:rsidP="001713A8">
            <w:pPr>
              <w:rPr>
                <w:rFonts w:cstheme="minorHAnsi"/>
                <w:sz w:val="18"/>
                <w:szCs w:val="18"/>
              </w:rPr>
            </w:pPr>
            <w:r w:rsidRPr="005E1383">
              <w:rPr>
                <w:rFonts w:cstheme="minorHAnsi"/>
                <w:sz w:val="18"/>
                <w:szCs w:val="18"/>
              </w:rPr>
              <w:t>Soil and water temperature regimes by layer</w:t>
            </w:r>
          </w:p>
        </w:tc>
        <w:tc>
          <w:tcPr>
            <w:tcW w:w="1620" w:type="dxa"/>
            <w:vAlign w:val="center"/>
          </w:tcPr>
          <w:p w14:paraId="1559B5C0" w14:textId="3BA8DD21" w:rsidR="00057AF7" w:rsidRPr="005E1383" w:rsidRDefault="00057AF7" w:rsidP="00A13C30">
            <w:pPr>
              <w:jc w:val="center"/>
              <w:rPr>
                <w:rFonts w:cstheme="minorHAnsi"/>
                <w:sz w:val="18"/>
                <w:szCs w:val="18"/>
              </w:rPr>
            </w:pPr>
            <w:r>
              <w:rPr>
                <w:rFonts w:cstheme="minorHAnsi"/>
                <w:sz w:val="18"/>
                <w:szCs w:val="18"/>
              </w:rPr>
              <w:t>10.4</w:t>
            </w:r>
          </w:p>
        </w:tc>
        <w:tc>
          <w:tcPr>
            <w:tcW w:w="1350" w:type="dxa"/>
            <w:vAlign w:val="center"/>
          </w:tcPr>
          <w:p w14:paraId="505ADBFA" w14:textId="2D5139DC" w:rsidR="00057AF7" w:rsidRPr="005E1383" w:rsidRDefault="004462D2" w:rsidP="00801FD3">
            <w:pPr>
              <w:jc w:val="center"/>
              <w:rPr>
                <w:rFonts w:cstheme="minorHAnsi"/>
                <w:sz w:val="18"/>
                <w:szCs w:val="18"/>
              </w:rPr>
            </w:pPr>
            <w:r>
              <w:rPr>
                <w:rFonts w:cstheme="minorHAnsi"/>
                <w:sz w:val="18"/>
                <w:szCs w:val="18"/>
              </w:rPr>
              <w:t>7.3</w:t>
            </w:r>
          </w:p>
        </w:tc>
        <w:tc>
          <w:tcPr>
            <w:tcW w:w="990" w:type="dxa"/>
            <w:vAlign w:val="center"/>
          </w:tcPr>
          <w:p w14:paraId="2D9E319C" w14:textId="52E90468" w:rsidR="00057AF7" w:rsidRPr="005E1383" w:rsidRDefault="00057AF7" w:rsidP="00A13C30">
            <w:pPr>
              <w:jc w:val="center"/>
              <w:rPr>
                <w:rFonts w:cstheme="minorHAnsi"/>
                <w:sz w:val="18"/>
                <w:szCs w:val="18"/>
              </w:rPr>
            </w:pPr>
            <w:r w:rsidRPr="005E1383">
              <w:rPr>
                <w:rFonts w:cstheme="minorHAnsi"/>
                <w:sz w:val="18"/>
                <w:szCs w:val="18"/>
              </w:rPr>
              <w:t>5</w:t>
            </w:r>
          </w:p>
        </w:tc>
      </w:tr>
      <w:tr w:rsidR="00206964" w14:paraId="60D7FE71" w14:textId="77777777" w:rsidTr="000B2554">
        <w:tc>
          <w:tcPr>
            <w:tcW w:w="1885" w:type="dxa"/>
          </w:tcPr>
          <w:p w14:paraId="01B184FE" w14:textId="1101822E" w:rsidR="00057AF7" w:rsidRPr="005E1383" w:rsidRDefault="00057AF7" w:rsidP="001713A8">
            <w:pPr>
              <w:rPr>
                <w:rFonts w:cstheme="minorHAnsi"/>
                <w:sz w:val="18"/>
                <w:szCs w:val="18"/>
              </w:rPr>
            </w:pPr>
            <w:r w:rsidRPr="005E1383">
              <w:rPr>
                <w:rFonts w:cstheme="minorHAnsi"/>
                <w:sz w:val="18"/>
                <w:szCs w:val="18"/>
              </w:rPr>
              <w:t xml:space="preserve">DayCent </w:t>
            </w:r>
            <w:r>
              <w:rPr>
                <w:rFonts w:cstheme="minorHAnsi"/>
                <w:sz w:val="18"/>
                <w:szCs w:val="18"/>
              </w:rPr>
              <w:t>model structure/parameters</w:t>
            </w:r>
          </w:p>
        </w:tc>
        <w:tc>
          <w:tcPr>
            <w:tcW w:w="2790" w:type="dxa"/>
          </w:tcPr>
          <w:p w14:paraId="1247A76B" w14:textId="77777777" w:rsidR="00057AF7" w:rsidRPr="005E1383" w:rsidRDefault="00057AF7" w:rsidP="001713A8">
            <w:pPr>
              <w:rPr>
                <w:rFonts w:cstheme="minorHAnsi"/>
                <w:sz w:val="18"/>
                <w:szCs w:val="18"/>
              </w:rPr>
            </w:pPr>
            <w:r w:rsidRPr="005E1383">
              <w:rPr>
                <w:rFonts w:cstheme="minorHAnsi"/>
                <w:sz w:val="18"/>
                <w:szCs w:val="18"/>
              </w:rPr>
              <w:t>Plant growth and phenology</w:t>
            </w:r>
          </w:p>
        </w:tc>
        <w:tc>
          <w:tcPr>
            <w:tcW w:w="1620" w:type="dxa"/>
            <w:vAlign w:val="center"/>
          </w:tcPr>
          <w:p w14:paraId="61EE6E9E" w14:textId="7B726FF3" w:rsidR="00057AF7" w:rsidRPr="005E1383" w:rsidRDefault="00057AF7" w:rsidP="00A13C30">
            <w:pPr>
              <w:jc w:val="center"/>
              <w:rPr>
                <w:rFonts w:cstheme="minorHAnsi"/>
                <w:sz w:val="18"/>
                <w:szCs w:val="18"/>
              </w:rPr>
            </w:pPr>
            <w:r>
              <w:rPr>
                <w:rFonts w:cstheme="minorHAnsi"/>
                <w:sz w:val="18"/>
                <w:szCs w:val="18"/>
              </w:rPr>
              <w:t>9.5</w:t>
            </w:r>
          </w:p>
        </w:tc>
        <w:tc>
          <w:tcPr>
            <w:tcW w:w="1350" w:type="dxa"/>
            <w:vAlign w:val="center"/>
          </w:tcPr>
          <w:p w14:paraId="05D076DF" w14:textId="2025742E" w:rsidR="00057AF7" w:rsidRPr="005E1383" w:rsidRDefault="004462D2" w:rsidP="00801FD3">
            <w:pPr>
              <w:jc w:val="center"/>
              <w:rPr>
                <w:rFonts w:cstheme="minorHAnsi"/>
                <w:sz w:val="18"/>
                <w:szCs w:val="18"/>
              </w:rPr>
            </w:pPr>
            <w:r>
              <w:rPr>
                <w:rFonts w:cstheme="minorHAnsi"/>
                <w:sz w:val="18"/>
                <w:szCs w:val="18"/>
              </w:rPr>
              <w:t>6.2</w:t>
            </w:r>
          </w:p>
        </w:tc>
        <w:tc>
          <w:tcPr>
            <w:tcW w:w="990" w:type="dxa"/>
            <w:vAlign w:val="center"/>
          </w:tcPr>
          <w:p w14:paraId="13167D77" w14:textId="48B5E9A0" w:rsidR="00057AF7" w:rsidRPr="005E1383" w:rsidRDefault="00057AF7" w:rsidP="00A13C30">
            <w:pPr>
              <w:jc w:val="center"/>
              <w:rPr>
                <w:rFonts w:cstheme="minorHAnsi"/>
                <w:sz w:val="18"/>
                <w:szCs w:val="18"/>
              </w:rPr>
            </w:pPr>
            <w:r w:rsidRPr="005E1383">
              <w:rPr>
                <w:rFonts w:cstheme="minorHAnsi"/>
                <w:sz w:val="18"/>
                <w:szCs w:val="18"/>
              </w:rPr>
              <w:t>5</w:t>
            </w:r>
          </w:p>
        </w:tc>
      </w:tr>
      <w:tr w:rsidR="00206964" w14:paraId="6CB613AA" w14:textId="77777777" w:rsidTr="000B2554">
        <w:tc>
          <w:tcPr>
            <w:tcW w:w="1885" w:type="dxa"/>
          </w:tcPr>
          <w:p w14:paraId="59492870" w14:textId="77777777" w:rsidR="00057AF7" w:rsidRPr="005E1383" w:rsidRDefault="00057AF7" w:rsidP="001713A8">
            <w:pPr>
              <w:rPr>
                <w:rFonts w:cstheme="minorHAnsi"/>
                <w:sz w:val="18"/>
                <w:szCs w:val="18"/>
              </w:rPr>
            </w:pPr>
            <w:r w:rsidRPr="005E1383">
              <w:rPr>
                <w:rFonts w:cstheme="minorHAnsi"/>
                <w:sz w:val="18"/>
                <w:szCs w:val="18"/>
              </w:rPr>
              <w:t>DayCent inputs</w:t>
            </w:r>
          </w:p>
        </w:tc>
        <w:tc>
          <w:tcPr>
            <w:tcW w:w="2790" w:type="dxa"/>
          </w:tcPr>
          <w:p w14:paraId="66A14666" w14:textId="77777777" w:rsidR="00057AF7" w:rsidRPr="005E1383" w:rsidRDefault="00057AF7" w:rsidP="001713A8">
            <w:pPr>
              <w:rPr>
                <w:rFonts w:cstheme="minorHAnsi"/>
                <w:sz w:val="18"/>
                <w:szCs w:val="18"/>
              </w:rPr>
            </w:pPr>
            <w:r w:rsidRPr="005E1383">
              <w:rPr>
                <w:rFonts w:cstheme="minorHAnsi"/>
                <w:sz w:val="18"/>
                <w:szCs w:val="18"/>
              </w:rPr>
              <w:t>Enhanced Vegetation Index (EVI) data</w:t>
            </w:r>
          </w:p>
        </w:tc>
        <w:tc>
          <w:tcPr>
            <w:tcW w:w="1620" w:type="dxa"/>
            <w:vAlign w:val="center"/>
          </w:tcPr>
          <w:p w14:paraId="54169E9B" w14:textId="0C054493" w:rsidR="00057AF7" w:rsidRPr="005E1383" w:rsidRDefault="00057AF7" w:rsidP="00A13C30">
            <w:pPr>
              <w:jc w:val="center"/>
              <w:rPr>
                <w:rFonts w:cstheme="minorHAnsi"/>
                <w:sz w:val="18"/>
                <w:szCs w:val="18"/>
              </w:rPr>
            </w:pPr>
            <w:r>
              <w:rPr>
                <w:rFonts w:cstheme="minorHAnsi"/>
                <w:sz w:val="18"/>
                <w:szCs w:val="18"/>
              </w:rPr>
              <w:t>7.7</w:t>
            </w:r>
          </w:p>
        </w:tc>
        <w:tc>
          <w:tcPr>
            <w:tcW w:w="1350" w:type="dxa"/>
            <w:vAlign w:val="center"/>
          </w:tcPr>
          <w:p w14:paraId="53674CDE" w14:textId="57E6D895" w:rsidR="00057AF7" w:rsidRPr="005E1383" w:rsidRDefault="004462D2" w:rsidP="00801FD3">
            <w:pPr>
              <w:jc w:val="center"/>
              <w:rPr>
                <w:rFonts w:cstheme="minorHAnsi"/>
                <w:sz w:val="18"/>
                <w:szCs w:val="18"/>
              </w:rPr>
            </w:pPr>
            <w:r>
              <w:rPr>
                <w:rFonts w:cstheme="minorHAnsi"/>
                <w:sz w:val="18"/>
                <w:szCs w:val="18"/>
              </w:rPr>
              <w:t>5.8</w:t>
            </w:r>
          </w:p>
        </w:tc>
        <w:tc>
          <w:tcPr>
            <w:tcW w:w="990" w:type="dxa"/>
            <w:vAlign w:val="center"/>
          </w:tcPr>
          <w:p w14:paraId="02CF7B33" w14:textId="296CF106" w:rsidR="00057AF7" w:rsidRPr="005E1383" w:rsidRDefault="00057AF7" w:rsidP="00A13C30">
            <w:pPr>
              <w:jc w:val="center"/>
              <w:rPr>
                <w:rFonts w:cstheme="minorHAnsi"/>
                <w:sz w:val="18"/>
                <w:szCs w:val="18"/>
              </w:rPr>
            </w:pPr>
            <w:r w:rsidRPr="005E1383">
              <w:rPr>
                <w:rFonts w:cstheme="minorHAnsi"/>
                <w:sz w:val="18"/>
                <w:szCs w:val="18"/>
              </w:rPr>
              <w:t>5</w:t>
            </w:r>
          </w:p>
        </w:tc>
      </w:tr>
      <w:tr w:rsidR="00206964" w14:paraId="72B9865E" w14:textId="77777777" w:rsidTr="000B2554">
        <w:tc>
          <w:tcPr>
            <w:tcW w:w="1885" w:type="dxa"/>
          </w:tcPr>
          <w:p w14:paraId="201D4D2F" w14:textId="01EBDE08" w:rsidR="00057AF7" w:rsidRPr="005E1383" w:rsidRDefault="00057AF7" w:rsidP="001713A8">
            <w:pPr>
              <w:rPr>
                <w:rFonts w:cstheme="minorHAnsi"/>
                <w:sz w:val="18"/>
                <w:szCs w:val="18"/>
              </w:rPr>
            </w:pPr>
            <w:r w:rsidRPr="005E1383">
              <w:rPr>
                <w:rFonts w:cstheme="minorHAnsi"/>
                <w:sz w:val="18"/>
                <w:szCs w:val="18"/>
              </w:rPr>
              <w:t xml:space="preserve">DayCent </w:t>
            </w:r>
            <w:r>
              <w:rPr>
                <w:rFonts w:cstheme="minorHAnsi"/>
                <w:sz w:val="18"/>
                <w:szCs w:val="18"/>
              </w:rPr>
              <w:t>model structure/parameters</w:t>
            </w:r>
          </w:p>
        </w:tc>
        <w:tc>
          <w:tcPr>
            <w:tcW w:w="2790" w:type="dxa"/>
          </w:tcPr>
          <w:p w14:paraId="1F26C830" w14:textId="77777777" w:rsidR="00057AF7" w:rsidRPr="005E1383" w:rsidRDefault="00057AF7" w:rsidP="001713A8">
            <w:pPr>
              <w:rPr>
                <w:rFonts w:cstheme="minorHAnsi"/>
                <w:sz w:val="18"/>
                <w:szCs w:val="18"/>
              </w:rPr>
            </w:pPr>
            <w:r w:rsidRPr="005E1383">
              <w:rPr>
                <w:rFonts w:cstheme="minorHAnsi"/>
                <w:sz w:val="18"/>
                <w:szCs w:val="18"/>
              </w:rPr>
              <w:t>Methanogenesis</w:t>
            </w:r>
          </w:p>
        </w:tc>
        <w:tc>
          <w:tcPr>
            <w:tcW w:w="1620" w:type="dxa"/>
            <w:vAlign w:val="center"/>
          </w:tcPr>
          <w:p w14:paraId="2DDA9130" w14:textId="2DD57E60" w:rsidR="00057AF7" w:rsidRPr="005E1383" w:rsidRDefault="00057AF7" w:rsidP="00A13C30">
            <w:pPr>
              <w:jc w:val="center"/>
              <w:rPr>
                <w:rFonts w:cstheme="minorHAnsi"/>
                <w:sz w:val="18"/>
                <w:szCs w:val="18"/>
              </w:rPr>
            </w:pPr>
            <w:r>
              <w:rPr>
                <w:rFonts w:cstheme="minorHAnsi"/>
                <w:sz w:val="18"/>
                <w:szCs w:val="18"/>
              </w:rPr>
              <w:t>5.9</w:t>
            </w:r>
          </w:p>
        </w:tc>
        <w:tc>
          <w:tcPr>
            <w:tcW w:w="1350" w:type="dxa"/>
            <w:vAlign w:val="center"/>
          </w:tcPr>
          <w:p w14:paraId="48FAE305" w14:textId="4E0FBE18" w:rsidR="00057AF7" w:rsidRPr="005E1383" w:rsidRDefault="004462D2" w:rsidP="00801FD3">
            <w:pPr>
              <w:jc w:val="center"/>
              <w:rPr>
                <w:rFonts w:cstheme="minorHAnsi"/>
                <w:sz w:val="18"/>
                <w:szCs w:val="18"/>
              </w:rPr>
            </w:pPr>
            <w:r>
              <w:rPr>
                <w:rFonts w:cstheme="minorHAnsi"/>
                <w:sz w:val="18"/>
                <w:szCs w:val="18"/>
              </w:rPr>
              <w:t>3.9</w:t>
            </w:r>
          </w:p>
        </w:tc>
        <w:tc>
          <w:tcPr>
            <w:tcW w:w="990" w:type="dxa"/>
            <w:vAlign w:val="center"/>
          </w:tcPr>
          <w:p w14:paraId="3500974F" w14:textId="3CFCCABF" w:rsidR="00057AF7" w:rsidRPr="005E1383" w:rsidRDefault="00057AF7" w:rsidP="00A13C30">
            <w:pPr>
              <w:jc w:val="center"/>
              <w:rPr>
                <w:rFonts w:cstheme="minorHAnsi"/>
                <w:sz w:val="18"/>
                <w:szCs w:val="18"/>
              </w:rPr>
            </w:pPr>
            <w:r w:rsidRPr="005E1383">
              <w:rPr>
                <w:rFonts w:cstheme="minorHAnsi"/>
                <w:sz w:val="18"/>
                <w:szCs w:val="18"/>
              </w:rPr>
              <w:t>5</w:t>
            </w:r>
          </w:p>
        </w:tc>
      </w:tr>
      <w:tr w:rsidR="00206964" w14:paraId="3723C36C" w14:textId="77777777" w:rsidTr="000B2554">
        <w:tc>
          <w:tcPr>
            <w:tcW w:w="1885" w:type="dxa"/>
          </w:tcPr>
          <w:p w14:paraId="5264A7BA" w14:textId="77777777" w:rsidR="00057AF7" w:rsidRPr="005E1383" w:rsidRDefault="00057AF7" w:rsidP="001713A8">
            <w:pPr>
              <w:rPr>
                <w:rFonts w:cstheme="minorHAnsi"/>
                <w:sz w:val="18"/>
                <w:szCs w:val="18"/>
              </w:rPr>
            </w:pPr>
            <w:r w:rsidRPr="005E1383">
              <w:rPr>
                <w:rFonts w:cstheme="minorHAnsi"/>
                <w:sz w:val="18"/>
                <w:szCs w:val="18"/>
              </w:rPr>
              <w:t>Other</w:t>
            </w:r>
          </w:p>
        </w:tc>
        <w:tc>
          <w:tcPr>
            <w:tcW w:w="2790" w:type="dxa"/>
          </w:tcPr>
          <w:p w14:paraId="7A8373D7" w14:textId="77777777" w:rsidR="00057AF7" w:rsidRPr="005E1383" w:rsidRDefault="00057AF7" w:rsidP="001713A8">
            <w:pPr>
              <w:rPr>
                <w:rFonts w:cstheme="minorHAnsi"/>
                <w:sz w:val="18"/>
                <w:szCs w:val="18"/>
              </w:rPr>
            </w:pPr>
            <w:r w:rsidRPr="005E1383">
              <w:rPr>
                <w:rFonts w:cstheme="minorHAnsi"/>
                <w:sz w:val="18"/>
                <w:szCs w:val="18"/>
              </w:rPr>
              <w:t>Surrogate data</w:t>
            </w:r>
          </w:p>
        </w:tc>
        <w:tc>
          <w:tcPr>
            <w:tcW w:w="1620" w:type="dxa"/>
            <w:vAlign w:val="center"/>
          </w:tcPr>
          <w:p w14:paraId="2000072D" w14:textId="1C58AF9F" w:rsidR="00057AF7" w:rsidRPr="005E1383" w:rsidRDefault="00057AF7" w:rsidP="00A13C30">
            <w:pPr>
              <w:jc w:val="center"/>
              <w:rPr>
                <w:rFonts w:cstheme="minorHAnsi"/>
                <w:sz w:val="18"/>
                <w:szCs w:val="18"/>
              </w:rPr>
            </w:pPr>
            <w:r>
              <w:rPr>
                <w:rFonts w:cstheme="minorHAnsi"/>
                <w:sz w:val="18"/>
                <w:szCs w:val="18"/>
              </w:rPr>
              <w:t>4.7</w:t>
            </w:r>
          </w:p>
        </w:tc>
        <w:tc>
          <w:tcPr>
            <w:tcW w:w="1350" w:type="dxa"/>
            <w:vAlign w:val="center"/>
          </w:tcPr>
          <w:p w14:paraId="5585840A" w14:textId="4CFC831F" w:rsidR="00057AF7" w:rsidRPr="005E1383" w:rsidRDefault="004462D2" w:rsidP="00801FD3">
            <w:pPr>
              <w:jc w:val="center"/>
              <w:rPr>
                <w:rFonts w:cstheme="minorHAnsi"/>
                <w:sz w:val="18"/>
                <w:szCs w:val="18"/>
              </w:rPr>
            </w:pPr>
            <w:r>
              <w:rPr>
                <w:rFonts w:cstheme="minorHAnsi"/>
                <w:sz w:val="18"/>
                <w:szCs w:val="18"/>
              </w:rPr>
              <w:t>4.6</w:t>
            </w:r>
          </w:p>
        </w:tc>
        <w:tc>
          <w:tcPr>
            <w:tcW w:w="990" w:type="dxa"/>
            <w:vAlign w:val="center"/>
          </w:tcPr>
          <w:p w14:paraId="3C201DCB" w14:textId="5BE4044A" w:rsidR="00057AF7" w:rsidRPr="005E1383" w:rsidRDefault="00057AF7" w:rsidP="00A13C30">
            <w:pPr>
              <w:jc w:val="center"/>
              <w:rPr>
                <w:rFonts w:cstheme="minorHAnsi"/>
                <w:sz w:val="18"/>
                <w:szCs w:val="18"/>
              </w:rPr>
            </w:pPr>
            <w:r w:rsidRPr="005E1383">
              <w:rPr>
                <w:rFonts w:cstheme="minorHAnsi"/>
                <w:sz w:val="18"/>
                <w:szCs w:val="18"/>
              </w:rPr>
              <w:t>5</w:t>
            </w:r>
          </w:p>
        </w:tc>
      </w:tr>
      <w:tr w:rsidR="00206964" w14:paraId="11AA4CB0" w14:textId="77777777" w:rsidTr="000B2554">
        <w:tc>
          <w:tcPr>
            <w:tcW w:w="1885" w:type="dxa"/>
          </w:tcPr>
          <w:p w14:paraId="720CD56E" w14:textId="77777777" w:rsidR="00057AF7" w:rsidRPr="005E1383" w:rsidRDefault="00057AF7" w:rsidP="001713A8">
            <w:pPr>
              <w:rPr>
                <w:rFonts w:cstheme="minorHAnsi"/>
                <w:sz w:val="18"/>
                <w:szCs w:val="18"/>
              </w:rPr>
            </w:pPr>
            <w:r w:rsidRPr="005E1383">
              <w:rPr>
                <w:rFonts w:cstheme="minorHAnsi"/>
                <w:sz w:val="18"/>
                <w:szCs w:val="18"/>
              </w:rPr>
              <w:t>Other</w:t>
            </w:r>
          </w:p>
        </w:tc>
        <w:tc>
          <w:tcPr>
            <w:tcW w:w="2790" w:type="dxa"/>
          </w:tcPr>
          <w:p w14:paraId="7164DCF0" w14:textId="77777777" w:rsidR="00057AF7" w:rsidRPr="005E1383" w:rsidRDefault="00057AF7" w:rsidP="001713A8">
            <w:pPr>
              <w:rPr>
                <w:rFonts w:cstheme="minorHAnsi"/>
                <w:sz w:val="18"/>
                <w:szCs w:val="18"/>
              </w:rPr>
            </w:pPr>
            <w:r w:rsidRPr="005E1383">
              <w:rPr>
                <w:rFonts w:cstheme="minorHAnsi"/>
                <w:sz w:val="18"/>
                <w:szCs w:val="18"/>
              </w:rPr>
              <w:t>Expansion factors</w:t>
            </w:r>
          </w:p>
        </w:tc>
        <w:tc>
          <w:tcPr>
            <w:tcW w:w="1620" w:type="dxa"/>
            <w:vAlign w:val="center"/>
          </w:tcPr>
          <w:p w14:paraId="457CC651" w14:textId="3327D411" w:rsidR="00057AF7" w:rsidRPr="005E1383" w:rsidRDefault="00057AF7" w:rsidP="00A13C30">
            <w:pPr>
              <w:jc w:val="center"/>
              <w:rPr>
                <w:rFonts w:cstheme="minorHAnsi"/>
                <w:sz w:val="18"/>
                <w:szCs w:val="18"/>
              </w:rPr>
            </w:pPr>
            <w:r>
              <w:rPr>
                <w:rFonts w:cstheme="minorHAnsi"/>
                <w:sz w:val="18"/>
                <w:szCs w:val="18"/>
              </w:rPr>
              <w:t>2</w:t>
            </w:r>
            <w:r w:rsidR="004462D2">
              <w:rPr>
                <w:rFonts w:cstheme="minorHAnsi"/>
                <w:sz w:val="18"/>
                <w:szCs w:val="18"/>
              </w:rPr>
              <w:t>.0</w:t>
            </w:r>
          </w:p>
        </w:tc>
        <w:tc>
          <w:tcPr>
            <w:tcW w:w="1350" w:type="dxa"/>
            <w:vAlign w:val="center"/>
          </w:tcPr>
          <w:p w14:paraId="48ED1D6D" w14:textId="19FF502B" w:rsidR="00057AF7" w:rsidRPr="005E1383" w:rsidRDefault="004462D2" w:rsidP="00801FD3">
            <w:pPr>
              <w:jc w:val="center"/>
              <w:rPr>
                <w:rFonts w:cstheme="minorHAnsi"/>
                <w:sz w:val="18"/>
                <w:szCs w:val="18"/>
              </w:rPr>
            </w:pPr>
            <w:r>
              <w:rPr>
                <w:rFonts w:cstheme="minorHAnsi"/>
                <w:sz w:val="18"/>
                <w:szCs w:val="18"/>
              </w:rPr>
              <w:t>1.0</w:t>
            </w:r>
          </w:p>
        </w:tc>
        <w:tc>
          <w:tcPr>
            <w:tcW w:w="990" w:type="dxa"/>
            <w:vAlign w:val="center"/>
          </w:tcPr>
          <w:p w14:paraId="5ED0F740" w14:textId="7E2768D1" w:rsidR="00057AF7" w:rsidRPr="005E1383" w:rsidRDefault="00057AF7" w:rsidP="00A13C30">
            <w:pPr>
              <w:jc w:val="center"/>
              <w:rPr>
                <w:rFonts w:cstheme="minorHAnsi"/>
                <w:sz w:val="18"/>
                <w:szCs w:val="18"/>
              </w:rPr>
            </w:pPr>
            <w:r w:rsidRPr="005E1383">
              <w:rPr>
                <w:rFonts w:cstheme="minorHAnsi"/>
                <w:sz w:val="18"/>
                <w:szCs w:val="18"/>
              </w:rPr>
              <w:t>5</w:t>
            </w:r>
          </w:p>
        </w:tc>
      </w:tr>
    </w:tbl>
    <w:p w14:paraId="6203AD74" w14:textId="77777777" w:rsidR="00A13C30" w:rsidRDefault="00A13C30" w:rsidP="00825F2D">
      <w:pPr>
        <w:pStyle w:val="Caption"/>
        <w:keepNext/>
        <w:rPr>
          <w:b/>
          <w:sz w:val="22"/>
          <w:szCs w:val="22"/>
        </w:rPr>
      </w:pPr>
      <w:bookmarkStart w:id="182" w:name="_Ref4763611"/>
    </w:p>
    <w:p w14:paraId="14788D35" w14:textId="77777777" w:rsidR="00652BD5" w:rsidRDefault="00652BD5" w:rsidP="00652BD5"/>
    <w:p w14:paraId="6FCDD76F" w14:textId="77777777" w:rsidR="00652BD5" w:rsidRPr="00652BD5" w:rsidRDefault="00652BD5" w:rsidP="00652BD5"/>
    <w:p w14:paraId="03604215" w14:textId="65994396" w:rsidR="00825F2D" w:rsidRPr="009C49E3" w:rsidRDefault="00825F2D" w:rsidP="00825F2D">
      <w:pPr>
        <w:pStyle w:val="Caption"/>
        <w:keepNext/>
        <w:rPr>
          <w:b/>
          <w:sz w:val="22"/>
          <w:szCs w:val="22"/>
        </w:rPr>
      </w:pPr>
      <w:r w:rsidRPr="009C49E3">
        <w:rPr>
          <w:b/>
          <w:sz w:val="22"/>
          <w:szCs w:val="22"/>
        </w:rPr>
        <w:lastRenderedPageBreak/>
        <w:t xml:space="preserve">Table </w:t>
      </w:r>
      <w:bookmarkEnd w:id="182"/>
      <w:r w:rsidR="005E4D1E">
        <w:rPr>
          <w:b/>
          <w:sz w:val="22"/>
          <w:szCs w:val="22"/>
        </w:rPr>
        <w:t>2</w:t>
      </w:r>
      <w:r w:rsidR="00AD1E50">
        <w:rPr>
          <w:b/>
          <w:sz w:val="22"/>
          <w:szCs w:val="22"/>
        </w:rPr>
        <w:t>-1</w:t>
      </w:r>
      <w:r w:rsidR="00051155">
        <w:rPr>
          <w:b/>
          <w:sz w:val="22"/>
          <w:szCs w:val="22"/>
        </w:rPr>
        <w:t>6</w:t>
      </w:r>
      <w:r w:rsidRPr="009C49E3">
        <w:rPr>
          <w:b/>
          <w:sz w:val="22"/>
          <w:szCs w:val="22"/>
        </w:rPr>
        <w:t>:</w:t>
      </w:r>
      <w:r w:rsidR="00A9645A">
        <w:rPr>
          <w:b/>
          <w:sz w:val="22"/>
          <w:szCs w:val="22"/>
        </w:rPr>
        <w:t xml:space="preserve"> RESULTS -</w:t>
      </w:r>
      <w:r w:rsidRPr="009C49E3">
        <w:rPr>
          <w:b/>
          <w:sz w:val="22"/>
          <w:szCs w:val="22"/>
        </w:rPr>
        <w:t xml:space="preserve"> Prompt 2</w:t>
      </w:r>
      <w:r>
        <w:rPr>
          <w:b/>
          <w:sz w:val="22"/>
          <w:szCs w:val="22"/>
        </w:rPr>
        <w:t xml:space="preserve"> responses</w:t>
      </w:r>
      <w:r w:rsidRPr="009C49E3">
        <w:rPr>
          <w:b/>
          <w:sz w:val="22"/>
          <w:szCs w:val="22"/>
        </w:rPr>
        <w:t xml:space="preserve"> –contributors to Tier 3 uncertainty</w:t>
      </w:r>
      <w:r>
        <w:rPr>
          <w:b/>
          <w:sz w:val="22"/>
          <w:szCs w:val="22"/>
        </w:rPr>
        <w:t xml:space="preserve">, not included in reported 95% </w:t>
      </w:r>
      <w:r w:rsidR="00A13C30">
        <w:rPr>
          <w:b/>
          <w:sz w:val="22"/>
          <w:szCs w:val="22"/>
        </w:rPr>
        <w:t>confidence interval</w:t>
      </w:r>
    </w:p>
    <w:tbl>
      <w:tblPr>
        <w:tblStyle w:val="TableGrid"/>
        <w:tblW w:w="8635" w:type="dxa"/>
        <w:tblLayout w:type="fixed"/>
        <w:tblLook w:val="04A0" w:firstRow="1" w:lastRow="0" w:firstColumn="1" w:lastColumn="0" w:noHBand="0" w:noVBand="1"/>
      </w:tblPr>
      <w:tblGrid>
        <w:gridCol w:w="1885"/>
        <w:gridCol w:w="1530"/>
        <w:gridCol w:w="1260"/>
        <w:gridCol w:w="1620"/>
        <w:gridCol w:w="1350"/>
        <w:gridCol w:w="990"/>
      </w:tblGrid>
      <w:tr w:rsidR="00206964" w14:paraId="5F6946E9" w14:textId="77777777" w:rsidTr="00206964">
        <w:tc>
          <w:tcPr>
            <w:tcW w:w="1885" w:type="dxa"/>
            <w:shd w:val="clear" w:color="auto" w:fill="FFC000"/>
            <w:vAlign w:val="center"/>
          </w:tcPr>
          <w:p w14:paraId="0D97304B" w14:textId="70885E0F" w:rsidR="00ED5794" w:rsidRDefault="00ED5794">
            <w:pPr>
              <w:jc w:val="center"/>
              <w:rPr>
                <w:rFonts w:cstheme="minorHAnsi"/>
                <w:b/>
                <w:sz w:val="18"/>
                <w:szCs w:val="18"/>
              </w:rPr>
            </w:pPr>
            <w:r w:rsidRPr="005E1383">
              <w:rPr>
                <w:rFonts w:cstheme="minorHAnsi"/>
                <w:b/>
                <w:sz w:val="18"/>
                <w:szCs w:val="18"/>
              </w:rPr>
              <w:t>Category</w:t>
            </w:r>
          </w:p>
        </w:tc>
        <w:tc>
          <w:tcPr>
            <w:tcW w:w="1530" w:type="dxa"/>
            <w:shd w:val="clear" w:color="auto" w:fill="FFC000"/>
            <w:vAlign w:val="center"/>
          </w:tcPr>
          <w:p w14:paraId="04AD5A9A" w14:textId="436F5F4A" w:rsidR="00ED5794" w:rsidRPr="005E1383" w:rsidRDefault="00ED5794" w:rsidP="00D35EC2">
            <w:pPr>
              <w:jc w:val="center"/>
              <w:rPr>
                <w:rFonts w:cstheme="minorHAnsi"/>
                <w:b/>
                <w:sz w:val="18"/>
                <w:szCs w:val="18"/>
              </w:rPr>
            </w:pPr>
            <w:r>
              <w:rPr>
                <w:rFonts w:cstheme="minorHAnsi"/>
                <w:b/>
                <w:sz w:val="18"/>
                <w:szCs w:val="18"/>
              </w:rPr>
              <w:t>Land use c</w:t>
            </w:r>
            <w:r w:rsidRPr="005E1383">
              <w:rPr>
                <w:rFonts w:cstheme="minorHAnsi"/>
                <w:b/>
                <w:sz w:val="18"/>
                <w:szCs w:val="18"/>
              </w:rPr>
              <w:t>ategory</w:t>
            </w:r>
          </w:p>
        </w:tc>
        <w:tc>
          <w:tcPr>
            <w:tcW w:w="1260" w:type="dxa"/>
            <w:shd w:val="clear" w:color="auto" w:fill="FFC000"/>
            <w:vAlign w:val="center"/>
          </w:tcPr>
          <w:p w14:paraId="097989C2" w14:textId="77777777" w:rsidR="00ED5794" w:rsidRPr="005E1383" w:rsidRDefault="00ED5794" w:rsidP="00825F2D">
            <w:pPr>
              <w:jc w:val="center"/>
              <w:rPr>
                <w:rFonts w:cstheme="minorHAnsi"/>
                <w:b/>
                <w:sz w:val="18"/>
                <w:szCs w:val="18"/>
              </w:rPr>
            </w:pPr>
            <w:r w:rsidRPr="005E1383">
              <w:rPr>
                <w:rFonts w:cstheme="minorHAnsi"/>
                <w:b/>
                <w:sz w:val="18"/>
                <w:szCs w:val="18"/>
              </w:rPr>
              <w:t>Element</w:t>
            </w:r>
          </w:p>
        </w:tc>
        <w:tc>
          <w:tcPr>
            <w:tcW w:w="1620" w:type="dxa"/>
            <w:shd w:val="clear" w:color="auto" w:fill="FFC000"/>
            <w:vAlign w:val="center"/>
          </w:tcPr>
          <w:p w14:paraId="16A699B7" w14:textId="6A281BA8" w:rsidR="00ED5794" w:rsidRPr="005E1383" w:rsidRDefault="00ED5794" w:rsidP="00825F2D">
            <w:pPr>
              <w:jc w:val="center"/>
              <w:rPr>
                <w:rFonts w:cstheme="minorHAnsi"/>
                <w:b/>
                <w:sz w:val="18"/>
                <w:szCs w:val="18"/>
              </w:rPr>
            </w:pPr>
            <w:r>
              <w:rPr>
                <w:rFonts w:cstheme="minorHAnsi"/>
                <w:b/>
                <w:sz w:val="18"/>
                <w:szCs w:val="18"/>
              </w:rPr>
              <w:t>Average c</w:t>
            </w:r>
            <w:r w:rsidRPr="005E1383">
              <w:rPr>
                <w:rFonts w:cstheme="minorHAnsi"/>
                <w:b/>
                <w:sz w:val="18"/>
                <w:szCs w:val="18"/>
              </w:rPr>
              <w:t>ontribution to uncertainty</w:t>
            </w:r>
            <w:r>
              <w:rPr>
                <w:rFonts w:cstheme="minorHAnsi"/>
                <w:b/>
                <w:sz w:val="18"/>
                <w:szCs w:val="18"/>
              </w:rPr>
              <w:t xml:space="preserve"> indicated by respondents (%)</w:t>
            </w:r>
          </w:p>
        </w:tc>
        <w:tc>
          <w:tcPr>
            <w:tcW w:w="1350" w:type="dxa"/>
            <w:shd w:val="clear" w:color="auto" w:fill="FFC000"/>
          </w:tcPr>
          <w:p w14:paraId="210656F1" w14:textId="378DCED1" w:rsidR="00ED5794" w:rsidRPr="005E1383" w:rsidRDefault="00ED5794" w:rsidP="00825F2D">
            <w:pPr>
              <w:jc w:val="center"/>
              <w:rPr>
                <w:rFonts w:cstheme="minorHAnsi"/>
                <w:b/>
                <w:sz w:val="18"/>
                <w:szCs w:val="18"/>
              </w:rPr>
            </w:pPr>
            <w:r>
              <w:rPr>
                <w:rFonts w:cstheme="minorHAnsi"/>
                <w:b/>
                <w:sz w:val="18"/>
                <w:szCs w:val="18"/>
              </w:rPr>
              <w:t>Standard deviation across respondents</w:t>
            </w:r>
          </w:p>
        </w:tc>
        <w:tc>
          <w:tcPr>
            <w:tcW w:w="990" w:type="dxa"/>
            <w:shd w:val="clear" w:color="auto" w:fill="FFC000"/>
            <w:vAlign w:val="center"/>
          </w:tcPr>
          <w:p w14:paraId="1063CAD7" w14:textId="2D5495DF" w:rsidR="00ED5794" w:rsidRPr="005E1383" w:rsidRDefault="00ED5794" w:rsidP="00825F2D">
            <w:pPr>
              <w:jc w:val="center"/>
              <w:rPr>
                <w:rFonts w:cstheme="minorHAnsi"/>
                <w:b/>
                <w:sz w:val="18"/>
                <w:szCs w:val="18"/>
              </w:rPr>
            </w:pPr>
            <w:r w:rsidRPr="005E1383">
              <w:rPr>
                <w:rFonts w:cstheme="minorHAnsi"/>
                <w:b/>
                <w:sz w:val="18"/>
                <w:szCs w:val="18"/>
              </w:rPr>
              <w:t># of responses</w:t>
            </w:r>
          </w:p>
        </w:tc>
      </w:tr>
      <w:tr w:rsidR="00206964" w14:paraId="6B8DD124" w14:textId="77777777" w:rsidTr="00206964">
        <w:tc>
          <w:tcPr>
            <w:tcW w:w="1885" w:type="dxa"/>
            <w:vAlign w:val="center"/>
          </w:tcPr>
          <w:p w14:paraId="1E232267" w14:textId="1670C159" w:rsidR="00ED5794" w:rsidRPr="005E1383" w:rsidRDefault="00ED5794">
            <w:pPr>
              <w:rPr>
                <w:rFonts w:cstheme="minorHAnsi"/>
                <w:sz w:val="18"/>
                <w:szCs w:val="18"/>
              </w:rPr>
            </w:pPr>
            <w:r w:rsidRPr="005E1383">
              <w:rPr>
                <w:rFonts w:cstheme="minorHAnsi"/>
                <w:sz w:val="18"/>
                <w:szCs w:val="18"/>
              </w:rPr>
              <w:t>DayCent inputs</w:t>
            </w:r>
          </w:p>
        </w:tc>
        <w:tc>
          <w:tcPr>
            <w:tcW w:w="1530" w:type="dxa"/>
          </w:tcPr>
          <w:p w14:paraId="64D24A4F" w14:textId="1FB9EDC6" w:rsidR="00ED5794" w:rsidRPr="005E1383" w:rsidRDefault="00ED5794" w:rsidP="00206964">
            <w:pPr>
              <w:rPr>
                <w:rFonts w:cstheme="minorHAnsi"/>
                <w:sz w:val="18"/>
                <w:szCs w:val="18"/>
              </w:rPr>
            </w:pPr>
            <w:r w:rsidRPr="005E1383">
              <w:rPr>
                <w:rFonts w:cstheme="minorHAnsi"/>
                <w:sz w:val="18"/>
                <w:szCs w:val="18"/>
              </w:rPr>
              <w:t xml:space="preserve">All land use and </w:t>
            </w:r>
            <w:r w:rsidR="00206964">
              <w:rPr>
                <w:rFonts w:cstheme="minorHAnsi"/>
                <w:sz w:val="18"/>
                <w:szCs w:val="18"/>
              </w:rPr>
              <w:t>inventory</w:t>
            </w:r>
            <w:r w:rsidRPr="005E1383">
              <w:rPr>
                <w:rFonts w:cstheme="minorHAnsi"/>
                <w:sz w:val="18"/>
                <w:szCs w:val="18"/>
              </w:rPr>
              <w:t xml:space="preserve"> categories</w:t>
            </w:r>
          </w:p>
        </w:tc>
        <w:tc>
          <w:tcPr>
            <w:tcW w:w="1260" w:type="dxa"/>
          </w:tcPr>
          <w:p w14:paraId="7279A797" w14:textId="77777777" w:rsidR="00ED5794" w:rsidRPr="005E1383" w:rsidRDefault="00ED5794" w:rsidP="001713A8">
            <w:pPr>
              <w:rPr>
                <w:rFonts w:cstheme="minorHAnsi"/>
                <w:sz w:val="18"/>
                <w:szCs w:val="18"/>
              </w:rPr>
            </w:pPr>
            <w:r w:rsidRPr="005E1383">
              <w:rPr>
                <w:rFonts w:cstheme="minorHAnsi"/>
                <w:sz w:val="18"/>
                <w:szCs w:val="18"/>
              </w:rPr>
              <w:t>Soil properties</w:t>
            </w:r>
          </w:p>
        </w:tc>
        <w:tc>
          <w:tcPr>
            <w:tcW w:w="1620" w:type="dxa"/>
            <w:vAlign w:val="center"/>
          </w:tcPr>
          <w:p w14:paraId="401F4577" w14:textId="54D565A0" w:rsidR="00ED5794" w:rsidRPr="005E1383" w:rsidRDefault="00ED5794" w:rsidP="00A13C30">
            <w:pPr>
              <w:jc w:val="center"/>
              <w:rPr>
                <w:rFonts w:cstheme="minorHAnsi"/>
                <w:sz w:val="18"/>
                <w:szCs w:val="18"/>
              </w:rPr>
            </w:pPr>
            <w:r>
              <w:rPr>
                <w:rFonts w:cstheme="minorHAnsi"/>
                <w:sz w:val="18"/>
                <w:szCs w:val="18"/>
              </w:rPr>
              <w:t>17.5</w:t>
            </w:r>
          </w:p>
        </w:tc>
        <w:tc>
          <w:tcPr>
            <w:tcW w:w="1350" w:type="dxa"/>
            <w:vAlign w:val="center"/>
          </w:tcPr>
          <w:p w14:paraId="03F626CD" w14:textId="5643F0AE" w:rsidR="00ED5794" w:rsidRPr="005E1383" w:rsidRDefault="00ED5794" w:rsidP="00801FD3">
            <w:pPr>
              <w:jc w:val="center"/>
              <w:rPr>
                <w:rFonts w:cstheme="minorHAnsi"/>
                <w:sz w:val="18"/>
                <w:szCs w:val="18"/>
              </w:rPr>
            </w:pPr>
            <w:r>
              <w:rPr>
                <w:rFonts w:cstheme="minorHAnsi"/>
                <w:sz w:val="18"/>
                <w:szCs w:val="18"/>
              </w:rPr>
              <w:t>8.7</w:t>
            </w:r>
          </w:p>
        </w:tc>
        <w:tc>
          <w:tcPr>
            <w:tcW w:w="990" w:type="dxa"/>
            <w:vAlign w:val="center"/>
          </w:tcPr>
          <w:p w14:paraId="0AB8B895" w14:textId="0B42279B" w:rsidR="00ED5794" w:rsidRPr="005E1383" w:rsidRDefault="00ED5794" w:rsidP="00A13C30">
            <w:pPr>
              <w:jc w:val="center"/>
              <w:rPr>
                <w:rFonts w:cstheme="minorHAnsi"/>
                <w:sz w:val="18"/>
                <w:szCs w:val="18"/>
              </w:rPr>
            </w:pPr>
            <w:r w:rsidRPr="005E1383">
              <w:rPr>
                <w:rFonts w:cstheme="minorHAnsi"/>
                <w:sz w:val="18"/>
                <w:szCs w:val="18"/>
              </w:rPr>
              <w:t>5</w:t>
            </w:r>
          </w:p>
        </w:tc>
      </w:tr>
      <w:tr w:rsidR="00206964" w14:paraId="6477AAC2" w14:textId="77777777" w:rsidTr="00206964">
        <w:tc>
          <w:tcPr>
            <w:tcW w:w="1885" w:type="dxa"/>
          </w:tcPr>
          <w:p w14:paraId="1B3F968D" w14:textId="15558F21" w:rsidR="00ED5794" w:rsidRPr="00A13C30" w:rsidRDefault="00ED5794" w:rsidP="001713A8">
            <w:pPr>
              <w:rPr>
                <w:rFonts w:cstheme="minorHAnsi"/>
                <w:i/>
                <w:sz w:val="18"/>
                <w:szCs w:val="18"/>
              </w:rPr>
            </w:pPr>
            <w:r w:rsidRPr="005E1383">
              <w:rPr>
                <w:rFonts w:cstheme="minorHAnsi"/>
                <w:sz w:val="18"/>
                <w:szCs w:val="18"/>
              </w:rPr>
              <w:t xml:space="preserve">DayCent </w:t>
            </w:r>
            <w:r>
              <w:rPr>
                <w:rFonts w:cstheme="minorHAnsi"/>
                <w:sz w:val="18"/>
                <w:szCs w:val="18"/>
              </w:rPr>
              <w:t>model structure/parameters, inputs</w:t>
            </w:r>
          </w:p>
        </w:tc>
        <w:tc>
          <w:tcPr>
            <w:tcW w:w="1530" w:type="dxa"/>
          </w:tcPr>
          <w:p w14:paraId="3A9D47F1" w14:textId="4D371318" w:rsidR="00ED5794" w:rsidRPr="005E1383" w:rsidRDefault="00ED5794">
            <w:pPr>
              <w:rPr>
                <w:rFonts w:cstheme="minorHAnsi"/>
                <w:sz w:val="18"/>
                <w:szCs w:val="18"/>
              </w:rPr>
            </w:pPr>
            <w:r w:rsidRPr="00A13C30">
              <w:rPr>
                <w:rFonts w:cstheme="minorHAnsi"/>
                <w:i/>
                <w:sz w:val="18"/>
                <w:szCs w:val="18"/>
              </w:rPr>
              <w:t>Cropland Remaining Cropland</w:t>
            </w:r>
            <w:r>
              <w:rPr>
                <w:rFonts w:cstheme="minorHAnsi"/>
                <w:i/>
                <w:sz w:val="18"/>
                <w:szCs w:val="18"/>
              </w:rPr>
              <w:t>;</w:t>
            </w:r>
            <w:r w:rsidRPr="005E1383">
              <w:rPr>
                <w:rFonts w:cstheme="minorHAnsi"/>
                <w:sz w:val="18"/>
                <w:szCs w:val="18"/>
              </w:rPr>
              <w:t xml:space="preserve"> </w:t>
            </w:r>
            <w:r w:rsidRPr="00A13C30">
              <w:rPr>
                <w:rFonts w:cstheme="minorHAnsi"/>
                <w:i/>
                <w:sz w:val="18"/>
                <w:szCs w:val="18"/>
              </w:rPr>
              <w:t>Land Converted to Cropland</w:t>
            </w:r>
          </w:p>
        </w:tc>
        <w:tc>
          <w:tcPr>
            <w:tcW w:w="1260" w:type="dxa"/>
          </w:tcPr>
          <w:p w14:paraId="3EDDB7C0" w14:textId="77777777" w:rsidR="00ED5794" w:rsidRPr="005E1383" w:rsidRDefault="00ED5794" w:rsidP="001713A8">
            <w:pPr>
              <w:rPr>
                <w:rFonts w:cstheme="minorHAnsi"/>
                <w:sz w:val="18"/>
                <w:szCs w:val="18"/>
              </w:rPr>
            </w:pPr>
            <w:r w:rsidRPr="005E1383">
              <w:rPr>
                <w:rFonts w:cstheme="minorHAnsi"/>
                <w:sz w:val="18"/>
                <w:szCs w:val="18"/>
              </w:rPr>
              <w:t>Leaching, runoff, and volatilization</w:t>
            </w:r>
          </w:p>
        </w:tc>
        <w:tc>
          <w:tcPr>
            <w:tcW w:w="1620" w:type="dxa"/>
            <w:vAlign w:val="center"/>
          </w:tcPr>
          <w:p w14:paraId="5ADF1A5D" w14:textId="73CD8933" w:rsidR="00ED5794" w:rsidRPr="005E1383" w:rsidRDefault="00ED5794" w:rsidP="00A13C30">
            <w:pPr>
              <w:jc w:val="center"/>
              <w:rPr>
                <w:rFonts w:cstheme="minorHAnsi"/>
                <w:sz w:val="18"/>
                <w:szCs w:val="18"/>
              </w:rPr>
            </w:pPr>
            <w:r>
              <w:rPr>
                <w:rFonts w:cstheme="minorHAnsi"/>
                <w:sz w:val="18"/>
                <w:szCs w:val="18"/>
              </w:rPr>
              <w:t>16</w:t>
            </w:r>
          </w:p>
        </w:tc>
        <w:tc>
          <w:tcPr>
            <w:tcW w:w="1350" w:type="dxa"/>
            <w:vAlign w:val="center"/>
          </w:tcPr>
          <w:p w14:paraId="1AC0C13F" w14:textId="78307AFB" w:rsidR="00ED5794" w:rsidRPr="005E1383" w:rsidRDefault="004462D2" w:rsidP="00801FD3">
            <w:pPr>
              <w:jc w:val="center"/>
              <w:rPr>
                <w:rFonts w:cstheme="minorHAnsi"/>
                <w:sz w:val="18"/>
                <w:szCs w:val="18"/>
              </w:rPr>
            </w:pPr>
            <w:r>
              <w:rPr>
                <w:rFonts w:cstheme="minorHAnsi"/>
                <w:sz w:val="18"/>
                <w:szCs w:val="18"/>
              </w:rPr>
              <w:t>6.2</w:t>
            </w:r>
          </w:p>
        </w:tc>
        <w:tc>
          <w:tcPr>
            <w:tcW w:w="990" w:type="dxa"/>
            <w:vAlign w:val="center"/>
          </w:tcPr>
          <w:p w14:paraId="3C0344EA" w14:textId="153B3083" w:rsidR="00ED5794" w:rsidRPr="005E1383" w:rsidRDefault="00ED5794" w:rsidP="00A13C30">
            <w:pPr>
              <w:jc w:val="center"/>
              <w:rPr>
                <w:rFonts w:cstheme="minorHAnsi"/>
                <w:sz w:val="18"/>
                <w:szCs w:val="18"/>
              </w:rPr>
            </w:pPr>
            <w:r w:rsidRPr="005E1383">
              <w:rPr>
                <w:rFonts w:cstheme="minorHAnsi"/>
                <w:sz w:val="18"/>
                <w:szCs w:val="18"/>
              </w:rPr>
              <w:t>5</w:t>
            </w:r>
          </w:p>
        </w:tc>
      </w:tr>
      <w:tr w:rsidR="00206964" w14:paraId="40C2EE06" w14:textId="77777777" w:rsidTr="00206964">
        <w:tc>
          <w:tcPr>
            <w:tcW w:w="1885" w:type="dxa"/>
          </w:tcPr>
          <w:p w14:paraId="41237A31" w14:textId="0DA6AEBD" w:rsidR="00ED5794" w:rsidRPr="00A13C30" w:rsidRDefault="00ED5794" w:rsidP="001713A8">
            <w:pPr>
              <w:rPr>
                <w:rFonts w:cstheme="minorHAnsi"/>
                <w:i/>
                <w:sz w:val="18"/>
                <w:szCs w:val="18"/>
              </w:rPr>
            </w:pPr>
            <w:r w:rsidRPr="005E1383">
              <w:rPr>
                <w:rFonts w:cstheme="minorHAnsi"/>
                <w:sz w:val="18"/>
                <w:szCs w:val="18"/>
              </w:rPr>
              <w:t>DayCent inputs</w:t>
            </w:r>
          </w:p>
        </w:tc>
        <w:tc>
          <w:tcPr>
            <w:tcW w:w="1530" w:type="dxa"/>
          </w:tcPr>
          <w:p w14:paraId="5DDEC7F1" w14:textId="717F711E" w:rsidR="00ED5794" w:rsidRPr="00A13C30" w:rsidRDefault="00ED5794" w:rsidP="001713A8">
            <w:pPr>
              <w:rPr>
                <w:rFonts w:cstheme="minorHAnsi"/>
                <w:i/>
                <w:sz w:val="18"/>
                <w:szCs w:val="18"/>
              </w:rPr>
            </w:pPr>
            <w:r w:rsidRPr="00A13C30">
              <w:rPr>
                <w:rFonts w:cstheme="minorHAnsi"/>
                <w:i/>
                <w:sz w:val="18"/>
                <w:szCs w:val="18"/>
              </w:rPr>
              <w:t>Grassland Remaining Grassland</w:t>
            </w:r>
          </w:p>
        </w:tc>
        <w:tc>
          <w:tcPr>
            <w:tcW w:w="1260" w:type="dxa"/>
          </w:tcPr>
          <w:p w14:paraId="46A93EDE" w14:textId="77777777" w:rsidR="00ED5794" w:rsidRPr="005E1383" w:rsidRDefault="00ED5794" w:rsidP="001713A8">
            <w:pPr>
              <w:rPr>
                <w:rFonts w:cstheme="minorHAnsi"/>
                <w:sz w:val="18"/>
                <w:szCs w:val="18"/>
              </w:rPr>
            </w:pPr>
            <w:r w:rsidRPr="005E1383">
              <w:rPr>
                <w:rFonts w:cstheme="minorHAnsi"/>
                <w:sz w:val="18"/>
                <w:szCs w:val="18"/>
              </w:rPr>
              <w:t>Grazing intensity</w:t>
            </w:r>
          </w:p>
        </w:tc>
        <w:tc>
          <w:tcPr>
            <w:tcW w:w="1620" w:type="dxa"/>
            <w:vAlign w:val="center"/>
          </w:tcPr>
          <w:p w14:paraId="65DDAE14" w14:textId="5F27CF10" w:rsidR="00ED5794" w:rsidRPr="005E1383" w:rsidRDefault="00ED5794" w:rsidP="00A13C30">
            <w:pPr>
              <w:jc w:val="center"/>
              <w:rPr>
                <w:rFonts w:cstheme="minorHAnsi"/>
                <w:sz w:val="18"/>
                <w:szCs w:val="18"/>
              </w:rPr>
            </w:pPr>
            <w:r>
              <w:rPr>
                <w:rFonts w:cstheme="minorHAnsi"/>
                <w:sz w:val="18"/>
                <w:szCs w:val="18"/>
              </w:rPr>
              <w:t>8.5</w:t>
            </w:r>
          </w:p>
        </w:tc>
        <w:tc>
          <w:tcPr>
            <w:tcW w:w="1350" w:type="dxa"/>
            <w:vAlign w:val="center"/>
          </w:tcPr>
          <w:p w14:paraId="0D54BBCD" w14:textId="2C256F33" w:rsidR="00ED5794" w:rsidRPr="005E1383" w:rsidRDefault="004462D2" w:rsidP="00801FD3">
            <w:pPr>
              <w:jc w:val="center"/>
              <w:rPr>
                <w:rFonts w:cstheme="minorHAnsi"/>
                <w:sz w:val="18"/>
                <w:szCs w:val="18"/>
              </w:rPr>
            </w:pPr>
            <w:r>
              <w:rPr>
                <w:rFonts w:cstheme="minorHAnsi"/>
                <w:sz w:val="18"/>
                <w:szCs w:val="18"/>
              </w:rPr>
              <w:t>3.0</w:t>
            </w:r>
          </w:p>
        </w:tc>
        <w:tc>
          <w:tcPr>
            <w:tcW w:w="990" w:type="dxa"/>
            <w:vAlign w:val="center"/>
          </w:tcPr>
          <w:p w14:paraId="046C1088" w14:textId="6FC25571" w:rsidR="00ED5794" w:rsidRPr="005E1383" w:rsidRDefault="00ED5794" w:rsidP="00A13C30">
            <w:pPr>
              <w:jc w:val="center"/>
              <w:rPr>
                <w:rFonts w:cstheme="minorHAnsi"/>
                <w:sz w:val="18"/>
                <w:szCs w:val="18"/>
              </w:rPr>
            </w:pPr>
            <w:r w:rsidRPr="005E1383">
              <w:rPr>
                <w:rFonts w:cstheme="minorHAnsi"/>
                <w:sz w:val="18"/>
                <w:szCs w:val="18"/>
              </w:rPr>
              <w:t>5</w:t>
            </w:r>
          </w:p>
        </w:tc>
      </w:tr>
      <w:tr w:rsidR="00206964" w14:paraId="0220952A" w14:textId="77777777" w:rsidTr="00206964">
        <w:tc>
          <w:tcPr>
            <w:tcW w:w="1885" w:type="dxa"/>
          </w:tcPr>
          <w:p w14:paraId="4ED5E36B" w14:textId="7A928D69" w:rsidR="00ED5794" w:rsidRPr="00A13C30" w:rsidRDefault="00ED5794" w:rsidP="001713A8">
            <w:pPr>
              <w:rPr>
                <w:rFonts w:cstheme="minorHAnsi"/>
                <w:i/>
                <w:sz w:val="18"/>
                <w:szCs w:val="18"/>
              </w:rPr>
            </w:pPr>
            <w:r w:rsidRPr="005E1383">
              <w:rPr>
                <w:rFonts w:cstheme="minorHAnsi"/>
                <w:sz w:val="18"/>
                <w:szCs w:val="18"/>
              </w:rPr>
              <w:t>DayCent inputs</w:t>
            </w:r>
          </w:p>
        </w:tc>
        <w:tc>
          <w:tcPr>
            <w:tcW w:w="1530" w:type="dxa"/>
          </w:tcPr>
          <w:p w14:paraId="11323400" w14:textId="09139208" w:rsidR="00ED5794" w:rsidRPr="005E1383" w:rsidRDefault="00ED5794" w:rsidP="001713A8">
            <w:pPr>
              <w:rPr>
                <w:rFonts w:cstheme="minorHAnsi"/>
                <w:sz w:val="18"/>
                <w:szCs w:val="18"/>
              </w:rPr>
            </w:pPr>
            <w:r w:rsidRPr="00A13C30">
              <w:rPr>
                <w:rFonts w:cstheme="minorHAnsi"/>
                <w:i/>
                <w:sz w:val="18"/>
                <w:szCs w:val="18"/>
              </w:rPr>
              <w:t>Cropland Remaining Cropland</w:t>
            </w:r>
            <w:r w:rsidRPr="005E1383">
              <w:rPr>
                <w:rFonts w:cstheme="minorHAnsi"/>
                <w:sz w:val="18"/>
                <w:szCs w:val="18"/>
              </w:rPr>
              <w:t xml:space="preserve"> and </w:t>
            </w:r>
            <w:r w:rsidRPr="00A13C30">
              <w:rPr>
                <w:rFonts w:cstheme="minorHAnsi"/>
                <w:i/>
                <w:sz w:val="18"/>
                <w:szCs w:val="18"/>
              </w:rPr>
              <w:t>Land Converted to Cropland</w:t>
            </w:r>
          </w:p>
        </w:tc>
        <w:tc>
          <w:tcPr>
            <w:tcW w:w="1260" w:type="dxa"/>
          </w:tcPr>
          <w:p w14:paraId="4E0192FB" w14:textId="77777777" w:rsidR="00ED5794" w:rsidRPr="005E1383" w:rsidRDefault="00ED5794" w:rsidP="001713A8">
            <w:pPr>
              <w:rPr>
                <w:rFonts w:cstheme="minorHAnsi"/>
                <w:sz w:val="18"/>
                <w:szCs w:val="18"/>
              </w:rPr>
            </w:pPr>
            <w:r w:rsidRPr="005E1383">
              <w:rPr>
                <w:rFonts w:cstheme="minorHAnsi"/>
                <w:sz w:val="18"/>
                <w:szCs w:val="18"/>
              </w:rPr>
              <w:t>Irrigation</w:t>
            </w:r>
          </w:p>
          <w:p w14:paraId="2D707CC1" w14:textId="77777777" w:rsidR="00ED5794" w:rsidRPr="005E1383" w:rsidRDefault="00ED5794" w:rsidP="001713A8">
            <w:pPr>
              <w:rPr>
                <w:rFonts w:cstheme="minorHAnsi"/>
                <w:sz w:val="18"/>
                <w:szCs w:val="18"/>
              </w:rPr>
            </w:pPr>
          </w:p>
        </w:tc>
        <w:tc>
          <w:tcPr>
            <w:tcW w:w="1620" w:type="dxa"/>
            <w:vAlign w:val="center"/>
          </w:tcPr>
          <w:p w14:paraId="4F6EBC39" w14:textId="3EEA5928" w:rsidR="00ED5794" w:rsidRPr="005E1383" w:rsidRDefault="00ED5794" w:rsidP="00A13C30">
            <w:pPr>
              <w:jc w:val="center"/>
              <w:rPr>
                <w:rFonts w:cstheme="minorHAnsi"/>
                <w:sz w:val="18"/>
                <w:szCs w:val="18"/>
              </w:rPr>
            </w:pPr>
            <w:r>
              <w:rPr>
                <w:rFonts w:cstheme="minorHAnsi"/>
                <w:sz w:val="18"/>
                <w:szCs w:val="18"/>
              </w:rPr>
              <w:t>8</w:t>
            </w:r>
          </w:p>
        </w:tc>
        <w:tc>
          <w:tcPr>
            <w:tcW w:w="1350" w:type="dxa"/>
            <w:vAlign w:val="center"/>
          </w:tcPr>
          <w:p w14:paraId="7799E07F" w14:textId="72B339BD" w:rsidR="00ED5794" w:rsidRPr="005E1383" w:rsidRDefault="004462D2" w:rsidP="00801FD3">
            <w:pPr>
              <w:jc w:val="center"/>
              <w:rPr>
                <w:rFonts w:cstheme="minorHAnsi"/>
                <w:sz w:val="18"/>
                <w:szCs w:val="18"/>
              </w:rPr>
            </w:pPr>
            <w:r>
              <w:rPr>
                <w:rFonts w:cstheme="minorHAnsi"/>
                <w:sz w:val="18"/>
                <w:szCs w:val="18"/>
              </w:rPr>
              <w:t>2.7</w:t>
            </w:r>
          </w:p>
        </w:tc>
        <w:tc>
          <w:tcPr>
            <w:tcW w:w="990" w:type="dxa"/>
            <w:vAlign w:val="center"/>
          </w:tcPr>
          <w:p w14:paraId="6637B4D1" w14:textId="06B562BF" w:rsidR="00ED5794" w:rsidRPr="005E1383" w:rsidRDefault="00ED5794" w:rsidP="00A13C30">
            <w:pPr>
              <w:jc w:val="center"/>
              <w:rPr>
                <w:rFonts w:cstheme="minorHAnsi"/>
                <w:sz w:val="18"/>
                <w:szCs w:val="18"/>
              </w:rPr>
            </w:pPr>
            <w:r w:rsidRPr="005E1383">
              <w:rPr>
                <w:rFonts w:cstheme="minorHAnsi"/>
                <w:sz w:val="18"/>
                <w:szCs w:val="18"/>
              </w:rPr>
              <w:t>5</w:t>
            </w:r>
          </w:p>
        </w:tc>
      </w:tr>
      <w:tr w:rsidR="00206964" w14:paraId="5580CB4E" w14:textId="77777777" w:rsidTr="00206964">
        <w:tc>
          <w:tcPr>
            <w:tcW w:w="1885" w:type="dxa"/>
          </w:tcPr>
          <w:p w14:paraId="6BCF14BB" w14:textId="6347EDA1" w:rsidR="00ED5794" w:rsidRPr="00A13C30" w:rsidRDefault="00ED5794" w:rsidP="001713A8">
            <w:pPr>
              <w:rPr>
                <w:rFonts w:cstheme="minorHAnsi"/>
                <w:i/>
                <w:sz w:val="18"/>
                <w:szCs w:val="18"/>
              </w:rPr>
            </w:pPr>
            <w:r w:rsidRPr="005E1383">
              <w:rPr>
                <w:rFonts w:cstheme="minorHAnsi"/>
                <w:sz w:val="18"/>
                <w:szCs w:val="18"/>
              </w:rPr>
              <w:t>DayCent inputs</w:t>
            </w:r>
          </w:p>
        </w:tc>
        <w:tc>
          <w:tcPr>
            <w:tcW w:w="1530" w:type="dxa"/>
          </w:tcPr>
          <w:p w14:paraId="37071A90" w14:textId="7E8267A5" w:rsidR="00ED5794" w:rsidRPr="005E1383" w:rsidRDefault="00ED5794" w:rsidP="001713A8">
            <w:pPr>
              <w:rPr>
                <w:rFonts w:cstheme="minorHAnsi"/>
                <w:sz w:val="18"/>
                <w:szCs w:val="18"/>
              </w:rPr>
            </w:pPr>
            <w:r w:rsidRPr="00A13C30">
              <w:rPr>
                <w:rFonts w:cstheme="minorHAnsi"/>
                <w:i/>
                <w:sz w:val="18"/>
                <w:szCs w:val="18"/>
              </w:rPr>
              <w:t>Cropland Remaining Cropland</w:t>
            </w:r>
            <w:r w:rsidRPr="005E1383">
              <w:rPr>
                <w:rFonts w:cstheme="minorHAnsi"/>
                <w:sz w:val="18"/>
                <w:szCs w:val="18"/>
              </w:rPr>
              <w:t xml:space="preserve"> and </w:t>
            </w:r>
            <w:r w:rsidRPr="00A13C30">
              <w:rPr>
                <w:rFonts w:cstheme="minorHAnsi"/>
                <w:i/>
                <w:sz w:val="18"/>
                <w:szCs w:val="18"/>
              </w:rPr>
              <w:t>Land Converted to Cropland</w:t>
            </w:r>
          </w:p>
        </w:tc>
        <w:tc>
          <w:tcPr>
            <w:tcW w:w="1260" w:type="dxa"/>
          </w:tcPr>
          <w:p w14:paraId="2692E9E5" w14:textId="77777777" w:rsidR="00ED5794" w:rsidRPr="005E1383" w:rsidRDefault="00ED5794" w:rsidP="001713A8">
            <w:pPr>
              <w:rPr>
                <w:rFonts w:cstheme="minorHAnsi"/>
                <w:sz w:val="18"/>
                <w:szCs w:val="18"/>
              </w:rPr>
            </w:pPr>
            <w:r w:rsidRPr="005E1383">
              <w:rPr>
                <w:rFonts w:cstheme="minorHAnsi"/>
                <w:sz w:val="18"/>
                <w:szCs w:val="18"/>
              </w:rPr>
              <w:t>Harvest, variable residue removal</w:t>
            </w:r>
          </w:p>
        </w:tc>
        <w:tc>
          <w:tcPr>
            <w:tcW w:w="1620" w:type="dxa"/>
            <w:vAlign w:val="center"/>
          </w:tcPr>
          <w:p w14:paraId="6D23D007" w14:textId="0FCC2F43" w:rsidR="00ED5794" w:rsidRPr="005E1383" w:rsidRDefault="00ED5794" w:rsidP="00A13C30">
            <w:pPr>
              <w:jc w:val="center"/>
              <w:rPr>
                <w:rFonts w:cstheme="minorHAnsi"/>
                <w:sz w:val="18"/>
                <w:szCs w:val="18"/>
              </w:rPr>
            </w:pPr>
            <w:r>
              <w:rPr>
                <w:rFonts w:cstheme="minorHAnsi"/>
                <w:sz w:val="18"/>
                <w:szCs w:val="18"/>
              </w:rPr>
              <w:t>7.4</w:t>
            </w:r>
          </w:p>
        </w:tc>
        <w:tc>
          <w:tcPr>
            <w:tcW w:w="1350" w:type="dxa"/>
            <w:vAlign w:val="center"/>
          </w:tcPr>
          <w:p w14:paraId="580F6F82" w14:textId="60BB09BC" w:rsidR="00ED5794" w:rsidRPr="005E1383" w:rsidRDefault="004462D2" w:rsidP="00801FD3">
            <w:pPr>
              <w:jc w:val="center"/>
              <w:rPr>
                <w:rFonts w:cstheme="minorHAnsi"/>
                <w:sz w:val="18"/>
                <w:szCs w:val="18"/>
              </w:rPr>
            </w:pPr>
            <w:r>
              <w:rPr>
                <w:rFonts w:cstheme="minorHAnsi"/>
                <w:sz w:val="18"/>
                <w:szCs w:val="18"/>
              </w:rPr>
              <w:t>5.0</w:t>
            </w:r>
          </w:p>
        </w:tc>
        <w:tc>
          <w:tcPr>
            <w:tcW w:w="990" w:type="dxa"/>
            <w:vAlign w:val="center"/>
          </w:tcPr>
          <w:p w14:paraId="11F09495" w14:textId="6546614B" w:rsidR="00ED5794" w:rsidRPr="005E1383" w:rsidRDefault="00ED5794" w:rsidP="00A13C30">
            <w:pPr>
              <w:jc w:val="center"/>
              <w:rPr>
                <w:rFonts w:cstheme="minorHAnsi"/>
                <w:sz w:val="18"/>
                <w:szCs w:val="18"/>
              </w:rPr>
            </w:pPr>
            <w:r w:rsidRPr="005E1383">
              <w:rPr>
                <w:rFonts w:cstheme="minorHAnsi"/>
                <w:sz w:val="18"/>
                <w:szCs w:val="18"/>
              </w:rPr>
              <w:t>5</w:t>
            </w:r>
          </w:p>
        </w:tc>
      </w:tr>
      <w:tr w:rsidR="00206964" w14:paraId="37DF3BE0" w14:textId="77777777" w:rsidTr="00206964">
        <w:tc>
          <w:tcPr>
            <w:tcW w:w="1885" w:type="dxa"/>
          </w:tcPr>
          <w:p w14:paraId="034371F3" w14:textId="59741653" w:rsidR="00ED5794" w:rsidRPr="00A13C30" w:rsidRDefault="00ED5794" w:rsidP="001713A8">
            <w:pPr>
              <w:rPr>
                <w:rFonts w:cstheme="minorHAnsi"/>
                <w:i/>
                <w:sz w:val="18"/>
                <w:szCs w:val="18"/>
              </w:rPr>
            </w:pPr>
            <w:r w:rsidRPr="005E1383">
              <w:rPr>
                <w:rFonts w:cstheme="minorHAnsi"/>
                <w:sz w:val="18"/>
                <w:szCs w:val="18"/>
              </w:rPr>
              <w:t>DayCent inputs</w:t>
            </w:r>
          </w:p>
        </w:tc>
        <w:tc>
          <w:tcPr>
            <w:tcW w:w="1530" w:type="dxa"/>
          </w:tcPr>
          <w:p w14:paraId="49044B7F" w14:textId="025B4A71" w:rsidR="00ED5794" w:rsidRPr="005E1383" w:rsidRDefault="00ED5794" w:rsidP="001713A8">
            <w:pPr>
              <w:rPr>
                <w:rFonts w:cstheme="minorHAnsi"/>
                <w:sz w:val="18"/>
                <w:szCs w:val="18"/>
              </w:rPr>
            </w:pPr>
            <w:r w:rsidRPr="00A13C30">
              <w:rPr>
                <w:rFonts w:cstheme="minorHAnsi"/>
                <w:i/>
                <w:sz w:val="18"/>
                <w:szCs w:val="18"/>
              </w:rPr>
              <w:t>Cropland Remaining Cropland</w:t>
            </w:r>
            <w:r w:rsidRPr="005E1383">
              <w:rPr>
                <w:rFonts w:cstheme="minorHAnsi"/>
                <w:sz w:val="18"/>
                <w:szCs w:val="18"/>
              </w:rPr>
              <w:t xml:space="preserve"> and </w:t>
            </w:r>
            <w:r w:rsidRPr="00A13C30">
              <w:rPr>
                <w:rFonts w:cstheme="minorHAnsi"/>
                <w:i/>
                <w:sz w:val="18"/>
                <w:szCs w:val="18"/>
              </w:rPr>
              <w:t>Land Converted to Cropland</w:t>
            </w:r>
          </w:p>
        </w:tc>
        <w:tc>
          <w:tcPr>
            <w:tcW w:w="1260" w:type="dxa"/>
          </w:tcPr>
          <w:p w14:paraId="44D13103" w14:textId="3DCB3A00" w:rsidR="00ED5794" w:rsidRPr="005E1383" w:rsidRDefault="00ED5794" w:rsidP="001713A8">
            <w:pPr>
              <w:rPr>
                <w:rFonts w:cstheme="minorHAnsi"/>
                <w:sz w:val="18"/>
                <w:szCs w:val="18"/>
              </w:rPr>
            </w:pPr>
            <w:r w:rsidRPr="005E1383">
              <w:rPr>
                <w:rFonts w:cstheme="minorHAnsi"/>
                <w:sz w:val="18"/>
                <w:szCs w:val="18"/>
              </w:rPr>
              <w:t>Flooding/</w:t>
            </w:r>
            <w:r w:rsidR="00206964">
              <w:rPr>
                <w:rFonts w:cstheme="minorHAnsi"/>
                <w:sz w:val="18"/>
                <w:szCs w:val="18"/>
              </w:rPr>
              <w:t xml:space="preserve"> </w:t>
            </w:r>
            <w:r w:rsidRPr="005E1383">
              <w:rPr>
                <w:rFonts w:cstheme="minorHAnsi"/>
                <w:sz w:val="18"/>
                <w:szCs w:val="18"/>
              </w:rPr>
              <w:t>drainage for rice cultivation</w:t>
            </w:r>
          </w:p>
        </w:tc>
        <w:tc>
          <w:tcPr>
            <w:tcW w:w="1620" w:type="dxa"/>
            <w:vAlign w:val="center"/>
          </w:tcPr>
          <w:p w14:paraId="28520CD1" w14:textId="0A2A4BF9" w:rsidR="00ED5794" w:rsidRPr="005E1383" w:rsidRDefault="00ED5794" w:rsidP="00A13C30">
            <w:pPr>
              <w:jc w:val="center"/>
              <w:rPr>
                <w:rFonts w:cstheme="minorHAnsi"/>
                <w:sz w:val="18"/>
                <w:szCs w:val="18"/>
              </w:rPr>
            </w:pPr>
            <w:r>
              <w:rPr>
                <w:rFonts w:cstheme="minorHAnsi"/>
                <w:sz w:val="18"/>
                <w:szCs w:val="18"/>
              </w:rPr>
              <w:t>6.5</w:t>
            </w:r>
          </w:p>
        </w:tc>
        <w:tc>
          <w:tcPr>
            <w:tcW w:w="1350" w:type="dxa"/>
            <w:vAlign w:val="center"/>
          </w:tcPr>
          <w:p w14:paraId="1E073422" w14:textId="027157BA" w:rsidR="00ED5794" w:rsidRPr="005E1383" w:rsidRDefault="004462D2" w:rsidP="00801FD3">
            <w:pPr>
              <w:jc w:val="center"/>
              <w:rPr>
                <w:rFonts w:cstheme="minorHAnsi"/>
                <w:sz w:val="18"/>
                <w:szCs w:val="18"/>
              </w:rPr>
            </w:pPr>
            <w:r>
              <w:rPr>
                <w:rFonts w:cstheme="minorHAnsi"/>
                <w:sz w:val="18"/>
                <w:szCs w:val="18"/>
              </w:rPr>
              <w:t>4.0</w:t>
            </w:r>
          </w:p>
        </w:tc>
        <w:tc>
          <w:tcPr>
            <w:tcW w:w="990" w:type="dxa"/>
            <w:vAlign w:val="center"/>
          </w:tcPr>
          <w:p w14:paraId="6EC287C3" w14:textId="6335B254" w:rsidR="00ED5794" w:rsidRPr="005E1383" w:rsidRDefault="00ED5794" w:rsidP="00A13C30">
            <w:pPr>
              <w:jc w:val="center"/>
              <w:rPr>
                <w:rFonts w:cstheme="minorHAnsi"/>
                <w:sz w:val="18"/>
                <w:szCs w:val="18"/>
              </w:rPr>
            </w:pPr>
            <w:r w:rsidRPr="005E1383">
              <w:rPr>
                <w:rFonts w:cstheme="minorHAnsi"/>
                <w:sz w:val="18"/>
                <w:szCs w:val="18"/>
              </w:rPr>
              <w:t>5</w:t>
            </w:r>
          </w:p>
        </w:tc>
      </w:tr>
      <w:tr w:rsidR="00206964" w14:paraId="51373920" w14:textId="77777777" w:rsidTr="00206964">
        <w:tc>
          <w:tcPr>
            <w:tcW w:w="1885" w:type="dxa"/>
          </w:tcPr>
          <w:p w14:paraId="6E31C7FB" w14:textId="55894A03" w:rsidR="00ED5794" w:rsidRPr="00A13C30" w:rsidRDefault="00ED5794" w:rsidP="001713A8">
            <w:pPr>
              <w:rPr>
                <w:rFonts w:cstheme="minorHAnsi"/>
                <w:i/>
                <w:sz w:val="18"/>
                <w:szCs w:val="18"/>
              </w:rPr>
            </w:pPr>
            <w:r w:rsidRPr="005E1383">
              <w:rPr>
                <w:rFonts w:cstheme="minorHAnsi"/>
                <w:sz w:val="18"/>
                <w:szCs w:val="18"/>
              </w:rPr>
              <w:t>DayCent inputs</w:t>
            </w:r>
          </w:p>
        </w:tc>
        <w:tc>
          <w:tcPr>
            <w:tcW w:w="1530" w:type="dxa"/>
          </w:tcPr>
          <w:p w14:paraId="0A08D9EB" w14:textId="4D7720CA" w:rsidR="00ED5794" w:rsidRPr="005E1383" w:rsidRDefault="00ED5794" w:rsidP="001713A8">
            <w:pPr>
              <w:rPr>
                <w:rFonts w:cstheme="minorHAnsi"/>
                <w:sz w:val="18"/>
                <w:szCs w:val="18"/>
              </w:rPr>
            </w:pPr>
            <w:r w:rsidRPr="00A13C30">
              <w:rPr>
                <w:rFonts w:cstheme="minorHAnsi"/>
                <w:i/>
                <w:sz w:val="18"/>
                <w:szCs w:val="18"/>
              </w:rPr>
              <w:t>Cropland Remaining Cropland</w:t>
            </w:r>
            <w:r w:rsidRPr="005E1383">
              <w:rPr>
                <w:rFonts w:cstheme="minorHAnsi"/>
                <w:sz w:val="18"/>
                <w:szCs w:val="18"/>
              </w:rPr>
              <w:t xml:space="preserve"> and </w:t>
            </w:r>
            <w:r w:rsidRPr="00A13C30">
              <w:rPr>
                <w:rFonts w:cstheme="minorHAnsi"/>
                <w:i/>
                <w:sz w:val="18"/>
                <w:szCs w:val="18"/>
              </w:rPr>
              <w:t>Land Converted to Cropland</w:t>
            </w:r>
          </w:p>
        </w:tc>
        <w:tc>
          <w:tcPr>
            <w:tcW w:w="1260" w:type="dxa"/>
          </w:tcPr>
          <w:p w14:paraId="109CC22C" w14:textId="77777777" w:rsidR="00ED5794" w:rsidRPr="005E1383" w:rsidRDefault="00ED5794" w:rsidP="001713A8">
            <w:pPr>
              <w:rPr>
                <w:rFonts w:cstheme="minorHAnsi"/>
                <w:sz w:val="18"/>
                <w:szCs w:val="18"/>
              </w:rPr>
            </w:pPr>
            <w:r w:rsidRPr="005E1383">
              <w:rPr>
                <w:rFonts w:cstheme="minorHAnsi"/>
                <w:sz w:val="18"/>
                <w:szCs w:val="18"/>
              </w:rPr>
              <w:t>Crop types</w:t>
            </w:r>
          </w:p>
        </w:tc>
        <w:tc>
          <w:tcPr>
            <w:tcW w:w="1620" w:type="dxa"/>
            <w:vAlign w:val="center"/>
          </w:tcPr>
          <w:p w14:paraId="68D1D57E" w14:textId="105F13A6" w:rsidR="00ED5794" w:rsidRPr="005E1383" w:rsidRDefault="00ED5794" w:rsidP="00A13C30">
            <w:pPr>
              <w:jc w:val="center"/>
              <w:rPr>
                <w:rFonts w:cstheme="minorHAnsi"/>
                <w:sz w:val="18"/>
                <w:szCs w:val="18"/>
              </w:rPr>
            </w:pPr>
            <w:r>
              <w:rPr>
                <w:rFonts w:cstheme="minorHAnsi"/>
                <w:sz w:val="18"/>
                <w:szCs w:val="18"/>
              </w:rPr>
              <w:t>6.5</w:t>
            </w:r>
          </w:p>
        </w:tc>
        <w:tc>
          <w:tcPr>
            <w:tcW w:w="1350" w:type="dxa"/>
            <w:vAlign w:val="center"/>
          </w:tcPr>
          <w:p w14:paraId="4760B7B6" w14:textId="513F39A9" w:rsidR="00ED5794" w:rsidRPr="005E1383" w:rsidRDefault="004462D2" w:rsidP="00801FD3">
            <w:pPr>
              <w:jc w:val="center"/>
              <w:rPr>
                <w:rFonts w:cstheme="minorHAnsi"/>
                <w:sz w:val="18"/>
                <w:szCs w:val="18"/>
              </w:rPr>
            </w:pPr>
            <w:r>
              <w:rPr>
                <w:rFonts w:cstheme="minorHAnsi"/>
                <w:sz w:val="18"/>
                <w:szCs w:val="18"/>
              </w:rPr>
              <w:t>4.0</w:t>
            </w:r>
          </w:p>
        </w:tc>
        <w:tc>
          <w:tcPr>
            <w:tcW w:w="990" w:type="dxa"/>
            <w:vAlign w:val="center"/>
          </w:tcPr>
          <w:p w14:paraId="54F835DD" w14:textId="1567BA3F" w:rsidR="00ED5794" w:rsidRPr="005E1383" w:rsidRDefault="00ED5794" w:rsidP="00A13C30">
            <w:pPr>
              <w:jc w:val="center"/>
              <w:rPr>
                <w:rFonts w:cstheme="minorHAnsi"/>
                <w:sz w:val="18"/>
                <w:szCs w:val="18"/>
              </w:rPr>
            </w:pPr>
            <w:r w:rsidRPr="005E1383">
              <w:rPr>
                <w:rFonts w:cstheme="minorHAnsi"/>
                <w:sz w:val="18"/>
                <w:szCs w:val="18"/>
              </w:rPr>
              <w:t>5</w:t>
            </w:r>
          </w:p>
        </w:tc>
      </w:tr>
      <w:tr w:rsidR="00206964" w14:paraId="0F2F57A2" w14:textId="77777777" w:rsidTr="00206964">
        <w:tc>
          <w:tcPr>
            <w:tcW w:w="1885" w:type="dxa"/>
          </w:tcPr>
          <w:p w14:paraId="3CE13A51" w14:textId="0EE94975" w:rsidR="00ED5794" w:rsidRPr="005E1383" w:rsidRDefault="00ED5794" w:rsidP="001713A8">
            <w:pPr>
              <w:rPr>
                <w:rFonts w:cstheme="minorHAnsi"/>
                <w:sz w:val="18"/>
                <w:szCs w:val="18"/>
              </w:rPr>
            </w:pPr>
            <w:r w:rsidRPr="005E1383">
              <w:rPr>
                <w:rFonts w:cstheme="minorHAnsi"/>
                <w:sz w:val="18"/>
                <w:szCs w:val="18"/>
              </w:rPr>
              <w:t>DayCent inputs</w:t>
            </w:r>
          </w:p>
        </w:tc>
        <w:tc>
          <w:tcPr>
            <w:tcW w:w="1530" w:type="dxa"/>
          </w:tcPr>
          <w:p w14:paraId="4E97524C" w14:textId="47C20F16" w:rsidR="00ED5794" w:rsidRPr="005E1383" w:rsidRDefault="00ED5794" w:rsidP="00206964">
            <w:pPr>
              <w:rPr>
                <w:rFonts w:cstheme="minorHAnsi"/>
                <w:sz w:val="18"/>
                <w:szCs w:val="18"/>
              </w:rPr>
            </w:pPr>
            <w:r w:rsidRPr="005E1383">
              <w:rPr>
                <w:rFonts w:cstheme="minorHAnsi"/>
                <w:sz w:val="18"/>
                <w:szCs w:val="18"/>
              </w:rPr>
              <w:t xml:space="preserve">All land use and </w:t>
            </w:r>
            <w:r w:rsidR="00206964">
              <w:rPr>
                <w:rFonts w:cstheme="minorHAnsi"/>
                <w:sz w:val="18"/>
                <w:szCs w:val="18"/>
              </w:rPr>
              <w:t>inventory</w:t>
            </w:r>
            <w:r w:rsidRPr="005E1383">
              <w:rPr>
                <w:rFonts w:cstheme="minorHAnsi"/>
                <w:sz w:val="18"/>
                <w:szCs w:val="18"/>
              </w:rPr>
              <w:t xml:space="preserve"> categories</w:t>
            </w:r>
          </w:p>
        </w:tc>
        <w:tc>
          <w:tcPr>
            <w:tcW w:w="1260" w:type="dxa"/>
          </w:tcPr>
          <w:p w14:paraId="1E3D0700" w14:textId="77777777" w:rsidR="00ED5794" w:rsidRPr="005E1383" w:rsidRDefault="00ED5794" w:rsidP="001713A8">
            <w:pPr>
              <w:rPr>
                <w:rFonts w:cstheme="minorHAnsi"/>
                <w:sz w:val="18"/>
                <w:szCs w:val="18"/>
              </w:rPr>
            </w:pPr>
            <w:r w:rsidRPr="005E1383">
              <w:rPr>
                <w:rFonts w:cstheme="minorHAnsi"/>
                <w:sz w:val="18"/>
                <w:szCs w:val="18"/>
              </w:rPr>
              <w:t>Daily weather data</w:t>
            </w:r>
          </w:p>
        </w:tc>
        <w:tc>
          <w:tcPr>
            <w:tcW w:w="1620" w:type="dxa"/>
            <w:vAlign w:val="center"/>
          </w:tcPr>
          <w:p w14:paraId="2642593A" w14:textId="7AC991A3" w:rsidR="00ED5794" w:rsidRPr="005E1383" w:rsidRDefault="00ED5794" w:rsidP="00801FD3">
            <w:pPr>
              <w:jc w:val="center"/>
              <w:rPr>
                <w:rFonts w:cstheme="minorHAnsi"/>
                <w:sz w:val="18"/>
                <w:szCs w:val="18"/>
              </w:rPr>
            </w:pPr>
            <w:r>
              <w:rPr>
                <w:rFonts w:cstheme="minorHAnsi"/>
                <w:sz w:val="18"/>
                <w:szCs w:val="18"/>
              </w:rPr>
              <w:t>6.3</w:t>
            </w:r>
          </w:p>
        </w:tc>
        <w:tc>
          <w:tcPr>
            <w:tcW w:w="1350" w:type="dxa"/>
            <w:vAlign w:val="center"/>
          </w:tcPr>
          <w:p w14:paraId="68BCD6EC" w14:textId="0193DFFE" w:rsidR="00ED5794" w:rsidRPr="005E1383" w:rsidRDefault="004462D2" w:rsidP="00206964">
            <w:pPr>
              <w:jc w:val="center"/>
              <w:rPr>
                <w:rFonts w:cstheme="minorHAnsi"/>
                <w:sz w:val="18"/>
                <w:szCs w:val="18"/>
              </w:rPr>
            </w:pPr>
            <w:r>
              <w:rPr>
                <w:rFonts w:cstheme="minorHAnsi"/>
                <w:sz w:val="18"/>
                <w:szCs w:val="18"/>
              </w:rPr>
              <w:t>4.3</w:t>
            </w:r>
          </w:p>
        </w:tc>
        <w:tc>
          <w:tcPr>
            <w:tcW w:w="990" w:type="dxa"/>
            <w:vAlign w:val="center"/>
          </w:tcPr>
          <w:p w14:paraId="5A65D1D2" w14:textId="64749D21" w:rsidR="00ED5794" w:rsidRPr="005E1383" w:rsidRDefault="00ED5794" w:rsidP="00A13C30">
            <w:pPr>
              <w:jc w:val="center"/>
              <w:rPr>
                <w:rFonts w:cstheme="minorHAnsi"/>
                <w:sz w:val="18"/>
                <w:szCs w:val="18"/>
              </w:rPr>
            </w:pPr>
            <w:r w:rsidRPr="005E1383">
              <w:rPr>
                <w:rFonts w:cstheme="minorHAnsi"/>
                <w:sz w:val="18"/>
                <w:szCs w:val="18"/>
              </w:rPr>
              <w:t>5</w:t>
            </w:r>
          </w:p>
        </w:tc>
      </w:tr>
      <w:tr w:rsidR="00206964" w14:paraId="628318F6" w14:textId="77777777" w:rsidTr="00206964">
        <w:tc>
          <w:tcPr>
            <w:tcW w:w="1885" w:type="dxa"/>
          </w:tcPr>
          <w:p w14:paraId="0341D6CD" w14:textId="26B3C45A" w:rsidR="00ED5794" w:rsidRPr="00A13C30" w:rsidRDefault="00ED5794" w:rsidP="001713A8">
            <w:pPr>
              <w:rPr>
                <w:rFonts w:cstheme="minorHAnsi"/>
                <w:i/>
                <w:sz w:val="18"/>
                <w:szCs w:val="18"/>
              </w:rPr>
            </w:pPr>
            <w:r w:rsidRPr="005E1383">
              <w:rPr>
                <w:rFonts w:cstheme="minorHAnsi"/>
                <w:sz w:val="18"/>
                <w:szCs w:val="18"/>
              </w:rPr>
              <w:t>DayCent inputs</w:t>
            </w:r>
          </w:p>
        </w:tc>
        <w:tc>
          <w:tcPr>
            <w:tcW w:w="1530" w:type="dxa"/>
          </w:tcPr>
          <w:p w14:paraId="26419C5F" w14:textId="27870E71" w:rsidR="00ED5794" w:rsidRPr="00A13C30" w:rsidRDefault="00ED5794" w:rsidP="001713A8">
            <w:pPr>
              <w:rPr>
                <w:rFonts w:cstheme="minorHAnsi"/>
                <w:i/>
                <w:sz w:val="18"/>
                <w:szCs w:val="18"/>
              </w:rPr>
            </w:pPr>
            <w:r w:rsidRPr="00A13C30">
              <w:rPr>
                <w:rFonts w:cstheme="minorHAnsi"/>
                <w:i/>
                <w:sz w:val="18"/>
                <w:szCs w:val="18"/>
              </w:rPr>
              <w:t>Grassland Remaining Grassland</w:t>
            </w:r>
          </w:p>
        </w:tc>
        <w:tc>
          <w:tcPr>
            <w:tcW w:w="1260" w:type="dxa"/>
          </w:tcPr>
          <w:p w14:paraId="3E18BD08" w14:textId="56B43B79" w:rsidR="00ED5794" w:rsidRPr="005E1383" w:rsidRDefault="00ED5794">
            <w:pPr>
              <w:rPr>
                <w:rFonts w:cstheme="minorHAnsi"/>
                <w:sz w:val="18"/>
                <w:szCs w:val="18"/>
              </w:rPr>
            </w:pPr>
            <w:r>
              <w:rPr>
                <w:rFonts w:cstheme="minorHAnsi"/>
                <w:sz w:val="18"/>
                <w:szCs w:val="18"/>
              </w:rPr>
              <w:t>Grassland b</w:t>
            </w:r>
            <w:r w:rsidRPr="005E1383">
              <w:rPr>
                <w:rFonts w:cstheme="minorHAnsi"/>
                <w:sz w:val="18"/>
                <w:szCs w:val="18"/>
              </w:rPr>
              <w:t xml:space="preserve">urning </w:t>
            </w:r>
          </w:p>
        </w:tc>
        <w:tc>
          <w:tcPr>
            <w:tcW w:w="1620" w:type="dxa"/>
            <w:vAlign w:val="center"/>
          </w:tcPr>
          <w:p w14:paraId="5618B18C" w14:textId="538FA803" w:rsidR="00ED5794" w:rsidRPr="005E1383" w:rsidRDefault="00ED5794" w:rsidP="00A13C30">
            <w:pPr>
              <w:jc w:val="center"/>
              <w:rPr>
                <w:rFonts w:cstheme="minorHAnsi"/>
                <w:sz w:val="18"/>
                <w:szCs w:val="18"/>
              </w:rPr>
            </w:pPr>
            <w:r>
              <w:rPr>
                <w:rFonts w:cstheme="minorHAnsi"/>
                <w:sz w:val="18"/>
                <w:szCs w:val="18"/>
              </w:rPr>
              <w:t>4.7</w:t>
            </w:r>
          </w:p>
        </w:tc>
        <w:tc>
          <w:tcPr>
            <w:tcW w:w="1350" w:type="dxa"/>
            <w:vAlign w:val="center"/>
          </w:tcPr>
          <w:p w14:paraId="7917C043" w14:textId="6EC9439B" w:rsidR="00ED5794" w:rsidRPr="005E1383" w:rsidRDefault="00801FD3" w:rsidP="00801FD3">
            <w:pPr>
              <w:jc w:val="center"/>
              <w:rPr>
                <w:rFonts w:cstheme="minorHAnsi"/>
                <w:sz w:val="18"/>
                <w:szCs w:val="18"/>
              </w:rPr>
            </w:pPr>
            <w:r>
              <w:rPr>
                <w:rFonts w:cstheme="minorHAnsi"/>
                <w:sz w:val="18"/>
                <w:szCs w:val="18"/>
              </w:rPr>
              <w:t>4.6</w:t>
            </w:r>
          </w:p>
        </w:tc>
        <w:tc>
          <w:tcPr>
            <w:tcW w:w="990" w:type="dxa"/>
            <w:vAlign w:val="center"/>
          </w:tcPr>
          <w:p w14:paraId="0C60394E" w14:textId="2F8E1711" w:rsidR="00ED5794" w:rsidRPr="005E1383" w:rsidRDefault="00ED5794" w:rsidP="00A13C30">
            <w:pPr>
              <w:jc w:val="center"/>
              <w:rPr>
                <w:rFonts w:cstheme="minorHAnsi"/>
                <w:sz w:val="18"/>
                <w:szCs w:val="18"/>
              </w:rPr>
            </w:pPr>
            <w:r w:rsidRPr="005E1383">
              <w:rPr>
                <w:rFonts w:cstheme="minorHAnsi"/>
                <w:sz w:val="18"/>
                <w:szCs w:val="18"/>
              </w:rPr>
              <w:t>5</w:t>
            </w:r>
          </w:p>
        </w:tc>
      </w:tr>
      <w:tr w:rsidR="00206964" w14:paraId="151F3362" w14:textId="77777777" w:rsidTr="00206964">
        <w:tc>
          <w:tcPr>
            <w:tcW w:w="1885" w:type="dxa"/>
          </w:tcPr>
          <w:p w14:paraId="408235B3" w14:textId="7767DB75" w:rsidR="00ED5794" w:rsidRPr="00A13C30" w:rsidRDefault="00ED5794" w:rsidP="001713A8">
            <w:pPr>
              <w:rPr>
                <w:rFonts w:cstheme="minorHAnsi"/>
                <w:i/>
                <w:sz w:val="18"/>
                <w:szCs w:val="18"/>
              </w:rPr>
            </w:pPr>
            <w:r w:rsidRPr="005E1383">
              <w:rPr>
                <w:rFonts w:cstheme="minorHAnsi"/>
                <w:sz w:val="18"/>
                <w:szCs w:val="18"/>
              </w:rPr>
              <w:t>DayCent inputs</w:t>
            </w:r>
          </w:p>
        </w:tc>
        <w:tc>
          <w:tcPr>
            <w:tcW w:w="1530" w:type="dxa"/>
          </w:tcPr>
          <w:p w14:paraId="5A6174F9" w14:textId="0FDA3078" w:rsidR="00ED5794" w:rsidRPr="005E1383" w:rsidRDefault="00ED5794" w:rsidP="001713A8">
            <w:pPr>
              <w:rPr>
                <w:rFonts w:cstheme="minorHAnsi"/>
                <w:sz w:val="18"/>
                <w:szCs w:val="18"/>
              </w:rPr>
            </w:pPr>
            <w:r w:rsidRPr="00A13C30">
              <w:rPr>
                <w:rFonts w:cstheme="minorHAnsi"/>
                <w:i/>
                <w:sz w:val="18"/>
                <w:szCs w:val="18"/>
              </w:rPr>
              <w:t>Cropland Remaining Cropland</w:t>
            </w:r>
            <w:r w:rsidRPr="005E1383">
              <w:rPr>
                <w:rFonts w:cstheme="minorHAnsi"/>
                <w:sz w:val="18"/>
                <w:szCs w:val="18"/>
              </w:rPr>
              <w:t xml:space="preserve"> and </w:t>
            </w:r>
            <w:r w:rsidRPr="00A13C30">
              <w:rPr>
                <w:rFonts w:cstheme="minorHAnsi"/>
                <w:i/>
                <w:sz w:val="18"/>
                <w:szCs w:val="18"/>
              </w:rPr>
              <w:t>Land Converted to Cropland</w:t>
            </w:r>
          </w:p>
        </w:tc>
        <w:tc>
          <w:tcPr>
            <w:tcW w:w="1260" w:type="dxa"/>
          </w:tcPr>
          <w:p w14:paraId="67D16BF7" w14:textId="77777777" w:rsidR="00ED5794" w:rsidRPr="005E1383" w:rsidRDefault="00ED5794" w:rsidP="001713A8">
            <w:pPr>
              <w:rPr>
                <w:rFonts w:cstheme="minorHAnsi"/>
                <w:sz w:val="18"/>
                <w:szCs w:val="18"/>
              </w:rPr>
            </w:pPr>
            <w:r w:rsidRPr="005E1383">
              <w:rPr>
                <w:rFonts w:cstheme="minorHAnsi"/>
                <w:sz w:val="18"/>
                <w:szCs w:val="18"/>
              </w:rPr>
              <w:t>Organic amendments for rice cultivation</w:t>
            </w:r>
          </w:p>
        </w:tc>
        <w:tc>
          <w:tcPr>
            <w:tcW w:w="1620" w:type="dxa"/>
            <w:vAlign w:val="center"/>
          </w:tcPr>
          <w:p w14:paraId="6827D811" w14:textId="21E50178" w:rsidR="00ED5794" w:rsidRPr="005E1383" w:rsidRDefault="00ED5794" w:rsidP="00801FD3">
            <w:pPr>
              <w:jc w:val="center"/>
              <w:rPr>
                <w:rFonts w:cstheme="minorHAnsi"/>
                <w:sz w:val="18"/>
                <w:szCs w:val="18"/>
              </w:rPr>
            </w:pPr>
            <w:r>
              <w:rPr>
                <w:rFonts w:cstheme="minorHAnsi"/>
                <w:sz w:val="18"/>
                <w:szCs w:val="18"/>
              </w:rPr>
              <w:t>5.8</w:t>
            </w:r>
          </w:p>
        </w:tc>
        <w:tc>
          <w:tcPr>
            <w:tcW w:w="1350" w:type="dxa"/>
            <w:vAlign w:val="center"/>
          </w:tcPr>
          <w:p w14:paraId="3A36EA1C" w14:textId="3A337B55" w:rsidR="00ED5794" w:rsidRPr="005E1383" w:rsidRDefault="00801FD3" w:rsidP="00206964">
            <w:pPr>
              <w:jc w:val="center"/>
              <w:rPr>
                <w:rFonts w:cstheme="minorHAnsi"/>
                <w:sz w:val="18"/>
                <w:szCs w:val="18"/>
              </w:rPr>
            </w:pPr>
            <w:r>
              <w:rPr>
                <w:rFonts w:cstheme="minorHAnsi"/>
                <w:sz w:val="18"/>
                <w:szCs w:val="18"/>
              </w:rPr>
              <w:t>4.9</w:t>
            </w:r>
          </w:p>
        </w:tc>
        <w:tc>
          <w:tcPr>
            <w:tcW w:w="990" w:type="dxa"/>
            <w:vAlign w:val="center"/>
          </w:tcPr>
          <w:p w14:paraId="5B98EF3F" w14:textId="1F37C96C" w:rsidR="00ED5794" w:rsidRPr="005E1383" w:rsidRDefault="00ED5794" w:rsidP="00A13C30">
            <w:pPr>
              <w:jc w:val="center"/>
              <w:rPr>
                <w:rFonts w:cstheme="minorHAnsi"/>
                <w:sz w:val="18"/>
                <w:szCs w:val="18"/>
              </w:rPr>
            </w:pPr>
            <w:r w:rsidRPr="005E1383">
              <w:rPr>
                <w:rFonts w:cstheme="minorHAnsi"/>
                <w:sz w:val="18"/>
                <w:szCs w:val="18"/>
              </w:rPr>
              <w:t>5</w:t>
            </w:r>
          </w:p>
        </w:tc>
      </w:tr>
      <w:tr w:rsidR="00206964" w14:paraId="6EDC9A29" w14:textId="77777777" w:rsidTr="00206964">
        <w:tc>
          <w:tcPr>
            <w:tcW w:w="1885" w:type="dxa"/>
          </w:tcPr>
          <w:p w14:paraId="2FE09F49" w14:textId="665B1FB9" w:rsidR="00ED5794" w:rsidRPr="00A13C30" w:rsidRDefault="00ED5794" w:rsidP="001713A8">
            <w:pPr>
              <w:rPr>
                <w:rFonts w:cstheme="minorHAnsi"/>
                <w:i/>
                <w:sz w:val="18"/>
                <w:szCs w:val="18"/>
              </w:rPr>
            </w:pPr>
            <w:r w:rsidRPr="005E1383">
              <w:rPr>
                <w:rFonts w:cstheme="minorHAnsi"/>
                <w:sz w:val="18"/>
                <w:szCs w:val="18"/>
              </w:rPr>
              <w:t>DayCent inputs</w:t>
            </w:r>
          </w:p>
        </w:tc>
        <w:tc>
          <w:tcPr>
            <w:tcW w:w="1530" w:type="dxa"/>
          </w:tcPr>
          <w:p w14:paraId="6902F4DD" w14:textId="5E52F728" w:rsidR="00ED5794" w:rsidRPr="005E1383" w:rsidRDefault="00ED5794" w:rsidP="001713A8">
            <w:pPr>
              <w:rPr>
                <w:rFonts w:cstheme="minorHAnsi"/>
                <w:sz w:val="18"/>
                <w:szCs w:val="18"/>
              </w:rPr>
            </w:pPr>
            <w:r w:rsidRPr="00A13C30">
              <w:rPr>
                <w:rFonts w:cstheme="minorHAnsi"/>
                <w:i/>
                <w:sz w:val="18"/>
                <w:szCs w:val="18"/>
              </w:rPr>
              <w:t>Cropland Remaining Cropland</w:t>
            </w:r>
            <w:r w:rsidRPr="005E1383">
              <w:rPr>
                <w:rFonts w:cstheme="minorHAnsi"/>
                <w:sz w:val="18"/>
                <w:szCs w:val="18"/>
              </w:rPr>
              <w:t xml:space="preserve"> and </w:t>
            </w:r>
            <w:r w:rsidRPr="00A13C30">
              <w:rPr>
                <w:rFonts w:cstheme="minorHAnsi"/>
                <w:i/>
                <w:sz w:val="18"/>
                <w:szCs w:val="18"/>
              </w:rPr>
              <w:t>Land Converted to Cropland</w:t>
            </w:r>
          </w:p>
        </w:tc>
        <w:tc>
          <w:tcPr>
            <w:tcW w:w="1260" w:type="dxa"/>
          </w:tcPr>
          <w:p w14:paraId="3178C051" w14:textId="77777777" w:rsidR="00ED5794" w:rsidRPr="005E1383" w:rsidRDefault="00ED5794" w:rsidP="001713A8">
            <w:pPr>
              <w:rPr>
                <w:rFonts w:cstheme="minorHAnsi"/>
                <w:sz w:val="18"/>
                <w:szCs w:val="18"/>
              </w:rPr>
            </w:pPr>
            <w:r w:rsidRPr="005E1383">
              <w:rPr>
                <w:rFonts w:cstheme="minorHAnsi"/>
                <w:sz w:val="18"/>
                <w:szCs w:val="18"/>
              </w:rPr>
              <w:t>Crop sequences (rotation)</w:t>
            </w:r>
          </w:p>
        </w:tc>
        <w:tc>
          <w:tcPr>
            <w:tcW w:w="1620" w:type="dxa"/>
            <w:vAlign w:val="center"/>
          </w:tcPr>
          <w:p w14:paraId="0076AAD6" w14:textId="433EF247" w:rsidR="00ED5794" w:rsidRPr="005E1383" w:rsidRDefault="00ED5794" w:rsidP="00A13C30">
            <w:pPr>
              <w:jc w:val="center"/>
              <w:rPr>
                <w:rFonts w:cstheme="minorHAnsi"/>
                <w:sz w:val="18"/>
                <w:szCs w:val="18"/>
              </w:rPr>
            </w:pPr>
            <w:r>
              <w:rPr>
                <w:rFonts w:cstheme="minorHAnsi"/>
                <w:sz w:val="18"/>
                <w:szCs w:val="18"/>
              </w:rPr>
              <w:t>5.4</w:t>
            </w:r>
          </w:p>
        </w:tc>
        <w:tc>
          <w:tcPr>
            <w:tcW w:w="1350" w:type="dxa"/>
            <w:vAlign w:val="center"/>
          </w:tcPr>
          <w:p w14:paraId="4B991546" w14:textId="640F469D" w:rsidR="00ED5794" w:rsidRPr="005E1383" w:rsidRDefault="00801FD3" w:rsidP="00801FD3">
            <w:pPr>
              <w:jc w:val="center"/>
              <w:rPr>
                <w:rFonts w:cstheme="minorHAnsi"/>
                <w:sz w:val="18"/>
                <w:szCs w:val="18"/>
              </w:rPr>
            </w:pPr>
            <w:r>
              <w:rPr>
                <w:rFonts w:cstheme="minorHAnsi"/>
                <w:sz w:val="18"/>
                <w:szCs w:val="18"/>
              </w:rPr>
              <w:t>5.5</w:t>
            </w:r>
          </w:p>
        </w:tc>
        <w:tc>
          <w:tcPr>
            <w:tcW w:w="990" w:type="dxa"/>
            <w:vAlign w:val="center"/>
          </w:tcPr>
          <w:p w14:paraId="63848B30" w14:textId="67BFFEA6" w:rsidR="00ED5794" w:rsidRPr="005E1383" w:rsidRDefault="00ED5794" w:rsidP="00A13C30">
            <w:pPr>
              <w:jc w:val="center"/>
              <w:rPr>
                <w:rFonts w:cstheme="minorHAnsi"/>
                <w:sz w:val="18"/>
                <w:szCs w:val="18"/>
              </w:rPr>
            </w:pPr>
            <w:r w:rsidRPr="005E1383">
              <w:rPr>
                <w:rFonts w:cstheme="minorHAnsi"/>
                <w:sz w:val="18"/>
                <w:szCs w:val="18"/>
              </w:rPr>
              <w:t>5</w:t>
            </w:r>
          </w:p>
        </w:tc>
      </w:tr>
      <w:tr w:rsidR="00206964" w14:paraId="66728C8F" w14:textId="77777777" w:rsidTr="00206964">
        <w:tc>
          <w:tcPr>
            <w:tcW w:w="1885" w:type="dxa"/>
          </w:tcPr>
          <w:p w14:paraId="06922A15" w14:textId="50DCDEBD" w:rsidR="00ED5794" w:rsidRPr="005E1383" w:rsidRDefault="00ED5794" w:rsidP="001713A8">
            <w:pPr>
              <w:rPr>
                <w:rFonts w:cstheme="minorHAnsi"/>
                <w:sz w:val="18"/>
                <w:szCs w:val="18"/>
              </w:rPr>
            </w:pPr>
            <w:r w:rsidRPr="005E1383">
              <w:rPr>
                <w:rFonts w:cstheme="minorHAnsi"/>
                <w:sz w:val="18"/>
                <w:szCs w:val="18"/>
              </w:rPr>
              <w:lastRenderedPageBreak/>
              <w:t>DayCent inputs</w:t>
            </w:r>
          </w:p>
        </w:tc>
        <w:tc>
          <w:tcPr>
            <w:tcW w:w="1530" w:type="dxa"/>
          </w:tcPr>
          <w:p w14:paraId="20130784" w14:textId="574B809F" w:rsidR="00ED5794" w:rsidRPr="005E1383" w:rsidRDefault="00ED5794" w:rsidP="001713A8">
            <w:pPr>
              <w:rPr>
                <w:rFonts w:cstheme="minorHAnsi"/>
                <w:sz w:val="18"/>
                <w:szCs w:val="18"/>
              </w:rPr>
            </w:pPr>
            <w:r w:rsidRPr="005E1383">
              <w:rPr>
                <w:rFonts w:cstheme="minorHAnsi"/>
                <w:sz w:val="18"/>
                <w:szCs w:val="18"/>
              </w:rPr>
              <w:t>All land use and GHG flux categories</w:t>
            </w:r>
          </w:p>
        </w:tc>
        <w:tc>
          <w:tcPr>
            <w:tcW w:w="1260" w:type="dxa"/>
          </w:tcPr>
          <w:p w14:paraId="151406BB" w14:textId="77777777" w:rsidR="00ED5794" w:rsidRPr="005E1383" w:rsidRDefault="00ED5794" w:rsidP="001713A8">
            <w:pPr>
              <w:rPr>
                <w:rFonts w:cstheme="minorHAnsi"/>
                <w:sz w:val="18"/>
                <w:szCs w:val="18"/>
              </w:rPr>
            </w:pPr>
            <w:r w:rsidRPr="005E1383">
              <w:rPr>
                <w:rFonts w:cstheme="minorHAnsi"/>
                <w:sz w:val="18"/>
                <w:szCs w:val="18"/>
              </w:rPr>
              <w:t>NRI time series</w:t>
            </w:r>
          </w:p>
        </w:tc>
        <w:tc>
          <w:tcPr>
            <w:tcW w:w="1620" w:type="dxa"/>
            <w:vAlign w:val="center"/>
          </w:tcPr>
          <w:p w14:paraId="3C52FB1E" w14:textId="4123B11A" w:rsidR="00ED5794" w:rsidRPr="005E1383" w:rsidRDefault="00ED5794" w:rsidP="00A13C30">
            <w:pPr>
              <w:jc w:val="center"/>
              <w:rPr>
                <w:rFonts w:cstheme="minorHAnsi"/>
                <w:sz w:val="18"/>
                <w:szCs w:val="18"/>
              </w:rPr>
            </w:pPr>
            <w:r>
              <w:rPr>
                <w:rFonts w:cstheme="minorHAnsi"/>
                <w:sz w:val="18"/>
                <w:szCs w:val="18"/>
              </w:rPr>
              <w:t>2.7</w:t>
            </w:r>
          </w:p>
        </w:tc>
        <w:tc>
          <w:tcPr>
            <w:tcW w:w="1350" w:type="dxa"/>
            <w:vAlign w:val="center"/>
          </w:tcPr>
          <w:p w14:paraId="743CA017" w14:textId="3914F3F7" w:rsidR="00ED5794" w:rsidRPr="005E1383" w:rsidRDefault="00801FD3" w:rsidP="00801FD3">
            <w:pPr>
              <w:jc w:val="center"/>
              <w:rPr>
                <w:rFonts w:cstheme="minorHAnsi"/>
                <w:sz w:val="18"/>
                <w:szCs w:val="18"/>
              </w:rPr>
            </w:pPr>
            <w:r>
              <w:rPr>
                <w:rFonts w:cstheme="minorHAnsi"/>
                <w:sz w:val="18"/>
                <w:szCs w:val="18"/>
              </w:rPr>
              <w:t>2.1</w:t>
            </w:r>
          </w:p>
        </w:tc>
        <w:tc>
          <w:tcPr>
            <w:tcW w:w="990" w:type="dxa"/>
            <w:vAlign w:val="center"/>
          </w:tcPr>
          <w:p w14:paraId="567876CD" w14:textId="4AD1F8A5" w:rsidR="00ED5794" w:rsidRPr="005E1383" w:rsidRDefault="00ED5794" w:rsidP="00A13C30">
            <w:pPr>
              <w:jc w:val="center"/>
              <w:rPr>
                <w:rFonts w:cstheme="minorHAnsi"/>
                <w:sz w:val="18"/>
                <w:szCs w:val="18"/>
              </w:rPr>
            </w:pPr>
            <w:r w:rsidRPr="005E1383">
              <w:rPr>
                <w:rFonts w:cstheme="minorHAnsi"/>
                <w:sz w:val="18"/>
                <w:szCs w:val="18"/>
              </w:rPr>
              <w:t>5</w:t>
            </w:r>
          </w:p>
        </w:tc>
      </w:tr>
    </w:tbl>
    <w:p w14:paraId="53872DFA" w14:textId="77777777" w:rsidR="001713A8" w:rsidRDefault="001713A8" w:rsidP="001713A8"/>
    <w:p w14:paraId="03FBBC78" w14:textId="7DD584D3" w:rsidR="001713A8" w:rsidRDefault="001713A8" w:rsidP="001713A8">
      <w:r>
        <w:t>The results from</w:t>
      </w:r>
      <w:r w:rsidR="006D26A5">
        <w:t xml:space="preserve"> </w:t>
      </w:r>
      <w:r w:rsidR="007D6D6E">
        <w:t xml:space="preserve">section </w:t>
      </w:r>
      <w:r w:rsidR="006D26A5">
        <w:t>1,</w:t>
      </w:r>
      <w:r>
        <w:t xml:space="preserve"> </w:t>
      </w:r>
      <w:r w:rsidR="007D6D6E">
        <w:t xml:space="preserve">prompts </w:t>
      </w:r>
      <w:r>
        <w:t xml:space="preserve">1 and 2 indicate </w:t>
      </w:r>
      <w:r w:rsidR="006D26A5">
        <w:t>the following elements contribute the largest uncertainty to cropland and grassland GHG fluxes</w:t>
      </w:r>
      <w:r>
        <w:t xml:space="preserve">: </w:t>
      </w:r>
    </w:p>
    <w:p w14:paraId="50D6F8DA" w14:textId="4CBC8412" w:rsidR="006D26A5" w:rsidRPr="003B4036" w:rsidRDefault="001713A8" w:rsidP="000B2554">
      <w:pPr>
        <w:pStyle w:val="ListParagraph"/>
        <w:numPr>
          <w:ilvl w:val="0"/>
          <w:numId w:val="7"/>
        </w:numPr>
      </w:pPr>
      <w:r w:rsidRPr="00D35EC2">
        <w:rPr>
          <w:i/>
        </w:rPr>
        <w:t xml:space="preserve">DayCent </w:t>
      </w:r>
      <w:r w:rsidR="006D26A5" w:rsidRPr="003B4036">
        <w:rPr>
          <w:rFonts w:cstheme="minorHAnsi"/>
          <w:i/>
        </w:rPr>
        <w:t>o</w:t>
      </w:r>
      <w:r w:rsidRPr="003B4036">
        <w:rPr>
          <w:rFonts w:cstheme="minorHAnsi"/>
          <w:i/>
        </w:rPr>
        <w:t>rganic matter formation and deposition</w:t>
      </w:r>
      <w:r w:rsidR="006D26A5">
        <w:rPr>
          <w:rFonts w:cstheme="minorHAnsi"/>
        </w:rPr>
        <w:t xml:space="preserve"> </w:t>
      </w:r>
      <w:r w:rsidRPr="00A73189">
        <w:rPr>
          <w:rFonts w:cstheme="minorHAnsi"/>
        </w:rPr>
        <w:t>(17% of Tier 3 uncertainty) references the s</w:t>
      </w:r>
      <w:r w:rsidRPr="00A73189">
        <w:rPr>
          <w:rFonts w:cstheme="minorHAnsi"/>
          <w:color w:val="000000"/>
        </w:rPr>
        <w:t>oil organic C and N dynamics assessed for the top 30 cm of the soil profile</w:t>
      </w:r>
      <w:r>
        <w:rPr>
          <w:rFonts w:cstheme="minorHAnsi"/>
          <w:color w:val="000000"/>
        </w:rPr>
        <w:t xml:space="preserve">. DayCent represents </w:t>
      </w:r>
      <w:r w:rsidRPr="00B46585">
        <w:rPr>
          <w:rFonts w:cstheme="minorHAnsi"/>
          <w:color w:val="000000"/>
        </w:rPr>
        <w:t xml:space="preserve">organic C and N stocks by two plant litter pools and three soil pools that exhibit </w:t>
      </w:r>
      <w:r w:rsidR="006D26A5">
        <w:rPr>
          <w:rFonts w:cstheme="minorHAnsi"/>
          <w:color w:val="000000"/>
        </w:rPr>
        <w:t xml:space="preserve">different levels of </w:t>
      </w:r>
      <w:r w:rsidRPr="00B46585">
        <w:rPr>
          <w:rFonts w:cstheme="minorHAnsi"/>
          <w:color w:val="000000"/>
        </w:rPr>
        <w:t>recalcitrance and humification.</w:t>
      </w:r>
      <w:r>
        <w:rPr>
          <w:rFonts w:cstheme="minorHAnsi"/>
          <w:color w:val="000000"/>
        </w:rPr>
        <w:t xml:space="preserve"> There is increasing literature debate about the </w:t>
      </w:r>
      <w:r w:rsidR="006D26A5">
        <w:rPr>
          <w:rFonts w:cstheme="minorHAnsi"/>
          <w:color w:val="000000"/>
        </w:rPr>
        <w:t xml:space="preserve">suitability </w:t>
      </w:r>
      <w:r>
        <w:rPr>
          <w:rFonts w:cstheme="minorHAnsi"/>
          <w:color w:val="000000"/>
        </w:rPr>
        <w:t xml:space="preserve">of </w:t>
      </w:r>
      <w:r w:rsidR="006D26A5">
        <w:rPr>
          <w:rFonts w:cstheme="minorHAnsi"/>
          <w:color w:val="000000"/>
        </w:rPr>
        <w:t xml:space="preserve">the </w:t>
      </w:r>
      <w:r>
        <w:rPr>
          <w:rFonts w:cstheme="minorHAnsi"/>
          <w:color w:val="000000"/>
        </w:rPr>
        <w:t xml:space="preserve">categorical “pool” structure </w:t>
      </w:r>
      <w:r w:rsidR="006D26A5">
        <w:rPr>
          <w:rFonts w:cstheme="minorHAnsi"/>
          <w:color w:val="000000"/>
        </w:rPr>
        <w:t xml:space="preserve">for </w:t>
      </w:r>
      <w:r>
        <w:rPr>
          <w:rFonts w:cstheme="minorHAnsi"/>
          <w:color w:val="000000"/>
        </w:rPr>
        <w:t>represent</w:t>
      </w:r>
      <w:r w:rsidR="006D26A5">
        <w:rPr>
          <w:rFonts w:cstheme="minorHAnsi"/>
          <w:color w:val="000000"/>
        </w:rPr>
        <w:t>ing</w:t>
      </w:r>
      <w:r>
        <w:rPr>
          <w:rFonts w:cstheme="minorHAnsi"/>
          <w:color w:val="000000"/>
        </w:rPr>
        <w:t xml:space="preserve"> soil</w:t>
      </w:r>
      <w:r w:rsidR="006D26A5">
        <w:rPr>
          <w:rFonts w:cstheme="minorHAnsi"/>
          <w:color w:val="000000"/>
        </w:rPr>
        <w:t xml:space="preserve"> nutrient cycling</w:t>
      </w:r>
      <w:r>
        <w:rPr>
          <w:rFonts w:cstheme="minorHAnsi"/>
          <w:color w:val="000000"/>
        </w:rPr>
        <w:t xml:space="preserve">. </w:t>
      </w:r>
    </w:p>
    <w:p w14:paraId="74C87653" w14:textId="77777777" w:rsidR="006D26A5" w:rsidRPr="003B4036" w:rsidRDefault="006D26A5" w:rsidP="003B4036">
      <w:pPr>
        <w:pStyle w:val="ListParagraph"/>
        <w:ind w:left="1080"/>
      </w:pPr>
    </w:p>
    <w:p w14:paraId="6B7A099A" w14:textId="19B4BCEA" w:rsidR="001713A8" w:rsidRPr="00825F2D" w:rsidRDefault="006D26A5" w:rsidP="000B2554">
      <w:pPr>
        <w:pStyle w:val="ListParagraph"/>
        <w:numPr>
          <w:ilvl w:val="0"/>
          <w:numId w:val="7"/>
        </w:numPr>
      </w:pPr>
      <w:r>
        <w:rPr>
          <w:rFonts w:cstheme="minorHAnsi"/>
          <w:i/>
          <w:color w:val="000000"/>
        </w:rPr>
        <w:t>DayCent s</w:t>
      </w:r>
      <w:r w:rsidR="001713A8" w:rsidRPr="003B4036">
        <w:rPr>
          <w:rFonts w:cstheme="minorHAnsi"/>
          <w:i/>
          <w:color w:val="000000"/>
        </w:rPr>
        <w:t>oil propert</w:t>
      </w:r>
      <w:r w:rsidRPr="003B4036">
        <w:rPr>
          <w:rFonts w:cstheme="minorHAnsi"/>
          <w:i/>
          <w:color w:val="000000"/>
        </w:rPr>
        <w:t>y inputs</w:t>
      </w:r>
      <w:r w:rsidR="001713A8" w:rsidRPr="00A73189">
        <w:rPr>
          <w:rFonts w:cstheme="minorHAnsi"/>
          <w:color w:val="000000"/>
        </w:rPr>
        <w:t xml:space="preserve"> (17.5% of additional uncertainty) reference the primary soil variables in DayCent</w:t>
      </w:r>
      <w:r>
        <w:rPr>
          <w:rFonts w:cstheme="minorHAnsi"/>
          <w:color w:val="000000"/>
        </w:rPr>
        <w:t>,</w:t>
      </w:r>
      <w:r w:rsidR="001713A8" w:rsidRPr="00A73189">
        <w:rPr>
          <w:rFonts w:cstheme="minorHAnsi"/>
          <w:color w:val="000000"/>
        </w:rPr>
        <w:t xml:space="preserve"> soil texture and natural drainage capacity. These data are collected through field measurements – which may exhibit uncertainty due to errors in data mapping, collection, and processing – and aerial photography and remote sensing imagery – which approximat</w:t>
      </w:r>
      <w:r>
        <w:rPr>
          <w:rFonts w:cstheme="minorHAnsi"/>
          <w:color w:val="000000"/>
        </w:rPr>
        <w:t>e</w:t>
      </w:r>
      <w:r w:rsidR="001713A8" w:rsidRPr="00A73189">
        <w:rPr>
          <w:rFonts w:cstheme="minorHAnsi"/>
          <w:color w:val="000000"/>
        </w:rPr>
        <w:t xml:space="preserve"> </w:t>
      </w:r>
      <w:r>
        <w:rPr>
          <w:rFonts w:cstheme="minorHAnsi"/>
          <w:color w:val="000000"/>
        </w:rPr>
        <w:t>field measurements</w:t>
      </w:r>
      <w:r w:rsidR="001713A8" w:rsidRPr="00A73189">
        <w:rPr>
          <w:rFonts w:cstheme="minorHAnsi"/>
          <w:color w:val="000000"/>
        </w:rPr>
        <w:t>.</w:t>
      </w:r>
    </w:p>
    <w:p w14:paraId="7A542459" w14:textId="77777777" w:rsidR="00825F2D" w:rsidRPr="00587718" w:rsidRDefault="00825F2D" w:rsidP="00825F2D">
      <w:pPr>
        <w:pStyle w:val="ListParagraph"/>
        <w:ind w:left="1080"/>
      </w:pPr>
    </w:p>
    <w:p w14:paraId="5BCE3F79" w14:textId="2C747345" w:rsidR="00CB4C6D" w:rsidRDefault="00CB4C6D" w:rsidP="000B2554">
      <w:pPr>
        <w:pStyle w:val="ListParagraph"/>
        <w:numPr>
          <w:ilvl w:val="0"/>
          <w:numId w:val="7"/>
        </w:numPr>
      </w:pPr>
      <w:r>
        <w:rPr>
          <w:i/>
        </w:rPr>
        <w:t>DayCent n</w:t>
      </w:r>
      <w:r w:rsidR="006D26A5">
        <w:rPr>
          <w:i/>
        </w:rPr>
        <w:t xml:space="preserve">itrogen </w:t>
      </w:r>
      <w:r w:rsidR="001713A8" w:rsidRPr="0068052A">
        <w:rPr>
          <w:i/>
        </w:rPr>
        <w:t>inputs and process</w:t>
      </w:r>
      <w:r w:rsidR="006D26A5">
        <w:rPr>
          <w:i/>
        </w:rPr>
        <w:t>es</w:t>
      </w:r>
      <w:r>
        <w:t xml:space="preserve"> encompass a number of uncertainty elements.</w:t>
      </w:r>
      <w:r w:rsidR="001713A8">
        <w:t xml:space="preserve"> “Nitrification and denitrification processes” (16% of Tier 3 uncertainty) </w:t>
      </w:r>
      <w:r>
        <w:t xml:space="preserve">contribute uncertainty from </w:t>
      </w:r>
      <w:r w:rsidR="001713A8">
        <w:t xml:space="preserve">simulation of nitrification and denitrification </w:t>
      </w:r>
      <w:r>
        <w:t xml:space="preserve">based on inputs </w:t>
      </w:r>
      <w:r w:rsidR="001713A8">
        <w:t>like water filled pore space; nitrification is also only calculated for the top 15 cm. “Manure and other organic fertilizer applications” (15.5% of Tier 3 uncertainty) references organic fertilizer</w:t>
      </w:r>
      <w:r>
        <w:t xml:space="preserve"> application rates,</w:t>
      </w:r>
      <w:r w:rsidR="001713A8">
        <w:t xml:space="preserve"> </w:t>
      </w:r>
      <w:r>
        <w:t xml:space="preserve">fertilizer </w:t>
      </w:r>
      <w:r w:rsidR="001713A8">
        <w:t xml:space="preserve">type, </w:t>
      </w:r>
      <w:r>
        <w:t xml:space="preserve">and </w:t>
      </w:r>
      <w:r w:rsidR="001713A8">
        <w:t>land area amended</w:t>
      </w:r>
      <w:r>
        <w:t>.</w:t>
      </w:r>
      <w:r w:rsidR="001713A8">
        <w:t xml:space="preserve"> “L</w:t>
      </w:r>
      <w:r w:rsidR="001713A8" w:rsidRPr="004043E6">
        <w:t>eaching, runoff, and volatilization</w:t>
      </w:r>
      <w:r w:rsidR="001713A8">
        <w:t xml:space="preserve">” (16% of additional uncertainty) references the amount of </w:t>
      </w:r>
      <w:r>
        <w:t>nitrogen</w:t>
      </w:r>
      <w:r w:rsidR="001713A8">
        <w:t xml:space="preserve"> lost </w:t>
      </w:r>
      <w:r>
        <w:t>during fertilizer application</w:t>
      </w:r>
      <w:r w:rsidR="001713A8">
        <w:t>,</w:t>
      </w:r>
      <w:r>
        <w:t xml:space="preserve"> with the potential for </w:t>
      </w:r>
      <w:r w:rsidR="001713A8">
        <w:t xml:space="preserve">variability in fertilizer and organic amendment </w:t>
      </w:r>
      <w:r>
        <w:t>rates and natural processes</w:t>
      </w:r>
      <w:r w:rsidR="001713A8">
        <w:t xml:space="preserve">. </w:t>
      </w:r>
      <w:r>
        <w:t xml:space="preserve">The </w:t>
      </w:r>
      <w:r w:rsidR="001713A8">
        <w:t xml:space="preserve">lack of </w:t>
      </w:r>
      <w:r>
        <w:t>N volatilization and indirect N</w:t>
      </w:r>
      <w:r w:rsidRPr="003B4036">
        <w:rPr>
          <w:vertAlign w:val="subscript"/>
        </w:rPr>
        <w:t>2</w:t>
      </w:r>
      <w:r>
        <w:t xml:space="preserve">O emissions </w:t>
      </w:r>
      <w:r w:rsidR="001713A8">
        <w:t xml:space="preserve">data </w:t>
      </w:r>
      <w:r>
        <w:t>contributes further uncertainty</w:t>
      </w:r>
      <w:r w:rsidR="001713A8">
        <w:t xml:space="preserve">.  </w:t>
      </w:r>
    </w:p>
    <w:p w14:paraId="69B3A32F" w14:textId="77777777" w:rsidR="00CB4C6D" w:rsidRDefault="00CB4C6D" w:rsidP="003B4036">
      <w:pPr>
        <w:pStyle w:val="ListParagraph"/>
        <w:ind w:left="1080"/>
      </w:pPr>
    </w:p>
    <w:p w14:paraId="04C136CD" w14:textId="6C056063" w:rsidR="001713A8" w:rsidRPr="003B4036" w:rsidRDefault="00CB4C6D" w:rsidP="000B2554">
      <w:pPr>
        <w:pStyle w:val="ListParagraph"/>
        <w:numPr>
          <w:ilvl w:val="0"/>
          <w:numId w:val="7"/>
        </w:numPr>
        <w:rPr>
          <w:rFonts w:cstheme="minorHAnsi"/>
        </w:rPr>
      </w:pPr>
      <w:r>
        <w:rPr>
          <w:i/>
        </w:rPr>
        <w:t xml:space="preserve">DayCent </w:t>
      </w:r>
      <w:r>
        <w:rPr>
          <w:rFonts w:cstheme="minorHAnsi"/>
          <w:i/>
        </w:rPr>
        <w:t>t</w:t>
      </w:r>
      <w:r w:rsidR="001713A8" w:rsidRPr="0068052A">
        <w:rPr>
          <w:rFonts w:cstheme="minorHAnsi"/>
          <w:i/>
        </w:rPr>
        <w:t>illage</w:t>
      </w:r>
      <w:r>
        <w:rPr>
          <w:rFonts w:cstheme="minorHAnsi"/>
          <w:i/>
        </w:rPr>
        <w:t xml:space="preserve"> inputs</w:t>
      </w:r>
      <w:r w:rsidR="001713A8" w:rsidRPr="00A73189">
        <w:rPr>
          <w:rFonts w:cstheme="minorHAnsi"/>
        </w:rPr>
        <w:t xml:space="preserve"> (15.5% of Tier 3 uncertainty)</w:t>
      </w:r>
      <w:r>
        <w:rPr>
          <w:rFonts w:cstheme="minorHAnsi"/>
        </w:rPr>
        <w:t xml:space="preserve"> refer to adoption rates of </w:t>
      </w:r>
      <w:r w:rsidR="001713A8" w:rsidRPr="00A73189">
        <w:rPr>
          <w:rFonts w:cstheme="minorHAnsi"/>
          <w:color w:val="000000"/>
        </w:rPr>
        <w:t>conventional, reduced, and no-till</w:t>
      </w:r>
      <w:r>
        <w:rPr>
          <w:rFonts w:cstheme="minorHAnsi"/>
          <w:color w:val="000000"/>
        </w:rPr>
        <w:t xml:space="preserve"> practices</w:t>
      </w:r>
      <w:r w:rsidR="001713A8" w:rsidRPr="00A73189">
        <w:rPr>
          <w:rFonts w:cstheme="minorHAnsi"/>
          <w:color w:val="000000"/>
        </w:rPr>
        <w:t xml:space="preserve">. </w:t>
      </w:r>
      <w:r>
        <w:rPr>
          <w:rFonts w:cstheme="minorHAnsi"/>
          <w:color w:val="000000"/>
        </w:rPr>
        <w:t xml:space="preserve">In the 2018 NGHGI report </w:t>
      </w:r>
      <w:r w:rsidR="001713A8" w:rsidRPr="00A73189">
        <w:rPr>
          <w:rFonts w:cstheme="minorHAnsi"/>
          <w:color w:val="000000"/>
        </w:rPr>
        <w:t>U.S. tillage activity is from 2004 (Conservation Technology Information Center, 2004)</w:t>
      </w:r>
      <w:r>
        <w:rPr>
          <w:rFonts w:cstheme="minorHAnsi"/>
          <w:color w:val="000000"/>
        </w:rPr>
        <w:t>, and is augmented by CEAP tillage data in the 2020 NGHGI report</w:t>
      </w:r>
      <w:r w:rsidR="001713A8" w:rsidRPr="00A73189">
        <w:rPr>
          <w:rFonts w:cstheme="minorHAnsi"/>
          <w:color w:val="000000"/>
        </w:rPr>
        <w:t xml:space="preserve">. The definition of tillage practices and equipment is based on the 1995 USDA Cropping Practices Survey. Thus uncertainty stems from changes in uptake rates of tillage practices </w:t>
      </w:r>
      <w:r>
        <w:rPr>
          <w:rFonts w:cstheme="minorHAnsi"/>
          <w:color w:val="000000"/>
        </w:rPr>
        <w:t xml:space="preserve">and technologies </w:t>
      </w:r>
      <w:r w:rsidR="001713A8" w:rsidRPr="00A73189">
        <w:rPr>
          <w:rFonts w:cstheme="minorHAnsi"/>
          <w:color w:val="000000"/>
        </w:rPr>
        <w:t xml:space="preserve">since </w:t>
      </w:r>
      <w:r>
        <w:rPr>
          <w:rFonts w:cstheme="minorHAnsi"/>
          <w:color w:val="000000"/>
        </w:rPr>
        <w:t>the end of the CEAP survey and the lack of spatially explicit information on tillage practices.</w:t>
      </w:r>
      <w:r w:rsidRPr="00A73189">
        <w:rPr>
          <w:rFonts w:cstheme="minorHAnsi"/>
          <w:color w:val="000000"/>
        </w:rPr>
        <w:t xml:space="preserve"> </w:t>
      </w:r>
    </w:p>
    <w:p w14:paraId="34E28EF0" w14:textId="756DF662" w:rsidR="00206964" w:rsidRDefault="00206964" w:rsidP="001713A8">
      <w:r>
        <w:t>Given the low number of responses, the standard deviation of attribution values are large as proportion of the average</w:t>
      </w:r>
      <w:r w:rsidR="00773394">
        <w:t xml:space="preserve"> (34-102%)</w:t>
      </w:r>
      <w:r w:rsidR="004143A4">
        <w:t>, even for elements with the largest average attribution</w:t>
      </w:r>
      <w:r>
        <w:t xml:space="preserve">. </w:t>
      </w:r>
      <w:r w:rsidR="004143A4">
        <w:t>More rigorous quantitative analysis, including uncertainty attribution methods used elsewhere in this study, would help resolve priorities for reducing Tier 3 cropland and grassland uncertainty.</w:t>
      </w:r>
    </w:p>
    <w:p w14:paraId="035FFA4B" w14:textId="035588F8" w:rsidR="001713A8" w:rsidRDefault="001713A8" w:rsidP="001713A8">
      <w:r>
        <w:t>Prompt 3 asked about the importance of planned or suggested improvements, as described in the NGHGI</w:t>
      </w:r>
      <w:r w:rsidR="009F2A01">
        <w:t xml:space="preserve"> (2018)</w:t>
      </w:r>
      <w:r>
        <w:t xml:space="preserve">. We assigned each of the response choices a numerical value from 1-5: Not important = 1, </w:t>
      </w:r>
      <w:proofErr w:type="gramStart"/>
      <w:r>
        <w:t>Slightly</w:t>
      </w:r>
      <w:proofErr w:type="gramEnd"/>
      <w:r>
        <w:t xml:space="preserve"> important = 2, Important = 3, Very important = 4, and Extremely important = 5, and analyzed the </w:t>
      </w:r>
      <w:r>
        <w:lastRenderedPageBreak/>
        <w:t>results based on the average of all responses. Importance was again placed on data needs and a better understanding of N</w:t>
      </w:r>
      <w:r w:rsidRPr="00B46585">
        <w:rPr>
          <w:vertAlign w:val="subscript"/>
        </w:rPr>
        <w:t>2</w:t>
      </w:r>
      <w:r>
        <w:t>O fluxes:  “Additional experimental site studies” which received a 4 and could improve model structural uncertainty through additional calibration; “Improved representation of drainage and freeze and thaw cycles“  which also received a 4 and could potentially improve model accuracy</w:t>
      </w:r>
      <w:r w:rsidR="00B72C1A">
        <w:t xml:space="preserve"> (note that the 2020 NGHGI included corrections for NRI locations that experience freeze-thaw cycles)</w:t>
      </w:r>
      <w:r>
        <w:t>; and “Improved representation of emissions from small grain cropping” (3.8) which would help reduce DayCent’s overestimate of emissions from small grain cropping.</w:t>
      </w:r>
      <w:r w:rsidR="00825F2D">
        <w:t xml:space="preserve"> Prompt 3 results are shown in Table </w:t>
      </w:r>
      <w:r w:rsidR="005E4D1E">
        <w:t>2</w:t>
      </w:r>
      <w:r w:rsidR="00AD1E50">
        <w:t>-1</w:t>
      </w:r>
      <w:r w:rsidR="00CB4C6D">
        <w:t>7</w:t>
      </w:r>
      <w:r w:rsidR="00825F2D">
        <w:t>.</w:t>
      </w:r>
    </w:p>
    <w:p w14:paraId="16E97089" w14:textId="77777777" w:rsidR="00825F2D" w:rsidRDefault="00825F2D" w:rsidP="001713A8"/>
    <w:p w14:paraId="1411BBFB" w14:textId="03743E61" w:rsidR="001713A8" w:rsidRPr="009C49E3" w:rsidRDefault="001713A8" w:rsidP="001713A8">
      <w:pPr>
        <w:pStyle w:val="Caption"/>
        <w:keepNext/>
        <w:rPr>
          <w:b/>
          <w:sz w:val="22"/>
          <w:szCs w:val="22"/>
        </w:rPr>
      </w:pPr>
      <w:r w:rsidRPr="009C49E3">
        <w:rPr>
          <w:b/>
          <w:sz w:val="22"/>
          <w:szCs w:val="22"/>
        </w:rPr>
        <w:t xml:space="preserve">Table </w:t>
      </w:r>
      <w:r w:rsidR="005E4D1E">
        <w:rPr>
          <w:b/>
          <w:sz w:val="22"/>
          <w:szCs w:val="22"/>
        </w:rPr>
        <w:t>2</w:t>
      </w:r>
      <w:r w:rsidR="00AD1E50">
        <w:rPr>
          <w:b/>
          <w:sz w:val="22"/>
          <w:szCs w:val="22"/>
        </w:rPr>
        <w:t>-1</w:t>
      </w:r>
      <w:r w:rsidR="00CB4C6D">
        <w:rPr>
          <w:b/>
          <w:sz w:val="22"/>
          <w:szCs w:val="22"/>
        </w:rPr>
        <w:t>7</w:t>
      </w:r>
      <w:r w:rsidRPr="009C49E3">
        <w:rPr>
          <w:b/>
          <w:sz w:val="22"/>
          <w:szCs w:val="22"/>
        </w:rPr>
        <w:t xml:space="preserve">: </w:t>
      </w:r>
      <w:r w:rsidR="00A9645A">
        <w:rPr>
          <w:b/>
          <w:sz w:val="22"/>
          <w:szCs w:val="22"/>
        </w:rPr>
        <w:t xml:space="preserve">RESULTS - </w:t>
      </w:r>
      <w:r w:rsidRPr="009C49E3">
        <w:rPr>
          <w:b/>
          <w:sz w:val="22"/>
          <w:szCs w:val="22"/>
        </w:rPr>
        <w:t>Prompt 3 – importance of planned</w:t>
      </w:r>
      <w:r w:rsidR="00CB4C6D">
        <w:rPr>
          <w:b/>
          <w:sz w:val="22"/>
          <w:szCs w:val="22"/>
        </w:rPr>
        <w:t xml:space="preserve"> and </w:t>
      </w:r>
      <w:r w:rsidRPr="009C49E3">
        <w:rPr>
          <w:b/>
          <w:sz w:val="22"/>
          <w:szCs w:val="22"/>
        </w:rPr>
        <w:t>suggested improvements</w:t>
      </w:r>
    </w:p>
    <w:tbl>
      <w:tblPr>
        <w:tblStyle w:val="TableGrid"/>
        <w:tblW w:w="9355" w:type="dxa"/>
        <w:tblLook w:val="04A0" w:firstRow="1" w:lastRow="0" w:firstColumn="1" w:lastColumn="0" w:noHBand="0" w:noVBand="1"/>
      </w:tblPr>
      <w:tblGrid>
        <w:gridCol w:w="5305"/>
        <w:gridCol w:w="1980"/>
        <w:gridCol w:w="2070"/>
      </w:tblGrid>
      <w:tr w:rsidR="001713A8" w14:paraId="5F40FF86" w14:textId="77777777" w:rsidTr="00825F2D">
        <w:tc>
          <w:tcPr>
            <w:tcW w:w="5305" w:type="dxa"/>
            <w:shd w:val="clear" w:color="auto" w:fill="FFC000"/>
            <w:vAlign w:val="center"/>
          </w:tcPr>
          <w:p w14:paraId="07655086" w14:textId="77777777" w:rsidR="001713A8" w:rsidRPr="005E1383" w:rsidRDefault="001713A8" w:rsidP="00825F2D">
            <w:pPr>
              <w:jc w:val="center"/>
              <w:rPr>
                <w:b/>
                <w:sz w:val="18"/>
                <w:szCs w:val="18"/>
              </w:rPr>
            </w:pPr>
            <w:r w:rsidRPr="005E1383">
              <w:rPr>
                <w:b/>
                <w:sz w:val="18"/>
                <w:szCs w:val="18"/>
              </w:rPr>
              <w:t>Element</w:t>
            </w:r>
          </w:p>
        </w:tc>
        <w:tc>
          <w:tcPr>
            <w:tcW w:w="1980" w:type="dxa"/>
            <w:shd w:val="clear" w:color="auto" w:fill="FFC000"/>
            <w:vAlign w:val="center"/>
          </w:tcPr>
          <w:p w14:paraId="54CECAF8" w14:textId="77777777" w:rsidR="001713A8" w:rsidRPr="005E1383" w:rsidRDefault="001713A8" w:rsidP="00825F2D">
            <w:pPr>
              <w:jc w:val="center"/>
              <w:rPr>
                <w:b/>
                <w:sz w:val="18"/>
                <w:szCs w:val="18"/>
              </w:rPr>
            </w:pPr>
            <w:r>
              <w:rPr>
                <w:b/>
                <w:sz w:val="18"/>
                <w:szCs w:val="18"/>
              </w:rPr>
              <w:t>Rating</w:t>
            </w:r>
          </w:p>
        </w:tc>
        <w:tc>
          <w:tcPr>
            <w:tcW w:w="2070" w:type="dxa"/>
            <w:shd w:val="clear" w:color="auto" w:fill="FFC000"/>
            <w:vAlign w:val="center"/>
          </w:tcPr>
          <w:p w14:paraId="1C4D5EF8" w14:textId="77777777" w:rsidR="001713A8" w:rsidRPr="005E1383" w:rsidRDefault="001713A8" w:rsidP="00825F2D">
            <w:pPr>
              <w:jc w:val="center"/>
              <w:rPr>
                <w:b/>
                <w:sz w:val="18"/>
                <w:szCs w:val="18"/>
              </w:rPr>
            </w:pPr>
            <w:r w:rsidRPr="005E1383">
              <w:rPr>
                <w:b/>
                <w:sz w:val="18"/>
                <w:szCs w:val="18"/>
              </w:rPr>
              <w:t># of responses</w:t>
            </w:r>
          </w:p>
        </w:tc>
      </w:tr>
      <w:tr w:rsidR="001713A8" w14:paraId="122A88F8" w14:textId="77777777" w:rsidTr="00825F2D">
        <w:trPr>
          <w:trHeight w:val="439"/>
        </w:trPr>
        <w:tc>
          <w:tcPr>
            <w:tcW w:w="5305" w:type="dxa"/>
            <w:vAlign w:val="center"/>
          </w:tcPr>
          <w:p w14:paraId="5B9790B1" w14:textId="0DA9188A" w:rsidR="001713A8" w:rsidRPr="005E1383" w:rsidRDefault="001713A8" w:rsidP="00D35EC2">
            <w:pPr>
              <w:rPr>
                <w:sz w:val="18"/>
                <w:szCs w:val="18"/>
              </w:rPr>
            </w:pPr>
            <w:r w:rsidRPr="005E1383">
              <w:rPr>
                <w:sz w:val="18"/>
                <w:szCs w:val="18"/>
              </w:rPr>
              <w:t xml:space="preserve">Improved drainage and freeze-thaw </w:t>
            </w:r>
            <w:r w:rsidR="00B72C1A">
              <w:rPr>
                <w:sz w:val="18"/>
                <w:szCs w:val="18"/>
              </w:rPr>
              <w:t>representation</w:t>
            </w:r>
          </w:p>
        </w:tc>
        <w:tc>
          <w:tcPr>
            <w:tcW w:w="1980" w:type="dxa"/>
            <w:vAlign w:val="center"/>
          </w:tcPr>
          <w:p w14:paraId="6096CE69" w14:textId="77777777" w:rsidR="001713A8" w:rsidRPr="005E1383" w:rsidRDefault="001713A8" w:rsidP="00825F2D">
            <w:pPr>
              <w:jc w:val="center"/>
              <w:rPr>
                <w:sz w:val="18"/>
                <w:szCs w:val="18"/>
              </w:rPr>
            </w:pPr>
            <w:r w:rsidRPr="005E1383">
              <w:rPr>
                <w:sz w:val="18"/>
                <w:szCs w:val="18"/>
              </w:rPr>
              <w:t>4</w:t>
            </w:r>
          </w:p>
        </w:tc>
        <w:tc>
          <w:tcPr>
            <w:tcW w:w="2070" w:type="dxa"/>
            <w:vAlign w:val="center"/>
          </w:tcPr>
          <w:p w14:paraId="14797281" w14:textId="77777777" w:rsidR="001713A8" w:rsidRPr="005E1383" w:rsidRDefault="001713A8" w:rsidP="00825F2D">
            <w:pPr>
              <w:jc w:val="center"/>
              <w:rPr>
                <w:sz w:val="18"/>
                <w:szCs w:val="18"/>
              </w:rPr>
            </w:pPr>
            <w:r w:rsidRPr="005E1383">
              <w:rPr>
                <w:sz w:val="18"/>
                <w:szCs w:val="18"/>
              </w:rPr>
              <w:t>7</w:t>
            </w:r>
          </w:p>
        </w:tc>
      </w:tr>
      <w:tr w:rsidR="001713A8" w14:paraId="791ABA29" w14:textId="77777777" w:rsidTr="00825F2D">
        <w:trPr>
          <w:trHeight w:val="439"/>
        </w:trPr>
        <w:tc>
          <w:tcPr>
            <w:tcW w:w="5305" w:type="dxa"/>
            <w:vAlign w:val="center"/>
          </w:tcPr>
          <w:p w14:paraId="04D55E3A" w14:textId="77777777" w:rsidR="001713A8" w:rsidRPr="005E1383" w:rsidRDefault="001713A8" w:rsidP="00825F2D">
            <w:pPr>
              <w:rPr>
                <w:sz w:val="18"/>
                <w:szCs w:val="18"/>
              </w:rPr>
            </w:pPr>
            <w:r w:rsidRPr="005E1383">
              <w:rPr>
                <w:sz w:val="18"/>
                <w:szCs w:val="18"/>
              </w:rPr>
              <w:t>Additional experimental site studies</w:t>
            </w:r>
          </w:p>
        </w:tc>
        <w:tc>
          <w:tcPr>
            <w:tcW w:w="1980" w:type="dxa"/>
            <w:vAlign w:val="center"/>
          </w:tcPr>
          <w:p w14:paraId="088C792B" w14:textId="77777777" w:rsidR="001713A8" w:rsidRPr="005E1383" w:rsidRDefault="001713A8" w:rsidP="00825F2D">
            <w:pPr>
              <w:jc w:val="center"/>
              <w:rPr>
                <w:sz w:val="18"/>
                <w:szCs w:val="18"/>
              </w:rPr>
            </w:pPr>
            <w:r w:rsidRPr="005E1383">
              <w:rPr>
                <w:sz w:val="18"/>
                <w:szCs w:val="18"/>
              </w:rPr>
              <w:t>4</w:t>
            </w:r>
          </w:p>
        </w:tc>
        <w:tc>
          <w:tcPr>
            <w:tcW w:w="2070" w:type="dxa"/>
            <w:vAlign w:val="center"/>
          </w:tcPr>
          <w:p w14:paraId="10110C8A" w14:textId="77777777" w:rsidR="001713A8" w:rsidRPr="005E1383" w:rsidRDefault="001713A8" w:rsidP="00825F2D">
            <w:pPr>
              <w:jc w:val="center"/>
              <w:rPr>
                <w:sz w:val="18"/>
                <w:szCs w:val="18"/>
              </w:rPr>
            </w:pPr>
            <w:r w:rsidRPr="005E1383">
              <w:rPr>
                <w:sz w:val="18"/>
                <w:szCs w:val="18"/>
              </w:rPr>
              <w:t>7</w:t>
            </w:r>
          </w:p>
        </w:tc>
      </w:tr>
      <w:tr w:rsidR="001713A8" w14:paraId="320C2C16" w14:textId="77777777" w:rsidTr="00825F2D">
        <w:trPr>
          <w:trHeight w:val="439"/>
        </w:trPr>
        <w:tc>
          <w:tcPr>
            <w:tcW w:w="5305" w:type="dxa"/>
            <w:vAlign w:val="center"/>
          </w:tcPr>
          <w:p w14:paraId="1164A14C" w14:textId="77777777" w:rsidR="001713A8" w:rsidRPr="005E1383" w:rsidRDefault="001713A8" w:rsidP="00825F2D">
            <w:pPr>
              <w:rPr>
                <w:sz w:val="18"/>
                <w:szCs w:val="18"/>
              </w:rPr>
            </w:pPr>
            <w:r w:rsidRPr="005E1383">
              <w:rPr>
                <w:sz w:val="18"/>
                <w:szCs w:val="18"/>
              </w:rPr>
              <w:t>Improved representation of emissions from small grain cropping</w:t>
            </w:r>
          </w:p>
        </w:tc>
        <w:tc>
          <w:tcPr>
            <w:tcW w:w="1980" w:type="dxa"/>
            <w:vAlign w:val="center"/>
          </w:tcPr>
          <w:p w14:paraId="5C8C9163" w14:textId="77777777" w:rsidR="001713A8" w:rsidRPr="005E1383" w:rsidRDefault="001713A8" w:rsidP="00825F2D">
            <w:pPr>
              <w:jc w:val="center"/>
              <w:rPr>
                <w:sz w:val="18"/>
                <w:szCs w:val="18"/>
              </w:rPr>
            </w:pPr>
            <w:r w:rsidRPr="005E1383">
              <w:rPr>
                <w:sz w:val="18"/>
                <w:szCs w:val="18"/>
              </w:rPr>
              <w:t>3.8</w:t>
            </w:r>
          </w:p>
        </w:tc>
        <w:tc>
          <w:tcPr>
            <w:tcW w:w="2070" w:type="dxa"/>
            <w:vAlign w:val="center"/>
          </w:tcPr>
          <w:p w14:paraId="17B26653" w14:textId="77777777" w:rsidR="001713A8" w:rsidRPr="005E1383" w:rsidRDefault="001713A8" w:rsidP="00825F2D">
            <w:pPr>
              <w:jc w:val="center"/>
              <w:rPr>
                <w:sz w:val="18"/>
                <w:szCs w:val="18"/>
              </w:rPr>
            </w:pPr>
            <w:r w:rsidRPr="005E1383">
              <w:rPr>
                <w:sz w:val="18"/>
                <w:szCs w:val="18"/>
              </w:rPr>
              <w:t>7</w:t>
            </w:r>
          </w:p>
        </w:tc>
      </w:tr>
      <w:tr w:rsidR="001713A8" w14:paraId="166258FC" w14:textId="77777777" w:rsidTr="00825F2D">
        <w:trPr>
          <w:trHeight w:val="439"/>
        </w:trPr>
        <w:tc>
          <w:tcPr>
            <w:tcW w:w="5305" w:type="dxa"/>
            <w:vAlign w:val="center"/>
          </w:tcPr>
          <w:p w14:paraId="180408BC" w14:textId="77777777" w:rsidR="001713A8" w:rsidRPr="005E1383" w:rsidRDefault="001713A8" w:rsidP="00825F2D">
            <w:pPr>
              <w:rPr>
                <w:sz w:val="18"/>
                <w:szCs w:val="18"/>
              </w:rPr>
            </w:pPr>
            <w:r w:rsidRPr="005E1383">
              <w:rPr>
                <w:sz w:val="18"/>
                <w:szCs w:val="18"/>
              </w:rPr>
              <w:t>Improved simulation of plant production</w:t>
            </w:r>
          </w:p>
        </w:tc>
        <w:tc>
          <w:tcPr>
            <w:tcW w:w="1980" w:type="dxa"/>
            <w:vAlign w:val="center"/>
          </w:tcPr>
          <w:p w14:paraId="6DCFC55F" w14:textId="77777777" w:rsidR="001713A8" w:rsidRPr="005E1383" w:rsidRDefault="001713A8" w:rsidP="00825F2D">
            <w:pPr>
              <w:jc w:val="center"/>
              <w:rPr>
                <w:sz w:val="18"/>
                <w:szCs w:val="18"/>
              </w:rPr>
            </w:pPr>
            <w:r w:rsidRPr="005E1383">
              <w:rPr>
                <w:sz w:val="18"/>
                <w:szCs w:val="18"/>
              </w:rPr>
              <w:t>3.6</w:t>
            </w:r>
          </w:p>
        </w:tc>
        <w:tc>
          <w:tcPr>
            <w:tcW w:w="2070" w:type="dxa"/>
            <w:vAlign w:val="center"/>
          </w:tcPr>
          <w:p w14:paraId="56D3CCBD" w14:textId="77777777" w:rsidR="001713A8" w:rsidRPr="005E1383" w:rsidRDefault="001713A8" w:rsidP="00825F2D">
            <w:pPr>
              <w:jc w:val="center"/>
              <w:rPr>
                <w:sz w:val="18"/>
                <w:szCs w:val="18"/>
              </w:rPr>
            </w:pPr>
            <w:r w:rsidRPr="005E1383">
              <w:rPr>
                <w:sz w:val="18"/>
                <w:szCs w:val="18"/>
              </w:rPr>
              <w:t>7</w:t>
            </w:r>
          </w:p>
        </w:tc>
      </w:tr>
      <w:tr w:rsidR="001713A8" w14:paraId="73F61460" w14:textId="77777777" w:rsidTr="00825F2D">
        <w:trPr>
          <w:trHeight w:val="439"/>
        </w:trPr>
        <w:tc>
          <w:tcPr>
            <w:tcW w:w="5305" w:type="dxa"/>
            <w:vAlign w:val="center"/>
          </w:tcPr>
          <w:p w14:paraId="55FC8BB8" w14:textId="77777777" w:rsidR="001713A8" w:rsidRPr="005E1383" w:rsidRDefault="001713A8" w:rsidP="00825F2D">
            <w:pPr>
              <w:rPr>
                <w:sz w:val="18"/>
                <w:szCs w:val="18"/>
              </w:rPr>
            </w:pPr>
            <w:r w:rsidRPr="005E1383">
              <w:rPr>
                <w:sz w:val="18"/>
                <w:szCs w:val="18"/>
              </w:rPr>
              <w:t>Soil organic stock changes to a depth beyond 30cm</w:t>
            </w:r>
          </w:p>
        </w:tc>
        <w:tc>
          <w:tcPr>
            <w:tcW w:w="1980" w:type="dxa"/>
            <w:vAlign w:val="center"/>
          </w:tcPr>
          <w:p w14:paraId="5488F952" w14:textId="77777777" w:rsidR="001713A8" w:rsidRPr="005E1383" w:rsidRDefault="001713A8" w:rsidP="00825F2D">
            <w:pPr>
              <w:jc w:val="center"/>
              <w:rPr>
                <w:sz w:val="18"/>
                <w:szCs w:val="18"/>
              </w:rPr>
            </w:pPr>
            <w:r w:rsidRPr="005E1383">
              <w:rPr>
                <w:sz w:val="18"/>
                <w:szCs w:val="18"/>
              </w:rPr>
              <w:t>3.4</w:t>
            </w:r>
          </w:p>
        </w:tc>
        <w:tc>
          <w:tcPr>
            <w:tcW w:w="2070" w:type="dxa"/>
            <w:vAlign w:val="center"/>
          </w:tcPr>
          <w:p w14:paraId="25D192B6" w14:textId="77777777" w:rsidR="001713A8" w:rsidRPr="005E1383" w:rsidRDefault="001713A8" w:rsidP="00825F2D">
            <w:pPr>
              <w:jc w:val="center"/>
              <w:rPr>
                <w:sz w:val="18"/>
                <w:szCs w:val="18"/>
              </w:rPr>
            </w:pPr>
            <w:r w:rsidRPr="005E1383">
              <w:rPr>
                <w:sz w:val="18"/>
                <w:szCs w:val="18"/>
              </w:rPr>
              <w:t>7</w:t>
            </w:r>
          </w:p>
        </w:tc>
      </w:tr>
      <w:tr w:rsidR="001713A8" w14:paraId="6FE8AC3A" w14:textId="77777777" w:rsidTr="00825F2D">
        <w:trPr>
          <w:trHeight w:val="439"/>
        </w:trPr>
        <w:tc>
          <w:tcPr>
            <w:tcW w:w="5305" w:type="dxa"/>
            <w:vAlign w:val="center"/>
          </w:tcPr>
          <w:p w14:paraId="427892EC" w14:textId="77777777" w:rsidR="001713A8" w:rsidRPr="005E1383" w:rsidRDefault="001713A8" w:rsidP="00825F2D">
            <w:pPr>
              <w:rPr>
                <w:sz w:val="18"/>
                <w:szCs w:val="18"/>
              </w:rPr>
            </w:pPr>
            <w:r w:rsidRPr="005E1383">
              <w:rPr>
                <w:sz w:val="18"/>
                <w:szCs w:val="18"/>
              </w:rPr>
              <w:t>Represent the influence of nitrification inhibitors and slow-release fertilizers on N</w:t>
            </w:r>
            <w:r w:rsidRPr="00081E93">
              <w:rPr>
                <w:sz w:val="18"/>
                <w:szCs w:val="18"/>
                <w:vertAlign w:val="subscript"/>
              </w:rPr>
              <w:t>2</w:t>
            </w:r>
            <w:r w:rsidRPr="005E1383">
              <w:rPr>
                <w:sz w:val="18"/>
                <w:szCs w:val="18"/>
              </w:rPr>
              <w:t>O emissions</w:t>
            </w:r>
          </w:p>
        </w:tc>
        <w:tc>
          <w:tcPr>
            <w:tcW w:w="1980" w:type="dxa"/>
            <w:vAlign w:val="center"/>
          </w:tcPr>
          <w:p w14:paraId="26A93EE1" w14:textId="77777777" w:rsidR="001713A8" w:rsidRPr="005E1383" w:rsidRDefault="001713A8" w:rsidP="00825F2D">
            <w:pPr>
              <w:jc w:val="center"/>
              <w:rPr>
                <w:sz w:val="18"/>
                <w:szCs w:val="18"/>
              </w:rPr>
            </w:pPr>
            <w:r w:rsidRPr="005E1383">
              <w:rPr>
                <w:sz w:val="18"/>
                <w:szCs w:val="18"/>
              </w:rPr>
              <w:t>3</w:t>
            </w:r>
          </w:p>
        </w:tc>
        <w:tc>
          <w:tcPr>
            <w:tcW w:w="2070" w:type="dxa"/>
            <w:vAlign w:val="center"/>
          </w:tcPr>
          <w:p w14:paraId="45DDFABB" w14:textId="77777777" w:rsidR="001713A8" w:rsidRPr="005E1383" w:rsidRDefault="001713A8" w:rsidP="00825F2D">
            <w:pPr>
              <w:jc w:val="center"/>
              <w:rPr>
                <w:sz w:val="18"/>
                <w:szCs w:val="18"/>
              </w:rPr>
            </w:pPr>
            <w:r w:rsidRPr="005E1383">
              <w:rPr>
                <w:sz w:val="18"/>
                <w:szCs w:val="18"/>
              </w:rPr>
              <w:t>7</w:t>
            </w:r>
          </w:p>
        </w:tc>
      </w:tr>
      <w:tr w:rsidR="001713A8" w14:paraId="5E15DA0A" w14:textId="77777777" w:rsidTr="00825F2D">
        <w:trPr>
          <w:trHeight w:val="439"/>
        </w:trPr>
        <w:tc>
          <w:tcPr>
            <w:tcW w:w="5305" w:type="dxa"/>
            <w:vAlign w:val="center"/>
          </w:tcPr>
          <w:p w14:paraId="4C24142C" w14:textId="01653C03" w:rsidR="001713A8" w:rsidRPr="005E1383" w:rsidRDefault="009F2A01" w:rsidP="00825F2D">
            <w:pPr>
              <w:rPr>
                <w:sz w:val="18"/>
                <w:szCs w:val="18"/>
              </w:rPr>
            </w:pPr>
            <w:r>
              <w:rPr>
                <w:sz w:val="18"/>
                <w:szCs w:val="18"/>
              </w:rPr>
              <w:t xml:space="preserve">Incorporation of </w:t>
            </w:r>
            <w:r w:rsidR="001713A8" w:rsidRPr="005E1383">
              <w:rPr>
                <w:sz w:val="18"/>
                <w:szCs w:val="18"/>
              </w:rPr>
              <w:t>Conservation Effects Assessment Project</w:t>
            </w:r>
            <w:r>
              <w:rPr>
                <w:sz w:val="18"/>
                <w:szCs w:val="18"/>
              </w:rPr>
              <w:t xml:space="preserve"> data</w:t>
            </w:r>
          </w:p>
        </w:tc>
        <w:tc>
          <w:tcPr>
            <w:tcW w:w="1980" w:type="dxa"/>
            <w:vAlign w:val="center"/>
          </w:tcPr>
          <w:p w14:paraId="1F26B36E" w14:textId="77777777" w:rsidR="001713A8" w:rsidRPr="005E1383" w:rsidRDefault="001713A8" w:rsidP="00825F2D">
            <w:pPr>
              <w:jc w:val="center"/>
              <w:rPr>
                <w:sz w:val="18"/>
                <w:szCs w:val="18"/>
              </w:rPr>
            </w:pPr>
            <w:r w:rsidRPr="005E1383">
              <w:rPr>
                <w:sz w:val="18"/>
                <w:szCs w:val="18"/>
              </w:rPr>
              <w:t>2.8</w:t>
            </w:r>
          </w:p>
        </w:tc>
        <w:tc>
          <w:tcPr>
            <w:tcW w:w="2070" w:type="dxa"/>
            <w:vAlign w:val="center"/>
          </w:tcPr>
          <w:p w14:paraId="2ABE3577" w14:textId="77777777" w:rsidR="001713A8" w:rsidRPr="005E1383" w:rsidRDefault="001713A8" w:rsidP="00825F2D">
            <w:pPr>
              <w:jc w:val="center"/>
              <w:rPr>
                <w:sz w:val="18"/>
                <w:szCs w:val="18"/>
              </w:rPr>
            </w:pPr>
            <w:r w:rsidRPr="005E1383">
              <w:rPr>
                <w:sz w:val="18"/>
                <w:szCs w:val="18"/>
              </w:rPr>
              <w:t>7</w:t>
            </w:r>
          </w:p>
        </w:tc>
      </w:tr>
      <w:tr w:rsidR="001713A8" w14:paraId="625D34E8" w14:textId="77777777" w:rsidTr="00825F2D">
        <w:trPr>
          <w:trHeight w:val="439"/>
        </w:trPr>
        <w:tc>
          <w:tcPr>
            <w:tcW w:w="5305" w:type="dxa"/>
            <w:vAlign w:val="center"/>
          </w:tcPr>
          <w:p w14:paraId="075A9A3D" w14:textId="77777777" w:rsidR="001713A8" w:rsidRPr="005E1383" w:rsidRDefault="001713A8" w:rsidP="00825F2D">
            <w:pPr>
              <w:rPr>
                <w:sz w:val="18"/>
                <w:szCs w:val="18"/>
              </w:rPr>
            </w:pPr>
            <w:r w:rsidRPr="005E1383">
              <w:rPr>
                <w:sz w:val="18"/>
                <w:szCs w:val="18"/>
              </w:rPr>
              <w:t>Include above-ground biomass C changes</w:t>
            </w:r>
          </w:p>
        </w:tc>
        <w:tc>
          <w:tcPr>
            <w:tcW w:w="1980" w:type="dxa"/>
            <w:vAlign w:val="center"/>
          </w:tcPr>
          <w:p w14:paraId="39DBB927" w14:textId="77777777" w:rsidR="001713A8" w:rsidRPr="005E1383" w:rsidRDefault="001713A8" w:rsidP="00825F2D">
            <w:pPr>
              <w:jc w:val="center"/>
              <w:rPr>
                <w:sz w:val="18"/>
                <w:szCs w:val="18"/>
              </w:rPr>
            </w:pPr>
            <w:r w:rsidRPr="005E1383">
              <w:rPr>
                <w:sz w:val="18"/>
                <w:szCs w:val="18"/>
              </w:rPr>
              <w:t>2.8</w:t>
            </w:r>
          </w:p>
        </w:tc>
        <w:tc>
          <w:tcPr>
            <w:tcW w:w="2070" w:type="dxa"/>
            <w:vAlign w:val="center"/>
          </w:tcPr>
          <w:p w14:paraId="3D5AE057" w14:textId="77777777" w:rsidR="001713A8" w:rsidRPr="005E1383" w:rsidRDefault="001713A8" w:rsidP="00825F2D">
            <w:pPr>
              <w:jc w:val="center"/>
              <w:rPr>
                <w:sz w:val="18"/>
                <w:szCs w:val="18"/>
              </w:rPr>
            </w:pPr>
            <w:r w:rsidRPr="005E1383">
              <w:rPr>
                <w:sz w:val="18"/>
                <w:szCs w:val="18"/>
              </w:rPr>
              <w:t>7</w:t>
            </w:r>
          </w:p>
        </w:tc>
      </w:tr>
      <w:tr w:rsidR="001713A8" w14:paraId="45F8072F" w14:textId="77777777" w:rsidTr="00825F2D">
        <w:trPr>
          <w:trHeight w:val="439"/>
        </w:trPr>
        <w:tc>
          <w:tcPr>
            <w:tcW w:w="5305" w:type="dxa"/>
            <w:vAlign w:val="center"/>
          </w:tcPr>
          <w:p w14:paraId="2CC3972D" w14:textId="77777777" w:rsidR="001713A8" w:rsidRPr="005E1383" w:rsidRDefault="001713A8" w:rsidP="00825F2D">
            <w:pPr>
              <w:rPr>
                <w:rFonts w:cstheme="minorHAnsi"/>
                <w:sz w:val="18"/>
                <w:szCs w:val="18"/>
              </w:rPr>
            </w:pPr>
            <w:r w:rsidRPr="005E1383">
              <w:rPr>
                <w:rFonts w:cstheme="minorHAnsi"/>
                <w:sz w:val="18"/>
                <w:szCs w:val="18"/>
              </w:rPr>
              <w:t>Crop residue burning</w:t>
            </w:r>
          </w:p>
        </w:tc>
        <w:tc>
          <w:tcPr>
            <w:tcW w:w="1980" w:type="dxa"/>
            <w:vAlign w:val="center"/>
          </w:tcPr>
          <w:p w14:paraId="668B6C97" w14:textId="77777777" w:rsidR="001713A8" w:rsidRPr="005E1383" w:rsidRDefault="001713A8" w:rsidP="00825F2D">
            <w:pPr>
              <w:jc w:val="center"/>
              <w:rPr>
                <w:sz w:val="18"/>
                <w:szCs w:val="18"/>
              </w:rPr>
            </w:pPr>
            <w:r w:rsidRPr="005E1383">
              <w:rPr>
                <w:sz w:val="18"/>
                <w:szCs w:val="18"/>
              </w:rPr>
              <w:t>2.4</w:t>
            </w:r>
          </w:p>
        </w:tc>
        <w:tc>
          <w:tcPr>
            <w:tcW w:w="2070" w:type="dxa"/>
            <w:vAlign w:val="center"/>
          </w:tcPr>
          <w:p w14:paraId="0DD1D57E" w14:textId="77777777" w:rsidR="001713A8" w:rsidRPr="005E1383" w:rsidRDefault="001713A8" w:rsidP="00825F2D">
            <w:pPr>
              <w:jc w:val="center"/>
              <w:rPr>
                <w:sz w:val="18"/>
                <w:szCs w:val="18"/>
              </w:rPr>
            </w:pPr>
            <w:r w:rsidRPr="005E1383">
              <w:rPr>
                <w:sz w:val="18"/>
                <w:szCs w:val="18"/>
              </w:rPr>
              <w:t>7</w:t>
            </w:r>
          </w:p>
        </w:tc>
      </w:tr>
      <w:tr w:rsidR="001713A8" w14:paraId="4688FF1C" w14:textId="77777777" w:rsidTr="00825F2D">
        <w:trPr>
          <w:trHeight w:val="440"/>
        </w:trPr>
        <w:tc>
          <w:tcPr>
            <w:tcW w:w="5305" w:type="dxa"/>
            <w:vAlign w:val="center"/>
          </w:tcPr>
          <w:p w14:paraId="2A3BA06A" w14:textId="0F2DFB33" w:rsidR="001713A8" w:rsidRPr="005E1383" w:rsidRDefault="001713A8" w:rsidP="00825F2D">
            <w:pPr>
              <w:rPr>
                <w:rFonts w:cstheme="minorHAnsi"/>
                <w:sz w:val="18"/>
                <w:szCs w:val="18"/>
              </w:rPr>
            </w:pPr>
            <w:r w:rsidRPr="0068052A">
              <w:rPr>
                <w:rFonts w:cstheme="minorHAnsi"/>
                <w:sz w:val="18"/>
                <w:szCs w:val="18"/>
              </w:rPr>
              <w:t>Missing fluxes of soil GHG emissions from Alaska and Hawaii</w:t>
            </w:r>
          </w:p>
        </w:tc>
        <w:tc>
          <w:tcPr>
            <w:tcW w:w="1980" w:type="dxa"/>
            <w:vAlign w:val="center"/>
          </w:tcPr>
          <w:p w14:paraId="4C85D8AD" w14:textId="77777777" w:rsidR="001713A8" w:rsidRPr="005E1383" w:rsidRDefault="001713A8" w:rsidP="00825F2D">
            <w:pPr>
              <w:jc w:val="center"/>
              <w:rPr>
                <w:sz w:val="18"/>
                <w:szCs w:val="18"/>
              </w:rPr>
            </w:pPr>
            <w:r w:rsidRPr="005E1383">
              <w:rPr>
                <w:sz w:val="18"/>
                <w:szCs w:val="18"/>
              </w:rPr>
              <w:t>2</w:t>
            </w:r>
          </w:p>
        </w:tc>
        <w:tc>
          <w:tcPr>
            <w:tcW w:w="2070" w:type="dxa"/>
            <w:vAlign w:val="center"/>
          </w:tcPr>
          <w:p w14:paraId="45D63A57" w14:textId="77777777" w:rsidR="001713A8" w:rsidRPr="005E1383" w:rsidRDefault="001713A8" w:rsidP="00825F2D">
            <w:pPr>
              <w:jc w:val="center"/>
              <w:rPr>
                <w:sz w:val="18"/>
                <w:szCs w:val="18"/>
              </w:rPr>
            </w:pPr>
            <w:r w:rsidRPr="005E1383">
              <w:rPr>
                <w:sz w:val="18"/>
                <w:szCs w:val="18"/>
              </w:rPr>
              <w:t>7</w:t>
            </w:r>
          </w:p>
        </w:tc>
      </w:tr>
    </w:tbl>
    <w:p w14:paraId="10AFB768" w14:textId="77777777" w:rsidR="001713A8" w:rsidRDefault="001713A8" w:rsidP="001713A8"/>
    <w:p w14:paraId="401BC947" w14:textId="1D89D021" w:rsidR="001713A8" w:rsidRPr="00303954" w:rsidRDefault="005E4D1E" w:rsidP="001713A8">
      <w:pPr>
        <w:pStyle w:val="4-Heading"/>
      </w:pPr>
      <w:r>
        <w:t xml:space="preserve">Survey section </w:t>
      </w:r>
      <w:r w:rsidR="001713A8">
        <w:t>2</w:t>
      </w:r>
    </w:p>
    <w:p w14:paraId="050580FD" w14:textId="091117C5" w:rsidR="001713A8" w:rsidRDefault="001713A8" w:rsidP="001713A8">
      <w:r>
        <w:t xml:space="preserve">In this section, </w:t>
      </w:r>
      <w:r w:rsidRPr="008B2BC0">
        <w:t>there were up to 19 responses per query (not every respondent completed the entire section). The average ranking for each of the 60 research, model</w:t>
      </w:r>
      <w:r>
        <w:t xml:space="preserve"> development, or data needs was calculated and can be found in </w:t>
      </w:r>
      <w:r w:rsidR="001D3697">
        <w:t>Section 3 of the Supplementary Material</w:t>
      </w:r>
      <w:r>
        <w:t xml:space="preserve">, and the top 10 ranked needs are displayed in </w:t>
      </w:r>
      <w:r w:rsidRPr="00825F2D">
        <w:t xml:space="preserve">Table </w:t>
      </w:r>
      <w:r w:rsidR="005E4D1E">
        <w:t>2</w:t>
      </w:r>
      <w:r w:rsidR="00AD1E50">
        <w:t>-1</w:t>
      </w:r>
      <w:r w:rsidR="00BD420F">
        <w:t>8</w:t>
      </w:r>
      <w:r w:rsidRPr="00825F2D">
        <w:t>.</w:t>
      </w:r>
      <w:r>
        <w:t xml:space="preserve"> </w:t>
      </w:r>
      <w:r w:rsidR="00BD420F">
        <w:t xml:space="preserve">Many of the </w:t>
      </w:r>
      <w:r w:rsidR="001D3697">
        <w:t xml:space="preserve">highly ranked activities </w:t>
      </w:r>
      <w:r>
        <w:t>were related to model construction</w:t>
      </w:r>
      <w:r w:rsidR="00BD420F">
        <w:t xml:space="preserve"> and </w:t>
      </w:r>
      <w:r>
        <w:t>validation</w:t>
      </w:r>
      <w:r w:rsidR="00BD420F">
        <w:t xml:space="preserve"> and </w:t>
      </w:r>
      <w:r>
        <w:t>building collaborative research</w:t>
      </w:r>
      <w:r w:rsidR="00BD420F">
        <w:t xml:space="preserve"> and </w:t>
      </w:r>
      <w:r>
        <w:t xml:space="preserve">monitoring networks. This is unsurprising given that the NGHGI indicates that upwards of 80% of total cropland and grassland Tier 3 uncertainty stems from the structure of the DayCent model (Ogle et al., 2010, Annex 3.B. of the </w:t>
      </w:r>
      <w:r>
        <w:rPr>
          <w:rFonts w:cstheme="minorHAnsi"/>
          <w:bCs/>
          <w:bdr w:val="none" w:sz="0" w:space="0" w:color="auto" w:frame="1"/>
        </w:rPr>
        <w:t>NGHGI, 2018</w:t>
      </w:r>
      <w:r>
        <w:t>). Consistent with the findings from</w:t>
      </w:r>
      <w:r w:rsidR="001D3697">
        <w:t xml:space="preserve"> survey</w:t>
      </w:r>
      <w:r>
        <w:t xml:space="preserve"> </w:t>
      </w:r>
      <w:r w:rsidR="007D6D6E">
        <w:t xml:space="preserve">section </w:t>
      </w:r>
      <w:r>
        <w:t xml:space="preserve">1, all of the primary soil research needs that were rated in the top 10 were related to the </w:t>
      </w:r>
      <w:r w:rsidR="001D3697">
        <w:t>nitrogen</w:t>
      </w:r>
      <w:r>
        <w:t xml:space="preserve"> cycle.</w:t>
      </w:r>
    </w:p>
    <w:p w14:paraId="46CEAB78" w14:textId="77777777" w:rsidR="00652BD5" w:rsidRDefault="00652BD5" w:rsidP="001713A8"/>
    <w:p w14:paraId="3F32155E" w14:textId="6FC988A7" w:rsidR="001713A8" w:rsidRDefault="001713A8" w:rsidP="001713A8">
      <w:pPr>
        <w:pStyle w:val="Caption"/>
        <w:keepNext/>
        <w:rPr>
          <w:b/>
          <w:sz w:val="22"/>
          <w:szCs w:val="22"/>
        </w:rPr>
      </w:pPr>
      <w:r w:rsidRPr="00825F2D">
        <w:rPr>
          <w:b/>
          <w:sz w:val="22"/>
          <w:szCs w:val="22"/>
        </w:rPr>
        <w:lastRenderedPageBreak/>
        <w:t xml:space="preserve">Table </w:t>
      </w:r>
      <w:r w:rsidR="005E4D1E">
        <w:rPr>
          <w:b/>
          <w:sz w:val="22"/>
          <w:szCs w:val="22"/>
        </w:rPr>
        <w:t>2</w:t>
      </w:r>
      <w:r w:rsidR="00AD1E50">
        <w:rPr>
          <w:b/>
          <w:sz w:val="22"/>
          <w:szCs w:val="22"/>
        </w:rPr>
        <w:t>-1</w:t>
      </w:r>
      <w:r w:rsidR="00BD420F">
        <w:rPr>
          <w:b/>
          <w:sz w:val="22"/>
          <w:szCs w:val="22"/>
        </w:rPr>
        <w:t>8</w:t>
      </w:r>
      <w:r w:rsidRPr="00825F2D">
        <w:rPr>
          <w:b/>
          <w:sz w:val="22"/>
          <w:szCs w:val="22"/>
        </w:rPr>
        <w:t xml:space="preserve">: </w:t>
      </w:r>
      <w:r w:rsidR="00A9645A">
        <w:rPr>
          <w:b/>
          <w:sz w:val="22"/>
          <w:szCs w:val="22"/>
        </w:rPr>
        <w:t xml:space="preserve">RESULTS - </w:t>
      </w:r>
      <w:r w:rsidRPr="00825F2D">
        <w:rPr>
          <w:b/>
          <w:sz w:val="22"/>
          <w:szCs w:val="22"/>
        </w:rPr>
        <w:t>Priority research, model, and data needs, rated by importance</w:t>
      </w:r>
    </w:p>
    <w:tbl>
      <w:tblPr>
        <w:tblStyle w:val="TableGrid"/>
        <w:tblW w:w="0" w:type="auto"/>
        <w:tblLook w:val="04A0" w:firstRow="1" w:lastRow="0" w:firstColumn="1" w:lastColumn="0" w:noHBand="0" w:noVBand="1"/>
      </w:tblPr>
      <w:tblGrid>
        <w:gridCol w:w="2337"/>
        <w:gridCol w:w="4948"/>
        <w:gridCol w:w="1080"/>
        <w:gridCol w:w="985"/>
      </w:tblGrid>
      <w:tr w:rsidR="009F2A01" w14:paraId="66F42B29" w14:textId="77777777" w:rsidTr="009F2A01">
        <w:tc>
          <w:tcPr>
            <w:tcW w:w="2337" w:type="dxa"/>
            <w:shd w:val="clear" w:color="auto" w:fill="FFC000" w:themeFill="accent4"/>
            <w:vAlign w:val="center"/>
          </w:tcPr>
          <w:p w14:paraId="58DE19AC" w14:textId="28F292B8" w:rsidR="009F2A01" w:rsidRPr="009F2A01" w:rsidRDefault="009F2A01" w:rsidP="009F2A01">
            <w:pPr>
              <w:jc w:val="center"/>
              <w:rPr>
                <w:b/>
                <w:sz w:val="18"/>
                <w:szCs w:val="18"/>
              </w:rPr>
            </w:pPr>
            <w:r w:rsidRPr="009F2A01">
              <w:rPr>
                <w:b/>
                <w:sz w:val="18"/>
                <w:szCs w:val="18"/>
              </w:rPr>
              <w:t>Category</w:t>
            </w:r>
          </w:p>
        </w:tc>
        <w:tc>
          <w:tcPr>
            <w:tcW w:w="4948" w:type="dxa"/>
            <w:shd w:val="clear" w:color="auto" w:fill="FFC000" w:themeFill="accent4"/>
            <w:vAlign w:val="center"/>
          </w:tcPr>
          <w:p w14:paraId="5B8BAE47" w14:textId="7CF3769B" w:rsidR="009F2A01" w:rsidRPr="009F2A01" w:rsidRDefault="009F2A01" w:rsidP="009F2A01">
            <w:pPr>
              <w:jc w:val="center"/>
              <w:rPr>
                <w:b/>
                <w:sz w:val="18"/>
                <w:szCs w:val="18"/>
              </w:rPr>
            </w:pPr>
            <w:r w:rsidRPr="009F2A01">
              <w:rPr>
                <w:b/>
                <w:sz w:val="18"/>
                <w:szCs w:val="18"/>
              </w:rPr>
              <w:t>Research Need</w:t>
            </w:r>
          </w:p>
        </w:tc>
        <w:tc>
          <w:tcPr>
            <w:tcW w:w="1080" w:type="dxa"/>
            <w:shd w:val="clear" w:color="auto" w:fill="FFC000" w:themeFill="accent4"/>
            <w:vAlign w:val="center"/>
          </w:tcPr>
          <w:p w14:paraId="18A9CEFC" w14:textId="231A0961" w:rsidR="009F2A01" w:rsidRPr="009F2A01" w:rsidRDefault="009F2A01" w:rsidP="009F2A01">
            <w:pPr>
              <w:jc w:val="center"/>
              <w:rPr>
                <w:b/>
                <w:sz w:val="18"/>
                <w:szCs w:val="18"/>
              </w:rPr>
            </w:pPr>
            <w:r w:rsidRPr="009F2A01">
              <w:rPr>
                <w:b/>
                <w:sz w:val="18"/>
                <w:szCs w:val="18"/>
              </w:rPr>
              <w:t>Rating</w:t>
            </w:r>
          </w:p>
        </w:tc>
        <w:tc>
          <w:tcPr>
            <w:tcW w:w="985" w:type="dxa"/>
            <w:shd w:val="clear" w:color="auto" w:fill="FFC000" w:themeFill="accent4"/>
            <w:vAlign w:val="center"/>
          </w:tcPr>
          <w:p w14:paraId="45765052" w14:textId="7E9AD4AF" w:rsidR="009F2A01" w:rsidRPr="009F2A01" w:rsidRDefault="009F2A01" w:rsidP="009F2A01">
            <w:pPr>
              <w:jc w:val="center"/>
              <w:rPr>
                <w:b/>
                <w:sz w:val="18"/>
                <w:szCs w:val="18"/>
              </w:rPr>
            </w:pPr>
            <w:r w:rsidRPr="009F2A01">
              <w:rPr>
                <w:b/>
                <w:sz w:val="18"/>
                <w:szCs w:val="18"/>
              </w:rPr>
              <w:t># of responses</w:t>
            </w:r>
          </w:p>
        </w:tc>
      </w:tr>
      <w:tr w:rsidR="009F2A01" w14:paraId="1585C426" w14:textId="77777777" w:rsidTr="009F2A01">
        <w:tc>
          <w:tcPr>
            <w:tcW w:w="2337" w:type="dxa"/>
          </w:tcPr>
          <w:p w14:paraId="48F5AD1F" w14:textId="2C9BE0B7" w:rsidR="009F2A01" w:rsidRDefault="00BD420F" w:rsidP="009F2A01">
            <w:r>
              <w:rPr>
                <w:rFonts w:eastAsia="Times New Roman" w:cstheme="minorHAnsi"/>
                <w:color w:val="000000"/>
                <w:sz w:val="18"/>
                <w:szCs w:val="18"/>
              </w:rPr>
              <w:t>D</w:t>
            </w:r>
            <w:r w:rsidR="009F2A01" w:rsidRPr="00A86203">
              <w:rPr>
                <w:rFonts w:eastAsia="Times New Roman" w:cstheme="minorHAnsi"/>
                <w:color w:val="000000"/>
                <w:sz w:val="18"/>
                <w:szCs w:val="18"/>
              </w:rPr>
              <w:t>ata needs</w:t>
            </w:r>
          </w:p>
        </w:tc>
        <w:tc>
          <w:tcPr>
            <w:tcW w:w="4948" w:type="dxa"/>
          </w:tcPr>
          <w:p w14:paraId="13FF63F1" w14:textId="2A85F022" w:rsidR="009F2A01" w:rsidRDefault="009F2A01" w:rsidP="00D35EC2">
            <w:r w:rsidRPr="005E1383">
              <w:rPr>
                <w:rFonts w:eastAsia="Times New Roman" w:cstheme="minorHAnsi"/>
                <w:color w:val="000000"/>
                <w:sz w:val="18"/>
                <w:szCs w:val="18"/>
              </w:rPr>
              <w:t>Build research site networks of</w:t>
            </w:r>
            <w:r w:rsidR="00BD420F">
              <w:rPr>
                <w:rFonts w:eastAsia="Times New Roman" w:cstheme="minorHAnsi"/>
                <w:color w:val="000000"/>
                <w:sz w:val="18"/>
                <w:szCs w:val="18"/>
              </w:rPr>
              <w:t xml:space="preserve"> CO</w:t>
            </w:r>
            <w:r w:rsidR="00BD420F" w:rsidRPr="003B4036">
              <w:rPr>
                <w:rFonts w:eastAsia="Times New Roman" w:cstheme="minorHAnsi"/>
                <w:color w:val="000000"/>
                <w:sz w:val="18"/>
                <w:szCs w:val="18"/>
                <w:vertAlign w:val="subscript"/>
              </w:rPr>
              <w:t>2</w:t>
            </w:r>
            <w:r w:rsidR="00BD420F">
              <w:rPr>
                <w:rFonts w:eastAsia="Times New Roman" w:cstheme="minorHAnsi"/>
                <w:color w:val="000000"/>
                <w:sz w:val="18"/>
                <w:szCs w:val="18"/>
              </w:rPr>
              <w:t>,</w:t>
            </w:r>
            <w:r w:rsidRPr="005E1383">
              <w:rPr>
                <w:rFonts w:eastAsia="Times New Roman" w:cstheme="minorHAnsi"/>
                <w:color w:val="000000"/>
                <w:sz w:val="18"/>
                <w:szCs w:val="18"/>
              </w:rPr>
              <w:t xml:space="preserve">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O and CH</w:t>
            </w:r>
            <w:r w:rsidRPr="005E1383">
              <w:rPr>
                <w:rFonts w:eastAsia="Times New Roman" w:cstheme="minorHAnsi"/>
                <w:color w:val="000000"/>
                <w:sz w:val="18"/>
                <w:szCs w:val="18"/>
                <w:vertAlign w:val="subscript"/>
              </w:rPr>
              <w:t>4</w:t>
            </w:r>
            <w:r w:rsidRPr="005E1383">
              <w:rPr>
                <w:rFonts w:eastAsia="Times New Roman" w:cstheme="minorHAnsi"/>
                <w:color w:val="000000"/>
                <w:sz w:val="18"/>
                <w:szCs w:val="18"/>
              </w:rPr>
              <w:t xml:space="preserve"> soil flux measurements resulting from a diverse range of management activities (Schmidt et al., 2011).</w:t>
            </w:r>
          </w:p>
        </w:tc>
        <w:tc>
          <w:tcPr>
            <w:tcW w:w="1080" w:type="dxa"/>
            <w:vAlign w:val="center"/>
          </w:tcPr>
          <w:p w14:paraId="47A9DAAF" w14:textId="27719F6E" w:rsidR="009F2A01" w:rsidRPr="009F2A01" w:rsidRDefault="009F2A01" w:rsidP="009F2A01">
            <w:pPr>
              <w:jc w:val="center"/>
              <w:rPr>
                <w:sz w:val="18"/>
                <w:szCs w:val="18"/>
              </w:rPr>
            </w:pPr>
            <w:r w:rsidRPr="009F2A01">
              <w:rPr>
                <w:sz w:val="18"/>
                <w:szCs w:val="18"/>
              </w:rPr>
              <w:t>4.26</w:t>
            </w:r>
          </w:p>
        </w:tc>
        <w:tc>
          <w:tcPr>
            <w:tcW w:w="985" w:type="dxa"/>
            <w:vAlign w:val="center"/>
          </w:tcPr>
          <w:p w14:paraId="5A374603" w14:textId="4CFDF4C2" w:rsidR="009F2A01" w:rsidRPr="009F2A01" w:rsidRDefault="009F2A01" w:rsidP="009F2A01">
            <w:pPr>
              <w:jc w:val="center"/>
              <w:rPr>
                <w:sz w:val="18"/>
                <w:szCs w:val="18"/>
              </w:rPr>
            </w:pPr>
            <w:r w:rsidRPr="009F2A01">
              <w:rPr>
                <w:sz w:val="18"/>
                <w:szCs w:val="18"/>
              </w:rPr>
              <w:t>16</w:t>
            </w:r>
          </w:p>
        </w:tc>
      </w:tr>
      <w:tr w:rsidR="009F2A01" w14:paraId="0ABD295E" w14:textId="77777777" w:rsidTr="009F2A01">
        <w:tc>
          <w:tcPr>
            <w:tcW w:w="2337" w:type="dxa"/>
          </w:tcPr>
          <w:p w14:paraId="4456F0D5" w14:textId="6F5A0005" w:rsidR="009F2A01" w:rsidRDefault="00BD420F" w:rsidP="009F2A01">
            <w:r>
              <w:rPr>
                <w:rFonts w:eastAsia="Times New Roman" w:cstheme="minorHAnsi"/>
                <w:color w:val="000000"/>
                <w:sz w:val="18"/>
                <w:szCs w:val="18"/>
              </w:rPr>
              <w:t>D</w:t>
            </w:r>
            <w:r w:rsidR="009F2A01" w:rsidRPr="00A86203">
              <w:rPr>
                <w:rFonts w:eastAsia="Times New Roman" w:cstheme="minorHAnsi"/>
                <w:color w:val="000000"/>
                <w:sz w:val="18"/>
                <w:szCs w:val="18"/>
              </w:rPr>
              <w:t>ata needs</w:t>
            </w:r>
          </w:p>
        </w:tc>
        <w:tc>
          <w:tcPr>
            <w:tcW w:w="4948" w:type="dxa"/>
          </w:tcPr>
          <w:p w14:paraId="5661FC7C" w14:textId="58F9F45A" w:rsidR="009F2A01" w:rsidRDefault="009F2A01" w:rsidP="00D35EC2">
            <w:r w:rsidRPr="005E1383">
              <w:rPr>
                <w:rFonts w:eastAsia="Times New Roman" w:cstheme="minorHAnsi"/>
                <w:color w:val="000000"/>
                <w:sz w:val="18"/>
                <w:szCs w:val="18"/>
              </w:rPr>
              <w:t xml:space="preserve">Establish a national soil monitoring network to produce a full and consistent dataset of soil </w:t>
            </w:r>
            <w:r w:rsidR="00BD420F">
              <w:rPr>
                <w:rFonts w:eastAsia="Times New Roman" w:cstheme="minorHAnsi"/>
                <w:color w:val="000000"/>
                <w:sz w:val="18"/>
                <w:szCs w:val="18"/>
              </w:rPr>
              <w:t>GHG flux</w:t>
            </w:r>
            <w:r w:rsidR="00BD420F" w:rsidRPr="005E1383">
              <w:rPr>
                <w:rFonts w:eastAsia="Times New Roman" w:cstheme="minorHAnsi"/>
                <w:color w:val="000000"/>
                <w:sz w:val="18"/>
                <w:szCs w:val="18"/>
              </w:rPr>
              <w:t xml:space="preserve"> </w:t>
            </w:r>
            <w:r w:rsidRPr="005E1383">
              <w:rPr>
                <w:rFonts w:eastAsia="Times New Roman" w:cstheme="minorHAnsi"/>
                <w:color w:val="000000"/>
                <w:sz w:val="18"/>
                <w:szCs w:val="18"/>
              </w:rPr>
              <w:t>measurements over time (Schmidt et al., 2011; Spencer et al., 2011).</w:t>
            </w:r>
          </w:p>
        </w:tc>
        <w:tc>
          <w:tcPr>
            <w:tcW w:w="1080" w:type="dxa"/>
            <w:vAlign w:val="center"/>
          </w:tcPr>
          <w:p w14:paraId="08200A7A" w14:textId="7BAC6092" w:rsidR="009F2A01" w:rsidRPr="009F2A01" w:rsidRDefault="009F2A01" w:rsidP="009F2A01">
            <w:pPr>
              <w:jc w:val="center"/>
              <w:rPr>
                <w:sz w:val="18"/>
                <w:szCs w:val="18"/>
              </w:rPr>
            </w:pPr>
            <w:r w:rsidRPr="009F2A01">
              <w:rPr>
                <w:sz w:val="18"/>
                <w:szCs w:val="18"/>
              </w:rPr>
              <w:t>4.26</w:t>
            </w:r>
          </w:p>
        </w:tc>
        <w:tc>
          <w:tcPr>
            <w:tcW w:w="985" w:type="dxa"/>
            <w:vAlign w:val="center"/>
          </w:tcPr>
          <w:p w14:paraId="503E8D3C" w14:textId="1F01C0CB" w:rsidR="009F2A01" w:rsidRPr="009F2A01" w:rsidRDefault="009F2A01" w:rsidP="009F2A01">
            <w:pPr>
              <w:jc w:val="center"/>
              <w:rPr>
                <w:sz w:val="18"/>
                <w:szCs w:val="18"/>
              </w:rPr>
            </w:pPr>
            <w:r w:rsidRPr="009F2A01">
              <w:rPr>
                <w:sz w:val="18"/>
                <w:szCs w:val="18"/>
              </w:rPr>
              <w:t>16</w:t>
            </w:r>
          </w:p>
        </w:tc>
      </w:tr>
      <w:tr w:rsidR="009F2A01" w14:paraId="63E6D126" w14:textId="77777777" w:rsidTr="009F2A01">
        <w:tc>
          <w:tcPr>
            <w:tcW w:w="2337" w:type="dxa"/>
          </w:tcPr>
          <w:p w14:paraId="2C384F09" w14:textId="14990E86" w:rsidR="009F2A01" w:rsidRDefault="009F2A01" w:rsidP="009F2A01">
            <w:r w:rsidRPr="00A86203">
              <w:rPr>
                <w:rFonts w:eastAsia="Times New Roman" w:cstheme="minorHAnsi"/>
                <w:color w:val="000000"/>
                <w:sz w:val="18"/>
                <w:szCs w:val="18"/>
              </w:rPr>
              <w:t>Soil model development and intermodel comparison</w:t>
            </w:r>
          </w:p>
        </w:tc>
        <w:tc>
          <w:tcPr>
            <w:tcW w:w="4948" w:type="dxa"/>
          </w:tcPr>
          <w:p w14:paraId="073CCB23" w14:textId="58C4FA7C" w:rsidR="009F2A01" w:rsidRDefault="009F2A01" w:rsidP="009F2A01">
            <w:r w:rsidRPr="005E1383">
              <w:rPr>
                <w:rFonts w:eastAsia="Times New Roman" w:cstheme="minorHAnsi"/>
                <w:color w:val="000000"/>
                <w:sz w:val="18"/>
                <w:szCs w:val="18"/>
              </w:rPr>
              <w:t>Improve model validation with updated comparisons to empirical regression models that are based on field experiments (Brevik et al., 2015; Kuzyakov, 2010; Paustian et al., 2016; Schmidt et al., 2011; Stockmann et al., 2013).</w:t>
            </w:r>
          </w:p>
        </w:tc>
        <w:tc>
          <w:tcPr>
            <w:tcW w:w="1080" w:type="dxa"/>
            <w:vAlign w:val="center"/>
          </w:tcPr>
          <w:p w14:paraId="4249C067" w14:textId="17CA484E" w:rsidR="009F2A01" w:rsidRPr="009F2A01" w:rsidRDefault="009F2A01" w:rsidP="009F2A01">
            <w:pPr>
              <w:jc w:val="center"/>
              <w:rPr>
                <w:sz w:val="18"/>
                <w:szCs w:val="18"/>
              </w:rPr>
            </w:pPr>
            <w:r w:rsidRPr="009F2A01">
              <w:rPr>
                <w:sz w:val="18"/>
                <w:szCs w:val="18"/>
              </w:rPr>
              <w:t>4.18</w:t>
            </w:r>
          </w:p>
        </w:tc>
        <w:tc>
          <w:tcPr>
            <w:tcW w:w="985" w:type="dxa"/>
            <w:vAlign w:val="center"/>
          </w:tcPr>
          <w:p w14:paraId="2266FC39" w14:textId="4644A955" w:rsidR="009F2A01" w:rsidRPr="009F2A01" w:rsidRDefault="009F2A01" w:rsidP="009F2A01">
            <w:pPr>
              <w:jc w:val="center"/>
              <w:rPr>
                <w:sz w:val="18"/>
                <w:szCs w:val="18"/>
              </w:rPr>
            </w:pPr>
            <w:r w:rsidRPr="009F2A01">
              <w:rPr>
                <w:sz w:val="18"/>
                <w:szCs w:val="18"/>
              </w:rPr>
              <w:t>17</w:t>
            </w:r>
          </w:p>
        </w:tc>
      </w:tr>
      <w:tr w:rsidR="009F2A01" w14:paraId="06A75481" w14:textId="77777777" w:rsidTr="009F2A01">
        <w:tc>
          <w:tcPr>
            <w:tcW w:w="2337" w:type="dxa"/>
          </w:tcPr>
          <w:p w14:paraId="4028A7C6" w14:textId="4ECEE739" w:rsidR="009F2A01" w:rsidRDefault="009F2A01" w:rsidP="009F2A01">
            <w:r w:rsidRPr="00A86203">
              <w:rPr>
                <w:rFonts w:eastAsia="Times New Roman" w:cstheme="minorHAnsi"/>
                <w:color w:val="000000"/>
                <w:sz w:val="18"/>
                <w:szCs w:val="18"/>
              </w:rPr>
              <w:t>Soil model development and intermodel comparison</w:t>
            </w:r>
          </w:p>
        </w:tc>
        <w:tc>
          <w:tcPr>
            <w:tcW w:w="4948" w:type="dxa"/>
          </w:tcPr>
          <w:p w14:paraId="72B935A3" w14:textId="52A1E68D" w:rsidR="009F2A01" w:rsidRDefault="009F2A01" w:rsidP="009F2A01">
            <w:r w:rsidRPr="005E1383">
              <w:rPr>
                <w:rFonts w:eastAsia="Times New Roman" w:cstheme="minorHAnsi"/>
                <w:color w:val="000000"/>
                <w:sz w:val="18"/>
                <w:szCs w:val="18"/>
              </w:rPr>
              <w:t>Increase collaboration among model developers, shifting to a community-centered, open-source approach and integrating databases and computational tools (Paustian et al., 2016; Schmidt et al., 2011)</w:t>
            </w:r>
          </w:p>
        </w:tc>
        <w:tc>
          <w:tcPr>
            <w:tcW w:w="1080" w:type="dxa"/>
            <w:vAlign w:val="center"/>
          </w:tcPr>
          <w:p w14:paraId="464B9ED5" w14:textId="28169AE5" w:rsidR="009F2A01" w:rsidRPr="009F2A01" w:rsidRDefault="009F2A01" w:rsidP="009F2A01">
            <w:pPr>
              <w:jc w:val="center"/>
              <w:rPr>
                <w:sz w:val="18"/>
                <w:szCs w:val="18"/>
              </w:rPr>
            </w:pPr>
            <w:r w:rsidRPr="009F2A01">
              <w:rPr>
                <w:sz w:val="18"/>
                <w:szCs w:val="18"/>
              </w:rPr>
              <w:t>4.09</w:t>
            </w:r>
          </w:p>
        </w:tc>
        <w:tc>
          <w:tcPr>
            <w:tcW w:w="985" w:type="dxa"/>
            <w:vAlign w:val="center"/>
          </w:tcPr>
          <w:p w14:paraId="5E192B84" w14:textId="06411DB5" w:rsidR="009F2A01" w:rsidRPr="009F2A01" w:rsidRDefault="009F2A01" w:rsidP="009F2A01">
            <w:pPr>
              <w:jc w:val="center"/>
              <w:rPr>
                <w:sz w:val="18"/>
                <w:szCs w:val="18"/>
              </w:rPr>
            </w:pPr>
            <w:r w:rsidRPr="009F2A01">
              <w:rPr>
                <w:sz w:val="18"/>
                <w:szCs w:val="18"/>
              </w:rPr>
              <w:t>17</w:t>
            </w:r>
          </w:p>
        </w:tc>
      </w:tr>
      <w:tr w:rsidR="009F2A01" w14:paraId="4FD0C17B" w14:textId="77777777" w:rsidTr="009F2A01">
        <w:tc>
          <w:tcPr>
            <w:tcW w:w="2337" w:type="dxa"/>
          </w:tcPr>
          <w:p w14:paraId="5C617B67" w14:textId="17648F0E" w:rsidR="009F2A01" w:rsidRPr="009F2A01" w:rsidRDefault="009F2A01" w:rsidP="009F2A01">
            <w:pPr>
              <w:rPr>
                <w:sz w:val="18"/>
                <w:szCs w:val="18"/>
              </w:rPr>
            </w:pPr>
            <w:r w:rsidRPr="009F2A01">
              <w:rPr>
                <w:sz w:val="18"/>
                <w:szCs w:val="18"/>
              </w:rPr>
              <w:t>Primary soil research</w:t>
            </w:r>
          </w:p>
        </w:tc>
        <w:tc>
          <w:tcPr>
            <w:tcW w:w="4948" w:type="dxa"/>
          </w:tcPr>
          <w:p w14:paraId="22C81482" w14:textId="3F67DE95" w:rsidR="009F2A01" w:rsidRDefault="009F2A01" w:rsidP="009F2A01">
            <w:r w:rsidRPr="005E1383">
              <w:rPr>
                <w:rFonts w:eastAsia="Times New Roman" w:cstheme="minorHAnsi"/>
                <w:color w:val="000000"/>
                <w:sz w:val="18"/>
                <w:szCs w:val="18"/>
              </w:rPr>
              <w:t>Influence of microbial activity – and other physicochemical and biological influences – on decomposition of organic matter/carbon, nitrogen and phosphorous cycling (Conant et al., 2011; Kuzyakov, 2010; Schmidt et al., 2011; Schimel &amp; Schaeffer, 2012).</w:t>
            </w:r>
          </w:p>
        </w:tc>
        <w:tc>
          <w:tcPr>
            <w:tcW w:w="1080" w:type="dxa"/>
            <w:vAlign w:val="center"/>
          </w:tcPr>
          <w:p w14:paraId="70C77CE4" w14:textId="0ED2CC8E" w:rsidR="009F2A01" w:rsidRPr="009F2A01" w:rsidRDefault="009F2A01" w:rsidP="009F2A01">
            <w:pPr>
              <w:jc w:val="center"/>
              <w:rPr>
                <w:sz w:val="18"/>
                <w:szCs w:val="18"/>
              </w:rPr>
            </w:pPr>
            <w:r w:rsidRPr="009F2A01">
              <w:rPr>
                <w:sz w:val="18"/>
                <w:szCs w:val="18"/>
              </w:rPr>
              <w:t>4.00</w:t>
            </w:r>
          </w:p>
        </w:tc>
        <w:tc>
          <w:tcPr>
            <w:tcW w:w="985" w:type="dxa"/>
            <w:vAlign w:val="center"/>
          </w:tcPr>
          <w:p w14:paraId="300F237A" w14:textId="47FE2692" w:rsidR="009F2A01" w:rsidRPr="009F2A01" w:rsidRDefault="009F2A01" w:rsidP="009F2A01">
            <w:pPr>
              <w:jc w:val="center"/>
              <w:rPr>
                <w:sz w:val="18"/>
                <w:szCs w:val="18"/>
              </w:rPr>
            </w:pPr>
            <w:r w:rsidRPr="009F2A01">
              <w:rPr>
                <w:sz w:val="18"/>
                <w:szCs w:val="18"/>
              </w:rPr>
              <w:t>19</w:t>
            </w:r>
          </w:p>
        </w:tc>
      </w:tr>
      <w:tr w:rsidR="009F2A01" w14:paraId="45D28587" w14:textId="77777777" w:rsidTr="009F2A01">
        <w:tc>
          <w:tcPr>
            <w:tcW w:w="2337" w:type="dxa"/>
          </w:tcPr>
          <w:p w14:paraId="169B7470" w14:textId="7289468D" w:rsidR="009F2A01" w:rsidRDefault="009F2A01" w:rsidP="009F2A01">
            <w:r w:rsidRPr="00A86203">
              <w:rPr>
                <w:rFonts w:eastAsia="Times New Roman" w:cstheme="minorHAnsi"/>
                <w:color w:val="000000"/>
                <w:sz w:val="18"/>
                <w:szCs w:val="18"/>
              </w:rPr>
              <w:t>Soil model development and intermodel comparison</w:t>
            </w:r>
          </w:p>
        </w:tc>
        <w:tc>
          <w:tcPr>
            <w:tcW w:w="4948" w:type="dxa"/>
          </w:tcPr>
          <w:p w14:paraId="64CE9D9D" w14:textId="51592338" w:rsidR="009F2A01" w:rsidRDefault="009F2A01" w:rsidP="00D35EC2">
            <w:r w:rsidRPr="005E1383">
              <w:rPr>
                <w:rFonts w:eastAsia="Times New Roman" w:cstheme="minorHAnsi"/>
                <w:color w:val="000000"/>
                <w:sz w:val="18"/>
                <w:szCs w:val="18"/>
              </w:rPr>
              <w:t xml:space="preserve">Expand </w:t>
            </w:r>
            <w:r w:rsidR="00BD420F">
              <w:rPr>
                <w:rFonts w:eastAsia="Times New Roman" w:cstheme="minorHAnsi"/>
                <w:color w:val="000000"/>
                <w:sz w:val="18"/>
                <w:szCs w:val="18"/>
              </w:rPr>
              <w:t>inter</w:t>
            </w:r>
            <w:r w:rsidRPr="005E1383">
              <w:rPr>
                <w:rFonts w:eastAsia="Times New Roman" w:cstheme="minorHAnsi"/>
                <w:color w:val="000000"/>
                <w:sz w:val="18"/>
                <w:szCs w:val="18"/>
              </w:rPr>
              <w:t>model comparison programs (such as AgMIP) to identify cross-cutting sources of uncertainty and opportunities for model improvement.</w:t>
            </w:r>
          </w:p>
        </w:tc>
        <w:tc>
          <w:tcPr>
            <w:tcW w:w="1080" w:type="dxa"/>
            <w:vAlign w:val="center"/>
          </w:tcPr>
          <w:p w14:paraId="65818153" w14:textId="681AB824" w:rsidR="009F2A01" w:rsidRPr="009F2A01" w:rsidRDefault="009F2A01" w:rsidP="009F2A01">
            <w:pPr>
              <w:jc w:val="center"/>
              <w:rPr>
                <w:sz w:val="18"/>
                <w:szCs w:val="18"/>
              </w:rPr>
            </w:pPr>
            <w:r w:rsidRPr="009F2A01">
              <w:rPr>
                <w:sz w:val="18"/>
                <w:szCs w:val="18"/>
              </w:rPr>
              <w:t>4.00</w:t>
            </w:r>
          </w:p>
        </w:tc>
        <w:tc>
          <w:tcPr>
            <w:tcW w:w="985" w:type="dxa"/>
            <w:vAlign w:val="center"/>
          </w:tcPr>
          <w:p w14:paraId="344B3F92" w14:textId="6777A8C7" w:rsidR="009F2A01" w:rsidRPr="009F2A01" w:rsidRDefault="009F2A01" w:rsidP="009F2A01">
            <w:pPr>
              <w:jc w:val="center"/>
              <w:rPr>
                <w:sz w:val="18"/>
                <w:szCs w:val="18"/>
              </w:rPr>
            </w:pPr>
            <w:r w:rsidRPr="009F2A01">
              <w:rPr>
                <w:sz w:val="18"/>
                <w:szCs w:val="18"/>
              </w:rPr>
              <w:t>17</w:t>
            </w:r>
          </w:p>
        </w:tc>
      </w:tr>
      <w:tr w:rsidR="009F2A01" w14:paraId="336469B7" w14:textId="77777777" w:rsidTr="009F2A01">
        <w:tc>
          <w:tcPr>
            <w:tcW w:w="2337" w:type="dxa"/>
          </w:tcPr>
          <w:p w14:paraId="38595C71" w14:textId="63A90B6F" w:rsidR="009F2A01" w:rsidRDefault="00BD420F" w:rsidP="009F2A01">
            <w:r>
              <w:rPr>
                <w:rFonts w:eastAsia="Times New Roman" w:cstheme="minorHAnsi"/>
                <w:color w:val="000000"/>
                <w:sz w:val="18"/>
                <w:szCs w:val="18"/>
              </w:rPr>
              <w:t>D</w:t>
            </w:r>
            <w:r w:rsidR="009F2A01" w:rsidRPr="00A86203">
              <w:rPr>
                <w:rFonts w:eastAsia="Times New Roman" w:cstheme="minorHAnsi"/>
                <w:color w:val="000000"/>
                <w:sz w:val="18"/>
                <w:szCs w:val="18"/>
              </w:rPr>
              <w:t>ata needs</w:t>
            </w:r>
          </w:p>
        </w:tc>
        <w:tc>
          <w:tcPr>
            <w:tcW w:w="4948" w:type="dxa"/>
          </w:tcPr>
          <w:p w14:paraId="573C3111" w14:textId="1B429B4E" w:rsidR="009F2A01" w:rsidRDefault="009F2A01" w:rsidP="00D35EC2">
            <w:r w:rsidRPr="005E1383">
              <w:rPr>
                <w:rFonts w:eastAsia="Times New Roman" w:cstheme="minorHAnsi"/>
                <w:color w:val="000000"/>
                <w:sz w:val="18"/>
                <w:szCs w:val="18"/>
              </w:rPr>
              <w:t>Obtain additional measurements of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 xml:space="preserve"> production and losses from denitrification to clarify optimal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O ratios for modeling purposes and fertilizer management (Bakken &amp; Frostegård, 2017; S. DelGrosso, personal communication, October 1, 2018; Well et al., 2018).</w:t>
            </w:r>
          </w:p>
        </w:tc>
        <w:tc>
          <w:tcPr>
            <w:tcW w:w="1080" w:type="dxa"/>
            <w:vAlign w:val="center"/>
          </w:tcPr>
          <w:p w14:paraId="3B334719" w14:textId="67C9A869" w:rsidR="009F2A01" w:rsidRPr="009F2A01" w:rsidRDefault="009F2A01" w:rsidP="009F2A01">
            <w:pPr>
              <w:jc w:val="center"/>
              <w:rPr>
                <w:sz w:val="18"/>
                <w:szCs w:val="18"/>
              </w:rPr>
            </w:pPr>
            <w:r w:rsidRPr="009F2A01">
              <w:rPr>
                <w:sz w:val="18"/>
                <w:szCs w:val="18"/>
              </w:rPr>
              <w:t>4.00</w:t>
            </w:r>
          </w:p>
        </w:tc>
        <w:tc>
          <w:tcPr>
            <w:tcW w:w="985" w:type="dxa"/>
            <w:vAlign w:val="center"/>
          </w:tcPr>
          <w:p w14:paraId="393B4F77" w14:textId="3E4EAD1F" w:rsidR="009F2A01" w:rsidRPr="009F2A01" w:rsidRDefault="009F2A01" w:rsidP="009F2A01">
            <w:pPr>
              <w:jc w:val="center"/>
              <w:rPr>
                <w:sz w:val="18"/>
                <w:szCs w:val="18"/>
              </w:rPr>
            </w:pPr>
            <w:r w:rsidRPr="009F2A01">
              <w:rPr>
                <w:sz w:val="18"/>
                <w:szCs w:val="18"/>
              </w:rPr>
              <w:t>16</w:t>
            </w:r>
          </w:p>
        </w:tc>
      </w:tr>
      <w:tr w:rsidR="009F2A01" w14:paraId="3C4AA020" w14:textId="77777777" w:rsidTr="009F2A01">
        <w:tc>
          <w:tcPr>
            <w:tcW w:w="2337" w:type="dxa"/>
          </w:tcPr>
          <w:p w14:paraId="2E385105" w14:textId="207CA8C5" w:rsidR="009F2A01" w:rsidRDefault="009F2A01" w:rsidP="009F2A01">
            <w:r w:rsidRPr="00A86203">
              <w:rPr>
                <w:rFonts w:eastAsia="Times New Roman" w:cstheme="minorHAnsi"/>
                <w:color w:val="000000"/>
                <w:sz w:val="18"/>
                <w:szCs w:val="18"/>
              </w:rPr>
              <w:t>Soil model development and intermodel comparison</w:t>
            </w:r>
          </w:p>
        </w:tc>
        <w:tc>
          <w:tcPr>
            <w:tcW w:w="4948" w:type="dxa"/>
          </w:tcPr>
          <w:p w14:paraId="418907DB" w14:textId="4DE43FA9" w:rsidR="009F2A01" w:rsidRDefault="009F2A01" w:rsidP="00D35EC2">
            <w:r w:rsidRPr="005E1383">
              <w:rPr>
                <w:rFonts w:eastAsia="Times New Roman" w:cstheme="minorHAnsi"/>
                <w:color w:val="000000"/>
                <w:sz w:val="18"/>
                <w:szCs w:val="18"/>
              </w:rPr>
              <w:t>Reconcile bottom-up, process-based accounting of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 xml:space="preserve">O fluxes with top-down methods (e.g.,  atmospheric inversions) that capture </w:t>
            </w:r>
            <w:r w:rsidR="00BD420F">
              <w:rPr>
                <w:rFonts w:eastAsia="Times New Roman" w:cstheme="minorHAnsi"/>
                <w:color w:val="000000"/>
                <w:sz w:val="18"/>
                <w:szCs w:val="18"/>
              </w:rPr>
              <w:t xml:space="preserve">global and regional </w:t>
            </w:r>
            <w:r w:rsidRPr="005E1383">
              <w:rPr>
                <w:rFonts w:eastAsia="Times New Roman" w:cstheme="minorHAnsi"/>
                <w:color w:val="000000"/>
                <w:sz w:val="18"/>
                <w:szCs w:val="18"/>
              </w:rPr>
              <w:t>N cycling (Butterbach-Bahl, 2013; Chen et al., 2016; DelGrosso et al., 2008; S. DelGrosso, personal communication, October 1, 2018; Nevison et al., 2018).</w:t>
            </w:r>
          </w:p>
        </w:tc>
        <w:tc>
          <w:tcPr>
            <w:tcW w:w="1080" w:type="dxa"/>
            <w:vAlign w:val="center"/>
          </w:tcPr>
          <w:p w14:paraId="40FF2AA2" w14:textId="38807DD7" w:rsidR="009F2A01" w:rsidRPr="009F2A01" w:rsidRDefault="009F2A01" w:rsidP="009F2A01">
            <w:pPr>
              <w:jc w:val="center"/>
              <w:rPr>
                <w:sz w:val="18"/>
                <w:szCs w:val="18"/>
              </w:rPr>
            </w:pPr>
            <w:r w:rsidRPr="009F2A01">
              <w:rPr>
                <w:sz w:val="18"/>
                <w:szCs w:val="18"/>
              </w:rPr>
              <w:t>3.91</w:t>
            </w:r>
          </w:p>
        </w:tc>
        <w:tc>
          <w:tcPr>
            <w:tcW w:w="985" w:type="dxa"/>
            <w:vAlign w:val="center"/>
          </w:tcPr>
          <w:p w14:paraId="18136D09" w14:textId="34687C4B" w:rsidR="009F2A01" w:rsidRPr="009F2A01" w:rsidRDefault="009F2A01" w:rsidP="009F2A01">
            <w:pPr>
              <w:jc w:val="center"/>
              <w:rPr>
                <w:sz w:val="18"/>
                <w:szCs w:val="18"/>
              </w:rPr>
            </w:pPr>
            <w:r w:rsidRPr="009F2A01">
              <w:rPr>
                <w:sz w:val="18"/>
                <w:szCs w:val="18"/>
              </w:rPr>
              <w:t>17</w:t>
            </w:r>
          </w:p>
        </w:tc>
      </w:tr>
      <w:tr w:rsidR="009F2A01" w14:paraId="710C10D8" w14:textId="77777777" w:rsidTr="009F2A01">
        <w:tc>
          <w:tcPr>
            <w:tcW w:w="2337" w:type="dxa"/>
          </w:tcPr>
          <w:p w14:paraId="15EDCBC3" w14:textId="486B14BB" w:rsidR="009F2A01" w:rsidRDefault="00BD420F" w:rsidP="009F2A01">
            <w:r>
              <w:rPr>
                <w:rFonts w:eastAsia="Times New Roman" w:cstheme="minorHAnsi"/>
                <w:color w:val="000000"/>
                <w:sz w:val="18"/>
                <w:szCs w:val="18"/>
              </w:rPr>
              <w:t>D</w:t>
            </w:r>
            <w:r w:rsidR="009F2A01" w:rsidRPr="00A86203">
              <w:rPr>
                <w:rFonts w:eastAsia="Times New Roman" w:cstheme="minorHAnsi"/>
                <w:color w:val="000000"/>
                <w:sz w:val="18"/>
                <w:szCs w:val="18"/>
              </w:rPr>
              <w:t>ata needs</w:t>
            </w:r>
          </w:p>
        </w:tc>
        <w:tc>
          <w:tcPr>
            <w:tcW w:w="4948" w:type="dxa"/>
          </w:tcPr>
          <w:p w14:paraId="5EAEAD0A" w14:textId="5C4A38F0" w:rsidR="009F2A01" w:rsidRDefault="00BD420F" w:rsidP="00D35EC2">
            <w:r>
              <w:rPr>
                <w:rFonts w:eastAsia="Times New Roman" w:cstheme="minorHAnsi"/>
                <w:color w:val="000000"/>
                <w:sz w:val="18"/>
                <w:szCs w:val="18"/>
              </w:rPr>
              <w:t>Gather</w:t>
            </w:r>
            <w:r w:rsidR="009F2A01" w:rsidRPr="005E1383">
              <w:rPr>
                <w:rFonts w:eastAsia="Times New Roman" w:cstheme="minorHAnsi"/>
                <w:color w:val="000000"/>
                <w:sz w:val="18"/>
                <w:szCs w:val="18"/>
              </w:rPr>
              <w:t xml:space="preserve"> direct measurements of N</w:t>
            </w:r>
            <w:r w:rsidR="009F2A01" w:rsidRPr="005E1383">
              <w:rPr>
                <w:rFonts w:eastAsia="Times New Roman" w:cstheme="minorHAnsi"/>
                <w:color w:val="000000"/>
                <w:sz w:val="18"/>
                <w:szCs w:val="18"/>
                <w:vertAlign w:val="subscript"/>
              </w:rPr>
              <w:t>2</w:t>
            </w:r>
            <w:r w:rsidR="009F2A01" w:rsidRPr="005E1383">
              <w:rPr>
                <w:rFonts w:eastAsia="Times New Roman" w:cstheme="minorHAnsi"/>
                <w:color w:val="000000"/>
                <w:sz w:val="18"/>
                <w:szCs w:val="18"/>
              </w:rPr>
              <w:t>O for cross-site optimization</w:t>
            </w:r>
            <w:r>
              <w:rPr>
                <w:rFonts w:eastAsia="Times New Roman" w:cstheme="minorHAnsi"/>
                <w:color w:val="000000"/>
                <w:sz w:val="18"/>
                <w:szCs w:val="18"/>
              </w:rPr>
              <w:t xml:space="preserve"> and </w:t>
            </w:r>
            <w:r w:rsidR="009F2A01" w:rsidRPr="005E1383">
              <w:rPr>
                <w:rFonts w:eastAsia="Times New Roman" w:cstheme="minorHAnsi"/>
                <w:color w:val="000000"/>
                <w:sz w:val="18"/>
                <w:szCs w:val="18"/>
              </w:rPr>
              <w:t>better validation of large scale model estimates of soil N</w:t>
            </w:r>
            <w:r w:rsidR="009F2A01" w:rsidRPr="005E1383">
              <w:rPr>
                <w:rFonts w:eastAsia="Times New Roman" w:cstheme="minorHAnsi"/>
                <w:color w:val="000000"/>
                <w:sz w:val="18"/>
                <w:szCs w:val="18"/>
                <w:vertAlign w:val="subscript"/>
              </w:rPr>
              <w:t>2</w:t>
            </w:r>
            <w:r w:rsidR="009F2A01" w:rsidRPr="005E1383">
              <w:rPr>
                <w:rFonts w:eastAsia="Times New Roman" w:cstheme="minorHAnsi"/>
                <w:color w:val="000000"/>
                <w:sz w:val="18"/>
                <w:szCs w:val="18"/>
              </w:rPr>
              <w:t>O fluxes (S. DelGrosso, personal communication, October 1, 2018; Ehrhardt et al., 2018; Reay et al., 2012; Van Groenigen et al., 2010).</w:t>
            </w:r>
          </w:p>
        </w:tc>
        <w:tc>
          <w:tcPr>
            <w:tcW w:w="1080" w:type="dxa"/>
            <w:vAlign w:val="center"/>
          </w:tcPr>
          <w:p w14:paraId="6E31311F" w14:textId="71A730E8" w:rsidR="009F2A01" w:rsidRPr="009F2A01" w:rsidRDefault="009F2A01" w:rsidP="009F2A01">
            <w:pPr>
              <w:jc w:val="center"/>
              <w:rPr>
                <w:sz w:val="18"/>
                <w:szCs w:val="18"/>
              </w:rPr>
            </w:pPr>
            <w:r w:rsidRPr="009F2A01">
              <w:rPr>
                <w:sz w:val="18"/>
                <w:szCs w:val="18"/>
              </w:rPr>
              <w:t>3.91</w:t>
            </w:r>
          </w:p>
        </w:tc>
        <w:tc>
          <w:tcPr>
            <w:tcW w:w="985" w:type="dxa"/>
            <w:vAlign w:val="center"/>
          </w:tcPr>
          <w:p w14:paraId="70365FF4" w14:textId="0D1B2CA9" w:rsidR="009F2A01" w:rsidRPr="009F2A01" w:rsidRDefault="009F2A01" w:rsidP="009F2A01">
            <w:pPr>
              <w:jc w:val="center"/>
              <w:rPr>
                <w:sz w:val="18"/>
                <w:szCs w:val="18"/>
              </w:rPr>
            </w:pPr>
            <w:r w:rsidRPr="009F2A01">
              <w:rPr>
                <w:sz w:val="18"/>
                <w:szCs w:val="18"/>
              </w:rPr>
              <w:t>16</w:t>
            </w:r>
          </w:p>
        </w:tc>
      </w:tr>
      <w:tr w:rsidR="009F2A01" w14:paraId="6126112D" w14:textId="77777777" w:rsidTr="009F2A01">
        <w:tc>
          <w:tcPr>
            <w:tcW w:w="2337" w:type="dxa"/>
          </w:tcPr>
          <w:p w14:paraId="76EF1C63" w14:textId="43196084" w:rsidR="009F2A01" w:rsidRPr="009F2A01" w:rsidRDefault="009F2A01" w:rsidP="009F2A01">
            <w:pPr>
              <w:rPr>
                <w:sz w:val="18"/>
                <w:szCs w:val="18"/>
              </w:rPr>
            </w:pPr>
            <w:r w:rsidRPr="009F2A01">
              <w:rPr>
                <w:sz w:val="18"/>
                <w:szCs w:val="18"/>
              </w:rPr>
              <w:t>Primary soil research</w:t>
            </w:r>
          </w:p>
        </w:tc>
        <w:tc>
          <w:tcPr>
            <w:tcW w:w="4948" w:type="dxa"/>
          </w:tcPr>
          <w:p w14:paraId="4E20EDC9" w14:textId="689EC3F6" w:rsidR="009F2A01" w:rsidRDefault="00BD420F" w:rsidP="00D35EC2">
            <w:r>
              <w:rPr>
                <w:rFonts w:eastAsia="Times New Roman" w:cstheme="minorHAnsi"/>
                <w:color w:val="000000"/>
                <w:sz w:val="18"/>
                <w:szCs w:val="18"/>
              </w:rPr>
              <w:t xml:space="preserve">Gather experimental data on the </w:t>
            </w:r>
            <w:r w:rsidR="00986B42">
              <w:rPr>
                <w:rFonts w:eastAsia="Times New Roman" w:cstheme="minorHAnsi"/>
                <w:color w:val="000000"/>
                <w:sz w:val="18"/>
                <w:szCs w:val="18"/>
              </w:rPr>
              <w:t xml:space="preserve">impact of </w:t>
            </w:r>
            <w:r w:rsidR="009F2A01" w:rsidRPr="005E1383">
              <w:rPr>
                <w:rFonts w:eastAsia="Times New Roman" w:cstheme="minorHAnsi"/>
                <w:color w:val="000000"/>
                <w:sz w:val="18"/>
                <w:szCs w:val="18"/>
              </w:rPr>
              <w:t xml:space="preserve">biochar </w:t>
            </w:r>
            <w:r w:rsidR="00986B42">
              <w:rPr>
                <w:rFonts w:eastAsia="Times New Roman" w:cstheme="minorHAnsi"/>
                <w:color w:val="000000"/>
                <w:sz w:val="18"/>
                <w:szCs w:val="18"/>
              </w:rPr>
              <w:t xml:space="preserve">on </w:t>
            </w:r>
            <w:r>
              <w:rPr>
                <w:rFonts w:eastAsia="Times New Roman" w:cstheme="minorHAnsi"/>
                <w:color w:val="000000"/>
                <w:sz w:val="18"/>
                <w:szCs w:val="18"/>
              </w:rPr>
              <w:t xml:space="preserve">soil N2O emissions, conditional on biochar </w:t>
            </w:r>
            <w:r w:rsidR="009F2A01" w:rsidRPr="005E1383">
              <w:rPr>
                <w:rFonts w:eastAsia="Times New Roman" w:cstheme="minorHAnsi"/>
                <w:color w:val="000000"/>
                <w:sz w:val="18"/>
                <w:szCs w:val="18"/>
              </w:rPr>
              <w:t xml:space="preserve">feedstock type, production temperature and process, application rate, interactions with N sources, and </w:t>
            </w:r>
            <w:r>
              <w:rPr>
                <w:rFonts w:eastAsia="Times New Roman" w:cstheme="minorHAnsi"/>
                <w:color w:val="000000"/>
                <w:sz w:val="18"/>
                <w:szCs w:val="18"/>
              </w:rPr>
              <w:t>other factors</w:t>
            </w:r>
            <w:r w:rsidRPr="005E1383">
              <w:rPr>
                <w:rFonts w:eastAsia="Times New Roman" w:cstheme="minorHAnsi"/>
                <w:color w:val="000000"/>
                <w:sz w:val="18"/>
                <w:szCs w:val="18"/>
              </w:rPr>
              <w:t xml:space="preserve"> </w:t>
            </w:r>
            <w:r w:rsidR="009F2A01" w:rsidRPr="005E1383">
              <w:rPr>
                <w:rFonts w:eastAsia="Times New Roman" w:cstheme="minorHAnsi"/>
                <w:color w:val="000000"/>
                <w:sz w:val="18"/>
                <w:szCs w:val="18"/>
              </w:rPr>
              <w:t>(Cayuela et al., 2014).</w:t>
            </w:r>
          </w:p>
        </w:tc>
        <w:tc>
          <w:tcPr>
            <w:tcW w:w="1080" w:type="dxa"/>
            <w:vAlign w:val="center"/>
          </w:tcPr>
          <w:p w14:paraId="604F208B" w14:textId="3BDDA60A" w:rsidR="009F2A01" w:rsidRPr="009F2A01" w:rsidRDefault="009F2A01" w:rsidP="009F2A01">
            <w:pPr>
              <w:jc w:val="center"/>
              <w:rPr>
                <w:sz w:val="18"/>
                <w:szCs w:val="18"/>
              </w:rPr>
            </w:pPr>
            <w:r w:rsidRPr="009F2A01">
              <w:rPr>
                <w:sz w:val="18"/>
                <w:szCs w:val="18"/>
              </w:rPr>
              <w:t>3.83</w:t>
            </w:r>
          </w:p>
        </w:tc>
        <w:tc>
          <w:tcPr>
            <w:tcW w:w="985" w:type="dxa"/>
            <w:vAlign w:val="center"/>
          </w:tcPr>
          <w:p w14:paraId="56A05D3F" w14:textId="41379DBB" w:rsidR="009F2A01" w:rsidRPr="009F2A01" w:rsidRDefault="009F2A01" w:rsidP="009F2A01">
            <w:pPr>
              <w:jc w:val="center"/>
              <w:rPr>
                <w:sz w:val="18"/>
                <w:szCs w:val="18"/>
              </w:rPr>
            </w:pPr>
            <w:r w:rsidRPr="009F2A01">
              <w:rPr>
                <w:sz w:val="18"/>
                <w:szCs w:val="18"/>
              </w:rPr>
              <w:t>18</w:t>
            </w:r>
          </w:p>
        </w:tc>
      </w:tr>
    </w:tbl>
    <w:p w14:paraId="4128EA42" w14:textId="77777777" w:rsidR="009F2A01" w:rsidRPr="009F2A01" w:rsidRDefault="009F2A01" w:rsidP="009F2A01"/>
    <w:p w14:paraId="502CA46E" w14:textId="6411D219" w:rsidR="009625BF" w:rsidRPr="00195F4D" w:rsidRDefault="00467758" w:rsidP="00825F2D">
      <w:pPr>
        <w:pStyle w:val="2-Header"/>
        <w:numPr>
          <w:ilvl w:val="0"/>
          <w:numId w:val="0"/>
        </w:numPr>
        <w:ind w:left="576" w:hanging="576"/>
        <w:rPr>
          <w:b/>
        </w:rPr>
      </w:pPr>
      <w:r w:rsidRPr="00195F4D">
        <w:rPr>
          <w:rStyle w:val="Strong"/>
          <w:rFonts w:asciiTheme="majorHAnsi" w:hAnsiTheme="majorHAnsi"/>
          <w:b w:val="0"/>
        </w:rPr>
        <w:t>Discussion</w:t>
      </w:r>
    </w:p>
    <w:p w14:paraId="7C734C08" w14:textId="148CD8BD" w:rsidR="00467758" w:rsidRDefault="00467758" w:rsidP="00467758">
      <w:r>
        <w:t xml:space="preserve">Across </w:t>
      </w:r>
      <w:r w:rsidR="007D6D6E">
        <w:t xml:space="preserve">survey sections </w:t>
      </w:r>
      <w:r>
        <w:t>1 and 2, themes emerged around the need for more data and a better understanding of the N</w:t>
      </w:r>
      <w:r w:rsidRPr="00627E59">
        <w:rPr>
          <w:vertAlign w:val="subscript"/>
        </w:rPr>
        <w:t>2</w:t>
      </w:r>
      <w:r>
        <w:t xml:space="preserve">O cycle. In </w:t>
      </w:r>
      <w:r w:rsidR="007D6D6E">
        <w:t xml:space="preserve">section </w:t>
      </w:r>
      <w:r>
        <w:t xml:space="preserve">1, </w:t>
      </w:r>
      <w:r w:rsidR="00947777">
        <w:t xml:space="preserve">respondents </w:t>
      </w:r>
      <w:r w:rsidR="00F97605">
        <w:t xml:space="preserve">indicated </w:t>
      </w:r>
      <w:r>
        <w:t xml:space="preserve">that </w:t>
      </w:r>
      <w:r w:rsidR="00510509">
        <w:t>DayCent organic matter formation representation,</w:t>
      </w:r>
      <w:r>
        <w:t xml:space="preserve"> accuracy of soil</w:t>
      </w:r>
      <w:r w:rsidR="00986B42">
        <w:t xml:space="preserve"> property</w:t>
      </w:r>
      <w:r>
        <w:t xml:space="preserve"> data (both from the methods used to collect data as well as the depth to which the soils are sampled)</w:t>
      </w:r>
      <w:r w:rsidR="00510509">
        <w:t>,</w:t>
      </w:r>
      <w:r>
        <w:t xml:space="preserve"> and an incomplete accounting and understanding </w:t>
      </w:r>
      <w:r w:rsidR="00A722EF">
        <w:t xml:space="preserve">of </w:t>
      </w:r>
      <w:r>
        <w:t>the N cycle</w:t>
      </w:r>
      <w:r w:rsidR="00947777">
        <w:t xml:space="preserve"> are </w:t>
      </w:r>
      <w:r w:rsidR="00986B42">
        <w:t xml:space="preserve">large </w:t>
      </w:r>
      <w:r w:rsidR="00947777">
        <w:t>sources of uncertainty</w:t>
      </w:r>
      <w:r>
        <w:t xml:space="preserve">. </w:t>
      </w:r>
      <w:r w:rsidR="00F97605">
        <w:t>This included</w:t>
      </w:r>
      <w:r>
        <w:t xml:space="preserve"> the need to more accurately capture grazing intensity and the impact of manure on the N cycle, whether it be through nitrification and denitrification or timing of organic fertilization. One respondent noted that, “</w:t>
      </w:r>
      <w:r w:rsidRPr="00CC588D">
        <w:t xml:space="preserve">Timing of fertilization is a scheduling </w:t>
      </w:r>
      <w:r w:rsidRPr="00CC588D">
        <w:lastRenderedPageBreak/>
        <w:t>problem with potential impacts on N</w:t>
      </w:r>
      <w:r w:rsidRPr="00627E59">
        <w:rPr>
          <w:vertAlign w:val="subscript"/>
        </w:rPr>
        <w:t>2</w:t>
      </w:r>
      <w:r w:rsidRPr="00CC588D">
        <w:t>O estimates. Our inability to represent fertilizer placement also</w:t>
      </w:r>
      <w:r>
        <w:t xml:space="preserve"> contributes to uncertainty. </w:t>
      </w:r>
      <w:r w:rsidRPr="00CC588D">
        <w:t>Decomposition, especially at lower temper</w:t>
      </w:r>
      <w:r>
        <w:t xml:space="preserve">atures, can be problematic. </w:t>
      </w:r>
      <w:r w:rsidRPr="00CC588D">
        <w:t>DayCent's representation of the N cycle is complicated.</w:t>
      </w:r>
      <w:r>
        <w:t>” Another respondent echoed that sentiment, noting that, “</w:t>
      </w:r>
      <w:r w:rsidRPr="00CC588D">
        <w:t xml:space="preserve">We know manure is applied heavier around these spots, and the inventory is blind to this. We need better data on spatial manure applications, heavy manure N applications (and resulting high </w:t>
      </w:r>
      <w:r>
        <w:t>N</w:t>
      </w:r>
      <w:r w:rsidRPr="00627E59">
        <w:rPr>
          <w:vertAlign w:val="subscript"/>
        </w:rPr>
        <w:t>2</w:t>
      </w:r>
      <w:r>
        <w:t>O</w:t>
      </w:r>
      <w:r w:rsidRPr="00CC588D">
        <w:t>) are being ignored due to this.</w:t>
      </w:r>
      <w:r>
        <w:t>”</w:t>
      </w:r>
    </w:p>
    <w:p w14:paraId="6E38BA6D" w14:textId="7A638C5E" w:rsidR="00467758" w:rsidRDefault="00467758" w:rsidP="00467758">
      <w:r>
        <w:t>With regard to planned/suggested improvements, one of the highest rank</w:t>
      </w:r>
      <w:r w:rsidR="00947777">
        <w:t>ed</w:t>
      </w:r>
      <w:r>
        <w:t xml:space="preserve"> improvements asked for a more accurate freeze-thaw representation related to the N</w:t>
      </w:r>
      <w:r w:rsidRPr="00627E59">
        <w:rPr>
          <w:vertAlign w:val="subscript"/>
        </w:rPr>
        <w:t>2</w:t>
      </w:r>
      <w:r>
        <w:t>O cycle</w:t>
      </w:r>
      <w:r w:rsidR="00986B42">
        <w:t>, an improvement that was implemented in the 2020 NGHGI report</w:t>
      </w:r>
      <w:r>
        <w:t xml:space="preserve">. </w:t>
      </w:r>
      <w:r w:rsidR="00947777">
        <w:t>An</w:t>
      </w:r>
      <w:r>
        <w:t xml:space="preserve">other </w:t>
      </w:r>
      <w:r w:rsidR="00947777">
        <w:t xml:space="preserve">highly ranked </w:t>
      </w:r>
      <w:r>
        <w:t>improvement was</w:t>
      </w:r>
      <w:r w:rsidR="00947777">
        <w:t>,</w:t>
      </w:r>
      <w:r>
        <w:t xml:space="preserve"> as described by one respondent: “</w:t>
      </w:r>
      <w:r w:rsidRPr="00B366FB">
        <w:t>resources for model improvement and evaluation using available observational data sets</w:t>
      </w:r>
      <w:r>
        <w:t xml:space="preserve">.” This sentiment was echoed repeatedly in </w:t>
      </w:r>
      <w:r w:rsidR="007D6D6E">
        <w:t xml:space="preserve">section </w:t>
      </w:r>
      <w:r>
        <w:t xml:space="preserve">2, with the </w:t>
      </w:r>
      <w:r w:rsidR="00016AE8">
        <w:t xml:space="preserve">top </w:t>
      </w:r>
      <w:r>
        <w:t xml:space="preserve">rated needs centered </w:t>
      </w:r>
      <w:proofErr w:type="gramStart"/>
      <w:r>
        <w:t>around</w:t>
      </w:r>
      <w:proofErr w:type="gramEnd"/>
      <w:r>
        <w:t xml:space="preserve"> data and a desire to collect more comprehensive, consistent</w:t>
      </w:r>
      <w:r w:rsidR="00510509">
        <w:t>,</w:t>
      </w:r>
      <w:r>
        <w:t xml:space="preserve"> and cohesive CO</w:t>
      </w:r>
      <w:r w:rsidRPr="00627E59">
        <w:rPr>
          <w:vertAlign w:val="subscript"/>
        </w:rPr>
        <w:t>2</w:t>
      </w:r>
      <w:r>
        <w:t>, N</w:t>
      </w:r>
      <w:r w:rsidRPr="00627E59">
        <w:rPr>
          <w:vertAlign w:val="subscript"/>
        </w:rPr>
        <w:t>2</w:t>
      </w:r>
      <w:r>
        <w:t>O</w:t>
      </w:r>
      <w:r w:rsidR="00510509">
        <w:t>,</w:t>
      </w:r>
      <w:r>
        <w:t xml:space="preserve"> and CH</w:t>
      </w:r>
      <w:r w:rsidRPr="00627E59">
        <w:rPr>
          <w:vertAlign w:val="subscript"/>
        </w:rPr>
        <w:t>4</w:t>
      </w:r>
      <w:r>
        <w:t xml:space="preserve"> soil measurements</w:t>
      </w:r>
      <w:r w:rsidR="00947777">
        <w:t>, and to make these measurements more</w:t>
      </w:r>
      <w:r>
        <w:t xml:space="preserve"> </w:t>
      </w:r>
      <w:r w:rsidR="00947777">
        <w:t>transparent and publicly available</w:t>
      </w:r>
      <w:r>
        <w:t>. Respondents also noted that model developers themselves could benefit from more collaboration, since, as one individual noted, “</w:t>
      </w:r>
      <w:proofErr w:type="gramStart"/>
      <w:r w:rsidRPr="00286F90">
        <w:t>data</w:t>
      </w:r>
      <w:proofErr w:type="gramEnd"/>
      <w:r w:rsidRPr="00286F90">
        <w:t xml:space="preserve"> is not shared enough and large scale efforts and comparisons are underfunded</w:t>
      </w:r>
      <w:r>
        <w:t xml:space="preserve">.” Of the single primary research need rated as </w:t>
      </w:r>
      <w:r w:rsidR="00947777">
        <w:t>“</w:t>
      </w:r>
      <w:r>
        <w:t>Very important</w:t>
      </w:r>
      <w:r w:rsidR="00947777">
        <w:t>”</w:t>
      </w:r>
      <w:r>
        <w:t xml:space="preserve"> – </w:t>
      </w:r>
      <w:r w:rsidR="00EE6B9F">
        <w:t>“</w:t>
      </w:r>
      <w:r w:rsidR="00EE6B9F" w:rsidRPr="00660AF8">
        <w:rPr>
          <w:rFonts w:ascii="Calibri" w:eastAsia="Times New Roman" w:hAnsi="Calibri" w:cs="Calibri"/>
          <w:color w:val="000000"/>
        </w:rPr>
        <w:t>Influence of microbial activity – and other physicochemical and biological influences – on decomposition of organic matter/carbon, nitrogen and phosphorous cycling</w:t>
      </w:r>
      <w:r w:rsidR="00EE6B9F">
        <w:rPr>
          <w:rFonts w:ascii="Calibri" w:eastAsia="Times New Roman" w:hAnsi="Calibri" w:cs="Calibri"/>
          <w:color w:val="000000"/>
        </w:rPr>
        <w:t>”</w:t>
      </w:r>
      <w:r w:rsidR="00EE6B9F" w:rsidRPr="00660AF8">
        <w:rPr>
          <w:rFonts w:ascii="Calibri" w:eastAsia="Times New Roman" w:hAnsi="Calibri" w:cs="Calibri"/>
          <w:color w:val="000000"/>
        </w:rPr>
        <w:t xml:space="preserve"> </w:t>
      </w:r>
      <w:r>
        <w:t>– one respondent noted, “</w:t>
      </w:r>
      <w:r w:rsidRPr="000012B7">
        <w:t>We simply don't understand the dynamics - I suspect that microbial processes are 5, and until we unravel those drivers, we will struggle to make progress.</w:t>
      </w:r>
      <w:r>
        <w:t>”</w:t>
      </w:r>
    </w:p>
    <w:p w14:paraId="1154DA9E" w14:textId="3B9C7E04" w:rsidR="00467758" w:rsidRDefault="00467758" w:rsidP="00467758">
      <w:r>
        <w:t xml:space="preserve">There were also consistent areas of general indifference, namely any uncertainties that could be </w:t>
      </w:r>
      <w:r w:rsidR="00B07459">
        <w:t>resolved over time</w:t>
      </w:r>
      <w:r>
        <w:t>, like time series inconsistencies (</w:t>
      </w:r>
      <w:r w:rsidR="00CE63C1">
        <w:t>i</w:t>
      </w:r>
      <w:r w:rsidR="00FD6FE3">
        <w:t xml:space="preserve">ntermittent updating of </w:t>
      </w:r>
      <w:r>
        <w:t xml:space="preserve">NRI </w:t>
      </w:r>
      <w:r w:rsidR="00FD6FE3">
        <w:t>data</w:t>
      </w:r>
      <w:r>
        <w:t>),</w:t>
      </w:r>
      <w:r w:rsidR="00CE63C1">
        <w:t xml:space="preserve"> extrapolated data (expansion factors)</w:t>
      </w:r>
      <w:r>
        <w:t xml:space="preserve"> or unmeasured soil GHG fluxes from Alaska and Hawaii, and any research needs around biochar (one individual noted, “</w:t>
      </w:r>
      <w:r w:rsidRPr="0096088E">
        <w:t>Biochar and compost amendments benefits are over stated. Too many publications would not pass a simple 'back of envelope' calculation in regard to their benefit.</w:t>
      </w:r>
      <w:r>
        <w:t xml:space="preserve">”). Methane fluxes were also of low interest, </w:t>
      </w:r>
      <w:r w:rsidR="00B07459">
        <w:t xml:space="preserve">possibly </w:t>
      </w:r>
      <w:r>
        <w:t xml:space="preserve">due to the limited rice </w:t>
      </w:r>
      <w:r w:rsidR="00B07459">
        <w:t xml:space="preserve">production </w:t>
      </w:r>
      <w:r>
        <w:t>in the U</w:t>
      </w:r>
      <w:r w:rsidR="00986B42">
        <w:t xml:space="preserve">nited </w:t>
      </w:r>
      <w:r>
        <w:t>S</w:t>
      </w:r>
      <w:r w:rsidR="00986B42">
        <w:t>tates</w:t>
      </w:r>
      <w:r>
        <w:t xml:space="preserve">. All of these areas either </w:t>
      </w:r>
      <w:r w:rsidR="00B07459">
        <w:t xml:space="preserve">exhibited </w:t>
      </w:r>
      <w:r>
        <w:t xml:space="preserve">low uncertainty </w:t>
      </w:r>
      <w:r w:rsidR="00B07459">
        <w:t>attribution</w:t>
      </w:r>
      <w:r>
        <w:t xml:space="preserve">, or they were rated lowest importance. </w:t>
      </w:r>
    </w:p>
    <w:p w14:paraId="432DF8F2" w14:textId="3FC08DF8" w:rsidR="00467758" w:rsidRDefault="00467758" w:rsidP="00467758">
      <w:r>
        <w:t>Overall,</w:t>
      </w:r>
      <w:r w:rsidR="001C2E30">
        <w:t xml:space="preserve"> </w:t>
      </w:r>
      <w:r w:rsidR="00B07459">
        <w:t xml:space="preserve">useful </w:t>
      </w:r>
      <w:r>
        <w:t xml:space="preserve">themes </w:t>
      </w:r>
      <w:r w:rsidR="00B07459">
        <w:t xml:space="preserve">can be derived </w:t>
      </w:r>
      <w:r>
        <w:t>from the expert elicitation</w:t>
      </w:r>
      <w:r w:rsidR="00FD6FE3">
        <w:t xml:space="preserve">, but </w:t>
      </w:r>
      <w:r w:rsidR="00B07459">
        <w:t xml:space="preserve">are </w:t>
      </w:r>
      <w:r w:rsidR="00FD6FE3">
        <w:t xml:space="preserve">based on a small sample of </w:t>
      </w:r>
      <w:r w:rsidR="00B07459">
        <w:t xml:space="preserve">highly variable </w:t>
      </w:r>
      <w:r w:rsidR="00FD6FE3">
        <w:t>responses</w:t>
      </w:r>
      <w:r>
        <w:t>.</w:t>
      </w:r>
      <w:r w:rsidR="00FD6FE3">
        <w:t xml:space="preserve"> It is difficult to </w:t>
      </w:r>
      <w:r w:rsidR="00202C64">
        <w:t>know how well</w:t>
      </w:r>
      <w:r w:rsidR="00FD6FE3">
        <w:t xml:space="preserve"> these responses reflect the opinions of the broader scientific community, but they do appear to be consistent with available data from the literature and the NGHGI itself.</w:t>
      </w:r>
      <w:r>
        <w:t xml:space="preserve"> </w:t>
      </w:r>
      <w:r w:rsidR="00202C64">
        <w:t>Identifying uncertainty is inherently challenging – as one respondent noted, “</w:t>
      </w:r>
      <w:proofErr w:type="gramStart"/>
      <w:r w:rsidR="00202C64">
        <w:t>w</w:t>
      </w:r>
      <w:r w:rsidR="00202C64" w:rsidRPr="004E1831">
        <w:t>e</w:t>
      </w:r>
      <w:proofErr w:type="gramEnd"/>
      <w:r w:rsidR="00202C64" w:rsidRPr="004E1831">
        <w:t xml:space="preserve"> will always be limited by the difficulty of creating a generalized model that can represent the variability and pro</w:t>
      </w:r>
      <w:r w:rsidR="00202C64">
        <w:t xml:space="preserve">cesses of the natural world. </w:t>
      </w:r>
      <w:r w:rsidR="00202C64" w:rsidRPr="004E1831">
        <w:t>DayCent sees the world as flat.</w:t>
      </w:r>
      <w:r w:rsidR="00202C64">
        <w:t xml:space="preserve">”  </w:t>
      </w:r>
      <w:r w:rsidR="00FD6FE3">
        <w:t>T</w:t>
      </w:r>
      <w:r>
        <w:t xml:space="preserve">he findings from this expert elicitation are a first step </w:t>
      </w:r>
      <w:r w:rsidR="00986B42">
        <w:t xml:space="preserve">in </w:t>
      </w:r>
      <w:r>
        <w:t xml:space="preserve">identifying the key areas that soil scientists believe can help to reduce uncertainty, and improve overall model development. </w:t>
      </w:r>
    </w:p>
    <w:p w14:paraId="7CC7070F" w14:textId="12A23EB6" w:rsidR="00467758" w:rsidRDefault="00467758" w:rsidP="00467758"/>
    <w:p w14:paraId="53B00377" w14:textId="1DAEB123" w:rsidR="00467758" w:rsidRDefault="000415B6" w:rsidP="00694898">
      <w:pPr>
        <w:pStyle w:val="Heading2"/>
        <w:numPr>
          <w:ilvl w:val="0"/>
          <w:numId w:val="0"/>
        </w:numPr>
        <w:ind w:left="576"/>
      </w:pPr>
      <w:bookmarkStart w:id="183" w:name="_Ref5100837"/>
      <w:bookmarkStart w:id="184" w:name="_Ref5100844"/>
      <w:r>
        <w:t xml:space="preserve">3.2 </w:t>
      </w:r>
      <w:r w:rsidR="00467758" w:rsidRPr="00627E59">
        <w:t>Carbon stock change and N</w:t>
      </w:r>
      <w:r w:rsidR="00467758" w:rsidRPr="00081E93">
        <w:rPr>
          <w:vertAlign w:val="subscript"/>
        </w:rPr>
        <w:t>2</w:t>
      </w:r>
      <w:r w:rsidR="009F2A01">
        <w:t xml:space="preserve">O </w:t>
      </w:r>
      <w:r w:rsidR="00195F4D">
        <w:t>in</w:t>
      </w:r>
      <w:r w:rsidR="009F2A01">
        <w:t xml:space="preserve"> </w:t>
      </w:r>
      <w:r w:rsidR="00651675">
        <w:t>Tier 1, 2</w:t>
      </w:r>
      <w:r w:rsidR="00467758" w:rsidRPr="00627E59">
        <w:t xml:space="preserve"> soils</w:t>
      </w:r>
      <w:bookmarkEnd w:id="183"/>
      <w:bookmarkEnd w:id="184"/>
    </w:p>
    <w:p w14:paraId="64481F77" w14:textId="6879E028" w:rsidR="00875DB4" w:rsidRPr="00195F4D" w:rsidRDefault="009433C8" w:rsidP="00694898">
      <w:pPr>
        <w:pStyle w:val="2-Header"/>
        <w:numPr>
          <w:ilvl w:val="0"/>
          <w:numId w:val="0"/>
        </w:numPr>
        <w:spacing w:before="240"/>
        <w:ind w:left="576" w:hanging="576"/>
        <w:rPr>
          <w:rStyle w:val="Strong"/>
          <w:b w:val="0"/>
        </w:rPr>
      </w:pPr>
      <w:r w:rsidRPr="00195F4D">
        <w:rPr>
          <w:rStyle w:val="Strong"/>
          <w:rFonts w:asciiTheme="majorHAnsi" w:hAnsiTheme="majorHAnsi"/>
          <w:b w:val="0"/>
        </w:rPr>
        <w:t>NGHGI Methods</w:t>
      </w:r>
    </w:p>
    <w:p w14:paraId="6B6D311D" w14:textId="049A3D7D" w:rsidR="00694898" w:rsidRDefault="00694898" w:rsidP="00694898">
      <w:pPr>
        <w:spacing w:line="240" w:lineRule="auto"/>
      </w:pPr>
      <w:r>
        <w:t>The</w:t>
      </w:r>
      <w:r w:rsidR="00B37899">
        <w:t xml:space="preserve"> inventory categories that use Tier 1 and 2 methods </w:t>
      </w:r>
      <w:r>
        <w:t>are: direct N</w:t>
      </w:r>
      <w:r w:rsidRPr="006C10BB">
        <w:rPr>
          <w:vertAlign w:val="subscript"/>
        </w:rPr>
        <w:t>2</w:t>
      </w:r>
      <w:r>
        <w:t>O</w:t>
      </w:r>
      <w:r w:rsidR="00B37899">
        <w:t xml:space="preserve"> emissions and soil C stock change on</w:t>
      </w:r>
      <w:r>
        <w:t xml:space="preserve"> </w:t>
      </w:r>
      <w:r w:rsidR="00B37899">
        <w:t>a subset of mineral soils</w:t>
      </w:r>
      <w:r>
        <w:t>; CH</w:t>
      </w:r>
      <w:r>
        <w:rPr>
          <w:vertAlign w:val="subscript"/>
        </w:rPr>
        <w:t>4</w:t>
      </w:r>
      <w:r>
        <w:t xml:space="preserve"> </w:t>
      </w:r>
      <w:r w:rsidR="00B37899">
        <w:t xml:space="preserve">emissions from </w:t>
      </w:r>
      <w:r>
        <w:t xml:space="preserve">rice cultivation; soil C stock change due to biosolids; soil </w:t>
      </w:r>
      <w:r>
        <w:lastRenderedPageBreak/>
        <w:t>C stock change</w:t>
      </w:r>
      <w:r w:rsidR="00B37899">
        <w:t xml:space="preserve"> on</w:t>
      </w:r>
      <w:r>
        <w:t xml:space="preserve"> drained organic soils; direct N</w:t>
      </w:r>
      <w:r w:rsidRPr="006C10BB">
        <w:rPr>
          <w:vertAlign w:val="subscript"/>
        </w:rPr>
        <w:t>2</w:t>
      </w:r>
      <w:r>
        <w:t>O</w:t>
      </w:r>
      <w:r w:rsidR="00B37899">
        <w:t xml:space="preserve"> emissions on</w:t>
      </w:r>
      <w:r>
        <w:t xml:space="preserve"> organic soils; indirect N</w:t>
      </w:r>
      <w:r w:rsidRPr="006C10BB">
        <w:rPr>
          <w:vertAlign w:val="subscript"/>
        </w:rPr>
        <w:t>2</w:t>
      </w:r>
      <w:r>
        <w:t>O volatilization</w:t>
      </w:r>
      <w:r w:rsidR="00B37899">
        <w:t>;</w:t>
      </w:r>
      <w:r>
        <w:t xml:space="preserve"> and indirect N</w:t>
      </w:r>
      <w:r w:rsidRPr="00587718">
        <w:rPr>
          <w:vertAlign w:val="subscript"/>
        </w:rPr>
        <w:t>2</w:t>
      </w:r>
      <w:r w:rsidR="009F2A01">
        <w:t>O</w:t>
      </w:r>
      <w:r w:rsidR="00B37899">
        <w:t xml:space="preserve"> emissions from</w:t>
      </w:r>
      <w:r w:rsidR="009F2A01">
        <w:t xml:space="preserve"> leaching and </w:t>
      </w:r>
      <w:r>
        <w:t xml:space="preserve">runoff. </w:t>
      </w:r>
    </w:p>
    <w:p w14:paraId="57021D58" w14:textId="0B4E5AAF" w:rsidR="00694898" w:rsidRDefault="00694898" w:rsidP="00694898">
      <w:pPr>
        <w:spacing w:line="240" w:lineRule="auto"/>
      </w:pPr>
      <w:r>
        <w:t xml:space="preserve">The </w:t>
      </w:r>
      <w:r w:rsidR="009F2A01">
        <w:t xml:space="preserve">Tier 2 </w:t>
      </w:r>
      <w:r w:rsidR="00B37899">
        <w:t xml:space="preserve">data is provided by </w:t>
      </w:r>
      <w:r>
        <w:t>CTIC</w:t>
      </w:r>
      <w:r w:rsidR="00B37899">
        <w:t xml:space="preserve"> and CEAP as well as </w:t>
      </w:r>
      <w:r>
        <w:t xml:space="preserve">literature </w:t>
      </w:r>
      <w:r w:rsidR="00B37899">
        <w:t xml:space="preserve">on </w:t>
      </w:r>
      <w:r>
        <w:t xml:space="preserve">U.S. carbon stock change factors and manure N amendments over time (Ogle et al., 2003; Edmonds et al., 2003); and reference carbon stocks which are estimated using the National Soil Survey Characterization Database. </w:t>
      </w:r>
    </w:p>
    <w:p w14:paraId="072CA3E5" w14:textId="07458A92" w:rsidR="00694898" w:rsidRDefault="00B37899" w:rsidP="00694898">
      <w:pPr>
        <w:spacing w:line="240" w:lineRule="auto"/>
      </w:pPr>
      <w:r>
        <w:t xml:space="preserve">The 95% confidence interval for each GHG flux is estimated using </w:t>
      </w:r>
      <w:r w:rsidR="00694898">
        <w:t xml:space="preserve">Monte Carlo </w:t>
      </w:r>
      <w:r>
        <w:t xml:space="preserve">simulation, accounting for uncertainty in </w:t>
      </w:r>
      <w:r w:rsidR="00694898">
        <w:t xml:space="preserve">U.S.-specific </w:t>
      </w:r>
      <w:r>
        <w:t xml:space="preserve">carbon </w:t>
      </w:r>
      <w:r w:rsidR="00694898">
        <w:t xml:space="preserve">stock change factors, reference </w:t>
      </w:r>
      <w:r>
        <w:t xml:space="preserve">carbon </w:t>
      </w:r>
      <w:r w:rsidR="00694898">
        <w:t xml:space="preserve">stocks, and land use activity data. </w:t>
      </w:r>
    </w:p>
    <w:p w14:paraId="70B29281" w14:textId="77777777" w:rsidR="000558C0" w:rsidRDefault="000558C0" w:rsidP="00694898">
      <w:pPr>
        <w:spacing w:line="240" w:lineRule="auto"/>
      </w:pPr>
    </w:p>
    <w:p w14:paraId="2A5DF379" w14:textId="59133165" w:rsidR="00694898" w:rsidRPr="00694898" w:rsidRDefault="00694898" w:rsidP="00694898">
      <w:pPr>
        <w:pStyle w:val="Caption"/>
        <w:keepNext/>
        <w:rPr>
          <w:b/>
          <w:vertAlign w:val="superscript"/>
        </w:rPr>
      </w:pPr>
      <w:r w:rsidRPr="00B46585">
        <w:rPr>
          <w:b/>
          <w:sz w:val="22"/>
          <w:szCs w:val="22"/>
        </w:rPr>
        <w:t xml:space="preserve">Table </w:t>
      </w:r>
      <w:r w:rsidR="007D6D6E">
        <w:rPr>
          <w:b/>
          <w:sz w:val="22"/>
          <w:szCs w:val="22"/>
        </w:rPr>
        <w:t>2</w:t>
      </w:r>
      <w:r w:rsidR="00AD1E50">
        <w:rPr>
          <w:b/>
          <w:sz w:val="22"/>
          <w:szCs w:val="22"/>
        </w:rPr>
        <w:t>-1</w:t>
      </w:r>
      <w:r w:rsidR="00B37899">
        <w:rPr>
          <w:b/>
          <w:sz w:val="22"/>
          <w:szCs w:val="22"/>
        </w:rPr>
        <w:t>9</w:t>
      </w:r>
      <w:r w:rsidRPr="00B46585">
        <w:rPr>
          <w:b/>
          <w:sz w:val="22"/>
          <w:szCs w:val="22"/>
        </w:rPr>
        <w:t xml:space="preserve">: Cropland and </w:t>
      </w:r>
      <w:r w:rsidR="004B3068">
        <w:rPr>
          <w:b/>
          <w:sz w:val="22"/>
          <w:szCs w:val="22"/>
        </w:rPr>
        <w:t>g</w:t>
      </w:r>
      <w:r w:rsidRPr="00B46585">
        <w:rPr>
          <w:b/>
          <w:sz w:val="22"/>
          <w:szCs w:val="22"/>
        </w:rPr>
        <w:t xml:space="preserve">rassland </w:t>
      </w:r>
      <w:r w:rsidR="004B3068">
        <w:rPr>
          <w:b/>
          <w:sz w:val="22"/>
          <w:szCs w:val="22"/>
        </w:rPr>
        <w:t>s</w:t>
      </w:r>
      <w:r w:rsidRPr="00B46585">
        <w:rPr>
          <w:b/>
          <w:sz w:val="22"/>
          <w:szCs w:val="22"/>
        </w:rPr>
        <w:t>oil CO</w:t>
      </w:r>
      <w:r w:rsidRPr="00B46585">
        <w:rPr>
          <w:b/>
          <w:sz w:val="22"/>
          <w:szCs w:val="22"/>
          <w:vertAlign w:val="subscript"/>
        </w:rPr>
        <w:t>2</w:t>
      </w:r>
      <w:r w:rsidRPr="00B46585">
        <w:rPr>
          <w:b/>
          <w:sz w:val="22"/>
          <w:szCs w:val="22"/>
        </w:rPr>
        <w:t>, N</w:t>
      </w:r>
      <w:r w:rsidRPr="00B46585">
        <w:rPr>
          <w:b/>
          <w:sz w:val="22"/>
          <w:szCs w:val="22"/>
          <w:vertAlign w:val="subscript"/>
        </w:rPr>
        <w:t>2</w:t>
      </w:r>
      <w:r w:rsidRPr="00B46585">
        <w:rPr>
          <w:b/>
          <w:sz w:val="22"/>
          <w:szCs w:val="22"/>
        </w:rPr>
        <w:t>O, and CH</w:t>
      </w:r>
      <w:r w:rsidRPr="00B46585">
        <w:rPr>
          <w:b/>
          <w:sz w:val="22"/>
          <w:szCs w:val="22"/>
          <w:vertAlign w:val="subscript"/>
        </w:rPr>
        <w:t>4</w:t>
      </w:r>
      <w:r w:rsidRPr="00B46585">
        <w:rPr>
          <w:b/>
          <w:sz w:val="22"/>
          <w:szCs w:val="22"/>
        </w:rPr>
        <w:t xml:space="preserve"> flux es</w:t>
      </w:r>
      <w:r w:rsidRPr="00061134">
        <w:rPr>
          <w:b/>
          <w:sz w:val="22"/>
          <w:szCs w:val="22"/>
        </w:rPr>
        <w:t>timates and uncertainties, Tier 1 and 2</w:t>
      </w:r>
      <w:r w:rsidRPr="00B46585">
        <w:rPr>
          <w:b/>
          <w:sz w:val="22"/>
          <w:szCs w:val="22"/>
        </w:rPr>
        <w:t xml:space="preserve"> </w:t>
      </w:r>
      <w:r>
        <w:rPr>
          <w:b/>
          <w:sz w:val="22"/>
          <w:szCs w:val="22"/>
        </w:rPr>
        <w:t>(NGHGI, 2018)</w:t>
      </w:r>
    </w:p>
    <w:tbl>
      <w:tblPr>
        <w:tblStyle w:val="TableGrid"/>
        <w:tblW w:w="0" w:type="auto"/>
        <w:tblLook w:val="04A0" w:firstRow="1" w:lastRow="0" w:firstColumn="1" w:lastColumn="0" w:noHBand="0" w:noVBand="1"/>
      </w:tblPr>
      <w:tblGrid>
        <w:gridCol w:w="761"/>
        <w:gridCol w:w="1051"/>
        <w:gridCol w:w="1199"/>
        <w:gridCol w:w="2250"/>
        <w:gridCol w:w="2061"/>
        <w:gridCol w:w="1444"/>
      </w:tblGrid>
      <w:tr w:rsidR="009275BF" w14:paraId="64085684" w14:textId="77777777" w:rsidTr="009275BF">
        <w:trPr>
          <w:cantSplit/>
          <w:trHeight w:val="638"/>
        </w:trPr>
        <w:tc>
          <w:tcPr>
            <w:tcW w:w="1812" w:type="dxa"/>
            <w:gridSpan w:val="2"/>
            <w:tcBorders>
              <w:top w:val="single" w:sz="4" w:space="0" w:color="000000" w:themeColor="text1"/>
              <w:left w:val="single" w:sz="4" w:space="0" w:color="000000" w:themeColor="text1"/>
              <w:bottom w:val="single" w:sz="4" w:space="0" w:color="000000" w:themeColor="text1"/>
              <w:right w:val="nil"/>
            </w:tcBorders>
            <w:shd w:val="clear" w:color="auto" w:fill="FFC000" w:themeFill="accent4"/>
            <w:textDirection w:val="btLr"/>
            <w:vAlign w:val="center"/>
          </w:tcPr>
          <w:p w14:paraId="6B20CABF" w14:textId="77777777" w:rsidR="009275BF" w:rsidRPr="009A5984" w:rsidRDefault="009275BF" w:rsidP="00250DD0">
            <w:pPr>
              <w:jc w:val="center"/>
              <w:rPr>
                <w:sz w:val="18"/>
                <w:szCs w:val="18"/>
              </w:rPr>
            </w:pPr>
          </w:p>
        </w:tc>
        <w:tc>
          <w:tcPr>
            <w:tcW w:w="1199" w:type="dxa"/>
            <w:tcBorders>
              <w:top w:val="single" w:sz="4" w:space="0" w:color="000000" w:themeColor="text1"/>
              <w:left w:val="nil"/>
              <w:bottom w:val="single" w:sz="4" w:space="0" w:color="000000" w:themeColor="text1"/>
              <w:right w:val="single" w:sz="4" w:space="0" w:color="000000" w:themeColor="text1"/>
            </w:tcBorders>
            <w:shd w:val="clear" w:color="auto" w:fill="FFC000" w:themeFill="accent4"/>
            <w:textDirection w:val="btLr"/>
            <w:vAlign w:val="center"/>
          </w:tcPr>
          <w:p w14:paraId="4D1C025C" w14:textId="0545BFC7" w:rsidR="009275BF" w:rsidRPr="009A5984" w:rsidRDefault="009275BF" w:rsidP="00250DD0">
            <w:pPr>
              <w:jc w:val="center"/>
              <w:rPr>
                <w:sz w:val="18"/>
                <w:szCs w:val="18"/>
              </w:rPr>
            </w:pPr>
          </w:p>
        </w:tc>
        <w:tc>
          <w:tcPr>
            <w:tcW w:w="2250" w:type="dxa"/>
            <w:tcBorders>
              <w:left w:val="single" w:sz="4" w:space="0" w:color="000000" w:themeColor="text1"/>
            </w:tcBorders>
            <w:shd w:val="clear" w:color="auto" w:fill="FFC000" w:themeFill="accent4"/>
            <w:vAlign w:val="center"/>
          </w:tcPr>
          <w:p w14:paraId="2A531E06" w14:textId="77777777" w:rsidR="009275BF" w:rsidRPr="00694898" w:rsidRDefault="009275BF" w:rsidP="00250DD0">
            <w:pPr>
              <w:jc w:val="center"/>
              <w:rPr>
                <w:b/>
                <w:sz w:val="18"/>
                <w:szCs w:val="18"/>
              </w:rPr>
            </w:pPr>
            <w:r w:rsidRPr="00694898">
              <w:rPr>
                <w:b/>
                <w:sz w:val="18"/>
                <w:szCs w:val="18"/>
              </w:rPr>
              <w:t xml:space="preserve">2016 Flux Estimate </w:t>
            </w:r>
          </w:p>
          <w:p w14:paraId="46935D7C" w14:textId="51B39695" w:rsidR="009275BF" w:rsidRPr="00694898" w:rsidRDefault="009275BF" w:rsidP="00250DD0">
            <w:pPr>
              <w:jc w:val="center"/>
              <w:rPr>
                <w:b/>
                <w:sz w:val="18"/>
                <w:szCs w:val="18"/>
              </w:rPr>
            </w:pPr>
            <w:r w:rsidRPr="00694898">
              <w:rPr>
                <w:b/>
                <w:sz w:val="18"/>
                <w:szCs w:val="18"/>
              </w:rPr>
              <w:t>(MMT CO</w:t>
            </w:r>
            <w:r w:rsidRPr="00694898">
              <w:rPr>
                <w:b/>
                <w:sz w:val="18"/>
                <w:szCs w:val="18"/>
                <w:vertAlign w:val="subscript"/>
              </w:rPr>
              <w:t>2</w:t>
            </w:r>
            <w:r w:rsidRPr="00694898">
              <w:rPr>
                <w:b/>
                <w:sz w:val="18"/>
                <w:szCs w:val="18"/>
              </w:rPr>
              <w:t>e)</w:t>
            </w:r>
          </w:p>
        </w:tc>
        <w:tc>
          <w:tcPr>
            <w:tcW w:w="2061" w:type="dxa"/>
            <w:shd w:val="clear" w:color="auto" w:fill="FFC000" w:themeFill="accent4"/>
            <w:vAlign w:val="center"/>
          </w:tcPr>
          <w:p w14:paraId="1E7644A0" w14:textId="1E86896F" w:rsidR="009275BF" w:rsidRPr="00694898" w:rsidRDefault="009275BF" w:rsidP="00250DD0">
            <w:pPr>
              <w:jc w:val="center"/>
              <w:rPr>
                <w:b/>
                <w:sz w:val="18"/>
                <w:szCs w:val="18"/>
              </w:rPr>
            </w:pPr>
            <w:r w:rsidRPr="00694898">
              <w:rPr>
                <w:b/>
                <w:sz w:val="18"/>
                <w:szCs w:val="18"/>
              </w:rPr>
              <w:t>Lower/Upper Bound (MMT CO</w:t>
            </w:r>
            <w:r w:rsidRPr="00694898">
              <w:rPr>
                <w:b/>
                <w:sz w:val="18"/>
                <w:szCs w:val="18"/>
                <w:vertAlign w:val="subscript"/>
              </w:rPr>
              <w:t>2</w:t>
            </w:r>
            <w:r w:rsidRPr="00694898">
              <w:rPr>
                <w:b/>
                <w:sz w:val="18"/>
                <w:szCs w:val="18"/>
              </w:rPr>
              <w:t>e)</w:t>
            </w:r>
          </w:p>
        </w:tc>
        <w:tc>
          <w:tcPr>
            <w:tcW w:w="1444" w:type="dxa"/>
            <w:shd w:val="clear" w:color="auto" w:fill="FFC000" w:themeFill="accent4"/>
            <w:vAlign w:val="center"/>
          </w:tcPr>
          <w:p w14:paraId="3A337B27" w14:textId="3319D801" w:rsidR="009275BF" w:rsidRPr="00694898" w:rsidRDefault="009275BF" w:rsidP="00250DD0">
            <w:pPr>
              <w:jc w:val="center"/>
              <w:rPr>
                <w:b/>
                <w:sz w:val="18"/>
                <w:szCs w:val="18"/>
              </w:rPr>
            </w:pPr>
            <w:r w:rsidRPr="00694898">
              <w:rPr>
                <w:b/>
                <w:sz w:val="18"/>
                <w:szCs w:val="18"/>
              </w:rPr>
              <w:t>Lower/Upper Bound (%)</w:t>
            </w:r>
          </w:p>
        </w:tc>
      </w:tr>
      <w:tr w:rsidR="009275BF" w14:paraId="20E6EF75" w14:textId="77777777" w:rsidTr="009275BF">
        <w:trPr>
          <w:cantSplit/>
          <w:trHeight w:val="638"/>
        </w:trPr>
        <w:tc>
          <w:tcPr>
            <w:tcW w:w="761" w:type="dxa"/>
            <w:vMerge w:val="restart"/>
            <w:tcBorders>
              <w:top w:val="single" w:sz="4" w:space="0" w:color="000000" w:themeColor="text1"/>
            </w:tcBorders>
            <w:textDirection w:val="btLr"/>
            <w:vAlign w:val="center"/>
          </w:tcPr>
          <w:p w14:paraId="7B6942D2" w14:textId="77777777" w:rsidR="009275BF" w:rsidRPr="009A5984" w:rsidRDefault="009275BF" w:rsidP="00250DD0">
            <w:pPr>
              <w:ind w:left="113" w:right="113"/>
              <w:jc w:val="center"/>
              <w:rPr>
                <w:b/>
                <w:sz w:val="18"/>
                <w:szCs w:val="18"/>
              </w:rPr>
            </w:pPr>
            <w:r w:rsidRPr="009A5984">
              <w:rPr>
                <w:b/>
                <w:sz w:val="18"/>
                <w:szCs w:val="18"/>
              </w:rPr>
              <w:t>Organic and mineral C stock change</w:t>
            </w:r>
          </w:p>
        </w:tc>
        <w:tc>
          <w:tcPr>
            <w:tcW w:w="2250" w:type="dxa"/>
            <w:gridSpan w:val="2"/>
            <w:tcBorders>
              <w:top w:val="single" w:sz="4" w:space="0" w:color="000000" w:themeColor="text1"/>
            </w:tcBorders>
            <w:vAlign w:val="center"/>
          </w:tcPr>
          <w:p w14:paraId="10357963" w14:textId="77777777" w:rsidR="009275BF" w:rsidRPr="009A5984" w:rsidRDefault="009275BF" w:rsidP="00250DD0">
            <w:pPr>
              <w:jc w:val="center"/>
              <w:rPr>
                <w:sz w:val="18"/>
                <w:szCs w:val="18"/>
              </w:rPr>
            </w:pPr>
            <w:r w:rsidRPr="009A5984">
              <w:rPr>
                <w:sz w:val="18"/>
                <w:szCs w:val="18"/>
              </w:rPr>
              <w:t>Cropland remaining Cropland</w:t>
            </w:r>
          </w:p>
        </w:tc>
        <w:tc>
          <w:tcPr>
            <w:tcW w:w="2250" w:type="dxa"/>
            <w:vAlign w:val="center"/>
          </w:tcPr>
          <w:p w14:paraId="6E7E919F" w14:textId="77777777" w:rsidR="009275BF" w:rsidRPr="009A5984" w:rsidRDefault="009275BF" w:rsidP="00250DD0">
            <w:pPr>
              <w:jc w:val="center"/>
              <w:rPr>
                <w:sz w:val="18"/>
                <w:szCs w:val="18"/>
              </w:rPr>
            </w:pPr>
            <w:r w:rsidRPr="009A5984">
              <w:rPr>
                <w:sz w:val="18"/>
                <w:szCs w:val="18"/>
              </w:rPr>
              <w:t>26.4</w:t>
            </w:r>
          </w:p>
        </w:tc>
        <w:tc>
          <w:tcPr>
            <w:tcW w:w="2061" w:type="dxa"/>
            <w:vAlign w:val="center"/>
          </w:tcPr>
          <w:p w14:paraId="08A5659E" w14:textId="77777777" w:rsidR="009275BF" w:rsidRPr="009A5984" w:rsidRDefault="009275BF" w:rsidP="00250DD0">
            <w:pPr>
              <w:jc w:val="center"/>
              <w:rPr>
                <w:sz w:val="18"/>
                <w:szCs w:val="18"/>
              </w:rPr>
            </w:pPr>
            <w:r w:rsidRPr="009A5984">
              <w:rPr>
                <w:sz w:val="18"/>
                <w:szCs w:val="18"/>
              </w:rPr>
              <w:t>21.9 / 30.9</w:t>
            </w:r>
          </w:p>
        </w:tc>
        <w:tc>
          <w:tcPr>
            <w:tcW w:w="1444" w:type="dxa"/>
            <w:vAlign w:val="center"/>
          </w:tcPr>
          <w:p w14:paraId="4C3824C1" w14:textId="77777777" w:rsidR="009275BF" w:rsidRPr="009A5984" w:rsidRDefault="009275BF" w:rsidP="00250DD0">
            <w:pPr>
              <w:jc w:val="center"/>
              <w:rPr>
                <w:sz w:val="18"/>
                <w:szCs w:val="18"/>
              </w:rPr>
            </w:pPr>
            <w:r w:rsidRPr="009A5984">
              <w:rPr>
                <w:sz w:val="18"/>
                <w:szCs w:val="18"/>
              </w:rPr>
              <w:t>17</w:t>
            </w:r>
          </w:p>
        </w:tc>
      </w:tr>
      <w:tr w:rsidR="009275BF" w14:paraId="7EB53759" w14:textId="77777777" w:rsidTr="00250DD0">
        <w:trPr>
          <w:cantSplit/>
          <w:trHeight w:val="638"/>
        </w:trPr>
        <w:tc>
          <w:tcPr>
            <w:tcW w:w="761" w:type="dxa"/>
            <w:vMerge/>
            <w:vAlign w:val="center"/>
          </w:tcPr>
          <w:p w14:paraId="1BFB8813" w14:textId="77777777" w:rsidR="009275BF" w:rsidRPr="009A5984" w:rsidRDefault="009275BF" w:rsidP="00250DD0">
            <w:pPr>
              <w:jc w:val="center"/>
              <w:rPr>
                <w:b/>
                <w:sz w:val="18"/>
                <w:szCs w:val="18"/>
              </w:rPr>
            </w:pPr>
          </w:p>
        </w:tc>
        <w:tc>
          <w:tcPr>
            <w:tcW w:w="2250" w:type="dxa"/>
            <w:gridSpan w:val="2"/>
            <w:vAlign w:val="center"/>
          </w:tcPr>
          <w:p w14:paraId="1BA00790" w14:textId="77777777" w:rsidR="009275BF" w:rsidRPr="009A5984" w:rsidRDefault="009275BF" w:rsidP="00250DD0">
            <w:pPr>
              <w:jc w:val="center"/>
              <w:rPr>
                <w:sz w:val="18"/>
                <w:szCs w:val="18"/>
              </w:rPr>
            </w:pPr>
            <w:r w:rsidRPr="009A5984">
              <w:rPr>
                <w:sz w:val="18"/>
                <w:szCs w:val="18"/>
              </w:rPr>
              <w:t>Land converted to Cropland</w:t>
            </w:r>
          </w:p>
        </w:tc>
        <w:tc>
          <w:tcPr>
            <w:tcW w:w="2250" w:type="dxa"/>
            <w:vAlign w:val="center"/>
          </w:tcPr>
          <w:p w14:paraId="654EDDCD" w14:textId="77777777" w:rsidR="009275BF" w:rsidRPr="009A5984" w:rsidRDefault="009275BF" w:rsidP="00250DD0">
            <w:pPr>
              <w:jc w:val="center"/>
              <w:rPr>
                <w:sz w:val="18"/>
                <w:szCs w:val="18"/>
              </w:rPr>
            </w:pPr>
            <w:r w:rsidRPr="009A5984">
              <w:rPr>
                <w:sz w:val="18"/>
                <w:szCs w:val="18"/>
              </w:rPr>
              <w:t>5.7</w:t>
            </w:r>
          </w:p>
        </w:tc>
        <w:tc>
          <w:tcPr>
            <w:tcW w:w="2061" w:type="dxa"/>
            <w:vAlign w:val="center"/>
          </w:tcPr>
          <w:p w14:paraId="1D9FEE0C" w14:textId="77777777" w:rsidR="009275BF" w:rsidRPr="009A5984" w:rsidRDefault="009275BF" w:rsidP="00250DD0">
            <w:pPr>
              <w:jc w:val="center"/>
              <w:rPr>
                <w:sz w:val="18"/>
                <w:szCs w:val="18"/>
              </w:rPr>
            </w:pPr>
            <w:r w:rsidRPr="009A5984">
              <w:rPr>
                <w:sz w:val="18"/>
                <w:szCs w:val="18"/>
              </w:rPr>
              <w:t>2.6 / 8.8</w:t>
            </w:r>
          </w:p>
        </w:tc>
        <w:tc>
          <w:tcPr>
            <w:tcW w:w="1444" w:type="dxa"/>
            <w:vAlign w:val="center"/>
          </w:tcPr>
          <w:p w14:paraId="1B7BFD68" w14:textId="77777777" w:rsidR="009275BF" w:rsidRPr="009A5984" w:rsidRDefault="009275BF" w:rsidP="00250DD0">
            <w:pPr>
              <w:jc w:val="center"/>
              <w:rPr>
                <w:sz w:val="18"/>
                <w:szCs w:val="18"/>
              </w:rPr>
            </w:pPr>
            <w:r w:rsidRPr="009A5984">
              <w:rPr>
                <w:sz w:val="18"/>
                <w:szCs w:val="18"/>
              </w:rPr>
              <w:t>53</w:t>
            </w:r>
          </w:p>
        </w:tc>
      </w:tr>
      <w:tr w:rsidR="009275BF" w14:paraId="5D461F67" w14:textId="77777777" w:rsidTr="00250DD0">
        <w:trPr>
          <w:cantSplit/>
          <w:trHeight w:val="638"/>
        </w:trPr>
        <w:tc>
          <w:tcPr>
            <w:tcW w:w="761" w:type="dxa"/>
            <w:vMerge/>
            <w:vAlign w:val="center"/>
          </w:tcPr>
          <w:p w14:paraId="2C25DD69" w14:textId="77777777" w:rsidR="009275BF" w:rsidRPr="009A5984" w:rsidRDefault="009275BF" w:rsidP="00250DD0">
            <w:pPr>
              <w:jc w:val="center"/>
              <w:rPr>
                <w:b/>
                <w:sz w:val="18"/>
                <w:szCs w:val="18"/>
              </w:rPr>
            </w:pPr>
          </w:p>
        </w:tc>
        <w:tc>
          <w:tcPr>
            <w:tcW w:w="2250" w:type="dxa"/>
            <w:gridSpan w:val="2"/>
            <w:vAlign w:val="center"/>
          </w:tcPr>
          <w:p w14:paraId="43ABD46B" w14:textId="77777777" w:rsidR="009275BF" w:rsidRPr="009A5984" w:rsidRDefault="009275BF" w:rsidP="00250DD0">
            <w:pPr>
              <w:jc w:val="center"/>
              <w:rPr>
                <w:sz w:val="18"/>
                <w:szCs w:val="18"/>
              </w:rPr>
            </w:pPr>
            <w:r w:rsidRPr="009A5984">
              <w:rPr>
                <w:sz w:val="18"/>
                <w:szCs w:val="18"/>
              </w:rPr>
              <w:t>Grassland remaining Grassland</w:t>
            </w:r>
          </w:p>
        </w:tc>
        <w:tc>
          <w:tcPr>
            <w:tcW w:w="2250" w:type="dxa"/>
            <w:vAlign w:val="center"/>
          </w:tcPr>
          <w:p w14:paraId="3200ED74" w14:textId="77777777" w:rsidR="009275BF" w:rsidRPr="009A5984" w:rsidRDefault="009275BF" w:rsidP="00250DD0">
            <w:pPr>
              <w:jc w:val="center"/>
              <w:rPr>
                <w:sz w:val="18"/>
                <w:szCs w:val="18"/>
              </w:rPr>
            </w:pPr>
            <w:r w:rsidRPr="009A5984">
              <w:rPr>
                <w:sz w:val="18"/>
                <w:szCs w:val="18"/>
              </w:rPr>
              <w:t>2.6</w:t>
            </w:r>
          </w:p>
        </w:tc>
        <w:tc>
          <w:tcPr>
            <w:tcW w:w="2061" w:type="dxa"/>
            <w:vAlign w:val="center"/>
          </w:tcPr>
          <w:p w14:paraId="68A25A26" w14:textId="77777777" w:rsidR="009275BF" w:rsidRPr="009A5984" w:rsidRDefault="009275BF" w:rsidP="00250DD0">
            <w:pPr>
              <w:jc w:val="center"/>
              <w:rPr>
                <w:sz w:val="18"/>
                <w:szCs w:val="18"/>
              </w:rPr>
            </w:pPr>
            <w:r w:rsidRPr="009A5984">
              <w:rPr>
                <w:sz w:val="18"/>
                <w:szCs w:val="18"/>
              </w:rPr>
              <w:t>0.9 / 4.3</w:t>
            </w:r>
          </w:p>
        </w:tc>
        <w:tc>
          <w:tcPr>
            <w:tcW w:w="1444" w:type="dxa"/>
            <w:vAlign w:val="center"/>
          </w:tcPr>
          <w:p w14:paraId="376949EF" w14:textId="77777777" w:rsidR="009275BF" w:rsidRPr="009A5984" w:rsidRDefault="009275BF" w:rsidP="00250DD0">
            <w:pPr>
              <w:jc w:val="center"/>
              <w:rPr>
                <w:sz w:val="18"/>
                <w:szCs w:val="18"/>
              </w:rPr>
            </w:pPr>
            <w:r w:rsidRPr="009A5984">
              <w:rPr>
                <w:sz w:val="18"/>
                <w:szCs w:val="18"/>
              </w:rPr>
              <w:t>66</w:t>
            </w:r>
          </w:p>
        </w:tc>
      </w:tr>
      <w:tr w:rsidR="009275BF" w14:paraId="74AACBF7" w14:textId="77777777" w:rsidTr="00250DD0">
        <w:trPr>
          <w:cantSplit/>
          <w:trHeight w:val="638"/>
        </w:trPr>
        <w:tc>
          <w:tcPr>
            <w:tcW w:w="761" w:type="dxa"/>
            <w:vMerge/>
            <w:vAlign w:val="center"/>
          </w:tcPr>
          <w:p w14:paraId="4B46B913" w14:textId="77777777" w:rsidR="009275BF" w:rsidRPr="009A5984" w:rsidRDefault="009275BF" w:rsidP="00250DD0">
            <w:pPr>
              <w:jc w:val="center"/>
              <w:rPr>
                <w:b/>
                <w:sz w:val="18"/>
                <w:szCs w:val="18"/>
              </w:rPr>
            </w:pPr>
          </w:p>
        </w:tc>
        <w:tc>
          <w:tcPr>
            <w:tcW w:w="2250" w:type="dxa"/>
            <w:gridSpan w:val="2"/>
            <w:vAlign w:val="center"/>
          </w:tcPr>
          <w:p w14:paraId="7336FDEB" w14:textId="77777777" w:rsidR="009275BF" w:rsidRPr="009A5984" w:rsidRDefault="009275BF" w:rsidP="00250DD0">
            <w:pPr>
              <w:jc w:val="center"/>
              <w:rPr>
                <w:sz w:val="18"/>
                <w:szCs w:val="18"/>
              </w:rPr>
            </w:pPr>
            <w:r w:rsidRPr="009A5984">
              <w:rPr>
                <w:sz w:val="18"/>
                <w:szCs w:val="18"/>
              </w:rPr>
              <w:t>Land converted to Grassland</w:t>
            </w:r>
          </w:p>
        </w:tc>
        <w:tc>
          <w:tcPr>
            <w:tcW w:w="2250" w:type="dxa"/>
            <w:vAlign w:val="center"/>
          </w:tcPr>
          <w:p w14:paraId="1FB80F6B" w14:textId="759A0217" w:rsidR="009275BF" w:rsidRPr="009A5984" w:rsidRDefault="00DA2AAD" w:rsidP="00250DD0">
            <w:pPr>
              <w:jc w:val="center"/>
              <w:rPr>
                <w:sz w:val="18"/>
                <w:szCs w:val="18"/>
              </w:rPr>
            </w:pPr>
            <w:r>
              <w:rPr>
                <w:sz w:val="18"/>
                <w:szCs w:val="18"/>
              </w:rPr>
              <w:t>-</w:t>
            </w:r>
            <w:r w:rsidR="009275BF" w:rsidRPr="009A5984">
              <w:rPr>
                <w:sz w:val="18"/>
                <w:szCs w:val="18"/>
              </w:rPr>
              <w:t>2.0</w:t>
            </w:r>
          </w:p>
        </w:tc>
        <w:tc>
          <w:tcPr>
            <w:tcW w:w="2061" w:type="dxa"/>
            <w:vAlign w:val="center"/>
          </w:tcPr>
          <w:p w14:paraId="733436D6" w14:textId="7917C4E6" w:rsidR="009275BF" w:rsidRPr="009A5984" w:rsidRDefault="00DA2AAD" w:rsidP="00250DD0">
            <w:pPr>
              <w:jc w:val="center"/>
              <w:rPr>
                <w:sz w:val="18"/>
                <w:szCs w:val="18"/>
              </w:rPr>
            </w:pPr>
            <w:r>
              <w:rPr>
                <w:sz w:val="18"/>
                <w:szCs w:val="18"/>
              </w:rPr>
              <w:t>-</w:t>
            </w:r>
            <w:r w:rsidR="009275BF" w:rsidRPr="009A5984">
              <w:rPr>
                <w:sz w:val="18"/>
                <w:szCs w:val="18"/>
              </w:rPr>
              <w:t>4.1 / 0.1</w:t>
            </w:r>
          </w:p>
        </w:tc>
        <w:tc>
          <w:tcPr>
            <w:tcW w:w="1444" w:type="dxa"/>
            <w:vAlign w:val="center"/>
          </w:tcPr>
          <w:p w14:paraId="3528AE13" w14:textId="77777777" w:rsidR="009275BF" w:rsidRPr="009A5984" w:rsidRDefault="009275BF" w:rsidP="00250DD0">
            <w:pPr>
              <w:jc w:val="center"/>
              <w:rPr>
                <w:sz w:val="18"/>
                <w:szCs w:val="18"/>
              </w:rPr>
            </w:pPr>
            <w:r w:rsidRPr="009A5984">
              <w:rPr>
                <w:sz w:val="18"/>
                <w:szCs w:val="18"/>
              </w:rPr>
              <w:t>107</w:t>
            </w:r>
          </w:p>
        </w:tc>
      </w:tr>
      <w:tr w:rsidR="009275BF" w14:paraId="5E577439" w14:textId="77777777" w:rsidTr="00250DD0">
        <w:trPr>
          <w:cantSplit/>
          <w:trHeight w:val="602"/>
        </w:trPr>
        <w:tc>
          <w:tcPr>
            <w:tcW w:w="761" w:type="dxa"/>
            <w:textDirection w:val="btLr"/>
            <w:vAlign w:val="center"/>
          </w:tcPr>
          <w:p w14:paraId="0FFCBA31" w14:textId="77777777" w:rsidR="009275BF" w:rsidRPr="009A5984" w:rsidRDefault="009275BF" w:rsidP="00250DD0">
            <w:pPr>
              <w:ind w:left="113" w:right="113"/>
              <w:jc w:val="center"/>
              <w:rPr>
                <w:b/>
                <w:sz w:val="18"/>
                <w:szCs w:val="18"/>
              </w:rPr>
            </w:pPr>
            <w:r w:rsidRPr="009A5984">
              <w:rPr>
                <w:b/>
                <w:sz w:val="18"/>
                <w:szCs w:val="18"/>
              </w:rPr>
              <w:t>CH</w:t>
            </w:r>
            <w:r w:rsidRPr="009A5984">
              <w:rPr>
                <w:b/>
                <w:sz w:val="18"/>
                <w:szCs w:val="18"/>
                <w:vertAlign w:val="subscript"/>
              </w:rPr>
              <w:t>4</w:t>
            </w:r>
          </w:p>
        </w:tc>
        <w:tc>
          <w:tcPr>
            <w:tcW w:w="2250" w:type="dxa"/>
            <w:gridSpan w:val="2"/>
            <w:vAlign w:val="center"/>
          </w:tcPr>
          <w:p w14:paraId="6D7FA930" w14:textId="77777777" w:rsidR="009275BF" w:rsidRPr="009A5984" w:rsidRDefault="009275BF" w:rsidP="00250DD0">
            <w:pPr>
              <w:jc w:val="center"/>
              <w:rPr>
                <w:sz w:val="18"/>
                <w:szCs w:val="18"/>
              </w:rPr>
            </w:pPr>
            <w:r w:rsidRPr="009A5984">
              <w:rPr>
                <w:sz w:val="18"/>
                <w:szCs w:val="18"/>
              </w:rPr>
              <w:t>Rice cultivation</w:t>
            </w:r>
          </w:p>
        </w:tc>
        <w:tc>
          <w:tcPr>
            <w:tcW w:w="2250" w:type="dxa"/>
            <w:vAlign w:val="center"/>
          </w:tcPr>
          <w:p w14:paraId="558A89E7" w14:textId="77777777" w:rsidR="009275BF" w:rsidRPr="009A5984" w:rsidRDefault="009275BF" w:rsidP="00250DD0">
            <w:pPr>
              <w:jc w:val="center"/>
              <w:rPr>
                <w:sz w:val="18"/>
                <w:szCs w:val="18"/>
              </w:rPr>
            </w:pPr>
            <w:r w:rsidRPr="009A5984">
              <w:rPr>
                <w:sz w:val="18"/>
                <w:szCs w:val="18"/>
              </w:rPr>
              <w:t>1.8</w:t>
            </w:r>
          </w:p>
        </w:tc>
        <w:tc>
          <w:tcPr>
            <w:tcW w:w="2061" w:type="dxa"/>
            <w:vAlign w:val="center"/>
          </w:tcPr>
          <w:p w14:paraId="3ED93950" w14:textId="77777777" w:rsidR="009275BF" w:rsidRPr="009A5984" w:rsidRDefault="009275BF" w:rsidP="00250DD0">
            <w:pPr>
              <w:jc w:val="center"/>
              <w:rPr>
                <w:sz w:val="18"/>
                <w:szCs w:val="18"/>
              </w:rPr>
            </w:pPr>
            <w:r w:rsidRPr="009A5984">
              <w:rPr>
                <w:sz w:val="18"/>
                <w:szCs w:val="18"/>
              </w:rPr>
              <w:t>0.8 / 2.8</w:t>
            </w:r>
          </w:p>
        </w:tc>
        <w:tc>
          <w:tcPr>
            <w:tcW w:w="1444" w:type="dxa"/>
            <w:vAlign w:val="center"/>
          </w:tcPr>
          <w:p w14:paraId="2E787619" w14:textId="77777777" w:rsidR="009275BF" w:rsidRPr="009A5984" w:rsidRDefault="009275BF" w:rsidP="00250DD0">
            <w:pPr>
              <w:jc w:val="center"/>
              <w:rPr>
                <w:sz w:val="18"/>
                <w:szCs w:val="18"/>
              </w:rPr>
            </w:pPr>
            <w:r w:rsidRPr="009A5984">
              <w:rPr>
                <w:sz w:val="18"/>
                <w:szCs w:val="18"/>
              </w:rPr>
              <w:t>55</w:t>
            </w:r>
          </w:p>
        </w:tc>
      </w:tr>
      <w:tr w:rsidR="009275BF" w14:paraId="01B0F4DC" w14:textId="77777777" w:rsidTr="00B428DB">
        <w:trPr>
          <w:cantSplit/>
          <w:trHeight w:val="602"/>
        </w:trPr>
        <w:tc>
          <w:tcPr>
            <w:tcW w:w="3011" w:type="dxa"/>
            <w:gridSpan w:val="3"/>
            <w:shd w:val="clear" w:color="auto" w:fill="FFC000" w:themeFill="accent4"/>
            <w:vAlign w:val="center"/>
          </w:tcPr>
          <w:p w14:paraId="5C129210" w14:textId="3A55D094" w:rsidR="009275BF" w:rsidRPr="009A5984" w:rsidRDefault="009275BF" w:rsidP="00250DD0">
            <w:pPr>
              <w:jc w:val="center"/>
              <w:rPr>
                <w:b/>
                <w:sz w:val="18"/>
                <w:szCs w:val="18"/>
              </w:rPr>
            </w:pPr>
            <w:r w:rsidRPr="009A5984">
              <w:rPr>
                <w:b/>
                <w:sz w:val="18"/>
                <w:szCs w:val="18"/>
              </w:rPr>
              <w:t>Tier 1 and 2 Total</w:t>
            </w:r>
          </w:p>
        </w:tc>
        <w:tc>
          <w:tcPr>
            <w:tcW w:w="2250" w:type="dxa"/>
            <w:shd w:val="clear" w:color="auto" w:fill="FFC000" w:themeFill="accent4"/>
            <w:vAlign w:val="center"/>
          </w:tcPr>
          <w:p w14:paraId="4F7A441B" w14:textId="77777777" w:rsidR="009275BF" w:rsidRPr="009A5984" w:rsidRDefault="009275BF" w:rsidP="00250DD0">
            <w:pPr>
              <w:jc w:val="center"/>
              <w:rPr>
                <w:sz w:val="18"/>
                <w:szCs w:val="18"/>
              </w:rPr>
            </w:pPr>
            <w:r w:rsidRPr="009A5984">
              <w:rPr>
                <w:sz w:val="18"/>
                <w:szCs w:val="18"/>
              </w:rPr>
              <w:t>34.5</w:t>
            </w:r>
          </w:p>
        </w:tc>
        <w:tc>
          <w:tcPr>
            <w:tcW w:w="2061" w:type="dxa"/>
            <w:shd w:val="clear" w:color="auto" w:fill="FFC000" w:themeFill="accent4"/>
            <w:vAlign w:val="center"/>
          </w:tcPr>
          <w:p w14:paraId="2093A6EA" w14:textId="77777777" w:rsidR="009275BF" w:rsidRPr="009A5984" w:rsidRDefault="009275BF" w:rsidP="00250DD0">
            <w:pPr>
              <w:jc w:val="center"/>
              <w:rPr>
                <w:sz w:val="18"/>
                <w:szCs w:val="18"/>
              </w:rPr>
            </w:pPr>
            <w:r w:rsidRPr="009A5984">
              <w:rPr>
                <w:sz w:val="18"/>
                <w:szCs w:val="18"/>
              </w:rPr>
              <w:t>28.3 / 40.7</w:t>
            </w:r>
          </w:p>
        </w:tc>
        <w:tc>
          <w:tcPr>
            <w:tcW w:w="1444" w:type="dxa"/>
            <w:shd w:val="clear" w:color="auto" w:fill="FFC000" w:themeFill="accent4"/>
            <w:vAlign w:val="center"/>
          </w:tcPr>
          <w:p w14:paraId="5B771016" w14:textId="77777777" w:rsidR="009275BF" w:rsidRPr="009A5984" w:rsidRDefault="009275BF" w:rsidP="00250DD0">
            <w:pPr>
              <w:jc w:val="center"/>
              <w:rPr>
                <w:sz w:val="18"/>
                <w:szCs w:val="18"/>
              </w:rPr>
            </w:pPr>
            <w:r w:rsidRPr="009A5984">
              <w:rPr>
                <w:sz w:val="18"/>
                <w:szCs w:val="18"/>
              </w:rPr>
              <w:t>18</w:t>
            </w:r>
          </w:p>
        </w:tc>
      </w:tr>
    </w:tbl>
    <w:p w14:paraId="489B7189" w14:textId="56E09C58" w:rsidR="00694898" w:rsidRPr="00A96604" w:rsidRDefault="009F2A01" w:rsidP="00694898">
      <w:pPr>
        <w:rPr>
          <w:i/>
          <w:sz w:val="18"/>
          <w:szCs w:val="18"/>
        </w:rPr>
      </w:pPr>
      <w:r>
        <w:rPr>
          <w:i/>
          <w:sz w:val="18"/>
          <w:szCs w:val="18"/>
        </w:rPr>
        <w:t>Negative values indicate CO</w:t>
      </w:r>
      <w:r w:rsidRPr="009F2A01">
        <w:rPr>
          <w:i/>
          <w:sz w:val="18"/>
          <w:szCs w:val="18"/>
          <w:vertAlign w:val="subscript"/>
        </w:rPr>
        <w:t>2</w:t>
      </w:r>
      <w:r>
        <w:rPr>
          <w:i/>
          <w:sz w:val="18"/>
          <w:szCs w:val="18"/>
        </w:rPr>
        <w:t xml:space="preserve"> sequestration. </w:t>
      </w:r>
    </w:p>
    <w:p w14:paraId="45FCFC42" w14:textId="77777777" w:rsidR="00EA7937" w:rsidRDefault="00EA7937" w:rsidP="00587718">
      <w:pPr>
        <w:spacing w:line="240" w:lineRule="auto"/>
      </w:pPr>
    </w:p>
    <w:p w14:paraId="44645448" w14:textId="06FECB69" w:rsidR="004542B6" w:rsidRPr="00195F4D" w:rsidRDefault="009433C8" w:rsidP="00694898">
      <w:pPr>
        <w:pStyle w:val="2-Header"/>
        <w:numPr>
          <w:ilvl w:val="0"/>
          <w:numId w:val="0"/>
        </w:numPr>
        <w:ind w:left="576" w:hanging="576"/>
        <w:rPr>
          <w:rStyle w:val="Strong"/>
          <w:rFonts w:asciiTheme="majorHAnsi" w:hAnsiTheme="majorHAnsi"/>
          <w:b w:val="0"/>
        </w:rPr>
      </w:pPr>
      <w:r w:rsidRPr="00195F4D">
        <w:rPr>
          <w:rStyle w:val="Strong"/>
          <w:rFonts w:asciiTheme="majorHAnsi" w:hAnsiTheme="majorHAnsi"/>
          <w:b w:val="0"/>
        </w:rPr>
        <w:t>Project Methods</w:t>
      </w:r>
    </w:p>
    <w:p w14:paraId="7D23A57D" w14:textId="45C9EC9E" w:rsidR="00502339" w:rsidRDefault="00502339" w:rsidP="00467758">
      <w:r>
        <w:t xml:space="preserve">Similar to the challenges for Tier 3 cropland and grassland calculations, we were not able to </w:t>
      </w:r>
      <w:r w:rsidR="00B37899">
        <w:t xml:space="preserve">recalculate </w:t>
      </w:r>
      <w:r>
        <w:t xml:space="preserve">Tier 1 and 2 </w:t>
      </w:r>
      <w:r w:rsidR="00B37899">
        <w:t>GHG fluxes due to NRI data confidentiality</w:t>
      </w:r>
      <w:r>
        <w:t>. As an alternative</w:t>
      </w:r>
      <w:r w:rsidR="00467758">
        <w:t xml:space="preserve">, we </w:t>
      </w:r>
      <w:r w:rsidR="00B37899">
        <w:t xml:space="preserve">multiplied </w:t>
      </w:r>
      <w:r w:rsidR="00467758">
        <w:t>contribution index</w:t>
      </w:r>
      <w:r>
        <w:t xml:space="preserve"> </w:t>
      </w:r>
      <w:r w:rsidR="00B37899">
        <w:t xml:space="preserve">values </w:t>
      </w:r>
      <w:r>
        <w:t xml:space="preserve">from </w:t>
      </w:r>
      <w:r w:rsidR="00467758">
        <w:t xml:space="preserve">Ogle </w:t>
      </w:r>
      <w:r>
        <w:t xml:space="preserve">et al. </w:t>
      </w:r>
      <w:r w:rsidR="00B3391B">
        <w:t>(</w:t>
      </w:r>
      <w:r w:rsidR="00467758">
        <w:t>2003</w:t>
      </w:r>
      <w:r w:rsidR="00B3391B">
        <w:t>)</w:t>
      </w:r>
      <w:r>
        <w:t xml:space="preserve"> </w:t>
      </w:r>
      <w:r w:rsidR="00B37899">
        <w:t xml:space="preserve">by </w:t>
      </w:r>
      <w:r>
        <w:t xml:space="preserve">NGHGI </w:t>
      </w:r>
      <w:r w:rsidR="009F2A01">
        <w:t>(</w:t>
      </w:r>
      <w:r>
        <w:t>201</w:t>
      </w:r>
      <w:r w:rsidR="00243047">
        <w:t>8</w:t>
      </w:r>
      <w:r w:rsidR="009F2A01">
        <w:t>)</w:t>
      </w:r>
      <w:r>
        <w:t xml:space="preserve"> </w:t>
      </w:r>
      <w:r w:rsidR="009F2A01">
        <w:t>GHG flux</w:t>
      </w:r>
      <w:r>
        <w:t xml:space="preserve"> values</w:t>
      </w:r>
      <w:r w:rsidR="00467758">
        <w:t xml:space="preserve">. </w:t>
      </w:r>
    </w:p>
    <w:p w14:paraId="0BE37E50" w14:textId="6E873CCB" w:rsidR="00502339" w:rsidRDefault="00502339" w:rsidP="00467758">
      <w:r>
        <w:t xml:space="preserve">Ogle et al. </w:t>
      </w:r>
      <w:r w:rsidR="00B37899">
        <w:t>(</w:t>
      </w:r>
      <w:r>
        <w:t>2003</w:t>
      </w:r>
      <w:r w:rsidR="00B37899">
        <w:t>) accounts for uncertainty from</w:t>
      </w:r>
      <w:r>
        <w:t xml:space="preserve">: </w:t>
      </w:r>
      <w:r w:rsidR="00467758">
        <w:t>land use</w:t>
      </w:r>
      <w:r w:rsidR="00DE1CAA">
        <w:t xml:space="preserve"> activity data</w:t>
      </w:r>
      <w:r w:rsidR="00467758">
        <w:t xml:space="preserve"> (NRI data), tillage practices (CTIC data), reference carbon stocks, input factor, tillage factor, land use change factor, improved</w:t>
      </w:r>
      <w:r w:rsidR="009F2A01">
        <w:t xml:space="preserve"> pasture, and carbon loss rate on organic soils</w:t>
      </w:r>
      <w:r>
        <w:t>.</w:t>
      </w:r>
      <w:r w:rsidR="00467758">
        <w:t xml:space="preserve"> </w:t>
      </w:r>
    </w:p>
    <w:p w14:paraId="00F228E5" w14:textId="44E1245D" w:rsidR="0001163C" w:rsidRDefault="00502339" w:rsidP="00467758">
      <w:r>
        <w:t xml:space="preserve">To use the Ogle et al. </w:t>
      </w:r>
      <w:r w:rsidR="00B3391B">
        <w:t>(</w:t>
      </w:r>
      <w:r>
        <w:t>2003</w:t>
      </w:r>
      <w:r w:rsidR="00B3391B">
        <w:t>)</w:t>
      </w:r>
      <w:r>
        <w:t xml:space="preserve"> </w:t>
      </w:r>
      <w:r w:rsidR="00DE1CAA">
        <w:t>contribution index results</w:t>
      </w:r>
      <w:r>
        <w:t>, first we combined all Tier 1 and 2 cropland and grassland emissions estimates, and their respective 95% confidence intervals using error propagation</w:t>
      </w:r>
      <w:r w:rsidR="00013F15">
        <w:t xml:space="preserve"> (</w:t>
      </w:r>
      <w:r w:rsidR="00001669" w:rsidRPr="00694898">
        <w:fldChar w:fldCharType="begin"/>
      </w:r>
      <w:r w:rsidR="00001669" w:rsidRPr="00694898">
        <w:instrText xml:space="preserve"> REF _Ref5091090 \h  \* MERGEFORMAT </w:instrText>
      </w:r>
      <w:r w:rsidR="00001669" w:rsidRPr="00694898">
        <w:fldChar w:fldCharType="separate"/>
      </w:r>
      <w:r w:rsidR="00FB4CFE" w:rsidRPr="00FB4CFE">
        <w:t xml:space="preserve">Table </w:t>
      </w:r>
      <w:r w:rsidR="00001669" w:rsidRPr="00694898">
        <w:fldChar w:fldCharType="end"/>
      </w:r>
      <w:r w:rsidR="007D6D6E">
        <w:t>2</w:t>
      </w:r>
      <w:r w:rsidR="00DE1CAA">
        <w:t>-19</w:t>
      </w:r>
      <w:r w:rsidR="00143971">
        <w:t>)</w:t>
      </w:r>
      <w:r>
        <w:t>. This step was required because Ogle et al.</w:t>
      </w:r>
      <w:r w:rsidR="009F2A01">
        <w:t xml:space="preserve"> (2003)</w:t>
      </w:r>
      <w:r>
        <w:t xml:space="preserve"> </w:t>
      </w:r>
      <w:r w:rsidR="00DE1CAA">
        <w:t xml:space="preserve">results are </w:t>
      </w:r>
      <w:r w:rsidR="00694898">
        <w:t>aggregate</w:t>
      </w:r>
      <w:r w:rsidR="00DE1CAA">
        <w:t xml:space="preserve">d across inventory </w:t>
      </w:r>
      <w:r w:rsidR="00694898">
        <w:t>categor</w:t>
      </w:r>
      <w:r w:rsidR="00DE1CAA">
        <w:t>ies</w:t>
      </w:r>
      <w:r>
        <w:t xml:space="preserve">. </w:t>
      </w:r>
      <w:r w:rsidR="00DE1CAA">
        <w:t>W</w:t>
      </w:r>
      <w:r w:rsidR="00BE0482">
        <w:t xml:space="preserve">e </w:t>
      </w:r>
      <w:r w:rsidR="00DE1CAA">
        <w:t xml:space="preserve">then </w:t>
      </w:r>
      <w:r w:rsidR="00BE0482">
        <w:t>multiplied the</w:t>
      </w:r>
      <w:r>
        <w:t xml:space="preserve"> </w:t>
      </w:r>
      <w:r w:rsidR="00467758">
        <w:t xml:space="preserve">contribution index for </w:t>
      </w:r>
      <w:r w:rsidR="00BE0482">
        <w:t xml:space="preserve">each Ogle et al. </w:t>
      </w:r>
      <w:r w:rsidR="00DE1CAA">
        <w:t>(</w:t>
      </w:r>
      <w:r w:rsidR="00BE0482">
        <w:t>2003</w:t>
      </w:r>
      <w:r w:rsidR="00DE1CAA">
        <w:t>)</w:t>
      </w:r>
      <w:r w:rsidR="00BE0482">
        <w:t xml:space="preserve"> element</w:t>
      </w:r>
      <w:r w:rsidR="00DE1CAA">
        <w:t xml:space="preserve">, reported in </w:t>
      </w:r>
      <w:r w:rsidR="00DE1CAA">
        <w:lastRenderedPageBreak/>
        <w:t>their Table 7,</w:t>
      </w:r>
      <w:r w:rsidR="00BE0482">
        <w:t xml:space="preserve"> </w:t>
      </w:r>
      <w:r>
        <w:t>by</w:t>
      </w:r>
      <w:r w:rsidR="00467758">
        <w:t xml:space="preserve"> the </w:t>
      </w:r>
      <w:r w:rsidR="00DE1CAA">
        <w:t xml:space="preserve">difference between the upper and lower values of </w:t>
      </w:r>
      <w:r w:rsidR="00467758">
        <w:t xml:space="preserve">the 95% confidence interval </w:t>
      </w:r>
      <w:r w:rsidR="00DE1CAA">
        <w:t xml:space="preserve">in </w:t>
      </w:r>
      <w:r w:rsidR="004547EC" w:rsidRPr="00694898">
        <w:fldChar w:fldCharType="begin"/>
      </w:r>
      <w:r w:rsidR="004547EC" w:rsidRPr="00694898">
        <w:instrText xml:space="preserve"> REF _Ref4763170 \h  \* MERGEFORMAT </w:instrText>
      </w:r>
      <w:r w:rsidR="004547EC" w:rsidRPr="00694898">
        <w:fldChar w:fldCharType="separate"/>
      </w:r>
      <w:r w:rsidR="00FB4CFE" w:rsidRPr="00FB4CFE">
        <w:t>Table</w:t>
      </w:r>
      <w:r w:rsidR="00DE1CAA">
        <w:t xml:space="preserve"> </w:t>
      </w:r>
      <w:r w:rsidR="007D6D6E">
        <w:t>2</w:t>
      </w:r>
      <w:r w:rsidR="00DE1CAA">
        <w:t>-19</w:t>
      </w:r>
      <w:r w:rsidR="004547EC" w:rsidRPr="00694898">
        <w:fldChar w:fldCharType="end"/>
      </w:r>
      <w:r w:rsidR="00BE0482">
        <w:t xml:space="preserve">. </w:t>
      </w:r>
    </w:p>
    <w:p w14:paraId="59BA11FA" w14:textId="4CB385EE" w:rsidR="0001163C" w:rsidRPr="00195F4D" w:rsidRDefault="0001163C" w:rsidP="00694898">
      <w:pPr>
        <w:pStyle w:val="2-Header"/>
        <w:numPr>
          <w:ilvl w:val="0"/>
          <w:numId w:val="0"/>
        </w:numPr>
        <w:ind w:left="576" w:hanging="576"/>
        <w:rPr>
          <w:rStyle w:val="Strong"/>
          <w:b w:val="0"/>
        </w:rPr>
      </w:pPr>
      <w:r w:rsidRPr="00195F4D">
        <w:rPr>
          <w:rStyle w:val="Strong"/>
          <w:rFonts w:asciiTheme="majorHAnsi" w:hAnsiTheme="majorHAnsi"/>
          <w:b w:val="0"/>
        </w:rPr>
        <w:t xml:space="preserve">Results </w:t>
      </w:r>
    </w:p>
    <w:p w14:paraId="0DAB4B83" w14:textId="0842BA28" w:rsidR="000558C0" w:rsidRDefault="0001163C" w:rsidP="00467758">
      <w:r>
        <w:t>The</w:t>
      </w:r>
      <w:r w:rsidR="00467758">
        <w:t xml:space="preserve"> highest contribution to uncertainty stemming from carbon loss rate from organic soils (</w:t>
      </w:r>
      <w:r w:rsidR="00143971">
        <w:t>4.39</w:t>
      </w:r>
      <w:r w:rsidR="00467758">
        <w:t xml:space="preserve"> MMT CO</w:t>
      </w:r>
      <w:r w:rsidR="00467758" w:rsidRPr="00EB08D4">
        <w:rPr>
          <w:vertAlign w:val="subscript"/>
        </w:rPr>
        <w:t>2</w:t>
      </w:r>
      <w:r w:rsidR="00467758">
        <w:t xml:space="preserve">e), followed by land use change factor and </w:t>
      </w:r>
      <w:r w:rsidR="00EB08D4">
        <w:t xml:space="preserve">tillage factor </w:t>
      </w:r>
      <w:r w:rsidR="00467758">
        <w:t>(</w:t>
      </w:r>
      <w:r w:rsidR="00143971">
        <w:t>3.43</w:t>
      </w:r>
      <w:r w:rsidR="00EB08D4">
        <w:t xml:space="preserve"> MMT CO</w:t>
      </w:r>
      <w:r w:rsidR="00EB08D4" w:rsidRPr="00EB08D4">
        <w:rPr>
          <w:vertAlign w:val="subscript"/>
        </w:rPr>
        <w:t>2</w:t>
      </w:r>
      <w:r w:rsidR="00EB08D4">
        <w:t>e for each</w:t>
      </w:r>
      <w:r w:rsidR="00467758">
        <w:t>)</w:t>
      </w:r>
      <w:r w:rsidR="00694898">
        <w:t xml:space="preserve"> (Table </w:t>
      </w:r>
      <w:r w:rsidR="007D6D6E">
        <w:t>2</w:t>
      </w:r>
      <w:r w:rsidR="00AD1E50">
        <w:t>-</w:t>
      </w:r>
      <w:r w:rsidR="000D5C1C">
        <w:t>20</w:t>
      </w:r>
      <w:r w:rsidR="00694898">
        <w:t>)</w:t>
      </w:r>
      <w:r w:rsidR="00652BD5">
        <w:t xml:space="preserve">. </w:t>
      </w:r>
    </w:p>
    <w:p w14:paraId="1A68795D" w14:textId="172BA7FF" w:rsidR="00B13E0F" w:rsidRPr="00694898" w:rsidRDefault="00B13E0F" w:rsidP="00B13E0F">
      <w:pPr>
        <w:pStyle w:val="Caption"/>
        <w:keepNext/>
        <w:rPr>
          <w:b/>
          <w:sz w:val="22"/>
          <w:szCs w:val="22"/>
        </w:rPr>
      </w:pPr>
      <w:bookmarkStart w:id="185" w:name="_Ref5091090"/>
      <w:r w:rsidRPr="00694898">
        <w:rPr>
          <w:b/>
          <w:sz w:val="22"/>
          <w:szCs w:val="22"/>
        </w:rPr>
        <w:t xml:space="preserve">Table </w:t>
      </w:r>
      <w:bookmarkEnd w:id="185"/>
      <w:r w:rsidR="007D6D6E">
        <w:rPr>
          <w:b/>
          <w:sz w:val="22"/>
          <w:szCs w:val="22"/>
        </w:rPr>
        <w:t>2</w:t>
      </w:r>
      <w:r w:rsidR="00AD1E50">
        <w:rPr>
          <w:b/>
          <w:sz w:val="22"/>
          <w:szCs w:val="22"/>
        </w:rPr>
        <w:t>-</w:t>
      </w:r>
      <w:r w:rsidR="000D5C1C">
        <w:rPr>
          <w:b/>
          <w:sz w:val="22"/>
          <w:szCs w:val="22"/>
        </w:rPr>
        <w:t>20</w:t>
      </w:r>
      <w:r w:rsidRPr="00694898">
        <w:rPr>
          <w:b/>
          <w:sz w:val="22"/>
          <w:szCs w:val="22"/>
        </w:rPr>
        <w:t xml:space="preserve">: </w:t>
      </w:r>
      <w:r w:rsidR="00A9645A">
        <w:rPr>
          <w:b/>
          <w:sz w:val="22"/>
          <w:szCs w:val="22"/>
        </w:rPr>
        <w:t xml:space="preserve">RESULTS - </w:t>
      </w:r>
      <w:r w:rsidRPr="00694898">
        <w:rPr>
          <w:b/>
          <w:sz w:val="22"/>
          <w:szCs w:val="22"/>
        </w:rPr>
        <w:t>Contribution</w:t>
      </w:r>
      <w:r w:rsidR="00A9645A">
        <w:rPr>
          <w:b/>
          <w:sz w:val="22"/>
          <w:szCs w:val="22"/>
        </w:rPr>
        <w:t>s</w:t>
      </w:r>
      <w:r w:rsidRPr="00694898">
        <w:rPr>
          <w:b/>
          <w:sz w:val="22"/>
          <w:szCs w:val="22"/>
        </w:rPr>
        <w:t xml:space="preserve"> to uncertainty</w:t>
      </w:r>
      <w:r w:rsidR="00A9645A">
        <w:rPr>
          <w:b/>
          <w:sz w:val="22"/>
          <w:szCs w:val="22"/>
        </w:rPr>
        <w:t xml:space="preserve"> of Tier 1, 2 cropland and grassland categories</w:t>
      </w:r>
    </w:p>
    <w:tbl>
      <w:tblPr>
        <w:tblStyle w:val="TableGrid"/>
        <w:tblW w:w="9175" w:type="dxa"/>
        <w:tblLook w:val="04A0" w:firstRow="1" w:lastRow="0" w:firstColumn="1" w:lastColumn="0" w:noHBand="0" w:noVBand="1"/>
      </w:tblPr>
      <w:tblGrid>
        <w:gridCol w:w="3058"/>
        <w:gridCol w:w="3058"/>
        <w:gridCol w:w="3059"/>
      </w:tblGrid>
      <w:tr w:rsidR="00694898" w14:paraId="70C606E2" w14:textId="66BD22C1" w:rsidTr="00694898">
        <w:tc>
          <w:tcPr>
            <w:tcW w:w="3058" w:type="dxa"/>
            <w:shd w:val="clear" w:color="auto" w:fill="FFC000"/>
            <w:vAlign w:val="center"/>
          </w:tcPr>
          <w:p w14:paraId="28A4F1E4" w14:textId="77777777" w:rsidR="00694898" w:rsidRPr="00875DB4" w:rsidRDefault="00694898" w:rsidP="00694898">
            <w:pPr>
              <w:jc w:val="center"/>
              <w:rPr>
                <w:b/>
                <w:sz w:val="18"/>
                <w:szCs w:val="18"/>
              </w:rPr>
            </w:pPr>
            <w:r w:rsidRPr="00875DB4">
              <w:rPr>
                <w:b/>
                <w:sz w:val="18"/>
                <w:szCs w:val="18"/>
              </w:rPr>
              <w:t>Input</w:t>
            </w:r>
          </w:p>
        </w:tc>
        <w:tc>
          <w:tcPr>
            <w:tcW w:w="3058" w:type="dxa"/>
            <w:shd w:val="clear" w:color="auto" w:fill="FFC000"/>
            <w:vAlign w:val="center"/>
          </w:tcPr>
          <w:p w14:paraId="506B8E9A" w14:textId="665C3FF7" w:rsidR="00694898" w:rsidRPr="00875DB4" w:rsidRDefault="00694898" w:rsidP="00694898">
            <w:pPr>
              <w:jc w:val="center"/>
              <w:rPr>
                <w:b/>
                <w:sz w:val="18"/>
                <w:szCs w:val="18"/>
              </w:rPr>
            </w:pPr>
            <w:r w:rsidRPr="00875DB4">
              <w:rPr>
                <w:b/>
                <w:sz w:val="18"/>
                <w:szCs w:val="18"/>
              </w:rPr>
              <w:t>C</w:t>
            </w:r>
            <w:r>
              <w:rPr>
                <w:b/>
                <w:sz w:val="18"/>
                <w:szCs w:val="18"/>
              </w:rPr>
              <w:t xml:space="preserve">ontribution to uncertainty (%) from Ogle et al. </w:t>
            </w:r>
            <w:r w:rsidR="00BD44C0">
              <w:rPr>
                <w:b/>
                <w:sz w:val="18"/>
                <w:szCs w:val="18"/>
              </w:rPr>
              <w:t>(</w:t>
            </w:r>
            <w:r>
              <w:rPr>
                <w:b/>
                <w:sz w:val="18"/>
                <w:szCs w:val="18"/>
              </w:rPr>
              <w:t>2003</w:t>
            </w:r>
            <w:r w:rsidR="00BD44C0">
              <w:rPr>
                <w:b/>
                <w:sz w:val="18"/>
                <w:szCs w:val="18"/>
              </w:rPr>
              <w:t>)</w:t>
            </w:r>
          </w:p>
        </w:tc>
        <w:tc>
          <w:tcPr>
            <w:tcW w:w="3059" w:type="dxa"/>
            <w:shd w:val="clear" w:color="auto" w:fill="FFC000"/>
            <w:vAlign w:val="center"/>
          </w:tcPr>
          <w:p w14:paraId="5AE07A70" w14:textId="1EAD5DF2" w:rsidR="00694898" w:rsidRPr="00875DB4" w:rsidRDefault="00694898" w:rsidP="00694898">
            <w:pPr>
              <w:jc w:val="center"/>
              <w:rPr>
                <w:b/>
                <w:sz w:val="18"/>
                <w:szCs w:val="18"/>
              </w:rPr>
            </w:pPr>
            <w:r w:rsidRPr="00875DB4">
              <w:rPr>
                <w:b/>
                <w:sz w:val="18"/>
                <w:szCs w:val="18"/>
              </w:rPr>
              <w:t>Contribution to total uncertainty (MMT CO</w:t>
            </w:r>
            <w:r w:rsidRPr="00875DB4">
              <w:rPr>
                <w:b/>
                <w:sz w:val="18"/>
                <w:szCs w:val="18"/>
                <w:vertAlign w:val="subscript"/>
              </w:rPr>
              <w:t>2</w:t>
            </w:r>
            <w:r w:rsidRPr="00875DB4">
              <w:rPr>
                <w:b/>
                <w:sz w:val="18"/>
                <w:szCs w:val="18"/>
              </w:rPr>
              <w:t>e)</w:t>
            </w:r>
          </w:p>
        </w:tc>
      </w:tr>
      <w:tr w:rsidR="00694898" w14:paraId="38651BDC" w14:textId="5C404B3E" w:rsidTr="00694898">
        <w:tc>
          <w:tcPr>
            <w:tcW w:w="3058" w:type="dxa"/>
          </w:tcPr>
          <w:p w14:paraId="7802F107" w14:textId="17859626" w:rsidR="00694898" w:rsidRPr="00E6343F" w:rsidRDefault="00694898" w:rsidP="00694898">
            <w:pPr>
              <w:rPr>
                <w:sz w:val="18"/>
                <w:szCs w:val="18"/>
              </w:rPr>
            </w:pPr>
            <w:r w:rsidRPr="00E6343F">
              <w:rPr>
                <w:sz w:val="18"/>
                <w:szCs w:val="18"/>
              </w:rPr>
              <w:t>Land use</w:t>
            </w:r>
            <w:r w:rsidR="00DE1CAA">
              <w:rPr>
                <w:sz w:val="18"/>
                <w:szCs w:val="18"/>
              </w:rPr>
              <w:t xml:space="preserve"> activity data</w:t>
            </w:r>
          </w:p>
        </w:tc>
        <w:tc>
          <w:tcPr>
            <w:tcW w:w="3058" w:type="dxa"/>
            <w:vAlign w:val="center"/>
          </w:tcPr>
          <w:p w14:paraId="4BD0DAA1" w14:textId="53220537" w:rsidR="00694898" w:rsidRPr="00E6343F" w:rsidRDefault="00694898" w:rsidP="00694898">
            <w:pPr>
              <w:jc w:val="center"/>
              <w:rPr>
                <w:sz w:val="18"/>
                <w:szCs w:val="18"/>
              </w:rPr>
            </w:pPr>
            <w:r w:rsidRPr="00E6343F">
              <w:rPr>
                <w:sz w:val="18"/>
                <w:szCs w:val="18"/>
              </w:rPr>
              <w:t>4.6</w:t>
            </w:r>
          </w:p>
        </w:tc>
        <w:tc>
          <w:tcPr>
            <w:tcW w:w="3059" w:type="dxa"/>
            <w:vAlign w:val="center"/>
          </w:tcPr>
          <w:p w14:paraId="23E58D29" w14:textId="38E05C48" w:rsidR="00694898" w:rsidRPr="00E6343F" w:rsidRDefault="00694898" w:rsidP="00694898">
            <w:pPr>
              <w:jc w:val="center"/>
              <w:rPr>
                <w:sz w:val="18"/>
                <w:szCs w:val="18"/>
              </w:rPr>
            </w:pPr>
            <w:r w:rsidRPr="00E6343F">
              <w:rPr>
                <w:sz w:val="18"/>
                <w:szCs w:val="18"/>
              </w:rPr>
              <w:t>0.57</w:t>
            </w:r>
          </w:p>
        </w:tc>
      </w:tr>
      <w:tr w:rsidR="00694898" w14:paraId="78C1A6D7" w14:textId="1AB031E0" w:rsidTr="00694898">
        <w:tc>
          <w:tcPr>
            <w:tcW w:w="3058" w:type="dxa"/>
          </w:tcPr>
          <w:p w14:paraId="19EAA915" w14:textId="5B488ABF" w:rsidR="00694898" w:rsidRPr="00E6343F" w:rsidRDefault="00DE1CAA" w:rsidP="00D35EC2">
            <w:pPr>
              <w:rPr>
                <w:sz w:val="18"/>
                <w:szCs w:val="18"/>
              </w:rPr>
            </w:pPr>
            <w:r>
              <w:rPr>
                <w:sz w:val="18"/>
                <w:szCs w:val="18"/>
              </w:rPr>
              <w:t>Tillage practices</w:t>
            </w:r>
          </w:p>
        </w:tc>
        <w:tc>
          <w:tcPr>
            <w:tcW w:w="3058" w:type="dxa"/>
            <w:vAlign w:val="center"/>
          </w:tcPr>
          <w:p w14:paraId="535D7B01" w14:textId="0A0F547B" w:rsidR="00694898" w:rsidRPr="00E6343F" w:rsidRDefault="009F256C" w:rsidP="00694898">
            <w:pPr>
              <w:jc w:val="center"/>
              <w:rPr>
                <w:sz w:val="18"/>
                <w:szCs w:val="18"/>
              </w:rPr>
            </w:pPr>
            <w:r>
              <w:rPr>
                <w:sz w:val="18"/>
                <w:szCs w:val="18"/>
              </w:rPr>
              <w:t>3</w:t>
            </w:r>
            <w:r w:rsidR="00694898" w:rsidRPr="00E6343F">
              <w:rPr>
                <w:sz w:val="18"/>
                <w:szCs w:val="18"/>
              </w:rPr>
              <w:t>.1</w:t>
            </w:r>
          </w:p>
        </w:tc>
        <w:tc>
          <w:tcPr>
            <w:tcW w:w="3059" w:type="dxa"/>
            <w:vAlign w:val="center"/>
          </w:tcPr>
          <w:p w14:paraId="5A653C28" w14:textId="66A1E933" w:rsidR="00694898" w:rsidRPr="00E6343F" w:rsidRDefault="00694898" w:rsidP="00694898">
            <w:pPr>
              <w:jc w:val="center"/>
              <w:rPr>
                <w:sz w:val="18"/>
                <w:szCs w:val="18"/>
              </w:rPr>
            </w:pPr>
            <w:r w:rsidRPr="00E6343F">
              <w:rPr>
                <w:sz w:val="18"/>
                <w:szCs w:val="18"/>
              </w:rPr>
              <w:t>0.38</w:t>
            </w:r>
          </w:p>
        </w:tc>
      </w:tr>
      <w:tr w:rsidR="00694898" w14:paraId="5585E004" w14:textId="71C85C28" w:rsidTr="00694898">
        <w:tc>
          <w:tcPr>
            <w:tcW w:w="3058" w:type="dxa"/>
          </w:tcPr>
          <w:p w14:paraId="382A7DEB" w14:textId="77777777" w:rsidR="00694898" w:rsidRPr="00E6343F" w:rsidRDefault="00694898" w:rsidP="00694898">
            <w:pPr>
              <w:rPr>
                <w:sz w:val="18"/>
                <w:szCs w:val="18"/>
              </w:rPr>
            </w:pPr>
            <w:r w:rsidRPr="00E6343F">
              <w:rPr>
                <w:sz w:val="18"/>
                <w:szCs w:val="18"/>
              </w:rPr>
              <w:t>Reference stock</w:t>
            </w:r>
          </w:p>
        </w:tc>
        <w:tc>
          <w:tcPr>
            <w:tcW w:w="3058" w:type="dxa"/>
            <w:vAlign w:val="center"/>
          </w:tcPr>
          <w:p w14:paraId="1C15F7A4" w14:textId="31F9EE36" w:rsidR="00694898" w:rsidRPr="00E6343F" w:rsidRDefault="00694898" w:rsidP="00694898">
            <w:pPr>
              <w:jc w:val="center"/>
              <w:rPr>
                <w:sz w:val="18"/>
                <w:szCs w:val="18"/>
              </w:rPr>
            </w:pPr>
            <w:r w:rsidRPr="00E6343F">
              <w:rPr>
                <w:sz w:val="18"/>
                <w:szCs w:val="18"/>
              </w:rPr>
              <w:t>&lt;1.0</w:t>
            </w:r>
          </w:p>
        </w:tc>
        <w:tc>
          <w:tcPr>
            <w:tcW w:w="3059" w:type="dxa"/>
            <w:vAlign w:val="center"/>
          </w:tcPr>
          <w:p w14:paraId="512D64EE" w14:textId="76DA9FF7" w:rsidR="00694898" w:rsidRPr="00E6343F" w:rsidRDefault="00694898" w:rsidP="00694898">
            <w:pPr>
              <w:jc w:val="center"/>
              <w:rPr>
                <w:sz w:val="18"/>
                <w:szCs w:val="18"/>
              </w:rPr>
            </w:pPr>
            <w:r w:rsidRPr="00E6343F">
              <w:rPr>
                <w:sz w:val="18"/>
                <w:szCs w:val="18"/>
              </w:rPr>
              <w:t>0.01</w:t>
            </w:r>
          </w:p>
        </w:tc>
      </w:tr>
      <w:tr w:rsidR="00694898" w14:paraId="49F1E1FD" w14:textId="26B51A6E" w:rsidTr="00694898">
        <w:tc>
          <w:tcPr>
            <w:tcW w:w="3058" w:type="dxa"/>
          </w:tcPr>
          <w:p w14:paraId="0BEFE654" w14:textId="77777777" w:rsidR="00694898" w:rsidRPr="00E6343F" w:rsidRDefault="00694898" w:rsidP="00694898">
            <w:pPr>
              <w:rPr>
                <w:sz w:val="18"/>
                <w:szCs w:val="18"/>
              </w:rPr>
            </w:pPr>
            <w:r w:rsidRPr="00E6343F">
              <w:rPr>
                <w:sz w:val="18"/>
                <w:szCs w:val="18"/>
              </w:rPr>
              <w:t>Input factor</w:t>
            </w:r>
          </w:p>
        </w:tc>
        <w:tc>
          <w:tcPr>
            <w:tcW w:w="3058" w:type="dxa"/>
            <w:vAlign w:val="center"/>
          </w:tcPr>
          <w:p w14:paraId="0E673D22" w14:textId="5C346296" w:rsidR="00694898" w:rsidRPr="00E6343F" w:rsidRDefault="00694898" w:rsidP="00694898">
            <w:pPr>
              <w:jc w:val="center"/>
              <w:rPr>
                <w:sz w:val="18"/>
                <w:szCs w:val="18"/>
              </w:rPr>
            </w:pPr>
            <w:r w:rsidRPr="00E6343F">
              <w:rPr>
                <w:sz w:val="18"/>
                <w:szCs w:val="18"/>
              </w:rPr>
              <w:t>&lt;1.0</w:t>
            </w:r>
          </w:p>
        </w:tc>
        <w:tc>
          <w:tcPr>
            <w:tcW w:w="3059" w:type="dxa"/>
            <w:vAlign w:val="center"/>
          </w:tcPr>
          <w:p w14:paraId="0D63D513" w14:textId="41959F0E" w:rsidR="00694898" w:rsidRPr="00E6343F" w:rsidRDefault="00694898" w:rsidP="00694898">
            <w:pPr>
              <w:jc w:val="center"/>
              <w:rPr>
                <w:sz w:val="18"/>
                <w:szCs w:val="18"/>
              </w:rPr>
            </w:pPr>
            <w:r w:rsidRPr="00E6343F">
              <w:rPr>
                <w:sz w:val="18"/>
                <w:szCs w:val="18"/>
              </w:rPr>
              <w:t>0.01</w:t>
            </w:r>
          </w:p>
        </w:tc>
      </w:tr>
      <w:tr w:rsidR="00694898" w14:paraId="06FE07AE" w14:textId="4890B1CC" w:rsidTr="00694898">
        <w:tc>
          <w:tcPr>
            <w:tcW w:w="3058" w:type="dxa"/>
          </w:tcPr>
          <w:p w14:paraId="5F778791" w14:textId="77777777" w:rsidR="00694898" w:rsidRPr="00E6343F" w:rsidRDefault="00694898" w:rsidP="00694898">
            <w:pPr>
              <w:rPr>
                <w:sz w:val="18"/>
                <w:szCs w:val="18"/>
              </w:rPr>
            </w:pPr>
            <w:r w:rsidRPr="00E6343F">
              <w:rPr>
                <w:sz w:val="18"/>
                <w:szCs w:val="18"/>
              </w:rPr>
              <w:t>Tillage Factor</w:t>
            </w:r>
          </w:p>
        </w:tc>
        <w:tc>
          <w:tcPr>
            <w:tcW w:w="3058" w:type="dxa"/>
            <w:vAlign w:val="center"/>
          </w:tcPr>
          <w:p w14:paraId="1CDAB1D7" w14:textId="60B6ED95" w:rsidR="00694898" w:rsidRPr="00E6343F" w:rsidRDefault="00694898" w:rsidP="00694898">
            <w:pPr>
              <w:jc w:val="center"/>
              <w:rPr>
                <w:sz w:val="18"/>
                <w:szCs w:val="18"/>
              </w:rPr>
            </w:pPr>
            <w:r w:rsidRPr="00E6343F">
              <w:rPr>
                <w:sz w:val="18"/>
                <w:szCs w:val="18"/>
              </w:rPr>
              <w:t>27.7</w:t>
            </w:r>
          </w:p>
        </w:tc>
        <w:tc>
          <w:tcPr>
            <w:tcW w:w="3059" w:type="dxa"/>
            <w:vAlign w:val="center"/>
          </w:tcPr>
          <w:p w14:paraId="0798ABA8" w14:textId="3E8F2973" w:rsidR="00694898" w:rsidRPr="00E6343F" w:rsidRDefault="00694898" w:rsidP="00694898">
            <w:pPr>
              <w:jc w:val="center"/>
              <w:rPr>
                <w:sz w:val="18"/>
                <w:szCs w:val="18"/>
              </w:rPr>
            </w:pPr>
            <w:r w:rsidRPr="00E6343F">
              <w:rPr>
                <w:sz w:val="18"/>
                <w:szCs w:val="18"/>
              </w:rPr>
              <w:t>3.43</w:t>
            </w:r>
          </w:p>
        </w:tc>
      </w:tr>
      <w:tr w:rsidR="00694898" w14:paraId="0064EF3F" w14:textId="49405B82" w:rsidTr="00694898">
        <w:tc>
          <w:tcPr>
            <w:tcW w:w="3058" w:type="dxa"/>
          </w:tcPr>
          <w:p w14:paraId="5A7941CD" w14:textId="77777777" w:rsidR="00694898" w:rsidRPr="00E6343F" w:rsidRDefault="00694898" w:rsidP="00694898">
            <w:pPr>
              <w:rPr>
                <w:sz w:val="18"/>
                <w:szCs w:val="18"/>
              </w:rPr>
            </w:pPr>
            <w:r w:rsidRPr="00E6343F">
              <w:rPr>
                <w:sz w:val="18"/>
                <w:szCs w:val="18"/>
              </w:rPr>
              <w:t>Land use change</w:t>
            </w:r>
          </w:p>
        </w:tc>
        <w:tc>
          <w:tcPr>
            <w:tcW w:w="3058" w:type="dxa"/>
            <w:vAlign w:val="center"/>
          </w:tcPr>
          <w:p w14:paraId="51F78F72" w14:textId="64C545D8" w:rsidR="00694898" w:rsidRPr="00E6343F" w:rsidRDefault="00694898" w:rsidP="00694898">
            <w:pPr>
              <w:jc w:val="center"/>
              <w:rPr>
                <w:sz w:val="18"/>
                <w:szCs w:val="18"/>
              </w:rPr>
            </w:pPr>
            <w:r w:rsidRPr="00E6343F">
              <w:rPr>
                <w:sz w:val="18"/>
                <w:szCs w:val="18"/>
              </w:rPr>
              <w:t>27.7</w:t>
            </w:r>
          </w:p>
        </w:tc>
        <w:tc>
          <w:tcPr>
            <w:tcW w:w="3059" w:type="dxa"/>
            <w:vAlign w:val="center"/>
          </w:tcPr>
          <w:p w14:paraId="78DE3A06" w14:textId="526C361D" w:rsidR="00694898" w:rsidRPr="00E6343F" w:rsidRDefault="00694898" w:rsidP="00694898">
            <w:pPr>
              <w:jc w:val="center"/>
              <w:rPr>
                <w:sz w:val="18"/>
                <w:szCs w:val="18"/>
              </w:rPr>
            </w:pPr>
            <w:r w:rsidRPr="00E6343F">
              <w:rPr>
                <w:sz w:val="18"/>
                <w:szCs w:val="18"/>
              </w:rPr>
              <w:t>3.43</w:t>
            </w:r>
          </w:p>
        </w:tc>
      </w:tr>
      <w:tr w:rsidR="00694898" w14:paraId="66E0E50D" w14:textId="2C56C68B" w:rsidTr="00694898">
        <w:tc>
          <w:tcPr>
            <w:tcW w:w="3058" w:type="dxa"/>
          </w:tcPr>
          <w:p w14:paraId="3B3AE920" w14:textId="77777777" w:rsidR="00694898" w:rsidRPr="00E6343F" w:rsidRDefault="00694898" w:rsidP="00694898">
            <w:pPr>
              <w:rPr>
                <w:sz w:val="18"/>
                <w:szCs w:val="18"/>
              </w:rPr>
            </w:pPr>
            <w:r w:rsidRPr="00E6343F">
              <w:rPr>
                <w:sz w:val="18"/>
                <w:szCs w:val="18"/>
              </w:rPr>
              <w:t>Improved pasture</w:t>
            </w:r>
          </w:p>
        </w:tc>
        <w:tc>
          <w:tcPr>
            <w:tcW w:w="3058" w:type="dxa"/>
            <w:vAlign w:val="center"/>
          </w:tcPr>
          <w:p w14:paraId="37C18505" w14:textId="7F154BB4" w:rsidR="00694898" w:rsidRPr="00E6343F" w:rsidRDefault="00694898" w:rsidP="00694898">
            <w:pPr>
              <w:jc w:val="center"/>
              <w:rPr>
                <w:sz w:val="18"/>
                <w:szCs w:val="18"/>
              </w:rPr>
            </w:pPr>
            <w:r w:rsidRPr="00E6343F">
              <w:rPr>
                <w:sz w:val="18"/>
                <w:szCs w:val="18"/>
              </w:rPr>
              <w:t>1.5</w:t>
            </w:r>
          </w:p>
        </w:tc>
        <w:tc>
          <w:tcPr>
            <w:tcW w:w="3059" w:type="dxa"/>
            <w:vAlign w:val="center"/>
          </w:tcPr>
          <w:p w14:paraId="5E0E5507" w14:textId="63A058C7" w:rsidR="00694898" w:rsidRPr="00E6343F" w:rsidRDefault="00694898" w:rsidP="00694898">
            <w:pPr>
              <w:jc w:val="center"/>
              <w:rPr>
                <w:sz w:val="18"/>
                <w:szCs w:val="18"/>
              </w:rPr>
            </w:pPr>
            <w:r w:rsidRPr="00E6343F">
              <w:rPr>
                <w:sz w:val="18"/>
                <w:szCs w:val="18"/>
              </w:rPr>
              <w:t>0.19</w:t>
            </w:r>
          </w:p>
        </w:tc>
      </w:tr>
      <w:tr w:rsidR="00694898" w14:paraId="7C27C0CE" w14:textId="0BBC577E" w:rsidTr="00694898">
        <w:tc>
          <w:tcPr>
            <w:tcW w:w="3058" w:type="dxa"/>
          </w:tcPr>
          <w:p w14:paraId="5CC0190F" w14:textId="631C10C4" w:rsidR="00694898" w:rsidRPr="00E6343F" w:rsidRDefault="00694898" w:rsidP="00694898">
            <w:pPr>
              <w:rPr>
                <w:sz w:val="18"/>
                <w:szCs w:val="18"/>
              </w:rPr>
            </w:pPr>
            <w:r w:rsidRPr="00E6343F">
              <w:rPr>
                <w:sz w:val="18"/>
                <w:szCs w:val="18"/>
              </w:rPr>
              <w:t>Carbon loss rate</w:t>
            </w:r>
            <w:r>
              <w:rPr>
                <w:sz w:val="18"/>
                <w:szCs w:val="18"/>
              </w:rPr>
              <w:t>, organic soils</w:t>
            </w:r>
          </w:p>
        </w:tc>
        <w:tc>
          <w:tcPr>
            <w:tcW w:w="3058" w:type="dxa"/>
            <w:vAlign w:val="center"/>
          </w:tcPr>
          <w:p w14:paraId="51BBC58F" w14:textId="6F06293B" w:rsidR="00694898" w:rsidRPr="00E6343F" w:rsidRDefault="00694898" w:rsidP="00694898">
            <w:pPr>
              <w:jc w:val="center"/>
              <w:rPr>
                <w:sz w:val="18"/>
                <w:szCs w:val="18"/>
              </w:rPr>
            </w:pPr>
            <w:r w:rsidRPr="00E6343F">
              <w:rPr>
                <w:sz w:val="18"/>
                <w:szCs w:val="18"/>
              </w:rPr>
              <w:t>35.4</w:t>
            </w:r>
          </w:p>
        </w:tc>
        <w:tc>
          <w:tcPr>
            <w:tcW w:w="3059" w:type="dxa"/>
            <w:vAlign w:val="center"/>
          </w:tcPr>
          <w:p w14:paraId="508E3F85" w14:textId="1230CFEE" w:rsidR="00694898" w:rsidRPr="00E6343F" w:rsidRDefault="00694898" w:rsidP="00694898">
            <w:pPr>
              <w:jc w:val="center"/>
              <w:rPr>
                <w:sz w:val="18"/>
                <w:szCs w:val="18"/>
              </w:rPr>
            </w:pPr>
            <w:r w:rsidRPr="00E6343F">
              <w:rPr>
                <w:sz w:val="18"/>
                <w:szCs w:val="18"/>
              </w:rPr>
              <w:t>4.39</w:t>
            </w:r>
          </w:p>
        </w:tc>
      </w:tr>
      <w:tr w:rsidR="00694898" w14:paraId="5ED55650" w14:textId="53A043B6" w:rsidTr="00694898">
        <w:tc>
          <w:tcPr>
            <w:tcW w:w="3058" w:type="dxa"/>
          </w:tcPr>
          <w:p w14:paraId="1FE3E049" w14:textId="242EAC4A" w:rsidR="00694898" w:rsidRPr="00E6343F" w:rsidRDefault="00674237" w:rsidP="00694898">
            <w:pPr>
              <w:rPr>
                <w:sz w:val="18"/>
                <w:szCs w:val="18"/>
              </w:rPr>
            </w:pPr>
            <w:r>
              <w:rPr>
                <w:sz w:val="18"/>
                <w:szCs w:val="18"/>
              </w:rPr>
              <w:t>Total</w:t>
            </w:r>
          </w:p>
        </w:tc>
        <w:tc>
          <w:tcPr>
            <w:tcW w:w="3058" w:type="dxa"/>
            <w:vAlign w:val="center"/>
          </w:tcPr>
          <w:p w14:paraId="587FC717" w14:textId="569E98EB" w:rsidR="00694898" w:rsidRPr="00E6343F" w:rsidRDefault="009F2A01" w:rsidP="00694898">
            <w:pPr>
              <w:jc w:val="center"/>
              <w:rPr>
                <w:sz w:val="18"/>
                <w:szCs w:val="18"/>
              </w:rPr>
            </w:pPr>
            <w:r>
              <w:rPr>
                <w:sz w:val="18"/>
                <w:szCs w:val="18"/>
              </w:rPr>
              <w:t>100</w:t>
            </w:r>
          </w:p>
        </w:tc>
        <w:tc>
          <w:tcPr>
            <w:tcW w:w="3059" w:type="dxa"/>
            <w:vAlign w:val="center"/>
          </w:tcPr>
          <w:p w14:paraId="04201BC0" w14:textId="6D51265D" w:rsidR="00694898" w:rsidRPr="00E6343F" w:rsidRDefault="00694898" w:rsidP="00694898">
            <w:pPr>
              <w:jc w:val="center"/>
              <w:rPr>
                <w:sz w:val="18"/>
                <w:szCs w:val="18"/>
              </w:rPr>
            </w:pPr>
            <w:r w:rsidRPr="00E6343F">
              <w:rPr>
                <w:sz w:val="18"/>
                <w:szCs w:val="18"/>
              </w:rPr>
              <w:t>12.42</w:t>
            </w:r>
          </w:p>
        </w:tc>
      </w:tr>
    </w:tbl>
    <w:p w14:paraId="7F327105" w14:textId="77777777" w:rsidR="00FE79BA" w:rsidRDefault="00FE79BA" w:rsidP="00467758"/>
    <w:p w14:paraId="355424E1" w14:textId="24C3434F" w:rsidR="0001163C" w:rsidRPr="00195F4D" w:rsidRDefault="0001163C" w:rsidP="00694898">
      <w:pPr>
        <w:pStyle w:val="2-Header"/>
        <w:numPr>
          <w:ilvl w:val="0"/>
          <w:numId w:val="0"/>
        </w:numPr>
        <w:ind w:left="576" w:hanging="576"/>
        <w:rPr>
          <w:rStyle w:val="Strong"/>
          <w:b w:val="0"/>
        </w:rPr>
      </w:pPr>
      <w:r w:rsidRPr="00195F4D">
        <w:rPr>
          <w:rStyle w:val="Strong"/>
          <w:rFonts w:asciiTheme="majorHAnsi" w:hAnsiTheme="majorHAnsi"/>
          <w:b w:val="0"/>
        </w:rPr>
        <w:t xml:space="preserve">Discussion </w:t>
      </w:r>
    </w:p>
    <w:p w14:paraId="45568F10" w14:textId="67357B4B" w:rsidR="008142CE" w:rsidRDefault="008142CE" w:rsidP="00467758">
      <w:r>
        <w:t>T</w:t>
      </w:r>
      <w:r w:rsidR="00467758">
        <w:t xml:space="preserve">here is opportunity to </w:t>
      </w:r>
      <w:r w:rsidR="00DE1CAA">
        <w:t xml:space="preserve">update </w:t>
      </w:r>
      <w:r w:rsidR="00467758">
        <w:t xml:space="preserve">this analysis </w:t>
      </w:r>
      <w:r w:rsidR="00DE1CAA">
        <w:t xml:space="preserve">to better reflect </w:t>
      </w:r>
      <w:r w:rsidR="00AA2C68">
        <w:t xml:space="preserve">current </w:t>
      </w:r>
      <w:r w:rsidR="00DE1CAA">
        <w:t xml:space="preserve">NGHGI </w:t>
      </w:r>
      <w:r w:rsidR="00AA2C68">
        <w:t>methods</w:t>
      </w:r>
      <w:r w:rsidR="00467758">
        <w:t xml:space="preserve">. </w:t>
      </w:r>
      <w:r>
        <w:t>T</w:t>
      </w:r>
      <w:r w:rsidR="00467758">
        <w:t>he contribution index</w:t>
      </w:r>
      <w:r>
        <w:t xml:space="preserve"> values</w:t>
      </w:r>
      <w:r w:rsidR="00467758">
        <w:t xml:space="preserve"> </w:t>
      </w:r>
      <w:r w:rsidR="00AA2C68">
        <w:t xml:space="preserve">from Ogle et al. (2003) </w:t>
      </w:r>
      <w:r w:rsidR="00467758">
        <w:t xml:space="preserve">were only calculated for </w:t>
      </w:r>
      <w:r>
        <w:t xml:space="preserve">a subset of </w:t>
      </w:r>
      <w:r w:rsidR="00467758">
        <w:t xml:space="preserve">land use and management activities. Uncertainties </w:t>
      </w:r>
      <w:r>
        <w:t>are also present</w:t>
      </w:r>
      <w:r w:rsidR="00467758">
        <w:t xml:space="preserve"> in fertilization management – specifically manure </w:t>
      </w:r>
      <w:r w:rsidR="00DE1CAA">
        <w:t xml:space="preserve">and biosolid </w:t>
      </w:r>
      <w:r w:rsidR="00467758">
        <w:t>amendments, residue N inputs, wetland reserves, emission factors for various soil types, and land area.</w:t>
      </w:r>
      <w:r>
        <w:t xml:space="preserve"> Note that we do not include any N</w:t>
      </w:r>
      <w:r w:rsidRPr="00627E59">
        <w:rPr>
          <w:vertAlign w:val="subscript"/>
        </w:rPr>
        <w:t>2</w:t>
      </w:r>
      <w:r>
        <w:t xml:space="preserve">O Tier 1 </w:t>
      </w:r>
      <w:r w:rsidR="00DE1CAA">
        <w:t xml:space="preserve">elements </w:t>
      </w:r>
      <w:r>
        <w:t>in this analysis because N</w:t>
      </w:r>
      <w:r w:rsidRPr="00627E59">
        <w:rPr>
          <w:vertAlign w:val="subscript"/>
        </w:rPr>
        <w:t>2</w:t>
      </w:r>
      <w:r>
        <w:t xml:space="preserve">O results are not reported by Tier 3 vs. Tier 1 in the NGHGI so we assume they all fall under Tier 3 for simplicity. </w:t>
      </w:r>
    </w:p>
    <w:p w14:paraId="6BCC3DD9" w14:textId="54F785F8" w:rsidR="00467758" w:rsidRDefault="008142CE" w:rsidP="00467758">
      <w:r>
        <w:t>This analysis is</w:t>
      </w:r>
      <w:r w:rsidR="00682B4D">
        <w:t xml:space="preserve"> unable</w:t>
      </w:r>
      <w:r>
        <w:t xml:space="preserve"> to </w:t>
      </w:r>
      <w:r w:rsidR="00DE1CAA">
        <w:t xml:space="preserve">attribute uncertainty to each </w:t>
      </w:r>
      <w:r w:rsidR="00682B4D">
        <w:t xml:space="preserve">land </w:t>
      </w:r>
      <w:r w:rsidR="00DE1CAA">
        <w:t>use and land use change category</w:t>
      </w:r>
      <w:r w:rsidR="00BE24A5">
        <w:t xml:space="preserve">, </w:t>
      </w:r>
      <w:r w:rsidR="00682B4D">
        <w:t xml:space="preserve">each </w:t>
      </w:r>
      <w:r w:rsidR="00DE1CAA">
        <w:t>characterized by different GHG flux</w:t>
      </w:r>
      <w:r w:rsidR="00682B4D">
        <w:t xml:space="preserve"> equations</w:t>
      </w:r>
      <w:r w:rsidR="00BE24A5">
        <w:t>.</w:t>
      </w:r>
      <w:r w:rsidR="00682B4D">
        <w:t xml:space="preserve"> Additionally, this analysis</w:t>
      </w:r>
      <w:r w:rsidR="00DE2373">
        <w:t xml:space="preserve"> is</w:t>
      </w:r>
      <w:r>
        <w:t xml:space="preserve"> based on </w:t>
      </w:r>
      <w:r w:rsidR="00153914">
        <w:t>calculations that were perfo</w:t>
      </w:r>
      <w:r w:rsidR="00B3391B">
        <w:t>rmed three years before Century/</w:t>
      </w:r>
      <w:r w:rsidR="00153914">
        <w:t>DayCent was first used for Tier 3 cropland and grassland accounting</w:t>
      </w:r>
      <w:r w:rsidR="00AA2C68">
        <w:t xml:space="preserve">, so Ogle et al. (2003) </w:t>
      </w:r>
      <w:r w:rsidR="00DE1CAA">
        <w:t xml:space="preserve">results represent </w:t>
      </w:r>
      <w:r w:rsidR="00AA2C68">
        <w:t xml:space="preserve">all U.S. soils, not the subset of </w:t>
      </w:r>
      <w:r w:rsidR="00DE1CAA">
        <w:t xml:space="preserve">Tier 1 and 2 </w:t>
      </w:r>
      <w:r w:rsidR="00AA2C68">
        <w:t>soils</w:t>
      </w:r>
      <w:r>
        <w:t>.</w:t>
      </w:r>
    </w:p>
    <w:p w14:paraId="1209CB4E" w14:textId="77777777" w:rsidR="00EA7937" w:rsidRDefault="00EA7937" w:rsidP="00467758"/>
    <w:p w14:paraId="2F330C61" w14:textId="277C1651" w:rsidR="00875DB4" w:rsidRPr="00ED4794" w:rsidRDefault="00694898" w:rsidP="000B2554">
      <w:pPr>
        <w:pStyle w:val="Heading2"/>
        <w:numPr>
          <w:ilvl w:val="1"/>
          <w:numId w:val="8"/>
        </w:numPr>
      </w:pPr>
      <w:r>
        <w:t xml:space="preserve"> </w:t>
      </w:r>
      <w:r w:rsidR="00875DB4" w:rsidRPr="00ED4794">
        <w:t>Non-CO</w:t>
      </w:r>
      <w:r w:rsidR="00875DB4" w:rsidRPr="00ED4794">
        <w:rPr>
          <w:vertAlign w:val="subscript"/>
        </w:rPr>
        <w:t>2</w:t>
      </w:r>
      <w:r w:rsidR="00875DB4" w:rsidRPr="00ED4794">
        <w:t xml:space="preserve"> from grassland fires</w:t>
      </w:r>
    </w:p>
    <w:p w14:paraId="546EBB68" w14:textId="22939C71" w:rsidR="00875DB4" w:rsidRPr="00195F4D" w:rsidRDefault="00875DB4" w:rsidP="00694898">
      <w:pPr>
        <w:pStyle w:val="2-Header"/>
        <w:numPr>
          <w:ilvl w:val="0"/>
          <w:numId w:val="0"/>
        </w:numPr>
        <w:spacing w:before="240"/>
      </w:pPr>
      <w:r w:rsidRPr="00195F4D">
        <w:t>NGHGI Methods</w:t>
      </w:r>
    </w:p>
    <w:p w14:paraId="0FCF105F" w14:textId="00D8A2AE" w:rsidR="00F56C60" w:rsidRDefault="00F56C60" w:rsidP="00F56C60">
      <w:pPr>
        <w:rPr>
          <w:rFonts w:ascii="Calibri" w:hAnsi="Calibri"/>
        </w:rPr>
      </w:pPr>
      <w:r w:rsidRPr="00ED4794">
        <w:rPr>
          <w:rFonts w:ascii="Calibri" w:hAnsi="Calibri"/>
        </w:rPr>
        <w:t>The NGHGI quantifies CH</w:t>
      </w:r>
      <w:r w:rsidRPr="00ED4794">
        <w:rPr>
          <w:rFonts w:ascii="Calibri" w:hAnsi="Calibri"/>
          <w:vertAlign w:val="subscript"/>
        </w:rPr>
        <w:t>4</w:t>
      </w:r>
      <w:r w:rsidRPr="00ED4794">
        <w:rPr>
          <w:rFonts w:ascii="Calibri" w:hAnsi="Calibri"/>
        </w:rPr>
        <w:t xml:space="preserve"> and N</w:t>
      </w:r>
      <w:r w:rsidRPr="00ED4794">
        <w:rPr>
          <w:rFonts w:ascii="Calibri" w:hAnsi="Calibri"/>
          <w:vertAlign w:val="subscript"/>
        </w:rPr>
        <w:t>2</w:t>
      </w:r>
      <w:r w:rsidRPr="00ED4794">
        <w:rPr>
          <w:rFonts w:ascii="Calibri" w:hAnsi="Calibri"/>
        </w:rPr>
        <w:t xml:space="preserve">O emissions from grassland fires using the same equation as </w:t>
      </w:r>
      <w:r w:rsidR="00446688">
        <w:rPr>
          <w:rFonts w:ascii="Calibri" w:hAnsi="Calibri"/>
        </w:rPr>
        <w:t xml:space="preserve">the </w:t>
      </w:r>
      <w:r w:rsidRPr="00ED4794">
        <w:rPr>
          <w:rFonts w:ascii="Calibri" w:hAnsi="Calibri"/>
        </w:rPr>
        <w:t xml:space="preserve">forest fire </w:t>
      </w:r>
      <w:r w:rsidR="00446688">
        <w:rPr>
          <w:rFonts w:ascii="Calibri" w:hAnsi="Calibri"/>
        </w:rPr>
        <w:t xml:space="preserve">inventory category </w:t>
      </w:r>
      <w:r w:rsidRPr="00ED4794">
        <w:rPr>
          <w:rFonts w:ascii="Calibri" w:hAnsi="Calibri"/>
        </w:rPr>
        <w:t>(</w:t>
      </w:r>
      <w:r w:rsidRPr="00F56C60">
        <w:rPr>
          <w:rFonts w:ascii="Calibri" w:hAnsi="Calibri"/>
        </w:rPr>
        <w:fldChar w:fldCharType="begin"/>
      </w:r>
      <w:r w:rsidRPr="00F56C60">
        <w:rPr>
          <w:rFonts w:ascii="Calibri" w:hAnsi="Calibri"/>
        </w:rPr>
        <w:instrText xml:space="preserve"> REF _Ref415652381  \* MERGEFORMAT </w:instrText>
      </w:r>
      <w:r w:rsidRPr="00F56C60">
        <w:rPr>
          <w:rFonts w:ascii="Calibri" w:hAnsi="Calibri"/>
        </w:rPr>
        <w:fldChar w:fldCharType="separate"/>
      </w:r>
      <w:r w:rsidR="00FB4CFE" w:rsidRPr="00FB4CFE">
        <w:rPr>
          <w:bCs/>
        </w:rPr>
        <w:t xml:space="preserve">Equation </w:t>
      </w:r>
      <w:r w:rsidRPr="00F56C60">
        <w:rPr>
          <w:rFonts w:ascii="Calibri" w:hAnsi="Calibri"/>
        </w:rPr>
        <w:fldChar w:fldCharType="end"/>
      </w:r>
      <w:r w:rsidR="007D6D6E">
        <w:rPr>
          <w:rFonts w:ascii="Calibri" w:hAnsi="Calibri"/>
        </w:rPr>
        <w:t>2</w:t>
      </w:r>
      <w:r w:rsidR="00684A1C">
        <w:rPr>
          <w:rFonts w:ascii="Calibri" w:hAnsi="Calibri"/>
        </w:rPr>
        <w:t>-2</w:t>
      </w:r>
      <w:r w:rsidRPr="00ED4794">
        <w:rPr>
          <w:rFonts w:ascii="Calibri" w:hAnsi="Calibri"/>
        </w:rPr>
        <w:t>)</w:t>
      </w:r>
      <w:r w:rsidR="00446688">
        <w:rPr>
          <w:rFonts w:ascii="Calibri" w:hAnsi="Calibri"/>
        </w:rPr>
        <w:t>, comprised of four inputs</w:t>
      </w:r>
      <w:r w:rsidRPr="00ED4794">
        <w:rPr>
          <w:rFonts w:ascii="Calibri" w:hAnsi="Calibri"/>
        </w:rPr>
        <w:t xml:space="preserve">: </w:t>
      </w:r>
    </w:p>
    <w:p w14:paraId="15B3B38D" w14:textId="23187CE3" w:rsidR="00F56C60" w:rsidRDefault="00F56C60" w:rsidP="000B2554">
      <w:pPr>
        <w:pStyle w:val="ListParagraph"/>
        <w:numPr>
          <w:ilvl w:val="0"/>
          <w:numId w:val="5"/>
        </w:numPr>
        <w:rPr>
          <w:rFonts w:ascii="Calibri" w:hAnsi="Calibri"/>
        </w:rPr>
      </w:pPr>
      <w:r>
        <w:rPr>
          <w:rFonts w:ascii="Calibri" w:hAnsi="Calibri"/>
        </w:rPr>
        <w:t>B</w:t>
      </w:r>
      <w:r w:rsidR="009F2A01">
        <w:rPr>
          <w:rFonts w:ascii="Calibri" w:hAnsi="Calibri"/>
        </w:rPr>
        <w:t>urned area</w:t>
      </w:r>
      <w:r w:rsidRPr="00F9730B">
        <w:rPr>
          <w:rFonts w:ascii="Calibri" w:hAnsi="Calibri"/>
        </w:rPr>
        <w:t xml:space="preserve"> </w:t>
      </w:r>
    </w:p>
    <w:p w14:paraId="29FBF40D" w14:textId="1593871D" w:rsidR="00F56C60" w:rsidRDefault="00F56C60" w:rsidP="000B2554">
      <w:pPr>
        <w:pStyle w:val="ListParagraph"/>
        <w:numPr>
          <w:ilvl w:val="0"/>
          <w:numId w:val="5"/>
        </w:numPr>
        <w:rPr>
          <w:rFonts w:ascii="Calibri" w:hAnsi="Calibri"/>
        </w:rPr>
      </w:pPr>
      <w:r>
        <w:rPr>
          <w:rFonts w:ascii="Calibri" w:hAnsi="Calibri"/>
        </w:rPr>
        <w:t>F</w:t>
      </w:r>
      <w:r w:rsidRPr="00F9730B">
        <w:rPr>
          <w:rFonts w:ascii="Calibri" w:hAnsi="Calibri"/>
        </w:rPr>
        <w:t xml:space="preserve">uel availability (mass of dry </w:t>
      </w:r>
      <w:r w:rsidR="009F2A01">
        <w:rPr>
          <w:rFonts w:ascii="Calibri" w:hAnsi="Calibri"/>
        </w:rPr>
        <w:t>matter available per unit area)</w:t>
      </w:r>
      <w:r w:rsidRPr="00F9730B">
        <w:rPr>
          <w:rFonts w:ascii="Calibri" w:hAnsi="Calibri"/>
        </w:rPr>
        <w:t xml:space="preserve"> </w:t>
      </w:r>
    </w:p>
    <w:p w14:paraId="41CE69AB" w14:textId="74C2964E" w:rsidR="00F56C60" w:rsidRDefault="009F2A01" w:rsidP="000B2554">
      <w:pPr>
        <w:pStyle w:val="ListParagraph"/>
        <w:numPr>
          <w:ilvl w:val="0"/>
          <w:numId w:val="5"/>
        </w:numPr>
        <w:rPr>
          <w:rFonts w:ascii="Calibri" w:hAnsi="Calibri"/>
        </w:rPr>
      </w:pPr>
      <w:r>
        <w:rPr>
          <w:rFonts w:ascii="Calibri" w:hAnsi="Calibri"/>
        </w:rPr>
        <w:t>Combustion</w:t>
      </w:r>
      <w:r w:rsidR="00F56C60" w:rsidRPr="00F9730B">
        <w:rPr>
          <w:rFonts w:ascii="Calibri" w:hAnsi="Calibri"/>
        </w:rPr>
        <w:t xml:space="preserve"> factor (mass of dry matter burned per mass of dry matter available) </w:t>
      </w:r>
    </w:p>
    <w:p w14:paraId="26B8A1E2" w14:textId="77777777" w:rsidR="00F56C60" w:rsidRPr="00F9730B" w:rsidRDefault="00F56C60" w:rsidP="000B2554">
      <w:pPr>
        <w:pStyle w:val="ListParagraph"/>
        <w:numPr>
          <w:ilvl w:val="0"/>
          <w:numId w:val="5"/>
        </w:numPr>
        <w:rPr>
          <w:rFonts w:ascii="Calibri" w:hAnsi="Calibri"/>
        </w:rPr>
      </w:pPr>
      <w:r>
        <w:rPr>
          <w:rFonts w:ascii="Calibri" w:hAnsi="Calibri"/>
        </w:rPr>
        <w:t>E</w:t>
      </w:r>
      <w:r w:rsidRPr="00F9730B">
        <w:rPr>
          <w:rFonts w:ascii="Calibri" w:hAnsi="Calibri"/>
        </w:rPr>
        <w:t>mission factor (mass of CH</w:t>
      </w:r>
      <w:r w:rsidRPr="00F9730B">
        <w:rPr>
          <w:rFonts w:ascii="Calibri" w:hAnsi="Calibri"/>
          <w:vertAlign w:val="subscript"/>
        </w:rPr>
        <w:t>4</w:t>
      </w:r>
      <w:r w:rsidRPr="00F9730B">
        <w:rPr>
          <w:rFonts w:ascii="Calibri" w:hAnsi="Calibri"/>
        </w:rPr>
        <w:t xml:space="preserve"> or N</w:t>
      </w:r>
      <w:r w:rsidRPr="00F9730B">
        <w:rPr>
          <w:rFonts w:ascii="Calibri" w:hAnsi="Calibri"/>
          <w:vertAlign w:val="subscript"/>
        </w:rPr>
        <w:t>2</w:t>
      </w:r>
      <w:r w:rsidRPr="00F9730B">
        <w:rPr>
          <w:rFonts w:ascii="Calibri" w:hAnsi="Calibri"/>
        </w:rPr>
        <w:t>O emitted per mass of dry matter burned)</w:t>
      </w:r>
    </w:p>
    <w:p w14:paraId="14273000" w14:textId="1EFDEEB4" w:rsidR="00F56C60" w:rsidRDefault="00F56C60" w:rsidP="00F56C60">
      <w:pPr>
        <w:rPr>
          <w:rFonts w:ascii="Calibri" w:hAnsi="Calibri"/>
        </w:rPr>
      </w:pPr>
      <w:r w:rsidRPr="00F9730B">
        <w:rPr>
          <w:rFonts w:ascii="Calibri" w:hAnsi="Calibri"/>
        </w:rPr>
        <w:t xml:space="preserve">Grassland fire emissions reported by the NGHGI account for the </w:t>
      </w:r>
      <w:r>
        <w:rPr>
          <w:rFonts w:ascii="Calibri" w:hAnsi="Calibri"/>
        </w:rPr>
        <w:t>combustion</w:t>
      </w:r>
      <w:r w:rsidRPr="00F9730B">
        <w:rPr>
          <w:rFonts w:ascii="Calibri" w:hAnsi="Calibri"/>
        </w:rPr>
        <w:t xml:space="preserve"> of herbaceous biomass on managed grasslands in the conterminous United States. The NGHGI does not quantify emissions from </w:t>
      </w:r>
      <w:r w:rsidRPr="00F9730B">
        <w:rPr>
          <w:rFonts w:ascii="Calibri" w:hAnsi="Calibri"/>
        </w:rPr>
        <w:lastRenderedPageBreak/>
        <w:t>the burning of woody biomass on grasslands, nor does it</w:t>
      </w:r>
      <w:r w:rsidR="00B7623E">
        <w:rPr>
          <w:rFonts w:ascii="Calibri" w:hAnsi="Calibri"/>
        </w:rPr>
        <w:t xml:space="preserve"> account for</w:t>
      </w:r>
      <w:r w:rsidRPr="00F9730B">
        <w:rPr>
          <w:rFonts w:ascii="Calibri" w:hAnsi="Calibri"/>
        </w:rPr>
        <w:t xml:space="preserve"> grassland fires in Alaska. </w:t>
      </w:r>
      <w:r w:rsidR="00B7623E">
        <w:rPr>
          <w:rFonts w:ascii="Calibri" w:hAnsi="Calibri"/>
        </w:rPr>
        <w:t>G</w:t>
      </w:r>
      <w:r w:rsidRPr="00F9730B">
        <w:rPr>
          <w:rFonts w:ascii="Calibri" w:hAnsi="Calibri"/>
        </w:rPr>
        <w:t xml:space="preserve">rassland burned area </w:t>
      </w:r>
      <w:r w:rsidR="00B7623E">
        <w:rPr>
          <w:rFonts w:ascii="Calibri" w:hAnsi="Calibri"/>
        </w:rPr>
        <w:t xml:space="preserve">is </w:t>
      </w:r>
      <w:r w:rsidRPr="00F9730B">
        <w:rPr>
          <w:rFonts w:ascii="Calibri" w:hAnsi="Calibri"/>
        </w:rPr>
        <w:t>derived by combining burned area estimates from the Monitoring Trends in Burn Severity</w:t>
      </w:r>
      <w:r w:rsidR="009F2A01">
        <w:rPr>
          <w:rFonts w:ascii="Calibri" w:hAnsi="Calibri"/>
        </w:rPr>
        <w:t xml:space="preserve"> (MTBS)</w:t>
      </w:r>
      <w:r w:rsidRPr="00F9730B">
        <w:rPr>
          <w:rFonts w:ascii="Calibri" w:hAnsi="Calibri"/>
        </w:rPr>
        <w:t xml:space="preserve"> dataset (MTBS Data Summaries, 2015) with estimates of managed grassland area from (1) the 2012 National Resources Inventory for non-federally owned areas (Nusser and Goebel, 1997; USDA–NRCS, 2015) and (2) the National Land Cover Dataset</w:t>
      </w:r>
      <w:r w:rsidR="009F2A01">
        <w:rPr>
          <w:rFonts w:ascii="Calibri" w:hAnsi="Calibri"/>
        </w:rPr>
        <w:t xml:space="preserve"> (NLCD)</w:t>
      </w:r>
      <w:r w:rsidRPr="00F9730B">
        <w:rPr>
          <w:rFonts w:ascii="Calibri" w:hAnsi="Calibri"/>
        </w:rPr>
        <w:t xml:space="preserve"> for federally owned areas (Fry et al., 2011; Homer et al., 2007; Homer et al., 2015). Default factors from IPCC (2006) are </w:t>
      </w:r>
      <w:r w:rsidR="00B7623E">
        <w:rPr>
          <w:rFonts w:ascii="Calibri" w:hAnsi="Calibri"/>
        </w:rPr>
        <w:t xml:space="preserve">used </w:t>
      </w:r>
      <w:r w:rsidRPr="00F9730B">
        <w:rPr>
          <w:rFonts w:ascii="Calibri" w:hAnsi="Calibri"/>
        </w:rPr>
        <w:t>for fuel availability (4.1 metric tons dry matter per ha) and emission factors (2.3 g CH</w:t>
      </w:r>
      <w:r w:rsidRPr="00F9730B">
        <w:rPr>
          <w:rFonts w:ascii="Calibri" w:hAnsi="Calibri"/>
          <w:vertAlign w:val="subscript"/>
        </w:rPr>
        <w:t>4</w:t>
      </w:r>
      <w:r w:rsidRPr="00F9730B">
        <w:rPr>
          <w:rFonts w:ascii="Calibri" w:hAnsi="Calibri"/>
        </w:rPr>
        <w:t xml:space="preserve"> emitted per kg dry matter burned and 0.21 g N</w:t>
      </w:r>
      <w:r w:rsidRPr="00F9730B">
        <w:rPr>
          <w:rFonts w:ascii="Calibri" w:hAnsi="Calibri"/>
          <w:vertAlign w:val="subscript"/>
        </w:rPr>
        <w:t>2</w:t>
      </w:r>
      <w:r w:rsidRPr="00F9730B">
        <w:rPr>
          <w:rFonts w:ascii="Calibri" w:hAnsi="Calibri"/>
        </w:rPr>
        <w:t xml:space="preserve">O emitted per kg dry matter burned). A combustion factor of 1 is assumed; that is, all herbaceous biomass </w:t>
      </w:r>
      <w:r w:rsidR="00B7623E">
        <w:rPr>
          <w:rFonts w:ascii="Calibri" w:hAnsi="Calibri"/>
        </w:rPr>
        <w:t xml:space="preserve">within burned areas </w:t>
      </w:r>
      <w:r w:rsidRPr="00F9730B">
        <w:rPr>
          <w:rFonts w:ascii="Calibri" w:hAnsi="Calibri"/>
        </w:rPr>
        <w:t xml:space="preserve">is completely </w:t>
      </w:r>
      <w:r>
        <w:rPr>
          <w:rFonts w:ascii="Calibri" w:hAnsi="Calibri"/>
        </w:rPr>
        <w:t>combusted</w:t>
      </w:r>
      <w:r w:rsidRPr="00F9730B">
        <w:rPr>
          <w:rFonts w:ascii="Calibri" w:hAnsi="Calibri"/>
        </w:rPr>
        <w:t xml:space="preserve">. </w:t>
      </w:r>
      <w:r>
        <w:rPr>
          <w:rFonts w:ascii="Calibri" w:hAnsi="Calibri"/>
        </w:rPr>
        <w:t>The global warming potentials for CH</w:t>
      </w:r>
      <w:r w:rsidRPr="00B46585">
        <w:rPr>
          <w:rFonts w:ascii="Calibri" w:hAnsi="Calibri"/>
          <w:vertAlign w:val="subscript"/>
        </w:rPr>
        <w:t>4</w:t>
      </w:r>
      <w:r>
        <w:rPr>
          <w:rFonts w:ascii="Calibri" w:hAnsi="Calibri"/>
        </w:rPr>
        <w:t xml:space="preserve"> and N</w:t>
      </w:r>
      <w:r w:rsidRPr="0098135C">
        <w:rPr>
          <w:rFonts w:ascii="Calibri" w:hAnsi="Calibri"/>
          <w:vertAlign w:val="subscript"/>
        </w:rPr>
        <w:t>2</w:t>
      </w:r>
      <w:r>
        <w:rPr>
          <w:rFonts w:ascii="Calibri" w:hAnsi="Calibri"/>
        </w:rPr>
        <w:t>O on 100-year time horizons (IPCC, 2007) are used to convert non-CO</w:t>
      </w:r>
      <w:r w:rsidRPr="00B46585">
        <w:rPr>
          <w:rFonts w:ascii="Calibri" w:hAnsi="Calibri"/>
          <w:vertAlign w:val="subscript"/>
        </w:rPr>
        <w:t>2</w:t>
      </w:r>
      <w:r>
        <w:rPr>
          <w:rFonts w:ascii="Calibri" w:hAnsi="Calibri"/>
        </w:rPr>
        <w:t xml:space="preserve"> emissions to CO</w:t>
      </w:r>
      <w:r w:rsidRPr="00B46585">
        <w:rPr>
          <w:rFonts w:ascii="Calibri" w:hAnsi="Calibri"/>
          <w:vertAlign w:val="subscript"/>
        </w:rPr>
        <w:t>2</w:t>
      </w:r>
      <w:r>
        <w:rPr>
          <w:rFonts w:ascii="Calibri" w:hAnsi="Calibri"/>
        </w:rPr>
        <w:t xml:space="preserve"> equivalents. </w:t>
      </w:r>
    </w:p>
    <w:p w14:paraId="3E691BC2" w14:textId="7D3951DC" w:rsidR="00F56C60" w:rsidRDefault="00F56C60" w:rsidP="00F56C60">
      <w:pPr>
        <w:rPr>
          <w:rFonts w:ascii="Calibri" w:hAnsi="Calibri"/>
        </w:rPr>
      </w:pPr>
      <w:r w:rsidRPr="00F9730B">
        <w:rPr>
          <w:rFonts w:ascii="Calibri" w:hAnsi="Calibri"/>
        </w:rPr>
        <w:t>Because the input factors for this equation were not recalculated for years beyond 2014 in the NGHGI that covers 1990–2016, grassland fire emissions for years beyond 2014 are quantified using linear regression with autoregressive moving-average (ARMA) errors. The NGHGI does not specify how many lags are included in the ARMA model or what surrogate data is included, if any. The 95% confidence interval reported in the NGHGI</w:t>
      </w:r>
      <w:r w:rsidR="009F2A01">
        <w:rPr>
          <w:rFonts w:ascii="Calibri" w:hAnsi="Calibri"/>
        </w:rPr>
        <w:t xml:space="preserve"> (2018)</w:t>
      </w:r>
      <w:r w:rsidRPr="00F9730B">
        <w:rPr>
          <w:rFonts w:ascii="Calibri" w:hAnsi="Calibri"/>
        </w:rPr>
        <w:t xml:space="preserve"> is derived using this regression model</w:t>
      </w:r>
      <w:r>
        <w:rPr>
          <w:rFonts w:ascii="Calibri" w:hAnsi="Calibri"/>
        </w:rPr>
        <w:t>; this is distinct from the uncertainty estimation for non-CO</w:t>
      </w:r>
      <w:r w:rsidRPr="008B49DE">
        <w:rPr>
          <w:rFonts w:ascii="Calibri" w:hAnsi="Calibri"/>
          <w:vertAlign w:val="subscript"/>
        </w:rPr>
        <w:t>2</w:t>
      </w:r>
      <w:r>
        <w:rPr>
          <w:rFonts w:ascii="Calibri" w:hAnsi="Calibri"/>
        </w:rPr>
        <w:t xml:space="preserve"> emissions from forest fires, which utilizes Monte Carlo </w:t>
      </w:r>
      <w:r w:rsidR="00B7623E">
        <w:rPr>
          <w:rFonts w:ascii="Calibri" w:hAnsi="Calibri"/>
        </w:rPr>
        <w:t xml:space="preserve">simulation over input </w:t>
      </w:r>
      <w:r>
        <w:rPr>
          <w:rFonts w:ascii="Calibri" w:hAnsi="Calibri"/>
        </w:rPr>
        <w:t>distributions.</w:t>
      </w:r>
    </w:p>
    <w:p w14:paraId="59D11E76" w14:textId="77777777" w:rsidR="009F2A01" w:rsidRDefault="009F2A01" w:rsidP="00F56C60">
      <w:pPr>
        <w:rPr>
          <w:rFonts w:ascii="Calibri" w:hAnsi="Calibri"/>
        </w:rPr>
      </w:pPr>
    </w:p>
    <w:p w14:paraId="681203A3" w14:textId="28C1A0FB" w:rsidR="0001163C" w:rsidRPr="00195F4D" w:rsidRDefault="00875DB4" w:rsidP="00087079">
      <w:pPr>
        <w:pStyle w:val="2-Header"/>
        <w:numPr>
          <w:ilvl w:val="0"/>
          <w:numId w:val="0"/>
        </w:numPr>
        <w:rPr>
          <w:rStyle w:val="Strong"/>
        </w:rPr>
      </w:pPr>
      <w:r w:rsidRPr="00195F4D">
        <w:t>Project Methods</w:t>
      </w:r>
    </w:p>
    <w:p w14:paraId="008F6EFA" w14:textId="7B5B19C4" w:rsidR="00087079" w:rsidRPr="00ED4794" w:rsidRDefault="00087079" w:rsidP="00087079">
      <w:pPr>
        <w:spacing w:after="0" w:line="276" w:lineRule="auto"/>
      </w:pPr>
      <w:r w:rsidRPr="00ED4794">
        <w:t>Unlike the NGHGI, we quantify the 95% confidence interval for non-CO</w:t>
      </w:r>
      <w:r w:rsidRPr="00ED4794">
        <w:rPr>
          <w:vertAlign w:val="subscript"/>
        </w:rPr>
        <w:t>2</w:t>
      </w:r>
      <w:r w:rsidRPr="00ED4794">
        <w:t xml:space="preserve"> emissions from grassland fires using Monte Carlo </w:t>
      </w:r>
      <w:r w:rsidR="00B7623E">
        <w:t xml:space="preserve">simulation </w:t>
      </w:r>
      <w:r w:rsidRPr="00ED4794">
        <w:t>(n=1,000</w:t>
      </w:r>
      <w:r>
        <w:t>,000</w:t>
      </w:r>
      <w:r w:rsidRPr="00ED4794">
        <w:t xml:space="preserve">). We separately </w:t>
      </w:r>
      <w:r w:rsidR="00B7623E">
        <w:t xml:space="preserve">estimate </w:t>
      </w:r>
      <w:r w:rsidRPr="00ED4794">
        <w:t>the 95% confidence intervals for CH</w:t>
      </w:r>
      <w:r w:rsidRPr="00ED4794">
        <w:rPr>
          <w:vertAlign w:val="subscript"/>
        </w:rPr>
        <w:t>4</w:t>
      </w:r>
      <w:r w:rsidRPr="00ED4794">
        <w:t xml:space="preserve"> and N</w:t>
      </w:r>
      <w:r w:rsidRPr="00ED4794">
        <w:rPr>
          <w:vertAlign w:val="subscript"/>
        </w:rPr>
        <w:t>2</w:t>
      </w:r>
      <w:r w:rsidRPr="00ED4794">
        <w:t xml:space="preserve">O emissions from grassland fires and </w:t>
      </w:r>
      <w:r w:rsidR="00B7623E">
        <w:t>calculate</w:t>
      </w:r>
      <w:r w:rsidRPr="00ED4794">
        <w:t xml:space="preserve"> the contribution </w:t>
      </w:r>
      <w:r w:rsidR="00B7623E">
        <w:t xml:space="preserve">index </w:t>
      </w:r>
      <w:r w:rsidRPr="00ED4794">
        <w:t xml:space="preserve">from three </w:t>
      </w:r>
      <w:r w:rsidR="00B7623E">
        <w:t>inputs</w:t>
      </w:r>
      <w:r w:rsidRPr="00ED4794">
        <w:t xml:space="preserve">: grassland burned area, fuel available, and emission factor. </w:t>
      </w:r>
      <w:r>
        <w:t>W</w:t>
      </w:r>
      <w:r w:rsidRPr="00ED4794">
        <w:t>e focus our calculation on year 2014 since this is the most recent year for which burned area estimates are available</w:t>
      </w:r>
      <w:r>
        <w:t xml:space="preserve"> in the NGHGI</w:t>
      </w:r>
      <w:r w:rsidR="009F2A01">
        <w:t xml:space="preserve"> (2018)</w:t>
      </w:r>
      <w:r w:rsidRPr="00ED4794">
        <w:t xml:space="preserve">. </w:t>
      </w:r>
      <w:r w:rsidRPr="00ED4794">
        <w:rPr>
          <w:rFonts w:ascii="Calibri" w:hAnsi="Calibri"/>
        </w:rPr>
        <w:t>The NGHGI reports total grassland burned area in 2014 for the conterminous United States as 1,659</w:t>
      </w:r>
      <w:r>
        <w:rPr>
          <w:rFonts w:ascii="Calibri" w:hAnsi="Calibri"/>
        </w:rPr>
        <w:t>,000</w:t>
      </w:r>
      <w:r w:rsidRPr="00ED4794">
        <w:rPr>
          <w:rFonts w:ascii="Calibri" w:hAnsi="Calibri"/>
        </w:rPr>
        <w:t xml:space="preserve"> ha. </w:t>
      </w:r>
      <w:r w:rsidR="00B7623E">
        <w:t>W</w:t>
      </w:r>
      <w:r w:rsidRPr="00ED4794">
        <w:t xml:space="preserve">e assume that grassland burned area is normally distributed with a standard </w:t>
      </w:r>
      <w:r w:rsidR="004C0B7C">
        <w:t>error</w:t>
      </w:r>
      <w:r w:rsidR="004C0B7C" w:rsidRPr="00ED4794">
        <w:t xml:space="preserve"> </w:t>
      </w:r>
      <w:r w:rsidRPr="00ED4794">
        <w:t xml:space="preserve">that is 4% of the </w:t>
      </w:r>
      <w:r w:rsidR="004C0B7C">
        <w:t>point estimate</w:t>
      </w:r>
      <w:r w:rsidR="00B7623E">
        <w:t>,</w:t>
      </w:r>
      <w:r w:rsidRPr="00ED4794">
        <w:t xml:space="preserve"> emission factors </w:t>
      </w:r>
      <w:r w:rsidR="00B7623E">
        <w:t xml:space="preserve">follow a </w:t>
      </w:r>
      <w:r w:rsidRPr="00ED4794">
        <w:t>normal distribution</w:t>
      </w:r>
      <w:r w:rsidR="00B7623E">
        <w:t xml:space="preserve"> </w:t>
      </w:r>
      <w:r w:rsidRPr="00ED4794">
        <w:t>truncated at zero</w:t>
      </w:r>
      <w:r w:rsidR="00B7623E">
        <w:t>,</w:t>
      </w:r>
      <w:r w:rsidRPr="00ED4794">
        <w:t xml:space="preserve"> and fuel availability </w:t>
      </w:r>
      <w:r w:rsidR="00B7623E">
        <w:t xml:space="preserve">follows a </w:t>
      </w:r>
      <w:r w:rsidRPr="00ED4794">
        <w:t xml:space="preserve">lognormal distribution. The standard </w:t>
      </w:r>
      <w:r w:rsidR="004C0B7C">
        <w:t>errors</w:t>
      </w:r>
      <w:r w:rsidR="00F3658D">
        <w:t xml:space="preserve"> </w:t>
      </w:r>
      <w:r w:rsidRPr="00ED4794">
        <w:t>for fuel availability (3.1 metric tons dry matter</w:t>
      </w:r>
      <w:r>
        <w:t xml:space="preserve"> </w:t>
      </w:r>
      <w:r w:rsidRPr="00ED4794">
        <w:t>ha</w:t>
      </w:r>
      <w:r w:rsidRPr="00B46585">
        <w:rPr>
          <w:vertAlign w:val="superscript"/>
        </w:rPr>
        <w:t>-1</w:t>
      </w:r>
      <w:r w:rsidRPr="00ED4794">
        <w:t>) and emission factors (0.9 g CH</w:t>
      </w:r>
      <w:r w:rsidRPr="00ED4794">
        <w:rPr>
          <w:vertAlign w:val="subscript"/>
        </w:rPr>
        <w:t>4</w:t>
      </w:r>
      <w:r w:rsidRPr="00ED4794">
        <w:t xml:space="preserve"> emitted</w:t>
      </w:r>
      <w:r>
        <w:t xml:space="preserve"> </w:t>
      </w:r>
      <w:r w:rsidRPr="00ED4794">
        <w:t>kg</w:t>
      </w:r>
      <w:r w:rsidRPr="00026097">
        <w:rPr>
          <w:vertAlign w:val="superscript"/>
        </w:rPr>
        <w:t>-1</w:t>
      </w:r>
      <w:r w:rsidRPr="00ED4794">
        <w:t xml:space="preserve"> </w:t>
      </w:r>
      <w:r>
        <w:t>[</w:t>
      </w:r>
      <w:r w:rsidRPr="00ED4794">
        <w:t>dry matter burned</w:t>
      </w:r>
      <w:r>
        <w:t>]</w:t>
      </w:r>
      <w:r w:rsidRPr="00ED4794">
        <w:t xml:space="preserve"> and 0.1 g N</w:t>
      </w:r>
      <w:r w:rsidRPr="00ED4794">
        <w:rPr>
          <w:vertAlign w:val="subscript"/>
        </w:rPr>
        <w:t>2</w:t>
      </w:r>
      <w:r w:rsidRPr="00ED4794">
        <w:t>O emitted kg</w:t>
      </w:r>
      <w:r w:rsidRPr="00B46585">
        <w:rPr>
          <w:vertAlign w:val="superscript"/>
        </w:rPr>
        <w:t>-1</w:t>
      </w:r>
      <w:r w:rsidRPr="00ED4794">
        <w:t xml:space="preserve"> </w:t>
      </w:r>
      <w:r>
        <w:t>[</w:t>
      </w:r>
      <w:r w:rsidRPr="00ED4794">
        <w:t>dry matter burned</w:t>
      </w:r>
      <w:r>
        <w:t>]</w:t>
      </w:r>
      <w:r w:rsidRPr="00ED4794">
        <w:t xml:space="preserve">) are </w:t>
      </w:r>
      <w:r w:rsidR="00F3658D">
        <w:t xml:space="preserve">taken </w:t>
      </w:r>
      <w:r w:rsidRPr="00ED4794">
        <w:t>from IPCC (2006).</w:t>
      </w:r>
      <w:r>
        <w:t xml:space="preserve"> We assume independence of all variables in the Monte Carlo analysis. We do not consider </w:t>
      </w:r>
      <w:r w:rsidR="00F3658D">
        <w:t xml:space="preserve">uncertainty contributed by </w:t>
      </w:r>
      <w:r>
        <w:t xml:space="preserve">the ARMA </w:t>
      </w:r>
      <w:r w:rsidR="00F3658D">
        <w:t>model.</w:t>
      </w:r>
    </w:p>
    <w:p w14:paraId="597770EE" w14:textId="77777777" w:rsidR="00875DB4" w:rsidRPr="00ED4794" w:rsidRDefault="00875DB4" w:rsidP="00875DB4">
      <w:pPr>
        <w:spacing w:after="0" w:line="276" w:lineRule="auto"/>
        <w:jc w:val="both"/>
      </w:pPr>
    </w:p>
    <w:p w14:paraId="165D4F61" w14:textId="184A9326" w:rsidR="0001163C" w:rsidRPr="00087079" w:rsidRDefault="00875DB4" w:rsidP="00087079">
      <w:pPr>
        <w:pStyle w:val="2-Header"/>
        <w:numPr>
          <w:ilvl w:val="0"/>
          <w:numId w:val="0"/>
        </w:numPr>
        <w:ind w:left="576" w:hanging="576"/>
        <w:rPr>
          <w:rStyle w:val="Strong"/>
        </w:rPr>
      </w:pPr>
      <w:r w:rsidRPr="00AA368D">
        <w:t>Results</w:t>
      </w:r>
    </w:p>
    <w:p w14:paraId="09B51FD6" w14:textId="11E593CD" w:rsidR="00087079" w:rsidRDefault="00087079" w:rsidP="00087079">
      <w:pPr>
        <w:spacing w:after="0" w:line="276" w:lineRule="auto"/>
      </w:pPr>
      <w:r w:rsidRPr="00ED4794">
        <w:t>The 2014 estimates and 95% confidence intervals for CH</w:t>
      </w:r>
      <w:r w:rsidRPr="00ED4794">
        <w:rPr>
          <w:vertAlign w:val="subscript"/>
        </w:rPr>
        <w:t>4</w:t>
      </w:r>
      <w:r w:rsidRPr="00ED4794">
        <w:t xml:space="preserve"> and N</w:t>
      </w:r>
      <w:r w:rsidRPr="00ED4794">
        <w:rPr>
          <w:vertAlign w:val="subscript"/>
        </w:rPr>
        <w:t>2</w:t>
      </w:r>
      <w:r w:rsidRPr="00ED4794">
        <w:t xml:space="preserve">O emissions from grassland fires are shown in </w:t>
      </w:r>
      <w:r w:rsidRPr="00087079">
        <w:fldChar w:fldCharType="begin"/>
      </w:r>
      <w:r w:rsidRPr="00087079">
        <w:instrText xml:space="preserve"> REF _Ref415704294 \h  \* MERGEFORMAT </w:instrText>
      </w:r>
      <w:r w:rsidRPr="00087079">
        <w:fldChar w:fldCharType="separate"/>
      </w:r>
      <w:r w:rsidR="00FB4CFE" w:rsidRPr="00FB4CFE">
        <w:rPr>
          <w:bCs/>
        </w:rPr>
        <w:t>Table</w:t>
      </w:r>
      <w:r w:rsidR="000D5C1C">
        <w:rPr>
          <w:bCs/>
        </w:rPr>
        <w:t xml:space="preserve"> </w:t>
      </w:r>
      <w:r w:rsidR="007D6D6E">
        <w:rPr>
          <w:bCs/>
        </w:rPr>
        <w:t>2</w:t>
      </w:r>
      <w:r w:rsidR="000D5C1C">
        <w:rPr>
          <w:bCs/>
        </w:rPr>
        <w:t>-21</w:t>
      </w:r>
      <w:r w:rsidRPr="00087079">
        <w:fldChar w:fldCharType="end"/>
      </w:r>
      <w:r w:rsidRPr="00ED4794">
        <w:t xml:space="preserve">. The estimates for 2014 </w:t>
      </w:r>
      <w:r w:rsidRPr="003C69CE">
        <w:t>are identical to</w:t>
      </w:r>
      <w:r w:rsidRPr="00ED4794">
        <w:t xml:space="preserve"> those reported in the NGHGI</w:t>
      </w:r>
      <w:r w:rsidR="009F2A01">
        <w:t xml:space="preserve"> (2018)</w:t>
      </w:r>
      <w:r w:rsidRPr="00ED4794">
        <w:t xml:space="preserve"> (0.</w:t>
      </w:r>
      <w:r>
        <w:t>4</w:t>
      </w:r>
      <w:r w:rsidRPr="00ED4794">
        <w:t xml:space="preserve"> MMT CO</w:t>
      </w:r>
      <w:r w:rsidRPr="00ED4794">
        <w:rPr>
          <w:vertAlign w:val="subscript"/>
        </w:rPr>
        <w:t>2</w:t>
      </w:r>
      <w:r w:rsidRPr="00ED4794">
        <w:t>e from CH</w:t>
      </w:r>
      <w:r w:rsidRPr="00ED4794">
        <w:rPr>
          <w:vertAlign w:val="subscript"/>
        </w:rPr>
        <w:t>4</w:t>
      </w:r>
      <w:r w:rsidRPr="00ED4794">
        <w:t xml:space="preserve"> and 0.</w:t>
      </w:r>
      <w:r>
        <w:t>4</w:t>
      </w:r>
      <w:r w:rsidRPr="00ED4794">
        <w:t xml:space="preserve"> MMT CO</w:t>
      </w:r>
      <w:r w:rsidRPr="00ED4794">
        <w:rPr>
          <w:vertAlign w:val="subscript"/>
        </w:rPr>
        <w:t>2</w:t>
      </w:r>
      <w:r w:rsidRPr="00ED4794">
        <w:t>e from N</w:t>
      </w:r>
      <w:r w:rsidRPr="00ED4794">
        <w:rPr>
          <w:vertAlign w:val="subscript"/>
        </w:rPr>
        <w:t>2</w:t>
      </w:r>
      <w:r w:rsidRPr="00ED4794">
        <w:t xml:space="preserve">O). </w:t>
      </w:r>
      <w:r w:rsidRPr="00E04528">
        <w:t xml:space="preserve">The NGHGI reports uncertainty only for the 2016 estimate. We find slightly larger relative </w:t>
      </w:r>
      <w:r w:rsidRPr="00026097">
        <w:t>uncertainties</w:t>
      </w:r>
      <w:r w:rsidRPr="00E04528">
        <w:t xml:space="preserve"> in the upper direction (≥225% for 2014 estimate) than the NGHGI reports for the 2016 estimate (145%).</w:t>
      </w:r>
    </w:p>
    <w:p w14:paraId="02EC46DC" w14:textId="77777777" w:rsidR="00652BD5" w:rsidRPr="00ED4794" w:rsidRDefault="00652BD5" w:rsidP="00087079">
      <w:pPr>
        <w:spacing w:after="0" w:line="276" w:lineRule="auto"/>
      </w:pPr>
    </w:p>
    <w:p w14:paraId="04931483" w14:textId="77777777" w:rsidR="00087079" w:rsidRPr="00ED4794" w:rsidRDefault="00087079" w:rsidP="00087079">
      <w:pPr>
        <w:spacing w:after="0" w:line="276" w:lineRule="auto"/>
      </w:pPr>
    </w:p>
    <w:p w14:paraId="198688CF" w14:textId="2F63E7DB" w:rsidR="00087079" w:rsidRPr="00087079" w:rsidRDefault="00087079" w:rsidP="00087079">
      <w:pPr>
        <w:spacing w:after="200" w:line="240" w:lineRule="auto"/>
        <w:rPr>
          <w:b/>
          <w:i/>
          <w:iCs/>
          <w:color w:val="44546A" w:themeColor="text2"/>
        </w:rPr>
      </w:pPr>
      <w:bookmarkStart w:id="186" w:name="_Ref415704294"/>
      <w:bookmarkStart w:id="187" w:name="_Ref4997011"/>
      <w:r w:rsidRPr="00087079">
        <w:rPr>
          <w:b/>
          <w:i/>
          <w:iCs/>
          <w:color w:val="44546A" w:themeColor="text2"/>
        </w:rPr>
        <w:lastRenderedPageBreak/>
        <w:t xml:space="preserve">Table </w:t>
      </w:r>
      <w:bookmarkEnd w:id="186"/>
      <w:r w:rsidR="007D6D6E">
        <w:rPr>
          <w:b/>
          <w:i/>
          <w:iCs/>
          <w:color w:val="44546A" w:themeColor="text2"/>
        </w:rPr>
        <w:t>2</w:t>
      </w:r>
      <w:r w:rsidR="00AD1E50">
        <w:rPr>
          <w:b/>
          <w:i/>
          <w:iCs/>
          <w:color w:val="44546A" w:themeColor="text2"/>
        </w:rPr>
        <w:t>-2</w:t>
      </w:r>
      <w:r w:rsidR="000D5C1C">
        <w:rPr>
          <w:b/>
          <w:i/>
          <w:iCs/>
          <w:color w:val="44546A" w:themeColor="text2"/>
        </w:rPr>
        <w:t>1</w:t>
      </w:r>
      <w:r w:rsidRPr="00087079">
        <w:rPr>
          <w:b/>
          <w:i/>
          <w:iCs/>
          <w:color w:val="44546A" w:themeColor="text2"/>
        </w:rPr>
        <w:t xml:space="preserve">: </w:t>
      </w:r>
      <w:r w:rsidR="000D5C1C">
        <w:rPr>
          <w:b/>
          <w:i/>
          <w:iCs/>
          <w:color w:val="44546A" w:themeColor="text2"/>
        </w:rPr>
        <w:t>95% confidence intervals</w:t>
      </w:r>
      <w:r w:rsidRPr="00087079">
        <w:rPr>
          <w:b/>
          <w:i/>
          <w:iCs/>
          <w:color w:val="44546A" w:themeColor="text2"/>
        </w:rPr>
        <w:t xml:space="preserve"> for non-CO</w:t>
      </w:r>
      <w:r w:rsidRPr="00087079">
        <w:rPr>
          <w:b/>
          <w:i/>
          <w:iCs/>
          <w:color w:val="44546A" w:themeColor="text2"/>
          <w:vertAlign w:val="subscript"/>
        </w:rPr>
        <w:t>2</w:t>
      </w:r>
      <w:r w:rsidRPr="00087079">
        <w:rPr>
          <w:b/>
          <w:i/>
          <w:iCs/>
          <w:color w:val="44546A" w:themeColor="text2"/>
        </w:rPr>
        <w:t xml:space="preserve"> emissions from grassland fires</w:t>
      </w:r>
      <w:bookmarkEnd w:id="187"/>
      <w:r w:rsidRPr="00087079">
        <w:rPr>
          <w:b/>
          <w:i/>
          <w:iCs/>
          <w:color w:val="44546A" w:themeColor="text2"/>
        </w:rPr>
        <w:t xml:space="preserve"> </w:t>
      </w:r>
    </w:p>
    <w:tbl>
      <w:tblPr>
        <w:tblStyle w:val="TableGrid"/>
        <w:tblW w:w="0" w:type="auto"/>
        <w:tblLook w:val="04A0" w:firstRow="1" w:lastRow="0" w:firstColumn="1" w:lastColumn="0" w:noHBand="0" w:noVBand="1"/>
      </w:tblPr>
      <w:tblGrid>
        <w:gridCol w:w="1454"/>
        <w:gridCol w:w="1651"/>
        <w:gridCol w:w="1595"/>
        <w:gridCol w:w="1595"/>
        <w:gridCol w:w="1596"/>
        <w:gridCol w:w="1459"/>
      </w:tblGrid>
      <w:tr w:rsidR="00087079" w:rsidRPr="008A650E" w14:paraId="1C6D667D" w14:textId="77777777" w:rsidTr="008A650E">
        <w:tc>
          <w:tcPr>
            <w:tcW w:w="1454" w:type="dxa"/>
            <w:shd w:val="clear" w:color="auto" w:fill="FFC000"/>
            <w:vAlign w:val="center"/>
          </w:tcPr>
          <w:p w14:paraId="593B2EE9" w14:textId="77777777" w:rsidR="00087079" w:rsidRPr="008A650E" w:rsidRDefault="00087079" w:rsidP="008A650E">
            <w:pPr>
              <w:jc w:val="center"/>
              <w:rPr>
                <w:rFonts w:ascii="Calibri" w:hAnsi="Calibri"/>
                <w:b/>
                <w:sz w:val="18"/>
                <w:szCs w:val="18"/>
              </w:rPr>
            </w:pPr>
            <w:r w:rsidRPr="008A650E">
              <w:rPr>
                <w:rFonts w:ascii="Calibri" w:hAnsi="Calibri"/>
                <w:b/>
                <w:sz w:val="18"/>
                <w:szCs w:val="18"/>
              </w:rPr>
              <w:t>Gas</w:t>
            </w:r>
          </w:p>
        </w:tc>
        <w:tc>
          <w:tcPr>
            <w:tcW w:w="1651" w:type="dxa"/>
            <w:shd w:val="clear" w:color="auto" w:fill="FFC000"/>
            <w:vAlign w:val="center"/>
          </w:tcPr>
          <w:p w14:paraId="4E8385F2" w14:textId="77777777" w:rsidR="00087079" w:rsidRPr="008A650E" w:rsidRDefault="00087079" w:rsidP="008A650E">
            <w:pPr>
              <w:jc w:val="center"/>
              <w:rPr>
                <w:rFonts w:ascii="Calibri" w:hAnsi="Calibri"/>
                <w:b/>
                <w:sz w:val="18"/>
                <w:szCs w:val="18"/>
              </w:rPr>
            </w:pPr>
            <w:r w:rsidRPr="008A650E">
              <w:rPr>
                <w:rFonts w:ascii="Calibri" w:hAnsi="Calibri"/>
                <w:b/>
                <w:sz w:val="18"/>
                <w:szCs w:val="18"/>
              </w:rPr>
              <w:t>2014 estimate (MMT CO</w:t>
            </w:r>
            <w:r w:rsidRPr="008A650E">
              <w:rPr>
                <w:rFonts w:ascii="Calibri" w:hAnsi="Calibri"/>
                <w:b/>
                <w:sz w:val="18"/>
                <w:szCs w:val="18"/>
                <w:vertAlign w:val="subscript"/>
              </w:rPr>
              <w:t>2</w:t>
            </w:r>
            <w:r w:rsidRPr="008A650E">
              <w:rPr>
                <w:rFonts w:ascii="Calibri" w:hAnsi="Calibri"/>
                <w:b/>
                <w:sz w:val="18"/>
                <w:szCs w:val="18"/>
              </w:rPr>
              <w:t>e)</w:t>
            </w:r>
          </w:p>
        </w:tc>
        <w:tc>
          <w:tcPr>
            <w:tcW w:w="1595" w:type="dxa"/>
            <w:shd w:val="clear" w:color="auto" w:fill="FFC000"/>
            <w:vAlign w:val="center"/>
          </w:tcPr>
          <w:p w14:paraId="26B684EF" w14:textId="77777777" w:rsidR="00087079" w:rsidRPr="008A650E" w:rsidRDefault="00087079" w:rsidP="008A650E">
            <w:pPr>
              <w:jc w:val="center"/>
              <w:rPr>
                <w:rFonts w:ascii="Calibri" w:hAnsi="Calibri"/>
                <w:b/>
                <w:sz w:val="18"/>
                <w:szCs w:val="18"/>
              </w:rPr>
            </w:pPr>
            <w:r w:rsidRPr="008A650E">
              <w:rPr>
                <w:rFonts w:ascii="Calibri" w:hAnsi="Calibri"/>
                <w:b/>
                <w:sz w:val="18"/>
                <w:szCs w:val="18"/>
              </w:rPr>
              <w:t xml:space="preserve">Lower bound </w:t>
            </w:r>
            <w:r w:rsidRPr="008A650E">
              <w:rPr>
                <w:rFonts w:ascii="Calibri" w:hAnsi="Calibri"/>
                <w:b/>
                <w:sz w:val="18"/>
                <w:szCs w:val="18"/>
                <w:vertAlign w:val="superscript"/>
              </w:rPr>
              <w:t>a</w:t>
            </w:r>
            <w:r w:rsidRPr="008A650E">
              <w:rPr>
                <w:rFonts w:ascii="Calibri" w:hAnsi="Calibri"/>
                <w:b/>
                <w:sz w:val="18"/>
                <w:szCs w:val="18"/>
              </w:rPr>
              <w:t xml:space="preserve"> (MMT CO</w:t>
            </w:r>
            <w:r w:rsidRPr="008A650E">
              <w:rPr>
                <w:rFonts w:ascii="Calibri" w:hAnsi="Calibri"/>
                <w:b/>
                <w:sz w:val="18"/>
                <w:szCs w:val="18"/>
                <w:vertAlign w:val="subscript"/>
              </w:rPr>
              <w:t>2</w:t>
            </w:r>
            <w:r w:rsidRPr="008A650E">
              <w:rPr>
                <w:rFonts w:ascii="Calibri" w:hAnsi="Calibri"/>
                <w:b/>
                <w:sz w:val="18"/>
                <w:szCs w:val="18"/>
              </w:rPr>
              <w:t>e)</w:t>
            </w:r>
          </w:p>
        </w:tc>
        <w:tc>
          <w:tcPr>
            <w:tcW w:w="1595" w:type="dxa"/>
            <w:shd w:val="clear" w:color="auto" w:fill="FFC000"/>
            <w:vAlign w:val="center"/>
          </w:tcPr>
          <w:p w14:paraId="43168D81" w14:textId="77777777" w:rsidR="00087079" w:rsidRPr="008A650E" w:rsidRDefault="00087079" w:rsidP="008A650E">
            <w:pPr>
              <w:jc w:val="center"/>
              <w:rPr>
                <w:rFonts w:ascii="Calibri" w:hAnsi="Calibri"/>
                <w:b/>
                <w:sz w:val="18"/>
                <w:szCs w:val="18"/>
              </w:rPr>
            </w:pPr>
            <w:r w:rsidRPr="008A650E">
              <w:rPr>
                <w:rFonts w:ascii="Calibri" w:hAnsi="Calibri"/>
                <w:b/>
                <w:sz w:val="18"/>
                <w:szCs w:val="18"/>
              </w:rPr>
              <w:t xml:space="preserve">Upper bound </w:t>
            </w:r>
            <w:r w:rsidRPr="008A650E">
              <w:rPr>
                <w:rFonts w:ascii="Calibri" w:hAnsi="Calibri"/>
                <w:b/>
                <w:sz w:val="18"/>
                <w:szCs w:val="18"/>
                <w:vertAlign w:val="superscript"/>
              </w:rPr>
              <w:t>a</w:t>
            </w:r>
            <w:r w:rsidRPr="008A650E">
              <w:rPr>
                <w:rFonts w:ascii="Calibri" w:hAnsi="Calibri"/>
                <w:b/>
                <w:sz w:val="18"/>
                <w:szCs w:val="18"/>
              </w:rPr>
              <w:t xml:space="preserve"> (MMT CO</w:t>
            </w:r>
            <w:r w:rsidRPr="008A650E">
              <w:rPr>
                <w:rFonts w:ascii="Calibri" w:hAnsi="Calibri"/>
                <w:b/>
                <w:sz w:val="18"/>
                <w:szCs w:val="18"/>
                <w:vertAlign w:val="subscript"/>
              </w:rPr>
              <w:t>2</w:t>
            </w:r>
            <w:r w:rsidRPr="008A650E">
              <w:rPr>
                <w:rFonts w:ascii="Calibri" w:hAnsi="Calibri"/>
                <w:b/>
                <w:sz w:val="18"/>
                <w:szCs w:val="18"/>
              </w:rPr>
              <w:t>e)</w:t>
            </w:r>
          </w:p>
        </w:tc>
        <w:tc>
          <w:tcPr>
            <w:tcW w:w="1596" w:type="dxa"/>
            <w:shd w:val="clear" w:color="auto" w:fill="FFC000"/>
            <w:vAlign w:val="center"/>
          </w:tcPr>
          <w:p w14:paraId="533F6F0B" w14:textId="77777777" w:rsidR="00087079" w:rsidRPr="008A650E" w:rsidRDefault="00087079" w:rsidP="008A650E">
            <w:pPr>
              <w:jc w:val="center"/>
              <w:rPr>
                <w:rFonts w:ascii="Calibri" w:hAnsi="Calibri"/>
                <w:b/>
                <w:sz w:val="18"/>
                <w:szCs w:val="18"/>
              </w:rPr>
            </w:pPr>
            <w:r w:rsidRPr="008A650E">
              <w:rPr>
                <w:rFonts w:ascii="Calibri" w:hAnsi="Calibri"/>
                <w:b/>
                <w:sz w:val="18"/>
                <w:szCs w:val="18"/>
              </w:rPr>
              <w:t xml:space="preserve">Lower bound </w:t>
            </w:r>
            <w:r w:rsidRPr="008A650E">
              <w:rPr>
                <w:rFonts w:ascii="Calibri" w:hAnsi="Calibri"/>
                <w:b/>
                <w:sz w:val="18"/>
                <w:szCs w:val="18"/>
                <w:vertAlign w:val="superscript"/>
              </w:rPr>
              <w:t>b</w:t>
            </w:r>
            <w:r w:rsidRPr="008A650E">
              <w:rPr>
                <w:rFonts w:ascii="Calibri" w:hAnsi="Calibri"/>
                <w:b/>
                <w:sz w:val="18"/>
                <w:szCs w:val="18"/>
              </w:rPr>
              <w:t xml:space="preserve"> (%)</w:t>
            </w:r>
          </w:p>
        </w:tc>
        <w:tc>
          <w:tcPr>
            <w:tcW w:w="1459" w:type="dxa"/>
            <w:shd w:val="clear" w:color="auto" w:fill="FFC000"/>
            <w:vAlign w:val="center"/>
          </w:tcPr>
          <w:p w14:paraId="4393E963" w14:textId="77777777" w:rsidR="00087079" w:rsidRPr="008A650E" w:rsidRDefault="00087079" w:rsidP="008A650E">
            <w:pPr>
              <w:jc w:val="center"/>
              <w:rPr>
                <w:rFonts w:ascii="Calibri" w:hAnsi="Calibri"/>
                <w:b/>
                <w:sz w:val="18"/>
                <w:szCs w:val="18"/>
              </w:rPr>
            </w:pPr>
            <w:r w:rsidRPr="008A650E">
              <w:rPr>
                <w:rFonts w:ascii="Calibri" w:hAnsi="Calibri"/>
                <w:b/>
                <w:sz w:val="18"/>
                <w:szCs w:val="18"/>
              </w:rPr>
              <w:t xml:space="preserve">Upper bound </w:t>
            </w:r>
            <w:r w:rsidRPr="008A650E">
              <w:rPr>
                <w:rFonts w:ascii="Calibri" w:hAnsi="Calibri"/>
                <w:b/>
                <w:sz w:val="18"/>
                <w:szCs w:val="18"/>
                <w:vertAlign w:val="superscript"/>
              </w:rPr>
              <w:t>b</w:t>
            </w:r>
            <w:r w:rsidRPr="008A650E">
              <w:rPr>
                <w:rFonts w:ascii="Calibri" w:hAnsi="Calibri"/>
                <w:b/>
                <w:sz w:val="18"/>
                <w:szCs w:val="18"/>
              </w:rPr>
              <w:t xml:space="preserve"> (%)</w:t>
            </w:r>
          </w:p>
        </w:tc>
      </w:tr>
      <w:tr w:rsidR="00087079" w:rsidRPr="00ED4794" w14:paraId="03871E29" w14:textId="77777777" w:rsidTr="008A650E">
        <w:tc>
          <w:tcPr>
            <w:tcW w:w="1454" w:type="dxa"/>
          </w:tcPr>
          <w:p w14:paraId="2C0195FD" w14:textId="77777777" w:rsidR="00087079" w:rsidRPr="00174CAB" w:rsidRDefault="00087079" w:rsidP="00250DD0">
            <w:pPr>
              <w:rPr>
                <w:rFonts w:ascii="Calibri" w:hAnsi="Calibri"/>
                <w:b/>
                <w:sz w:val="18"/>
                <w:szCs w:val="18"/>
              </w:rPr>
            </w:pPr>
            <w:r w:rsidRPr="00174CAB">
              <w:rPr>
                <w:rFonts w:ascii="Calibri" w:hAnsi="Calibri"/>
                <w:b/>
                <w:sz w:val="18"/>
                <w:szCs w:val="18"/>
              </w:rPr>
              <w:t>CH</w:t>
            </w:r>
            <w:r w:rsidRPr="00174CAB">
              <w:rPr>
                <w:rFonts w:ascii="Calibri" w:hAnsi="Calibri"/>
                <w:b/>
                <w:sz w:val="18"/>
                <w:szCs w:val="18"/>
                <w:vertAlign w:val="subscript"/>
              </w:rPr>
              <w:t>4</w:t>
            </w:r>
          </w:p>
        </w:tc>
        <w:tc>
          <w:tcPr>
            <w:tcW w:w="1651" w:type="dxa"/>
            <w:vAlign w:val="center"/>
          </w:tcPr>
          <w:p w14:paraId="53E3D6D0" w14:textId="77777777" w:rsidR="00087079" w:rsidRPr="00F9730B" w:rsidRDefault="00087079" w:rsidP="008A650E">
            <w:pPr>
              <w:jc w:val="center"/>
              <w:rPr>
                <w:rFonts w:ascii="Calibri" w:hAnsi="Calibri"/>
                <w:sz w:val="18"/>
                <w:szCs w:val="18"/>
              </w:rPr>
            </w:pPr>
            <w:r w:rsidRPr="00F9730B">
              <w:rPr>
                <w:rFonts w:ascii="Calibri" w:hAnsi="Calibri"/>
                <w:sz w:val="18"/>
                <w:szCs w:val="18"/>
              </w:rPr>
              <w:t>0.4</w:t>
            </w:r>
          </w:p>
        </w:tc>
        <w:tc>
          <w:tcPr>
            <w:tcW w:w="1595" w:type="dxa"/>
            <w:vAlign w:val="center"/>
          </w:tcPr>
          <w:p w14:paraId="66B4C379" w14:textId="77777777" w:rsidR="00087079" w:rsidRPr="00F9730B" w:rsidRDefault="00087079" w:rsidP="008A650E">
            <w:pPr>
              <w:jc w:val="center"/>
              <w:rPr>
                <w:rFonts w:ascii="Calibri" w:hAnsi="Calibri"/>
                <w:sz w:val="18"/>
                <w:szCs w:val="18"/>
              </w:rPr>
            </w:pPr>
            <w:r w:rsidRPr="00F9730B">
              <w:rPr>
                <w:rFonts w:ascii="Calibri" w:hAnsi="Calibri"/>
                <w:sz w:val="18"/>
                <w:szCs w:val="18"/>
              </w:rPr>
              <w:t>0.</w:t>
            </w:r>
            <w:r>
              <w:rPr>
                <w:rFonts w:ascii="Calibri" w:hAnsi="Calibri"/>
                <w:sz w:val="18"/>
                <w:szCs w:val="18"/>
              </w:rPr>
              <w:t>0</w:t>
            </w:r>
          </w:p>
        </w:tc>
        <w:tc>
          <w:tcPr>
            <w:tcW w:w="1595" w:type="dxa"/>
            <w:vAlign w:val="center"/>
          </w:tcPr>
          <w:p w14:paraId="3FBBF7F6" w14:textId="77777777" w:rsidR="00087079" w:rsidRPr="00F9730B" w:rsidRDefault="00087079" w:rsidP="008A650E">
            <w:pPr>
              <w:jc w:val="center"/>
              <w:rPr>
                <w:rFonts w:ascii="Calibri" w:hAnsi="Calibri"/>
                <w:sz w:val="18"/>
                <w:szCs w:val="18"/>
              </w:rPr>
            </w:pPr>
            <w:r w:rsidRPr="00F9730B">
              <w:rPr>
                <w:rFonts w:ascii="Calibri" w:hAnsi="Calibri"/>
                <w:sz w:val="18"/>
                <w:szCs w:val="18"/>
              </w:rPr>
              <w:t>1.3</w:t>
            </w:r>
          </w:p>
        </w:tc>
        <w:tc>
          <w:tcPr>
            <w:tcW w:w="1596" w:type="dxa"/>
            <w:vAlign w:val="center"/>
          </w:tcPr>
          <w:p w14:paraId="29246DA3" w14:textId="33089BAE" w:rsidR="00087079" w:rsidRPr="00F9730B" w:rsidRDefault="00087079" w:rsidP="008A650E">
            <w:pPr>
              <w:jc w:val="center"/>
              <w:rPr>
                <w:rFonts w:ascii="Calibri" w:hAnsi="Calibri"/>
                <w:sz w:val="18"/>
                <w:szCs w:val="18"/>
              </w:rPr>
            </w:pPr>
            <w:r w:rsidRPr="00F9730B">
              <w:rPr>
                <w:rFonts w:ascii="Calibri" w:hAnsi="Calibri"/>
                <w:sz w:val="18"/>
                <w:szCs w:val="18"/>
              </w:rPr>
              <w:t>-</w:t>
            </w:r>
            <w:r>
              <w:rPr>
                <w:rFonts w:ascii="Calibri" w:hAnsi="Calibri"/>
                <w:sz w:val="18"/>
                <w:szCs w:val="18"/>
              </w:rPr>
              <w:t>100</w:t>
            </w:r>
          </w:p>
        </w:tc>
        <w:tc>
          <w:tcPr>
            <w:tcW w:w="1459" w:type="dxa"/>
            <w:vAlign w:val="center"/>
          </w:tcPr>
          <w:p w14:paraId="758ED4D0" w14:textId="2B48406F" w:rsidR="00087079" w:rsidRPr="00F9730B" w:rsidRDefault="009F2A01" w:rsidP="008A650E">
            <w:pPr>
              <w:jc w:val="center"/>
              <w:rPr>
                <w:rFonts w:ascii="Calibri" w:hAnsi="Calibri"/>
                <w:sz w:val="18"/>
                <w:szCs w:val="18"/>
              </w:rPr>
            </w:pPr>
            <w:r>
              <w:rPr>
                <w:rFonts w:ascii="Calibri" w:hAnsi="Calibri"/>
                <w:sz w:val="18"/>
                <w:szCs w:val="18"/>
              </w:rPr>
              <w:t>225</w:t>
            </w:r>
          </w:p>
        </w:tc>
      </w:tr>
      <w:tr w:rsidR="00087079" w:rsidRPr="00ED4794" w14:paraId="47A2864B" w14:textId="77777777" w:rsidTr="008A650E">
        <w:tc>
          <w:tcPr>
            <w:tcW w:w="1454" w:type="dxa"/>
          </w:tcPr>
          <w:p w14:paraId="719CC244" w14:textId="77777777" w:rsidR="00087079" w:rsidRPr="00174CAB" w:rsidRDefault="00087079" w:rsidP="00250DD0">
            <w:pPr>
              <w:rPr>
                <w:rFonts w:ascii="Calibri" w:hAnsi="Calibri"/>
                <w:b/>
                <w:sz w:val="18"/>
                <w:szCs w:val="18"/>
              </w:rPr>
            </w:pPr>
            <w:r w:rsidRPr="00174CAB">
              <w:rPr>
                <w:rFonts w:ascii="Calibri" w:hAnsi="Calibri"/>
                <w:b/>
                <w:sz w:val="18"/>
                <w:szCs w:val="18"/>
              </w:rPr>
              <w:t>N</w:t>
            </w:r>
            <w:r w:rsidRPr="00174CAB">
              <w:rPr>
                <w:rFonts w:ascii="Calibri" w:hAnsi="Calibri"/>
                <w:b/>
                <w:sz w:val="18"/>
                <w:szCs w:val="18"/>
                <w:vertAlign w:val="subscript"/>
              </w:rPr>
              <w:t>2</w:t>
            </w:r>
            <w:r w:rsidRPr="00174CAB">
              <w:rPr>
                <w:rFonts w:ascii="Calibri" w:hAnsi="Calibri"/>
                <w:b/>
                <w:sz w:val="18"/>
                <w:szCs w:val="18"/>
              </w:rPr>
              <w:t>O</w:t>
            </w:r>
          </w:p>
        </w:tc>
        <w:tc>
          <w:tcPr>
            <w:tcW w:w="1651" w:type="dxa"/>
            <w:vAlign w:val="center"/>
          </w:tcPr>
          <w:p w14:paraId="25D58D76" w14:textId="77777777" w:rsidR="00087079" w:rsidRPr="00F9730B" w:rsidRDefault="00087079" w:rsidP="008A650E">
            <w:pPr>
              <w:jc w:val="center"/>
              <w:rPr>
                <w:rFonts w:ascii="Calibri" w:hAnsi="Calibri"/>
                <w:sz w:val="18"/>
                <w:szCs w:val="18"/>
              </w:rPr>
            </w:pPr>
            <w:r w:rsidRPr="00F9730B">
              <w:rPr>
                <w:rFonts w:ascii="Calibri" w:hAnsi="Calibri"/>
                <w:sz w:val="18"/>
                <w:szCs w:val="18"/>
              </w:rPr>
              <w:t>0.4</w:t>
            </w:r>
          </w:p>
        </w:tc>
        <w:tc>
          <w:tcPr>
            <w:tcW w:w="1595" w:type="dxa"/>
            <w:vAlign w:val="center"/>
          </w:tcPr>
          <w:p w14:paraId="0CA0AAEE" w14:textId="77777777" w:rsidR="00087079" w:rsidRPr="00F9730B" w:rsidRDefault="00087079" w:rsidP="008A650E">
            <w:pPr>
              <w:jc w:val="center"/>
              <w:rPr>
                <w:rFonts w:ascii="Calibri" w:hAnsi="Calibri"/>
                <w:sz w:val="18"/>
                <w:szCs w:val="18"/>
              </w:rPr>
            </w:pPr>
            <w:r w:rsidRPr="00F9730B">
              <w:rPr>
                <w:rFonts w:ascii="Calibri" w:hAnsi="Calibri"/>
                <w:sz w:val="18"/>
                <w:szCs w:val="18"/>
              </w:rPr>
              <w:t>0.0</w:t>
            </w:r>
          </w:p>
        </w:tc>
        <w:tc>
          <w:tcPr>
            <w:tcW w:w="1595" w:type="dxa"/>
            <w:vAlign w:val="center"/>
          </w:tcPr>
          <w:p w14:paraId="0ACA35BF" w14:textId="77777777" w:rsidR="00087079" w:rsidRPr="00F9730B" w:rsidRDefault="00087079" w:rsidP="008A650E">
            <w:pPr>
              <w:jc w:val="center"/>
              <w:rPr>
                <w:rFonts w:ascii="Calibri" w:hAnsi="Calibri"/>
                <w:sz w:val="18"/>
                <w:szCs w:val="18"/>
              </w:rPr>
            </w:pPr>
            <w:r w:rsidRPr="00F9730B">
              <w:rPr>
                <w:rFonts w:ascii="Calibri" w:hAnsi="Calibri"/>
                <w:sz w:val="18"/>
                <w:szCs w:val="18"/>
              </w:rPr>
              <w:t>1.5</w:t>
            </w:r>
          </w:p>
        </w:tc>
        <w:tc>
          <w:tcPr>
            <w:tcW w:w="1596" w:type="dxa"/>
            <w:vAlign w:val="center"/>
          </w:tcPr>
          <w:p w14:paraId="0A7C863B" w14:textId="4F2480D1" w:rsidR="00087079" w:rsidRPr="00F9730B" w:rsidRDefault="009F2A01" w:rsidP="008A650E">
            <w:pPr>
              <w:jc w:val="center"/>
              <w:rPr>
                <w:rFonts w:ascii="Calibri" w:hAnsi="Calibri"/>
                <w:sz w:val="18"/>
                <w:szCs w:val="18"/>
              </w:rPr>
            </w:pPr>
            <w:r>
              <w:rPr>
                <w:rFonts w:ascii="Calibri" w:hAnsi="Calibri"/>
                <w:sz w:val="18"/>
                <w:szCs w:val="18"/>
              </w:rPr>
              <w:t>-100</w:t>
            </w:r>
          </w:p>
        </w:tc>
        <w:tc>
          <w:tcPr>
            <w:tcW w:w="1459" w:type="dxa"/>
            <w:vAlign w:val="center"/>
          </w:tcPr>
          <w:p w14:paraId="66362E7E" w14:textId="45DAF945" w:rsidR="00087079" w:rsidRPr="00F9730B" w:rsidRDefault="009F2A01" w:rsidP="008A650E">
            <w:pPr>
              <w:jc w:val="center"/>
              <w:rPr>
                <w:rFonts w:ascii="Calibri" w:hAnsi="Calibri"/>
                <w:sz w:val="18"/>
                <w:szCs w:val="18"/>
              </w:rPr>
            </w:pPr>
            <w:r>
              <w:rPr>
                <w:rFonts w:ascii="Calibri" w:hAnsi="Calibri"/>
                <w:sz w:val="18"/>
                <w:szCs w:val="18"/>
              </w:rPr>
              <w:t>275</w:t>
            </w:r>
          </w:p>
        </w:tc>
      </w:tr>
      <w:tr w:rsidR="00087079" w:rsidRPr="00ED4794" w14:paraId="3BB96110" w14:textId="77777777" w:rsidTr="008A650E">
        <w:tc>
          <w:tcPr>
            <w:tcW w:w="1454" w:type="dxa"/>
          </w:tcPr>
          <w:p w14:paraId="4106C203" w14:textId="77777777" w:rsidR="00087079" w:rsidRPr="00174CAB" w:rsidRDefault="00087079" w:rsidP="00250DD0">
            <w:pPr>
              <w:rPr>
                <w:rFonts w:ascii="Calibri" w:hAnsi="Calibri"/>
                <w:b/>
                <w:sz w:val="18"/>
                <w:szCs w:val="18"/>
              </w:rPr>
            </w:pPr>
            <w:r w:rsidRPr="00174CAB">
              <w:rPr>
                <w:rFonts w:ascii="Calibri" w:hAnsi="Calibri"/>
                <w:b/>
                <w:sz w:val="18"/>
                <w:szCs w:val="18"/>
              </w:rPr>
              <w:t>Total</w:t>
            </w:r>
          </w:p>
        </w:tc>
        <w:tc>
          <w:tcPr>
            <w:tcW w:w="1651" w:type="dxa"/>
            <w:vAlign w:val="center"/>
          </w:tcPr>
          <w:p w14:paraId="3B4DD3F8" w14:textId="77777777" w:rsidR="00087079" w:rsidRPr="00F9730B" w:rsidRDefault="00087079" w:rsidP="008A650E">
            <w:pPr>
              <w:jc w:val="center"/>
              <w:rPr>
                <w:rFonts w:ascii="Calibri" w:hAnsi="Calibri"/>
                <w:sz w:val="18"/>
                <w:szCs w:val="18"/>
              </w:rPr>
            </w:pPr>
            <w:r w:rsidRPr="00F9730B">
              <w:rPr>
                <w:rFonts w:ascii="Calibri" w:hAnsi="Calibri"/>
                <w:sz w:val="18"/>
                <w:szCs w:val="18"/>
              </w:rPr>
              <w:t>0.8</w:t>
            </w:r>
          </w:p>
        </w:tc>
        <w:tc>
          <w:tcPr>
            <w:tcW w:w="1595" w:type="dxa"/>
            <w:vAlign w:val="center"/>
          </w:tcPr>
          <w:p w14:paraId="33C993A2" w14:textId="77777777" w:rsidR="00087079" w:rsidRPr="00F9730B" w:rsidRDefault="00087079" w:rsidP="008A650E">
            <w:pPr>
              <w:jc w:val="center"/>
              <w:rPr>
                <w:rFonts w:ascii="Calibri" w:hAnsi="Calibri"/>
                <w:sz w:val="18"/>
                <w:szCs w:val="18"/>
              </w:rPr>
            </w:pPr>
            <w:r w:rsidRPr="00F9730B">
              <w:rPr>
                <w:rFonts w:ascii="Calibri" w:hAnsi="Calibri"/>
                <w:sz w:val="18"/>
                <w:szCs w:val="18"/>
              </w:rPr>
              <w:t>0.1</w:t>
            </w:r>
          </w:p>
        </w:tc>
        <w:tc>
          <w:tcPr>
            <w:tcW w:w="1595" w:type="dxa"/>
            <w:vAlign w:val="center"/>
          </w:tcPr>
          <w:p w14:paraId="57316CB7" w14:textId="77777777" w:rsidR="00087079" w:rsidRPr="00F9730B" w:rsidRDefault="00087079" w:rsidP="008A650E">
            <w:pPr>
              <w:jc w:val="center"/>
              <w:rPr>
                <w:rFonts w:ascii="Calibri" w:hAnsi="Calibri"/>
                <w:sz w:val="18"/>
                <w:szCs w:val="18"/>
              </w:rPr>
            </w:pPr>
            <w:r w:rsidRPr="00F9730B">
              <w:rPr>
                <w:rFonts w:ascii="Calibri" w:hAnsi="Calibri"/>
                <w:sz w:val="18"/>
                <w:szCs w:val="18"/>
              </w:rPr>
              <w:t>2.</w:t>
            </w:r>
            <w:r>
              <w:rPr>
                <w:rFonts w:ascii="Calibri" w:hAnsi="Calibri"/>
                <w:sz w:val="18"/>
                <w:szCs w:val="18"/>
              </w:rPr>
              <w:t>7</w:t>
            </w:r>
          </w:p>
        </w:tc>
        <w:tc>
          <w:tcPr>
            <w:tcW w:w="1596" w:type="dxa"/>
            <w:vAlign w:val="center"/>
          </w:tcPr>
          <w:p w14:paraId="1E249188" w14:textId="2263A5FA" w:rsidR="00087079" w:rsidRPr="00F9730B" w:rsidRDefault="009F2A01" w:rsidP="008A650E">
            <w:pPr>
              <w:jc w:val="center"/>
              <w:rPr>
                <w:rFonts w:ascii="Calibri" w:hAnsi="Calibri"/>
                <w:sz w:val="18"/>
                <w:szCs w:val="18"/>
              </w:rPr>
            </w:pPr>
            <w:r>
              <w:rPr>
                <w:rFonts w:ascii="Calibri" w:hAnsi="Calibri"/>
                <w:sz w:val="18"/>
                <w:szCs w:val="18"/>
              </w:rPr>
              <w:t>-88</w:t>
            </w:r>
          </w:p>
        </w:tc>
        <w:tc>
          <w:tcPr>
            <w:tcW w:w="1459" w:type="dxa"/>
            <w:vAlign w:val="center"/>
          </w:tcPr>
          <w:p w14:paraId="7BEFDB34" w14:textId="63E32256" w:rsidR="00087079" w:rsidRPr="00F9730B" w:rsidRDefault="00087079" w:rsidP="008A650E">
            <w:pPr>
              <w:jc w:val="center"/>
              <w:rPr>
                <w:rFonts w:ascii="Calibri" w:hAnsi="Calibri"/>
                <w:sz w:val="18"/>
                <w:szCs w:val="18"/>
              </w:rPr>
            </w:pPr>
            <w:r w:rsidRPr="00F9730B">
              <w:rPr>
                <w:rFonts w:ascii="Calibri" w:hAnsi="Calibri"/>
                <w:sz w:val="18"/>
                <w:szCs w:val="18"/>
              </w:rPr>
              <w:t>2</w:t>
            </w:r>
            <w:r>
              <w:rPr>
                <w:rFonts w:ascii="Calibri" w:hAnsi="Calibri"/>
                <w:sz w:val="18"/>
                <w:szCs w:val="18"/>
              </w:rPr>
              <w:t>38</w:t>
            </w:r>
          </w:p>
        </w:tc>
      </w:tr>
    </w:tbl>
    <w:p w14:paraId="51CD705D" w14:textId="2FE121CC" w:rsidR="00087079" w:rsidRPr="00F9730B" w:rsidRDefault="00087079" w:rsidP="000B2554">
      <w:pPr>
        <w:pStyle w:val="ListParagraph"/>
        <w:numPr>
          <w:ilvl w:val="0"/>
          <w:numId w:val="4"/>
        </w:numPr>
        <w:ind w:left="360"/>
        <w:rPr>
          <w:i/>
          <w:sz w:val="18"/>
          <w:szCs w:val="18"/>
        </w:rPr>
      </w:pPr>
      <w:r w:rsidRPr="00F9730B">
        <w:rPr>
          <w:i/>
          <w:sz w:val="18"/>
          <w:szCs w:val="18"/>
        </w:rPr>
        <w:t>Lower and upper bounds correspond to 2.5</w:t>
      </w:r>
      <w:r w:rsidRPr="00F9730B">
        <w:rPr>
          <w:i/>
          <w:sz w:val="18"/>
          <w:szCs w:val="18"/>
          <w:vertAlign w:val="superscript"/>
        </w:rPr>
        <w:t>th</w:t>
      </w:r>
      <w:r w:rsidRPr="00F9730B">
        <w:rPr>
          <w:i/>
          <w:sz w:val="18"/>
          <w:szCs w:val="18"/>
        </w:rPr>
        <w:t xml:space="preserve"> and 97.5</w:t>
      </w:r>
      <w:r w:rsidRPr="00F9730B">
        <w:rPr>
          <w:i/>
          <w:sz w:val="18"/>
          <w:szCs w:val="18"/>
          <w:vertAlign w:val="superscript"/>
        </w:rPr>
        <w:t>th</w:t>
      </w:r>
      <w:r w:rsidRPr="00F9730B">
        <w:rPr>
          <w:i/>
          <w:sz w:val="18"/>
          <w:szCs w:val="18"/>
        </w:rPr>
        <w:t xml:space="preserve"> percen</w:t>
      </w:r>
      <w:r>
        <w:rPr>
          <w:i/>
          <w:sz w:val="18"/>
          <w:szCs w:val="18"/>
        </w:rPr>
        <w:t>tiles.</w:t>
      </w:r>
    </w:p>
    <w:p w14:paraId="515C798C" w14:textId="77777777" w:rsidR="00087079" w:rsidRPr="00875DB4" w:rsidRDefault="00087079" w:rsidP="000B2554">
      <w:pPr>
        <w:pStyle w:val="ListParagraph"/>
        <w:numPr>
          <w:ilvl w:val="0"/>
          <w:numId w:val="4"/>
        </w:numPr>
        <w:ind w:left="360"/>
        <w:jc w:val="both"/>
        <w:rPr>
          <w:rFonts w:ascii="Calibri" w:hAnsi="Calibri"/>
          <w:i/>
          <w:sz w:val="18"/>
          <w:szCs w:val="18"/>
        </w:rPr>
      </w:pPr>
      <w:r w:rsidRPr="00F9730B">
        <w:rPr>
          <w:i/>
          <w:sz w:val="18"/>
          <w:szCs w:val="18"/>
        </w:rPr>
        <w:t xml:space="preserve">The relative uncertainties are calculated as a </w:t>
      </w:r>
      <w:r>
        <w:rPr>
          <w:i/>
          <w:sz w:val="18"/>
          <w:szCs w:val="18"/>
        </w:rPr>
        <w:t>percentage of the 2014 estimate.</w:t>
      </w:r>
    </w:p>
    <w:p w14:paraId="30C5EA04" w14:textId="77777777" w:rsidR="000D5C1C" w:rsidRDefault="000D5C1C" w:rsidP="00087079">
      <w:pPr>
        <w:jc w:val="both"/>
        <w:rPr>
          <w:rFonts w:ascii="Calibri" w:hAnsi="Calibri"/>
        </w:rPr>
      </w:pPr>
    </w:p>
    <w:p w14:paraId="63AFE0ED" w14:textId="1AE0AA8F" w:rsidR="00087079" w:rsidRDefault="00087079" w:rsidP="00087079">
      <w:pPr>
        <w:jc w:val="both"/>
        <w:rPr>
          <w:rFonts w:ascii="Calibri" w:hAnsi="Calibri"/>
        </w:rPr>
      </w:pPr>
      <w:r w:rsidRPr="00ED4794">
        <w:rPr>
          <w:rFonts w:ascii="Calibri" w:hAnsi="Calibri"/>
        </w:rPr>
        <w:t>The results of the contribution index analysis are shown in</w:t>
      </w:r>
      <w:r>
        <w:rPr>
          <w:rFonts w:ascii="Calibri" w:hAnsi="Calibri"/>
        </w:rPr>
        <w:t xml:space="preserve"> </w:t>
      </w:r>
      <w:r w:rsidRPr="00087079">
        <w:rPr>
          <w:rFonts w:ascii="Calibri" w:hAnsi="Calibri"/>
        </w:rPr>
        <w:fldChar w:fldCharType="begin"/>
      </w:r>
      <w:r w:rsidRPr="00087079">
        <w:rPr>
          <w:rFonts w:ascii="Calibri" w:hAnsi="Calibri"/>
        </w:rPr>
        <w:instrText xml:space="preserve"> REF _Ref415704925 \h  \* MERGEFORMAT </w:instrText>
      </w:r>
      <w:r w:rsidRPr="00087079">
        <w:rPr>
          <w:rFonts w:ascii="Calibri" w:hAnsi="Calibri"/>
        </w:rPr>
      </w:r>
      <w:r w:rsidRPr="00087079">
        <w:rPr>
          <w:rFonts w:ascii="Calibri" w:hAnsi="Calibri"/>
        </w:rPr>
        <w:fldChar w:fldCharType="separate"/>
      </w:r>
      <w:r w:rsidR="00FB4CFE" w:rsidRPr="00FB4CFE">
        <w:rPr>
          <w:bCs/>
        </w:rPr>
        <w:t>Table</w:t>
      </w:r>
      <w:r w:rsidR="000D5C1C">
        <w:rPr>
          <w:bCs/>
        </w:rPr>
        <w:t xml:space="preserve"> </w:t>
      </w:r>
      <w:r w:rsidR="007D6D6E">
        <w:rPr>
          <w:bCs/>
        </w:rPr>
        <w:t>2</w:t>
      </w:r>
      <w:r w:rsidR="000D5C1C">
        <w:rPr>
          <w:bCs/>
        </w:rPr>
        <w:t>-22</w:t>
      </w:r>
      <w:r w:rsidRPr="00087079">
        <w:rPr>
          <w:rFonts w:ascii="Calibri" w:hAnsi="Calibri"/>
        </w:rPr>
        <w:fldChar w:fldCharType="end"/>
      </w:r>
      <w:r w:rsidRPr="00ED4794">
        <w:rPr>
          <w:rFonts w:ascii="Calibri" w:hAnsi="Calibri"/>
        </w:rPr>
        <w:t xml:space="preserve">. </w:t>
      </w:r>
      <w:r w:rsidR="000D5C1C">
        <w:rPr>
          <w:rFonts w:ascii="Calibri" w:hAnsi="Calibri"/>
        </w:rPr>
        <w:t>Similar to</w:t>
      </w:r>
      <w:r w:rsidRPr="00ED4794">
        <w:rPr>
          <w:rFonts w:ascii="Calibri" w:hAnsi="Calibri"/>
        </w:rPr>
        <w:t xml:space="preserve"> forest fires, fuel availability makes the largest contribution to uncertainty (</w:t>
      </w:r>
      <w:r>
        <w:rPr>
          <w:rFonts w:ascii="Calibri" w:hAnsi="Calibri"/>
        </w:rPr>
        <w:t>99</w:t>
      </w:r>
      <w:r w:rsidRPr="00ED4794">
        <w:rPr>
          <w:rFonts w:ascii="Calibri" w:hAnsi="Calibri"/>
        </w:rPr>
        <w:t xml:space="preserve">%). The </w:t>
      </w:r>
      <w:r w:rsidR="000D5C1C">
        <w:rPr>
          <w:rFonts w:ascii="Calibri" w:hAnsi="Calibri"/>
        </w:rPr>
        <w:t xml:space="preserve">contribution from </w:t>
      </w:r>
      <w:r w:rsidRPr="00ED4794">
        <w:rPr>
          <w:rFonts w:ascii="Calibri" w:hAnsi="Calibri"/>
        </w:rPr>
        <w:t>burned</w:t>
      </w:r>
      <w:r>
        <w:rPr>
          <w:rFonts w:ascii="Calibri" w:hAnsi="Calibri"/>
        </w:rPr>
        <w:t xml:space="preserve"> area</w:t>
      </w:r>
      <w:r w:rsidRPr="00ED4794">
        <w:rPr>
          <w:rFonts w:ascii="Calibri" w:hAnsi="Calibri"/>
        </w:rPr>
        <w:t xml:space="preserve"> and emission factors </w:t>
      </w:r>
      <w:r w:rsidR="000D5C1C">
        <w:rPr>
          <w:rFonts w:ascii="Calibri" w:hAnsi="Calibri"/>
        </w:rPr>
        <w:t xml:space="preserve">is </w:t>
      </w:r>
      <w:r>
        <w:rPr>
          <w:rFonts w:ascii="Calibri" w:hAnsi="Calibri"/>
        </w:rPr>
        <w:t>negligibl</w:t>
      </w:r>
      <w:r w:rsidR="000D5C1C">
        <w:rPr>
          <w:rFonts w:ascii="Calibri" w:hAnsi="Calibri"/>
        </w:rPr>
        <w:t>e</w:t>
      </w:r>
      <w:r>
        <w:rPr>
          <w:rFonts w:ascii="Calibri" w:hAnsi="Calibri"/>
        </w:rPr>
        <w:t>.</w:t>
      </w:r>
    </w:p>
    <w:p w14:paraId="1BA6AB19" w14:textId="37FBFA21" w:rsidR="00087079" w:rsidRPr="00087079" w:rsidRDefault="00087079" w:rsidP="00087079">
      <w:pPr>
        <w:spacing w:after="200" w:line="240" w:lineRule="auto"/>
        <w:rPr>
          <w:b/>
          <w:i/>
          <w:iCs/>
          <w:color w:val="44546A" w:themeColor="text2"/>
        </w:rPr>
      </w:pPr>
      <w:bookmarkStart w:id="188" w:name="_Ref415704925"/>
      <w:bookmarkStart w:id="189" w:name="_Ref5106964"/>
      <w:r w:rsidRPr="00087079">
        <w:rPr>
          <w:b/>
          <w:i/>
          <w:iCs/>
          <w:color w:val="44546A" w:themeColor="text2"/>
        </w:rPr>
        <w:t xml:space="preserve">Table </w:t>
      </w:r>
      <w:bookmarkEnd w:id="188"/>
      <w:r w:rsidR="007D6D6E">
        <w:rPr>
          <w:b/>
          <w:i/>
          <w:iCs/>
          <w:color w:val="44546A" w:themeColor="text2"/>
        </w:rPr>
        <w:t>2</w:t>
      </w:r>
      <w:r w:rsidR="00AD1E50">
        <w:rPr>
          <w:b/>
          <w:i/>
          <w:iCs/>
          <w:color w:val="44546A" w:themeColor="text2"/>
        </w:rPr>
        <w:t>-2</w:t>
      </w:r>
      <w:r w:rsidR="000D5C1C">
        <w:rPr>
          <w:b/>
          <w:i/>
          <w:iCs/>
          <w:color w:val="44546A" w:themeColor="text2"/>
        </w:rPr>
        <w:t>2</w:t>
      </w:r>
      <w:r w:rsidRPr="00087079">
        <w:rPr>
          <w:b/>
          <w:i/>
          <w:iCs/>
          <w:color w:val="44546A" w:themeColor="text2"/>
        </w:rPr>
        <w:t xml:space="preserve">: </w:t>
      </w:r>
      <w:r w:rsidR="00A9645A">
        <w:rPr>
          <w:b/>
          <w:i/>
          <w:iCs/>
          <w:color w:val="44546A" w:themeColor="text2"/>
        </w:rPr>
        <w:t xml:space="preserve">RESULTS - </w:t>
      </w:r>
      <w:r w:rsidRPr="00087079">
        <w:rPr>
          <w:b/>
          <w:i/>
          <w:iCs/>
          <w:color w:val="44546A" w:themeColor="text2"/>
        </w:rPr>
        <w:t>Contributions to uncertainty for non-CO</w:t>
      </w:r>
      <w:r w:rsidRPr="00087079">
        <w:rPr>
          <w:b/>
          <w:i/>
          <w:iCs/>
          <w:color w:val="44546A" w:themeColor="text2"/>
          <w:vertAlign w:val="subscript"/>
        </w:rPr>
        <w:t>2</w:t>
      </w:r>
      <w:r w:rsidRPr="00087079">
        <w:rPr>
          <w:b/>
          <w:i/>
          <w:iCs/>
          <w:color w:val="44546A" w:themeColor="text2"/>
        </w:rPr>
        <w:t xml:space="preserve"> emissions from grassland fires</w:t>
      </w:r>
      <w:bookmarkEnd w:id="1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5"/>
        <w:gridCol w:w="1969"/>
        <w:gridCol w:w="1969"/>
        <w:gridCol w:w="1967"/>
      </w:tblGrid>
      <w:tr w:rsidR="00087079" w:rsidRPr="00ED4794" w14:paraId="16B76316" w14:textId="77777777" w:rsidTr="00637F2C">
        <w:trPr>
          <w:cantSplit/>
          <w:trHeight w:val="710"/>
          <w:tblHeader/>
        </w:trPr>
        <w:tc>
          <w:tcPr>
            <w:tcW w:w="1842" w:type="pct"/>
            <w:tcBorders>
              <w:top w:val="single" w:sz="4" w:space="0" w:color="auto"/>
              <w:left w:val="single" w:sz="4" w:space="0" w:color="auto"/>
              <w:bottom w:val="single" w:sz="4" w:space="0" w:color="auto"/>
              <w:right w:val="single" w:sz="4" w:space="0" w:color="auto"/>
            </w:tcBorders>
            <w:shd w:val="clear" w:color="auto" w:fill="FFC000"/>
            <w:vAlign w:val="center"/>
          </w:tcPr>
          <w:p w14:paraId="63FE929B" w14:textId="77777777" w:rsidR="00087079" w:rsidRPr="00637F2C" w:rsidRDefault="00087079" w:rsidP="00637F2C">
            <w:pPr>
              <w:spacing w:after="0" w:line="240" w:lineRule="auto"/>
              <w:jc w:val="center"/>
              <w:rPr>
                <w:rFonts w:ascii="Calibri" w:eastAsia="Times New Roman" w:hAnsi="Calibri" w:cs="Calibri"/>
                <w:b/>
                <w:color w:val="000000"/>
                <w:sz w:val="18"/>
                <w:szCs w:val="18"/>
              </w:rPr>
            </w:pPr>
            <w:r w:rsidRPr="00637F2C">
              <w:rPr>
                <w:rFonts w:ascii="Calibri" w:eastAsia="Times New Roman" w:hAnsi="Calibri" w:cs="Calibri"/>
                <w:b/>
                <w:color w:val="000000"/>
                <w:sz w:val="18"/>
                <w:szCs w:val="18"/>
              </w:rPr>
              <w:t>Variable held constant</w:t>
            </w:r>
          </w:p>
        </w:tc>
        <w:tc>
          <w:tcPr>
            <w:tcW w:w="1053" w:type="pct"/>
            <w:tcBorders>
              <w:top w:val="single" w:sz="4" w:space="0" w:color="auto"/>
              <w:left w:val="single" w:sz="4" w:space="0" w:color="auto"/>
              <w:bottom w:val="single" w:sz="4" w:space="0" w:color="auto"/>
              <w:right w:val="single" w:sz="4" w:space="0" w:color="auto"/>
            </w:tcBorders>
            <w:shd w:val="clear" w:color="auto" w:fill="FFC000"/>
            <w:noWrap/>
            <w:vAlign w:val="center"/>
          </w:tcPr>
          <w:p w14:paraId="384B2AD0" w14:textId="77777777" w:rsidR="00087079" w:rsidRPr="00637F2C" w:rsidRDefault="00087079" w:rsidP="00637F2C">
            <w:pPr>
              <w:spacing w:after="0" w:line="240" w:lineRule="auto"/>
              <w:jc w:val="center"/>
              <w:rPr>
                <w:rFonts w:ascii="Calibri" w:eastAsia="Times New Roman" w:hAnsi="Calibri" w:cs="Calibri"/>
                <w:b/>
                <w:color w:val="000000"/>
                <w:sz w:val="18"/>
                <w:szCs w:val="18"/>
              </w:rPr>
            </w:pPr>
            <w:r w:rsidRPr="00637F2C">
              <w:rPr>
                <w:rFonts w:ascii="Calibri" w:eastAsia="Times New Roman" w:hAnsi="Calibri" w:cs="Calibri"/>
                <w:b/>
                <w:color w:val="000000"/>
                <w:sz w:val="18"/>
                <w:szCs w:val="18"/>
              </w:rPr>
              <w:t>Range of 95% confidence interval (MMT CO</w:t>
            </w:r>
            <w:r w:rsidRPr="00637F2C">
              <w:rPr>
                <w:rFonts w:ascii="Calibri" w:eastAsia="Times New Roman" w:hAnsi="Calibri" w:cs="Calibri"/>
                <w:b/>
                <w:color w:val="000000"/>
                <w:sz w:val="18"/>
                <w:szCs w:val="18"/>
                <w:vertAlign w:val="subscript"/>
              </w:rPr>
              <w:t>2</w:t>
            </w:r>
            <w:r w:rsidRPr="00637F2C">
              <w:rPr>
                <w:rFonts w:ascii="Calibri" w:eastAsia="Times New Roman" w:hAnsi="Calibri" w:cs="Calibri"/>
                <w:b/>
                <w:color w:val="000000"/>
                <w:sz w:val="18"/>
                <w:szCs w:val="18"/>
              </w:rPr>
              <w:t>e)</w:t>
            </w:r>
          </w:p>
        </w:tc>
        <w:tc>
          <w:tcPr>
            <w:tcW w:w="1053" w:type="pct"/>
            <w:tcBorders>
              <w:top w:val="single" w:sz="4" w:space="0" w:color="auto"/>
              <w:left w:val="single" w:sz="4" w:space="0" w:color="auto"/>
              <w:bottom w:val="single" w:sz="4" w:space="0" w:color="auto"/>
              <w:right w:val="single" w:sz="4" w:space="0" w:color="auto"/>
            </w:tcBorders>
            <w:shd w:val="clear" w:color="auto" w:fill="FFC000"/>
            <w:noWrap/>
            <w:vAlign w:val="center"/>
          </w:tcPr>
          <w:p w14:paraId="36B6339F" w14:textId="77777777" w:rsidR="00087079" w:rsidRPr="00637F2C" w:rsidRDefault="00087079" w:rsidP="00637F2C">
            <w:pPr>
              <w:spacing w:after="0" w:line="240" w:lineRule="auto"/>
              <w:jc w:val="center"/>
              <w:rPr>
                <w:rFonts w:ascii="Calibri" w:eastAsia="Times New Roman" w:hAnsi="Calibri" w:cs="Calibri"/>
                <w:b/>
                <w:color w:val="000000"/>
                <w:sz w:val="18"/>
                <w:szCs w:val="18"/>
              </w:rPr>
            </w:pPr>
            <w:r w:rsidRPr="00637F2C">
              <w:rPr>
                <w:rFonts w:ascii="Calibri" w:eastAsia="Times New Roman" w:hAnsi="Calibri" w:cs="Calibri"/>
                <w:b/>
                <w:color w:val="000000"/>
                <w:sz w:val="18"/>
                <w:szCs w:val="18"/>
              </w:rPr>
              <w:t>Contribution to uncertainty (%)</w:t>
            </w:r>
          </w:p>
        </w:tc>
        <w:tc>
          <w:tcPr>
            <w:tcW w:w="1052" w:type="pct"/>
            <w:tcBorders>
              <w:top w:val="single" w:sz="4" w:space="0" w:color="auto"/>
              <w:left w:val="single" w:sz="4" w:space="0" w:color="auto"/>
              <w:bottom w:val="single" w:sz="4" w:space="0" w:color="auto"/>
              <w:right w:val="single" w:sz="4" w:space="0" w:color="auto"/>
            </w:tcBorders>
            <w:shd w:val="clear" w:color="auto" w:fill="FFC000"/>
            <w:vAlign w:val="center"/>
          </w:tcPr>
          <w:p w14:paraId="06E72E3C" w14:textId="1501106A" w:rsidR="00087079" w:rsidRPr="00637F2C" w:rsidRDefault="00087079" w:rsidP="00637F2C">
            <w:pPr>
              <w:spacing w:after="0" w:line="240" w:lineRule="auto"/>
              <w:jc w:val="center"/>
              <w:rPr>
                <w:rFonts w:ascii="Calibri" w:eastAsia="Times New Roman" w:hAnsi="Calibri" w:cs="Calibri"/>
                <w:b/>
                <w:color w:val="000000"/>
                <w:sz w:val="18"/>
                <w:szCs w:val="18"/>
              </w:rPr>
            </w:pPr>
            <w:r w:rsidRPr="00637F2C">
              <w:rPr>
                <w:rFonts w:ascii="Calibri" w:eastAsia="Times New Roman" w:hAnsi="Calibri" w:cs="Calibri"/>
                <w:b/>
                <w:color w:val="000000"/>
                <w:sz w:val="18"/>
                <w:szCs w:val="18"/>
              </w:rPr>
              <w:t>Contribution to uncertainty</w:t>
            </w:r>
          </w:p>
          <w:p w14:paraId="6DE5749B" w14:textId="77777777" w:rsidR="00087079" w:rsidRPr="00637F2C" w:rsidDel="001D4241" w:rsidRDefault="00087079" w:rsidP="00637F2C">
            <w:pPr>
              <w:spacing w:after="0" w:line="240" w:lineRule="auto"/>
              <w:jc w:val="center"/>
              <w:rPr>
                <w:rFonts w:ascii="Calibri" w:eastAsia="Times New Roman" w:hAnsi="Calibri" w:cs="Calibri"/>
                <w:b/>
                <w:color w:val="000000"/>
                <w:sz w:val="18"/>
                <w:szCs w:val="18"/>
              </w:rPr>
            </w:pPr>
            <w:r w:rsidRPr="00637F2C">
              <w:rPr>
                <w:rFonts w:ascii="Calibri" w:eastAsia="Times New Roman" w:hAnsi="Calibri" w:cs="Calibri"/>
                <w:b/>
                <w:color w:val="000000"/>
                <w:sz w:val="18"/>
                <w:szCs w:val="18"/>
              </w:rPr>
              <w:t>(MMT CO</w:t>
            </w:r>
            <w:r w:rsidRPr="00637F2C">
              <w:rPr>
                <w:rFonts w:ascii="Calibri" w:eastAsia="Times New Roman" w:hAnsi="Calibri" w:cs="Calibri"/>
                <w:b/>
                <w:color w:val="000000"/>
                <w:sz w:val="18"/>
                <w:szCs w:val="18"/>
                <w:vertAlign w:val="subscript"/>
              </w:rPr>
              <w:t>2</w:t>
            </w:r>
            <w:r w:rsidRPr="00637F2C">
              <w:rPr>
                <w:rFonts w:ascii="Calibri" w:eastAsia="Times New Roman" w:hAnsi="Calibri" w:cs="Calibri"/>
                <w:b/>
                <w:color w:val="000000"/>
                <w:sz w:val="18"/>
                <w:szCs w:val="18"/>
              </w:rPr>
              <w:t>e)</w:t>
            </w:r>
          </w:p>
        </w:tc>
      </w:tr>
      <w:tr w:rsidR="00087079" w:rsidRPr="00ED4794" w14:paraId="4EEE9993" w14:textId="77777777" w:rsidTr="00764B5B">
        <w:trPr>
          <w:cantSplit/>
          <w:trHeight w:val="439"/>
        </w:trPr>
        <w:tc>
          <w:tcPr>
            <w:tcW w:w="1842" w:type="pct"/>
            <w:tcBorders>
              <w:top w:val="single" w:sz="4" w:space="0" w:color="auto"/>
              <w:left w:val="single" w:sz="4" w:space="0" w:color="auto"/>
              <w:bottom w:val="single" w:sz="4" w:space="0" w:color="auto"/>
              <w:right w:val="single" w:sz="4" w:space="0" w:color="auto"/>
            </w:tcBorders>
            <w:vAlign w:val="center"/>
          </w:tcPr>
          <w:p w14:paraId="1460F160" w14:textId="44C0A96A" w:rsidR="00087079" w:rsidRPr="00ED4794" w:rsidRDefault="001E048A" w:rsidP="00764B5B">
            <w:pPr>
              <w:spacing w:after="0" w:line="240" w:lineRule="auto"/>
              <w:rPr>
                <w:rFonts w:ascii="Calibri" w:eastAsia="Times New Roman" w:hAnsi="Calibri" w:cs="Calibri"/>
                <w:b/>
                <w:color w:val="000000"/>
                <w:sz w:val="18"/>
                <w:szCs w:val="18"/>
              </w:rPr>
            </w:pPr>
            <w:r>
              <w:rPr>
                <w:rFonts w:ascii="Calibri" w:eastAsia="Times New Roman" w:hAnsi="Calibri" w:cs="Calibri"/>
                <w:b/>
                <w:color w:val="000000"/>
                <w:sz w:val="18"/>
                <w:szCs w:val="18"/>
              </w:rPr>
              <w:t>None (all vary)</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18B40F" w14:textId="76E7F99E" w:rsidR="00087079" w:rsidRPr="00ED4794" w:rsidRDefault="00087079" w:rsidP="00637F2C">
            <w:pPr>
              <w:spacing w:after="0" w:line="240" w:lineRule="auto"/>
              <w:jc w:val="center"/>
              <w:rPr>
                <w:rFonts w:ascii="Calibri" w:eastAsia="Times New Roman" w:hAnsi="Calibri" w:cs="Calibri"/>
                <w:color w:val="000000"/>
                <w:sz w:val="18"/>
                <w:szCs w:val="18"/>
              </w:rPr>
            </w:pPr>
            <w:r w:rsidRPr="00ED4794">
              <w:rPr>
                <w:rFonts w:ascii="Calibri" w:eastAsia="Times New Roman" w:hAnsi="Calibri" w:cs="Calibri"/>
                <w:color w:val="000000"/>
                <w:sz w:val="18"/>
                <w:szCs w:val="18"/>
              </w:rPr>
              <w:t>2.</w:t>
            </w:r>
            <w:r w:rsidR="00637F2C">
              <w:rPr>
                <w:rFonts w:ascii="Calibri" w:eastAsia="Times New Roman" w:hAnsi="Calibri" w:cs="Calibri"/>
                <w:color w:val="000000"/>
                <w:sz w:val="18"/>
                <w:szCs w:val="18"/>
              </w:rPr>
              <w:t>5</w:t>
            </w:r>
            <w:r w:rsidR="00AD1E50">
              <w:rPr>
                <w:rFonts w:ascii="Calibri" w:eastAsia="Times New Roman" w:hAnsi="Calibri" w:cs="Calibri"/>
                <w:color w:val="000000"/>
                <w:sz w:val="18"/>
                <w:szCs w:val="18"/>
              </w:rPr>
              <w:t>2</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C08887" w14:textId="77777777" w:rsidR="00087079" w:rsidRPr="00ED4794" w:rsidRDefault="00087079" w:rsidP="00637F2C">
            <w:pPr>
              <w:spacing w:after="0" w:line="240" w:lineRule="auto"/>
              <w:jc w:val="center"/>
              <w:rPr>
                <w:rFonts w:ascii="Calibri" w:eastAsia="Times New Roman" w:hAnsi="Calibri" w:cs="Calibri"/>
                <w:color w:val="000000"/>
                <w:sz w:val="18"/>
                <w:szCs w:val="18"/>
              </w:rPr>
            </w:pPr>
            <w:r w:rsidRPr="00ED4794">
              <w:rPr>
                <w:rFonts w:ascii="Calibri" w:eastAsia="Times New Roman" w:hAnsi="Calibri" w:cs="Calibri"/>
                <w:color w:val="000000"/>
                <w:sz w:val="18"/>
                <w:szCs w:val="18"/>
              </w:rPr>
              <w:t>-</w:t>
            </w:r>
          </w:p>
        </w:tc>
        <w:tc>
          <w:tcPr>
            <w:tcW w:w="1052" w:type="pct"/>
            <w:tcBorders>
              <w:top w:val="single" w:sz="4" w:space="0" w:color="auto"/>
              <w:left w:val="single" w:sz="4" w:space="0" w:color="auto"/>
              <w:bottom w:val="single" w:sz="4" w:space="0" w:color="auto"/>
              <w:right w:val="single" w:sz="4" w:space="0" w:color="auto"/>
            </w:tcBorders>
            <w:vAlign w:val="center"/>
          </w:tcPr>
          <w:p w14:paraId="61427E27" w14:textId="77777777" w:rsidR="00087079" w:rsidRPr="00ED4794" w:rsidRDefault="00087079" w:rsidP="00637F2C">
            <w:pPr>
              <w:spacing w:after="0" w:line="240" w:lineRule="auto"/>
              <w:jc w:val="center"/>
              <w:rPr>
                <w:rFonts w:ascii="Calibri" w:eastAsia="Times New Roman" w:hAnsi="Calibri" w:cs="Calibri"/>
                <w:color w:val="000000"/>
                <w:sz w:val="18"/>
                <w:szCs w:val="18"/>
              </w:rPr>
            </w:pPr>
            <w:r w:rsidRPr="00ED4794">
              <w:rPr>
                <w:rFonts w:ascii="Calibri" w:eastAsia="Times New Roman" w:hAnsi="Calibri" w:cs="Calibri"/>
                <w:color w:val="000000"/>
                <w:sz w:val="18"/>
                <w:szCs w:val="18"/>
              </w:rPr>
              <w:t>-</w:t>
            </w:r>
          </w:p>
        </w:tc>
      </w:tr>
      <w:tr w:rsidR="00087079" w:rsidRPr="00ED4794" w14:paraId="56939D04" w14:textId="77777777" w:rsidTr="00764B5B">
        <w:trPr>
          <w:cantSplit/>
          <w:trHeight w:val="439"/>
        </w:trPr>
        <w:tc>
          <w:tcPr>
            <w:tcW w:w="1842" w:type="pct"/>
            <w:tcBorders>
              <w:top w:val="single" w:sz="4" w:space="0" w:color="auto"/>
              <w:left w:val="single" w:sz="4" w:space="0" w:color="auto"/>
              <w:bottom w:val="single" w:sz="4" w:space="0" w:color="auto"/>
              <w:right w:val="single" w:sz="4" w:space="0" w:color="auto"/>
            </w:tcBorders>
            <w:vAlign w:val="center"/>
          </w:tcPr>
          <w:p w14:paraId="32867C76" w14:textId="77777777" w:rsidR="00087079" w:rsidRPr="00ED4794" w:rsidRDefault="00087079" w:rsidP="00764B5B">
            <w:pPr>
              <w:spacing w:after="0" w:line="240" w:lineRule="auto"/>
              <w:rPr>
                <w:rFonts w:ascii="Calibri" w:eastAsia="Times New Roman" w:hAnsi="Calibri" w:cs="Calibri"/>
                <w:b/>
                <w:color w:val="000000"/>
                <w:sz w:val="18"/>
                <w:szCs w:val="18"/>
              </w:rPr>
            </w:pPr>
            <w:r w:rsidRPr="00ED4794">
              <w:rPr>
                <w:rFonts w:ascii="Calibri" w:eastAsia="Times New Roman" w:hAnsi="Calibri" w:cs="Calibri"/>
                <w:b/>
                <w:color w:val="000000"/>
                <w:sz w:val="18"/>
                <w:szCs w:val="18"/>
              </w:rPr>
              <w:t>Burned area</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618F75" w14:textId="3C6015B7" w:rsidR="00087079" w:rsidRPr="00ED4794" w:rsidRDefault="00087079" w:rsidP="00637F2C">
            <w:pPr>
              <w:spacing w:after="0" w:line="240" w:lineRule="auto"/>
              <w:jc w:val="center"/>
              <w:rPr>
                <w:rFonts w:ascii="Calibri" w:eastAsia="Times New Roman" w:hAnsi="Calibri" w:cs="Calibri"/>
                <w:color w:val="000000"/>
                <w:sz w:val="18"/>
                <w:szCs w:val="18"/>
              </w:rPr>
            </w:pPr>
            <w:r w:rsidRPr="00ED4794">
              <w:rPr>
                <w:rFonts w:ascii="Calibri" w:eastAsia="Times New Roman" w:hAnsi="Calibri" w:cs="Calibri"/>
                <w:color w:val="000000"/>
                <w:sz w:val="18"/>
                <w:szCs w:val="18"/>
              </w:rPr>
              <w:t>2.5</w:t>
            </w:r>
            <w:r>
              <w:rPr>
                <w:rFonts w:ascii="Calibri" w:eastAsia="Times New Roman" w:hAnsi="Calibri" w:cs="Calibri"/>
                <w:color w:val="000000"/>
                <w:sz w:val="18"/>
                <w:szCs w:val="18"/>
              </w:rPr>
              <w:t>1</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C97E7A" w14:textId="680D15F6" w:rsidR="00087079" w:rsidRPr="00ED4794" w:rsidRDefault="00087079" w:rsidP="00637F2C">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0.3</w:t>
            </w:r>
          </w:p>
        </w:tc>
        <w:tc>
          <w:tcPr>
            <w:tcW w:w="1052" w:type="pct"/>
            <w:tcBorders>
              <w:top w:val="single" w:sz="4" w:space="0" w:color="auto"/>
              <w:left w:val="single" w:sz="4" w:space="0" w:color="auto"/>
              <w:bottom w:val="single" w:sz="4" w:space="0" w:color="auto"/>
              <w:right w:val="single" w:sz="4" w:space="0" w:color="auto"/>
            </w:tcBorders>
            <w:vAlign w:val="center"/>
          </w:tcPr>
          <w:p w14:paraId="4E05FBA4" w14:textId="77777777" w:rsidR="00087079" w:rsidRPr="007A2E78" w:rsidRDefault="00087079" w:rsidP="00637F2C">
            <w:pPr>
              <w:spacing w:after="0" w:line="240" w:lineRule="auto"/>
              <w:jc w:val="center"/>
              <w:rPr>
                <w:rFonts w:ascii="Calibri" w:eastAsia="Times New Roman" w:hAnsi="Calibri" w:cs="Calibri"/>
                <w:color w:val="000000"/>
                <w:sz w:val="18"/>
                <w:szCs w:val="18"/>
              </w:rPr>
            </w:pPr>
            <w:r w:rsidRPr="00B46585">
              <w:rPr>
                <w:rFonts w:ascii="Calibri" w:eastAsia="Times New Roman" w:hAnsi="Calibri" w:cs="Calibri"/>
                <w:color w:val="000000"/>
                <w:sz w:val="18"/>
                <w:szCs w:val="18"/>
              </w:rPr>
              <w:t>0.0</w:t>
            </w:r>
          </w:p>
        </w:tc>
      </w:tr>
      <w:tr w:rsidR="00087079" w:rsidRPr="00ED4794" w14:paraId="1814D935" w14:textId="77777777" w:rsidTr="00764B5B">
        <w:trPr>
          <w:cantSplit/>
          <w:trHeight w:val="439"/>
        </w:trPr>
        <w:tc>
          <w:tcPr>
            <w:tcW w:w="1842" w:type="pct"/>
            <w:tcBorders>
              <w:top w:val="single" w:sz="4" w:space="0" w:color="auto"/>
              <w:left w:val="single" w:sz="4" w:space="0" w:color="auto"/>
              <w:bottom w:val="single" w:sz="4" w:space="0" w:color="auto"/>
              <w:right w:val="single" w:sz="4" w:space="0" w:color="auto"/>
            </w:tcBorders>
            <w:vAlign w:val="center"/>
          </w:tcPr>
          <w:p w14:paraId="77FB8581" w14:textId="77777777" w:rsidR="00087079" w:rsidRPr="00ED4794" w:rsidRDefault="00087079" w:rsidP="00764B5B">
            <w:pPr>
              <w:spacing w:after="0" w:line="240" w:lineRule="auto"/>
              <w:rPr>
                <w:rFonts w:ascii="Calibri" w:eastAsia="Times New Roman" w:hAnsi="Calibri" w:cs="Calibri"/>
                <w:b/>
                <w:color w:val="000000"/>
                <w:sz w:val="18"/>
                <w:szCs w:val="18"/>
              </w:rPr>
            </w:pPr>
            <w:r w:rsidRPr="00ED4794">
              <w:rPr>
                <w:rFonts w:ascii="Calibri" w:eastAsia="Times New Roman" w:hAnsi="Calibri" w:cs="Calibri"/>
                <w:b/>
                <w:color w:val="000000"/>
                <w:sz w:val="18"/>
                <w:szCs w:val="18"/>
              </w:rPr>
              <w:t>Fuel availability</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3DAB04" w14:textId="4D2DD5F0" w:rsidR="00087079" w:rsidRPr="00ED4794" w:rsidRDefault="00087079" w:rsidP="00637F2C">
            <w:pPr>
              <w:spacing w:after="0" w:line="240" w:lineRule="auto"/>
              <w:jc w:val="center"/>
              <w:rPr>
                <w:rFonts w:ascii="Calibri" w:eastAsia="Times New Roman" w:hAnsi="Calibri" w:cs="Calibri"/>
                <w:color w:val="000000"/>
                <w:sz w:val="18"/>
                <w:szCs w:val="18"/>
              </w:rPr>
            </w:pPr>
            <w:r w:rsidRPr="00ED4794">
              <w:rPr>
                <w:rFonts w:ascii="Calibri" w:eastAsia="Times New Roman" w:hAnsi="Calibri" w:cs="Calibri"/>
                <w:color w:val="000000"/>
                <w:sz w:val="18"/>
                <w:szCs w:val="18"/>
              </w:rPr>
              <w:t>0.96</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D66363" w14:textId="5910604C" w:rsidR="00087079" w:rsidRPr="00ED4794" w:rsidRDefault="00087079" w:rsidP="00637F2C">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99.1</w:t>
            </w:r>
          </w:p>
        </w:tc>
        <w:tc>
          <w:tcPr>
            <w:tcW w:w="1052" w:type="pct"/>
            <w:tcBorders>
              <w:top w:val="single" w:sz="4" w:space="0" w:color="auto"/>
              <w:left w:val="single" w:sz="4" w:space="0" w:color="auto"/>
              <w:bottom w:val="single" w:sz="4" w:space="0" w:color="auto"/>
              <w:right w:val="single" w:sz="4" w:space="0" w:color="auto"/>
            </w:tcBorders>
            <w:vAlign w:val="center"/>
          </w:tcPr>
          <w:p w14:paraId="32AFA9E1" w14:textId="77777777" w:rsidR="00087079" w:rsidRPr="007A2E78" w:rsidRDefault="00087079" w:rsidP="00637F2C">
            <w:pPr>
              <w:spacing w:after="0" w:line="240" w:lineRule="auto"/>
              <w:jc w:val="center"/>
              <w:rPr>
                <w:rFonts w:ascii="Calibri" w:eastAsia="Times New Roman" w:hAnsi="Calibri" w:cs="Calibri"/>
                <w:color w:val="000000"/>
                <w:sz w:val="18"/>
                <w:szCs w:val="18"/>
              </w:rPr>
            </w:pPr>
            <w:r w:rsidRPr="00B46585">
              <w:rPr>
                <w:rFonts w:ascii="Calibri" w:eastAsia="Times New Roman" w:hAnsi="Calibri" w:cs="Calibri"/>
                <w:color w:val="000000"/>
                <w:sz w:val="18"/>
                <w:szCs w:val="18"/>
              </w:rPr>
              <w:t>2.5</w:t>
            </w:r>
          </w:p>
        </w:tc>
      </w:tr>
      <w:tr w:rsidR="00087079" w:rsidRPr="00ED4794" w14:paraId="4C20E296" w14:textId="77777777" w:rsidTr="00764B5B">
        <w:trPr>
          <w:cantSplit/>
          <w:trHeight w:val="439"/>
        </w:trPr>
        <w:tc>
          <w:tcPr>
            <w:tcW w:w="1842" w:type="pct"/>
            <w:tcBorders>
              <w:top w:val="single" w:sz="4" w:space="0" w:color="auto"/>
              <w:left w:val="single" w:sz="4" w:space="0" w:color="auto"/>
              <w:bottom w:val="single" w:sz="4" w:space="0" w:color="auto"/>
              <w:right w:val="single" w:sz="4" w:space="0" w:color="auto"/>
            </w:tcBorders>
            <w:vAlign w:val="center"/>
          </w:tcPr>
          <w:p w14:paraId="72DD9021" w14:textId="77777777" w:rsidR="00087079" w:rsidRPr="00ED4794" w:rsidRDefault="00087079" w:rsidP="00764B5B">
            <w:pPr>
              <w:spacing w:after="0" w:line="240" w:lineRule="auto"/>
              <w:rPr>
                <w:rFonts w:ascii="Calibri" w:eastAsia="Times New Roman" w:hAnsi="Calibri" w:cs="Calibri"/>
                <w:b/>
                <w:color w:val="000000"/>
                <w:sz w:val="18"/>
                <w:szCs w:val="18"/>
              </w:rPr>
            </w:pPr>
            <w:r w:rsidRPr="00ED4794">
              <w:rPr>
                <w:rFonts w:ascii="Calibri" w:eastAsia="Times New Roman" w:hAnsi="Calibri" w:cs="Calibri"/>
                <w:b/>
                <w:color w:val="000000"/>
                <w:sz w:val="18"/>
                <w:szCs w:val="18"/>
              </w:rPr>
              <w:t>Emission factors</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EF45F0" w14:textId="1304BFA0" w:rsidR="00087079" w:rsidRPr="00ED4794" w:rsidRDefault="00087079" w:rsidP="00637F2C">
            <w:pPr>
              <w:spacing w:after="0" w:line="240" w:lineRule="auto"/>
              <w:jc w:val="center"/>
              <w:rPr>
                <w:rFonts w:ascii="Calibri" w:eastAsia="Times New Roman" w:hAnsi="Calibri" w:cs="Calibri"/>
                <w:color w:val="000000"/>
                <w:sz w:val="18"/>
                <w:szCs w:val="18"/>
              </w:rPr>
            </w:pPr>
            <w:r w:rsidRPr="00ED4794">
              <w:rPr>
                <w:rFonts w:ascii="Calibri" w:eastAsia="Times New Roman" w:hAnsi="Calibri" w:cs="Calibri"/>
                <w:color w:val="000000"/>
                <w:sz w:val="18"/>
                <w:szCs w:val="18"/>
              </w:rPr>
              <w:t>2.5</w:t>
            </w:r>
            <w:r w:rsidR="00AD1E50">
              <w:rPr>
                <w:rFonts w:ascii="Calibri" w:eastAsia="Times New Roman" w:hAnsi="Calibri" w:cs="Calibri"/>
                <w:color w:val="000000"/>
                <w:sz w:val="18"/>
                <w:szCs w:val="18"/>
              </w:rPr>
              <w:t>1</w:t>
            </w:r>
          </w:p>
        </w:tc>
        <w:tc>
          <w:tcPr>
            <w:tcW w:w="10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5ADD15" w14:textId="644B2CF5" w:rsidR="00087079" w:rsidRPr="00ED4794" w:rsidRDefault="00087079" w:rsidP="00637F2C">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0.6</w:t>
            </w:r>
          </w:p>
        </w:tc>
        <w:tc>
          <w:tcPr>
            <w:tcW w:w="1052" w:type="pct"/>
            <w:tcBorders>
              <w:top w:val="single" w:sz="4" w:space="0" w:color="auto"/>
              <w:left w:val="single" w:sz="4" w:space="0" w:color="auto"/>
              <w:bottom w:val="single" w:sz="4" w:space="0" w:color="auto"/>
              <w:right w:val="single" w:sz="4" w:space="0" w:color="auto"/>
            </w:tcBorders>
            <w:vAlign w:val="center"/>
          </w:tcPr>
          <w:p w14:paraId="0EE040C1" w14:textId="77777777" w:rsidR="00087079" w:rsidRPr="007A2E78" w:rsidRDefault="00087079" w:rsidP="00637F2C">
            <w:pPr>
              <w:spacing w:after="0" w:line="240" w:lineRule="auto"/>
              <w:jc w:val="center"/>
              <w:rPr>
                <w:rFonts w:ascii="Calibri" w:eastAsia="Times New Roman" w:hAnsi="Calibri" w:cs="Calibri"/>
                <w:color w:val="000000"/>
                <w:sz w:val="18"/>
                <w:szCs w:val="18"/>
              </w:rPr>
            </w:pPr>
            <w:r w:rsidRPr="00B46585">
              <w:rPr>
                <w:rFonts w:ascii="Calibri" w:eastAsia="Times New Roman" w:hAnsi="Calibri" w:cs="Calibri"/>
                <w:color w:val="000000"/>
                <w:sz w:val="18"/>
                <w:szCs w:val="18"/>
              </w:rPr>
              <w:t>0.0</w:t>
            </w:r>
          </w:p>
        </w:tc>
      </w:tr>
    </w:tbl>
    <w:p w14:paraId="38783DF4" w14:textId="77777777" w:rsidR="00322E2A" w:rsidRDefault="00322E2A" w:rsidP="00875DB4">
      <w:pPr>
        <w:spacing w:after="0" w:line="276" w:lineRule="auto"/>
        <w:jc w:val="both"/>
      </w:pPr>
    </w:p>
    <w:p w14:paraId="0B7AF3A9" w14:textId="18993333" w:rsidR="0006086B" w:rsidRPr="008B49DE" w:rsidRDefault="0006086B" w:rsidP="0006086B">
      <w:pPr>
        <w:pStyle w:val="2-Header"/>
        <w:numPr>
          <w:ilvl w:val="0"/>
          <w:numId w:val="0"/>
        </w:numPr>
        <w:ind w:left="576" w:hanging="576"/>
        <w:rPr>
          <w:rStyle w:val="Strong"/>
        </w:rPr>
      </w:pPr>
      <w:r>
        <w:t>Discussion</w:t>
      </w:r>
    </w:p>
    <w:p w14:paraId="25972AD7" w14:textId="7FD35FB9" w:rsidR="0006086B" w:rsidRPr="00ED4794" w:rsidRDefault="000D5C1C" w:rsidP="0006086B">
      <w:pPr>
        <w:spacing w:after="0" w:line="276" w:lineRule="auto"/>
        <w:jc w:val="both"/>
      </w:pPr>
      <w:r>
        <w:t>N</w:t>
      </w:r>
      <w:r w:rsidR="0006086B">
        <w:t>on-CO</w:t>
      </w:r>
      <w:r w:rsidR="0006086B" w:rsidRPr="00B46585">
        <w:rPr>
          <w:vertAlign w:val="subscript"/>
        </w:rPr>
        <w:t>2</w:t>
      </w:r>
      <w:r w:rsidR="0006086B">
        <w:t xml:space="preserve"> emissions from grassland fires are likely underestimated since the calculation excludes emissions from: (1) grassland fires in Alaska and (2) combustion of woody biomass. We estimate the non-CO</w:t>
      </w:r>
      <w:r w:rsidR="0006086B" w:rsidRPr="00B46585">
        <w:rPr>
          <w:vertAlign w:val="subscript"/>
        </w:rPr>
        <w:t>2</w:t>
      </w:r>
      <w:r w:rsidR="0006086B">
        <w:t xml:space="preserve"> emissions associated with combustion of woody biomass on managed non-Alaskan grasslands in Section </w:t>
      </w:r>
      <w:r w:rsidR="007D6D6E">
        <w:t xml:space="preserve">2, </w:t>
      </w:r>
      <w:r w:rsidR="0006086B">
        <w:t>3.</w:t>
      </w:r>
      <w:r w:rsidR="001B5A68">
        <w:t>4</w:t>
      </w:r>
      <w:r w:rsidR="0006086B">
        <w:t xml:space="preserve">, </w:t>
      </w:r>
      <w:r w:rsidR="008E2DBE">
        <w:t>Omitted GHG fluxes in c</w:t>
      </w:r>
      <w:r w:rsidR="0006086B">
        <w:t xml:space="preserve">ropland and </w:t>
      </w:r>
      <w:r w:rsidR="008E2DBE">
        <w:t>g</w:t>
      </w:r>
      <w:r w:rsidR="0006086B">
        <w:t xml:space="preserve">rassland. </w:t>
      </w:r>
    </w:p>
    <w:p w14:paraId="51E42438" w14:textId="70B899C2" w:rsidR="00A32B72" w:rsidRDefault="00A32B72" w:rsidP="00637F2C">
      <w:pPr>
        <w:keepNext/>
        <w:spacing w:after="0" w:line="276" w:lineRule="auto"/>
        <w:rPr>
          <w:color w:val="FF0000"/>
        </w:rPr>
      </w:pPr>
    </w:p>
    <w:p w14:paraId="32243985" w14:textId="77777777" w:rsidR="0085548D" w:rsidRDefault="0085548D" w:rsidP="00637F2C">
      <w:pPr>
        <w:keepNext/>
        <w:spacing w:after="0" w:line="276" w:lineRule="auto"/>
        <w:rPr>
          <w:color w:val="FF0000"/>
        </w:rPr>
      </w:pPr>
    </w:p>
    <w:p w14:paraId="038E14B2" w14:textId="284E6691" w:rsidR="00243068" w:rsidRDefault="00195F4D" w:rsidP="000B2554">
      <w:pPr>
        <w:pStyle w:val="Heading2"/>
        <w:numPr>
          <w:ilvl w:val="1"/>
          <w:numId w:val="8"/>
        </w:numPr>
      </w:pPr>
      <w:r>
        <w:t>Omitted GHG fluxes in c</w:t>
      </w:r>
      <w:r w:rsidR="00877312">
        <w:t xml:space="preserve">ropland and </w:t>
      </w:r>
      <w:r>
        <w:t>g</w:t>
      </w:r>
      <w:r w:rsidR="00877312">
        <w:t>rassland</w:t>
      </w:r>
    </w:p>
    <w:p w14:paraId="50865859" w14:textId="345F7458" w:rsidR="00467758" w:rsidRPr="00587718" w:rsidRDefault="00853000" w:rsidP="00637F2C">
      <w:pPr>
        <w:spacing w:before="240"/>
      </w:pPr>
      <w:r>
        <w:t>W</w:t>
      </w:r>
      <w:r w:rsidR="008B7A01" w:rsidRPr="00587718">
        <w:t xml:space="preserve">e identify </w:t>
      </w:r>
      <w:r w:rsidR="002043D2">
        <w:t>five</w:t>
      </w:r>
      <w:r w:rsidR="002043D2" w:rsidRPr="00587718">
        <w:t xml:space="preserve"> </w:t>
      </w:r>
      <w:r>
        <w:t xml:space="preserve">cropland and grassland </w:t>
      </w:r>
      <w:r w:rsidR="008B7A01" w:rsidRPr="00587718">
        <w:t xml:space="preserve">omitted </w:t>
      </w:r>
      <w:r>
        <w:t xml:space="preserve">GHG </w:t>
      </w:r>
      <w:r w:rsidR="008B7A01" w:rsidRPr="00587718">
        <w:t>fluxes</w:t>
      </w:r>
      <w:r>
        <w:t>:</w:t>
      </w:r>
      <w:r w:rsidR="008B7A01" w:rsidRPr="00587718">
        <w:t xml:space="preserve"> woody biomass and litter;</w:t>
      </w:r>
      <w:r w:rsidR="002043D2">
        <w:t xml:space="preserve"> non-CO</w:t>
      </w:r>
      <w:r w:rsidR="002043D2" w:rsidRPr="00055697">
        <w:rPr>
          <w:vertAlign w:val="subscript"/>
        </w:rPr>
        <w:t>2</w:t>
      </w:r>
      <w:r w:rsidR="002043D2">
        <w:t xml:space="preserve"> emissions from woody biomass in grassland fires;</w:t>
      </w:r>
      <w:r w:rsidR="008B7A01" w:rsidRPr="00587718">
        <w:t xml:space="preserve"> </w:t>
      </w:r>
      <w:r w:rsidR="002043D2">
        <w:t xml:space="preserve">soil </w:t>
      </w:r>
      <w:r w:rsidR="002043D2" w:rsidRPr="00587718">
        <w:t xml:space="preserve">microbial </w:t>
      </w:r>
      <w:r w:rsidR="002043D2">
        <w:t>CH</w:t>
      </w:r>
      <w:r w:rsidR="002043D2" w:rsidRPr="00055697">
        <w:rPr>
          <w:vertAlign w:val="subscript"/>
        </w:rPr>
        <w:t>4</w:t>
      </w:r>
      <w:r w:rsidR="002043D2">
        <w:t xml:space="preserve"> fluxes</w:t>
      </w:r>
      <w:r w:rsidR="008B7A01" w:rsidRPr="00587718">
        <w:t xml:space="preserve">; </w:t>
      </w:r>
      <w:r>
        <w:t xml:space="preserve">various </w:t>
      </w:r>
      <w:r w:rsidR="008B7A01" w:rsidRPr="00587718">
        <w:t>sinks and sources on federal cropland and grassland; and croplands</w:t>
      </w:r>
      <w:r>
        <w:t xml:space="preserve"> not included in the NGHGI</w:t>
      </w:r>
      <w:r w:rsidR="008B7A01" w:rsidRPr="00587718">
        <w:t xml:space="preserve">. We describe the methods and results of first order estimates of each </w:t>
      </w:r>
      <w:r w:rsidR="005A7411">
        <w:t>omitted GHG flux</w:t>
      </w:r>
      <w:r w:rsidR="008B7A01" w:rsidRPr="00587718">
        <w:t>.</w:t>
      </w:r>
    </w:p>
    <w:p w14:paraId="507427F1" w14:textId="1F83E48C" w:rsidR="004542B6" w:rsidRDefault="004542B6" w:rsidP="001F76BD">
      <w:pPr>
        <w:pStyle w:val="4-Heading"/>
      </w:pPr>
      <w:r w:rsidRPr="004542B6">
        <w:t>Other Croplands</w:t>
      </w:r>
    </w:p>
    <w:p w14:paraId="632FA27C" w14:textId="51319C7C" w:rsidR="00EB08D4" w:rsidRPr="00587718" w:rsidRDefault="00467758" w:rsidP="00997A8E">
      <w:pPr>
        <w:rPr>
          <w:i/>
        </w:rPr>
      </w:pPr>
      <w:r>
        <w:t>The NGHGI</w:t>
      </w:r>
      <w:r w:rsidR="005A7411">
        <w:t xml:space="preserve"> (2018)</w:t>
      </w:r>
      <w:r>
        <w:t xml:space="preserve"> notes that emissions from 0.</w:t>
      </w:r>
      <w:r w:rsidR="00997A8E">
        <w:t>8</w:t>
      </w:r>
      <w:r>
        <w:t>% of cropland is not accounted for</w:t>
      </w:r>
      <w:r w:rsidR="00322E2A">
        <w:t xml:space="preserve"> (updated to 0.3% in the 2019 NGHGI)</w:t>
      </w:r>
      <w:r>
        <w:t xml:space="preserve">, </w:t>
      </w:r>
      <w:r w:rsidR="00E707CA">
        <w:t xml:space="preserve">largely comprised of aquaculture fields and cropland located in </w:t>
      </w:r>
      <w:r>
        <w:t xml:space="preserve">Alaska and the U.S. territories. </w:t>
      </w:r>
      <w:r w:rsidR="005A7411">
        <w:t>We estimate the omitted flux from Alaskan croplands below in Section 6: Alaska, Hawaii, and U.S. Territories.</w:t>
      </w:r>
      <w:r w:rsidR="00E707CA">
        <w:t xml:space="preserve"> We n</w:t>
      </w:r>
      <w:r>
        <w:t>ote that N</w:t>
      </w:r>
      <w:r w:rsidRPr="0022355D">
        <w:rPr>
          <w:vertAlign w:val="subscript"/>
        </w:rPr>
        <w:t>2</w:t>
      </w:r>
      <w:r>
        <w:t xml:space="preserve">O from aquaculture is included in Coastal Wetlands Remaining Coastal </w:t>
      </w:r>
      <w:r>
        <w:lastRenderedPageBreak/>
        <w:t>Wetlands</w:t>
      </w:r>
      <w:r w:rsidR="00912344">
        <w:t xml:space="preserve">, </w:t>
      </w:r>
      <w:r w:rsidR="00E707CA">
        <w:t xml:space="preserve">and discuss this further </w:t>
      </w:r>
      <w:r w:rsidR="008B7A01">
        <w:t>below.</w:t>
      </w:r>
      <w:r w:rsidR="00E707CA">
        <w:t xml:space="preserve"> Otherwise we do not estimate omitted fluxes from other croplands.</w:t>
      </w:r>
      <w:r>
        <w:t xml:space="preserve"> </w:t>
      </w:r>
    </w:p>
    <w:p w14:paraId="4234D4C4" w14:textId="27E97AC2" w:rsidR="004F4602" w:rsidRDefault="004542B6" w:rsidP="00250DD0">
      <w:pPr>
        <w:pStyle w:val="4-Heading"/>
      </w:pPr>
      <w:r>
        <w:t xml:space="preserve">Biomass and litter </w:t>
      </w:r>
    </w:p>
    <w:p w14:paraId="6F564D2A" w14:textId="20CF3625" w:rsidR="00467758" w:rsidRDefault="00467758" w:rsidP="00467758">
      <w:r>
        <w:t>IPCC guidance calls for the reporting of carbon stock changes in all significant carbon pools in croplands and grasslands.</w:t>
      </w:r>
      <w:r w:rsidR="00E707CA">
        <w:t xml:space="preserve"> As of the 2018 NGHGI,</w:t>
      </w:r>
      <w:r>
        <w:t xml:space="preserve"> only soil carbon </w:t>
      </w:r>
      <w:r w:rsidR="00E707CA">
        <w:t xml:space="preserve">was </w:t>
      </w:r>
      <w:r>
        <w:t>accounted for in the U.S. NGHGI for croplands and grasslands</w:t>
      </w:r>
      <w:r w:rsidR="00E707CA">
        <w:t>,</w:t>
      </w:r>
      <w:r w:rsidR="00912344">
        <w:t xml:space="preserve"> except </w:t>
      </w:r>
      <w:r w:rsidR="00E707CA">
        <w:t xml:space="preserve">in instances of </w:t>
      </w:r>
      <w:r w:rsidR="00912344">
        <w:t xml:space="preserve">conversions </w:t>
      </w:r>
      <w:r w:rsidR="00E707CA">
        <w:t xml:space="preserve">to and from </w:t>
      </w:r>
      <w:r w:rsidR="00912344">
        <w:t>forest</w:t>
      </w:r>
      <w:r>
        <w:t xml:space="preserve">. </w:t>
      </w:r>
      <w:r w:rsidR="00E707CA">
        <w:t>W</w:t>
      </w:r>
      <w:r>
        <w:t xml:space="preserve">e </w:t>
      </w:r>
      <w:r w:rsidR="00E707CA">
        <w:t>estimate CO</w:t>
      </w:r>
      <w:r w:rsidR="00E707CA" w:rsidRPr="003B4036">
        <w:rPr>
          <w:vertAlign w:val="subscript"/>
        </w:rPr>
        <w:t>2</w:t>
      </w:r>
      <w:r w:rsidR="00E707CA">
        <w:t xml:space="preserve"> fluxes</w:t>
      </w:r>
      <w:r>
        <w:t xml:space="preserve"> from woody biomass and litter </w:t>
      </w:r>
      <w:r w:rsidR="00912344">
        <w:t xml:space="preserve">on cropland remaining cropland and grassland remaining grassland </w:t>
      </w:r>
      <w:r>
        <w:t>by focusing on three land cover types on cropland and grassland that have significant woody biomass and, as a result, potential for significant carbon flux:</w:t>
      </w:r>
    </w:p>
    <w:p w14:paraId="5CDB2B95" w14:textId="77777777" w:rsidR="00467758" w:rsidRDefault="00467758" w:rsidP="000B2554">
      <w:pPr>
        <w:pStyle w:val="ListParagraph"/>
        <w:numPr>
          <w:ilvl w:val="0"/>
          <w:numId w:val="1"/>
        </w:numPr>
      </w:pPr>
      <w:r>
        <w:t>Agroforestry</w:t>
      </w:r>
    </w:p>
    <w:p w14:paraId="5F23DF8C" w14:textId="77777777" w:rsidR="00467758" w:rsidRDefault="00467758" w:rsidP="000B2554">
      <w:pPr>
        <w:pStyle w:val="ListParagraph"/>
        <w:numPr>
          <w:ilvl w:val="0"/>
          <w:numId w:val="1"/>
        </w:numPr>
      </w:pPr>
      <w:r>
        <w:t>Fruit and nut orchards</w:t>
      </w:r>
    </w:p>
    <w:p w14:paraId="7E43F7B0" w14:textId="77777777" w:rsidR="00467758" w:rsidRDefault="00467758" w:rsidP="000B2554">
      <w:pPr>
        <w:pStyle w:val="ListParagraph"/>
        <w:numPr>
          <w:ilvl w:val="0"/>
          <w:numId w:val="1"/>
        </w:numPr>
      </w:pPr>
      <w:r>
        <w:t>Woodlands</w:t>
      </w:r>
    </w:p>
    <w:p w14:paraId="1082287B" w14:textId="485CE6BC" w:rsidR="00467758" w:rsidRDefault="00467758" w:rsidP="00467758">
      <w:r>
        <w:t>Each section below describes the literature review and calculation methods we used to derive annual carbon flux estimates from these land cover types.</w:t>
      </w:r>
      <w:r w:rsidR="00E707CA">
        <w:t xml:space="preserve"> </w:t>
      </w:r>
    </w:p>
    <w:p w14:paraId="4A0CF8C2" w14:textId="37DEC160" w:rsidR="004F4602" w:rsidRPr="00250DD0" w:rsidRDefault="004542B6" w:rsidP="00250DD0">
      <w:pPr>
        <w:spacing w:after="0"/>
        <w:rPr>
          <w:b/>
        </w:rPr>
      </w:pPr>
      <w:bookmarkStart w:id="190" w:name="_Ref5090961"/>
      <w:bookmarkStart w:id="191" w:name="_Ref5090969"/>
      <w:bookmarkStart w:id="192" w:name="_Ref5090975"/>
      <w:r w:rsidRPr="00250DD0">
        <w:rPr>
          <w:b/>
        </w:rPr>
        <w:t>Agroforestry</w:t>
      </w:r>
      <w:bookmarkEnd w:id="190"/>
      <w:bookmarkEnd w:id="191"/>
      <w:bookmarkEnd w:id="192"/>
    </w:p>
    <w:p w14:paraId="2A828F3B" w14:textId="16532EC1" w:rsidR="00530995" w:rsidRDefault="00E707CA" w:rsidP="00530995">
      <w:r>
        <w:t>We estimate CO</w:t>
      </w:r>
      <w:r w:rsidRPr="003B4036">
        <w:rPr>
          <w:vertAlign w:val="subscript"/>
        </w:rPr>
        <w:t>2</w:t>
      </w:r>
      <w:r>
        <w:t xml:space="preserve"> fluxes </w:t>
      </w:r>
      <w:r w:rsidR="00530995">
        <w:t xml:space="preserve">from </w:t>
      </w:r>
      <w:r>
        <w:t xml:space="preserve">U.S. </w:t>
      </w:r>
      <w:r w:rsidR="00530995">
        <w:t xml:space="preserve">agroforestry using land area data from USDA and emission factors from literature. Four types of agroforestry were considered: windbreaks, riparian buffers, alley cropping, and silvopasture. High and low emission estimates were calculated by multiplying land area by per area-per year emissions factors, and applying a legacy effect to all estimates (windbreaks, reported in linear feet by the USDA, were first converted to hectares).  </w:t>
      </w:r>
    </w:p>
    <w:p w14:paraId="6DBD9C54" w14:textId="774D29B8" w:rsidR="00530995" w:rsidRDefault="00E707CA" w:rsidP="00530995">
      <w:r>
        <w:t xml:space="preserve">We utilize </w:t>
      </w:r>
      <w:r w:rsidR="00530995">
        <w:t xml:space="preserve">agroforestry data in the report </w:t>
      </w:r>
      <w:r w:rsidR="00530995" w:rsidRPr="00102778">
        <w:rPr>
          <w:i/>
        </w:rPr>
        <w:t>Agroforestry: USDA Reports to America, Fiscal Years 2011 to 2012</w:t>
      </w:r>
      <w:r w:rsidR="00530995">
        <w:rPr>
          <w:i/>
        </w:rPr>
        <w:t xml:space="preserve"> </w:t>
      </w:r>
      <w:r w:rsidR="00530995" w:rsidRPr="00CB3381">
        <w:t>(USDA, 2012)</w:t>
      </w:r>
      <w:r>
        <w:t xml:space="preserve">, which summarizes </w:t>
      </w:r>
      <w:r w:rsidR="00530995">
        <w:t>the number of acres enrolled in USDA conservation program</w:t>
      </w:r>
      <w:r>
        <w:t xml:space="preserve"> activities that are likely to coincide with agroforestry</w:t>
      </w:r>
      <w:r w:rsidR="00530995">
        <w:t xml:space="preserve">. </w:t>
      </w:r>
      <w:r>
        <w:t xml:space="preserve">The report </w:t>
      </w:r>
      <w:r w:rsidR="00530995">
        <w:t xml:space="preserve">does not </w:t>
      </w:r>
      <w:r>
        <w:t xml:space="preserve">account for </w:t>
      </w:r>
      <w:r w:rsidR="00530995">
        <w:t xml:space="preserve">agroforestry </w:t>
      </w:r>
      <w:r>
        <w:t xml:space="preserve">that occurs </w:t>
      </w:r>
      <w:r w:rsidR="00530995">
        <w:t xml:space="preserve">without USDA assistance, or </w:t>
      </w:r>
      <w:r>
        <w:t xml:space="preserve">for areas that </w:t>
      </w:r>
      <w:r w:rsidR="00530995">
        <w:t xml:space="preserve">received assistance before 2008. The USDA </w:t>
      </w:r>
      <w:r w:rsidR="009D5DD4">
        <w:t xml:space="preserve">provides information on </w:t>
      </w:r>
      <w:r w:rsidR="00530995">
        <w:t xml:space="preserve">acreage </w:t>
      </w:r>
      <w:r>
        <w:t xml:space="preserve">receiving assistance </w:t>
      </w:r>
      <w:r w:rsidR="00530995">
        <w:t>for the period of FY 2008-2012. To further extend the timeline of estimated land area under agroforestry before and after FY 2008-2012, we used budget</w:t>
      </w:r>
      <w:r w:rsidR="009D5DD4">
        <w:t>s</w:t>
      </w:r>
      <w:r w:rsidR="00530995">
        <w:t xml:space="preserve"> for three federal conservation programs – the Conservation Stewardship Program (and its predecessor, the Conservation Security Program), Conservation Reserve Program, and the Environmental Quality Incentives Program and derived ratios of total enrolled agroforestry acres for each practice to total conservation budget for 2008 to 2012, the years with known acreage. The average of these ratios</w:t>
      </w:r>
      <w:r w:rsidR="00E81D32">
        <w:t xml:space="preserve"> (across 2008-2012)</w:t>
      </w:r>
      <w:r w:rsidR="00530995">
        <w:t xml:space="preserve"> for each agroforestry practice were then multiplied by the total budget numbers for the years preceding 2008 and following 2012, providing a set of acreage estimates for 2004 to 2016, as illustrated in </w:t>
      </w:r>
      <w:r w:rsidR="00EA2024" w:rsidRPr="009323DC">
        <w:fldChar w:fldCharType="begin"/>
      </w:r>
      <w:r w:rsidR="00EA2024" w:rsidRPr="009D5DD4">
        <w:instrText xml:space="preserve"> REF _Ref4763937 \h </w:instrText>
      </w:r>
      <w:r w:rsidR="009D5DD4" w:rsidRPr="003B4036">
        <w:instrText xml:space="preserve"> \* MERGEFORMAT </w:instrText>
      </w:r>
      <w:r w:rsidR="00EA2024" w:rsidRPr="009323DC">
        <w:fldChar w:fldCharType="separate"/>
      </w:r>
      <w:r w:rsidR="00FB4CFE" w:rsidRPr="003B4036">
        <w:t xml:space="preserve">Table </w:t>
      </w:r>
      <w:r w:rsidR="00EA2024" w:rsidRPr="009323DC">
        <w:fldChar w:fldCharType="end"/>
      </w:r>
      <w:r w:rsidR="007D6D6E">
        <w:t>2</w:t>
      </w:r>
      <w:r w:rsidR="009D5DD4">
        <w:t>-23</w:t>
      </w:r>
      <w:r w:rsidR="00530995">
        <w:t>. Land area in the white boxes represent estimates calculated using the budget ratios; the land area in blue is reported by USDA</w:t>
      </w:r>
      <w:r w:rsidR="00E81D32">
        <w:t xml:space="preserve"> (with annual estimates derived from the 2008-2012 total acreage and 2011, 2012 annual acreage)</w:t>
      </w:r>
      <w:r w:rsidR="00530995">
        <w:t>.</w:t>
      </w:r>
      <w:r w:rsidR="00E14BE3">
        <w:t xml:space="preserve"> For details on this calculation, see the Spreadsheet Appendix.</w:t>
      </w:r>
    </w:p>
    <w:p w14:paraId="3D670D7C" w14:textId="77777777" w:rsidR="00652BD5" w:rsidRDefault="00652BD5" w:rsidP="00530995"/>
    <w:p w14:paraId="357D244B" w14:textId="77777777" w:rsidR="00652BD5" w:rsidRDefault="00652BD5" w:rsidP="00530995"/>
    <w:p w14:paraId="0455B864" w14:textId="66466E87" w:rsidR="00B13E0F" w:rsidRPr="00250DD0" w:rsidRDefault="00B13E0F" w:rsidP="00B13E0F">
      <w:pPr>
        <w:pStyle w:val="Caption"/>
        <w:keepNext/>
        <w:rPr>
          <w:b/>
          <w:sz w:val="22"/>
          <w:szCs w:val="22"/>
        </w:rPr>
      </w:pPr>
      <w:bookmarkStart w:id="193" w:name="_Ref4763937"/>
      <w:r w:rsidRPr="00250DD0">
        <w:rPr>
          <w:b/>
          <w:sz w:val="22"/>
          <w:szCs w:val="22"/>
        </w:rPr>
        <w:lastRenderedPageBreak/>
        <w:t xml:space="preserve">Table </w:t>
      </w:r>
      <w:bookmarkEnd w:id="193"/>
      <w:r w:rsidR="007D6D6E">
        <w:rPr>
          <w:b/>
          <w:sz w:val="22"/>
          <w:szCs w:val="22"/>
        </w:rPr>
        <w:t>2</w:t>
      </w:r>
      <w:r w:rsidR="005F6840">
        <w:rPr>
          <w:b/>
          <w:sz w:val="22"/>
          <w:szCs w:val="22"/>
        </w:rPr>
        <w:t>-</w:t>
      </w:r>
      <w:r w:rsidR="009D5DD4">
        <w:rPr>
          <w:b/>
          <w:sz w:val="22"/>
          <w:szCs w:val="22"/>
        </w:rPr>
        <w:t>23</w:t>
      </w:r>
      <w:r w:rsidRPr="00250DD0">
        <w:rPr>
          <w:b/>
          <w:sz w:val="22"/>
          <w:szCs w:val="22"/>
        </w:rPr>
        <w:t xml:space="preserve">: </w:t>
      </w:r>
      <w:r w:rsidR="00EA2024" w:rsidRPr="00250DD0">
        <w:rPr>
          <w:b/>
          <w:sz w:val="22"/>
          <w:szCs w:val="22"/>
        </w:rPr>
        <w:t xml:space="preserve">Reported and estimated hectares of USDA-supported </w:t>
      </w:r>
      <w:r w:rsidRPr="00250DD0">
        <w:rPr>
          <w:b/>
          <w:sz w:val="22"/>
          <w:szCs w:val="22"/>
        </w:rPr>
        <w:t>agroforestry practices</w:t>
      </w:r>
      <w:r w:rsidR="00EA2024" w:rsidRPr="00250DD0">
        <w:rPr>
          <w:b/>
          <w:sz w:val="22"/>
          <w:szCs w:val="22"/>
        </w:rPr>
        <w:t xml:space="preserve"> (USDA, 2012)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637"/>
        <w:gridCol w:w="638"/>
        <w:gridCol w:w="638"/>
        <w:gridCol w:w="638"/>
        <w:gridCol w:w="638"/>
        <w:gridCol w:w="638"/>
        <w:gridCol w:w="638"/>
        <w:gridCol w:w="638"/>
        <w:gridCol w:w="638"/>
        <w:gridCol w:w="638"/>
        <w:gridCol w:w="638"/>
        <w:gridCol w:w="647"/>
        <w:gridCol w:w="638"/>
      </w:tblGrid>
      <w:tr w:rsidR="00530995" w:rsidRPr="00EA4DA0" w14:paraId="43FF2CEF" w14:textId="77777777" w:rsidTr="001575BD">
        <w:trPr>
          <w:trHeight w:val="451"/>
        </w:trPr>
        <w:tc>
          <w:tcPr>
            <w:tcW w:w="5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145D6D" w14:textId="77777777" w:rsidR="00530995" w:rsidRPr="001575BD" w:rsidRDefault="00530995" w:rsidP="004D2F0B">
            <w:pPr>
              <w:spacing w:after="0" w:line="240" w:lineRule="auto"/>
              <w:rPr>
                <w:rFonts w:ascii="Calibri" w:eastAsia="Times New Roman" w:hAnsi="Calibri" w:cs="Calibri"/>
                <w:b/>
                <w:bCs/>
                <w:color w:val="000000"/>
                <w:sz w:val="14"/>
                <w:szCs w:val="14"/>
              </w:rPr>
            </w:pPr>
            <w:r w:rsidRPr="001575BD">
              <w:rPr>
                <w:rFonts w:ascii="Calibri" w:eastAsia="Times New Roman" w:hAnsi="Calibri" w:cs="Calibri"/>
                <w:b/>
                <w:bCs/>
                <w:color w:val="000000"/>
                <w:sz w:val="14"/>
                <w:szCs w:val="14"/>
              </w:rPr>
              <w:t> </w:t>
            </w:r>
          </w:p>
        </w:tc>
        <w:tc>
          <w:tcPr>
            <w:tcW w:w="342" w:type="pct"/>
            <w:tcBorders>
              <w:top w:val="single" w:sz="4" w:space="0" w:color="auto"/>
              <w:left w:val="single" w:sz="4" w:space="0" w:color="auto"/>
              <w:bottom w:val="single" w:sz="4" w:space="0" w:color="auto"/>
              <w:right w:val="single" w:sz="4" w:space="0" w:color="auto"/>
            </w:tcBorders>
            <w:shd w:val="clear" w:color="auto" w:fill="FFC000" w:themeFill="accent4"/>
            <w:noWrap/>
            <w:vAlign w:val="bottom"/>
          </w:tcPr>
          <w:p w14:paraId="7350EB79" w14:textId="77777777" w:rsidR="00530995" w:rsidRPr="001575BD" w:rsidRDefault="00530995" w:rsidP="004D2F0B">
            <w:pPr>
              <w:spacing w:after="0" w:line="240" w:lineRule="auto"/>
              <w:rPr>
                <w:rFonts w:ascii="Calibri" w:eastAsia="Times New Roman" w:hAnsi="Calibri" w:cs="Calibri"/>
                <w:b/>
                <w:color w:val="000000"/>
                <w:sz w:val="14"/>
                <w:szCs w:val="14"/>
              </w:rPr>
            </w:pPr>
            <w:r w:rsidRPr="001575BD">
              <w:rPr>
                <w:rFonts w:ascii="Calibri" w:eastAsia="Times New Roman" w:hAnsi="Calibri" w:cs="Calibri"/>
                <w:b/>
                <w:color w:val="000000"/>
                <w:sz w:val="14"/>
                <w:szCs w:val="14"/>
              </w:rPr>
              <w:t>2004</w:t>
            </w:r>
          </w:p>
        </w:tc>
        <w:tc>
          <w:tcPr>
            <w:tcW w:w="342" w:type="pct"/>
            <w:tcBorders>
              <w:top w:val="single" w:sz="4" w:space="0" w:color="auto"/>
              <w:left w:val="single" w:sz="4" w:space="0" w:color="auto"/>
              <w:bottom w:val="single" w:sz="4" w:space="0" w:color="auto"/>
              <w:right w:val="single" w:sz="4" w:space="0" w:color="auto"/>
            </w:tcBorders>
            <w:shd w:val="clear" w:color="auto" w:fill="FFC000" w:themeFill="accent4"/>
            <w:noWrap/>
            <w:vAlign w:val="bottom"/>
          </w:tcPr>
          <w:p w14:paraId="026668BD" w14:textId="77777777" w:rsidR="00530995" w:rsidRPr="001575BD" w:rsidRDefault="00530995" w:rsidP="004D2F0B">
            <w:pPr>
              <w:spacing w:after="0" w:line="240" w:lineRule="auto"/>
              <w:rPr>
                <w:rFonts w:ascii="Calibri" w:eastAsia="Times New Roman" w:hAnsi="Calibri" w:cs="Calibri"/>
                <w:b/>
                <w:color w:val="000000"/>
                <w:sz w:val="14"/>
                <w:szCs w:val="14"/>
              </w:rPr>
            </w:pPr>
            <w:r w:rsidRPr="001575BD">
              <w:rPr>
                <w:rFonts w:ascii="Calibri" w:eastAsia="Times New Roman" w:hAnsi="Calibri" w:cs="Calibri"/>
                <w:b/>
                <w:color w:val="000000"/>
                <w:sz w:val="14"/>
                <w:szCs w:val="14"/>
              </w:rPr>
              <w:t>2005</w:t>
            </w:r>
          </w:p>
        </w:tc>
        <w:tc>
          <w:tcPr>
            <w:tcW w:w="342" w:type="pct"/>
            <w:tcBorders>
              <w:top w:val="single" w:sz="4" w:space="0" w:color="auto"/>
              <w:left w:val="single" w:sz="4" w:space="0" w:color="auto"/>
              <w:bottom w:val="single" w:sz="4" w:space="0" w:color="auto"/>
              <w:right w:val="single" w:sz="4" w:space="0" w:color="auto"/>
            </w:tcBorders>
            <w:shd w:val="clear" w:color="auto" w:fill="FFC000" w:themeFill="accent4"/>
            <w:noWrap/>
            <w:vAlign w:val="bottom"/>
          </w:tcPr>
          <w:p w14:paraId="2DCCBDCE" w14:textId="77777777" w:rsidR="00530995" w:rsidRPr="001575BD" w:rsidRDefault="00530995" w:rsidP="004D2F0B">
            <w:pPr>
              <w:spacing w:after="0" w:line="240" w:lineRule="auto"/>
              <w:rPr>
                <w:rFonts w:ascii="Calibri" w:eastAsia="Times New Roman" w:hAnsi="Calibri" w:cs="Calibri"/>
                <w:b/>
                <w:color w:val="000000"/>
                <w:sz w:val="14"/>
                <w:szCs w:val="14"/>
              </w:rPr>
            </w:pPr>
            <w:r w:rsidRPr="001575BD">
              <w:rPr>
                <w:rFonts w:ascii="Calibri" w:eastAsia="Times New Roman" w:hAnsi="Calibri" w:cs="Calibri"/>
                <w:b/>
                <w:color w:val="000000"/>
                <w:sz w:val="14"/>
                <w:szCs w:val="14"/>
              </w:rPr>
              <w:t>2006</w:t>
            </w:r>
          </w:p>
        </w:tc>
        <w:tc>
          <w:tcPr>
            <w:tcW w:w="342" w:type="pct"/>
            <w:tcBorders>
              <w:top w:val="single" w:sz="4" w:space="0" w:color="auto"/>
              <w:left w:val="single" w:sz="4" w:space="0" w:color="auto"/>
              <w:bottom w:val="single" w:sz="4" w:space="0" w:color="auto"/>
              <w:right w:val="single" w:sz="4" w:space="0" w:color="auto"/>
            </w:tcBorders>
            <w:shd w:val="clear" w:color="auto" w:fill="FFC000" w:themeFill="accent4"/>
            <w:noWrap/>
            <w:vAlign w:val="bottom"/>
          </w:tcPr>
          <w:p w14:paraId="229A4296" w14:textId="77777777" w:rsidR="00530995" w:rsidRPr="001575BD" w:rsidRDefault="00530995" w:rsidP="004D2F0B">
            <w:pPr>
              <w:spacing w:after="0" w:line="240" w:lineRule="auto"/>
              <w:rPr>
                <w:rFonts w:ascii="Calibri" w:eastAsia="Times New Roman" w:hAnsi="Calibri" w:cs="Calibri"/>
                <w:b/>
                <w:color w:val="000000"/>
                <w:sz w:val="14"/>
                <w:szCs w:val="14"/>
              </w:rPr>
            </w:pPr>
            <w:r w:rsidRPr="001575BD">
              <w:rPr>
                <w:rFonts w:ascii="Calibri" w:eastAsia="Times New Roman" w:hAnsi="Calibri" w:cs="Calibri"/>
                <w:b/>
                <w:color w:val="000000"/>
                <w:sz w:val="14"/>
                <w:szCs w:val="14"/>
              </w:rPr>
              <w:t>2007</w:t>
            </w:r>
          </w:p>
        </w:tc>
        <w:tc>
          <w:tcPr>
            <w:tcW w:w="342" w:type="pct"/>
            <w:tcBorders>
              <w:top w:val="single" w:sz="4" w:space="0" w:color="auto"/>
              <w:left w:val="single" w:sz="4" w:space="0" w:color="auto"/>
              <w:bottom w:val="single" w:sz="4" w:space="0" w:color="auto"/>
              <w:right w:val="single" w:sz="4" w:space="0" w:color="auto"/>
            </w:tcBorders>
            <w:shd w:val="clear" w:color="auto" w:fill="FFC000" w:themeFill="accent4"/>
            <w:noWrap/>
            <w:vAlign w:val="bottom"/>
          </w:tcPr>
          <w:p w14:paraId="12F92832" w14:textId="77777777" w:rsidR="00530995" w:rsidRPr="001575BD" w:rsidRDefault="00530995" w:rsidP="004D2F0B">
            <w:pPr>
              <w:spacing w:after="0" w:line="240" w:lineRule="auto"/>
              <w:rPr>
                <w:rFonts w:ascii="Calibri" w:eastAsia="Times New Roman" w:hAnsi="Calibri" w:cs="Calibri"/>
                <w:b/>
                <w:color w:val="000000"/>
                <w:sz w:val="14"/>
                <w:szCs w:val="14"/>
              </w:rPr>
            </w:pPr>
            <w:r w:rsidRPr="001575BD">
              <w:rPr>
                <w:rFonts w:ascii="Calibri" w:eastAsia="Times New Roman" w:hAnsi="Calibri" w:cs="Calibri"/>
                <w:b/>
                <w:color w:val="000000"/>
                <w:sz w:val="14"/>
                <w:szCs w:val="14"/>
              </w:rPr>
              <w:t>2008</w:t>
            </w:r>
          </w:p>
        </w:tc>
        <w:tc>
          <w:tcPr>
            <w:tcW w:w="342" w:type="pct"/>
            <w:tcBorders>
              <w:top w:val="single" w:sz="4" w:space="0" w:color="auto"/>
              <w:left w:val="single" w:sz="4" w:space="0" w:color="auto"/>
              <w:bottom w:val="single" w:sz="4" w:space="0" w:color="auto"/>
              <w:right w:val="single" w:sz="4" w:space="0" w:color="auto"/>
            </w:tcBorders>
            <w:shd w:val="clear" w:color="auto" w:fill="FFC000" w:themeFill="accent4"/>
            <w:noWrap/>
            <w:vAlign w:val="bottom"/>
          </w:tcPr>
          <w:p w14:paraId="7B87C660" w14:textId="77777777" w:rsidR="00530995" w:rsidRPr="001575BD" w:rsidRDefault="00530995" w:rsidP="004D2F0B">
            <w:pPr>
              <w:spacing w:after="0" w:line="240" w:lineRule="auto"/>
              <w:rPr>
                <w:rFonts w:ascii="Calibri" w:eastAsia="Times New Roman" w:hAnsi="Calibri" w:cs="Calibri"/>
                <w:b/>
                <w:color w:val="000000"/>
                <w:sz w:val="14"/>
                <w:szCs w:val="14"/>
              </w:rPr>
            </w:pPr>
            <w:r w:rsidRPr="001575BD">
              <w:rPr>
                <w:rFonts w:ascii="Calibri" w:eastAsia="Times New Roman" w:hAnsi="Calibri" w:cs="Calibri"/>
                <w:b/>
                <w:color w:val="000000"/>
                <w:sz w:val="14"/>
                <w:szCs w:val="14"/>
              </w:rPr>
              <w:t>2009</w:t>
            </w:r>
          </w:p>
        </w:tc>
        <w:tc>
          <w:tcPr>
            <w:tcW w:w="342" w:type="pct"/>
            <w:tcBorders>
              <w:top w:val="single" w:sz="4" w:space="0" w:color="auto"/>
              <w:left w:val="single" w:sz="4" w:space="0" w:color="auto"/>
              <w:bottom w:val="single" w:sz="4" w:space="0" w:color="auto"/>
              <w:right w:val="single" w:sz="4" w:space="0" w:color="auto"/>
            </w:tcBorders>
            <w:shd w:val="clear" w:color="auto" w:fill="FFC000" w:themeFill="accent4"/>
            <w:noWrap/>
            <w:vAlign w:val="bottom"/>
          </w:tcPr>
          <w:p w14:paraId="22D24444" w14:textId="77777777" w:rsidR="00530995" w:rsidRPr="001575BD" w:rsidRDefault="00530995" w:rsidP="004D2F0B">
            <w:pPr>
              <w:spacing w:after="0" w:line="240" w:lineRule="auto"/>
              <w:rPr>
                <w:rFonts w:ascii="Calibri" w:eastAsia="Times New Roman" w:hAnsi="Calibri" w:cs="Calibri"/>
                <w:b/>
                <w:color w:val="000000"/>
                <w:sz w:val="14"/>
                <w:szCs w:val="14"/>
              </w:rPr>
            </w:pPr>
            <w:r w:rsidRPr="001575BD">
              <w:rPr>
                <w:rFonts w:ascii="Calibri" w:eastAsia="Times New Roman" w:hAnsi="Calibri" w:cs="Calibri"/>
                <w:b/>
                <w:color w:val="000000"/>
                <w:sz w:val="14"/>
                <w:szCs w:val="14"/>
              </w:rPr>
              <w:t>2010</w:t>
            </w:r>
          </w:p>
        </w:tc>
        <w:tc>
          <w:tcPr>
            <w:tcW w:w="342" w:type="pct"/>
            <w:tcBorders>
              <w:top w:val="single" w:sz="4" w:space="0" w:color="auto"/>
              <w:left w:val="single" w:sz="4" w:space="0" w:color="auto"/>
              <w:bottom w:val="single" w:sz="4" w:space="0" w:color="auto"/>
              <w:right w:val="single" w:sz="4" w:space="0" w:color="auto"/>
            </w:tcBorders>
            <w:shd w:val="clear" w:color="auto" w:fill="FFC000" w:themeFill="accent4"/>
            <w:noWrap/>
            <w:vAlign w:val="bottom"/>
          </w:tcPr>
          <w:p w14:paraId="7791B40D" w14:textId="77777777" w:rsidR="00530995" w:rsidRPr="001575BD" w:rsidRDefault="00530995" w:rsidP="004D2F0B">
            <w:pPr>
              <w:spacing w:after="0" w:line="240" w:lineRule="auto"/>
              <w:rPr>
                <w:rFonts w:ascii="Calibri" w:eastAsia="Times New Roman" w:hAnsi="Calibri" w:cs="Calibri"/>
                <w:b/>
                <w:color w:val="000000"/>
                <w:sz w:val="14"/>
                <w:szCs w:val="14"/>
              </w:rPr>
            </w:pPr>
            <w:r w:rsidRPr="001575BD">
              <w:rPr>
                <w:rFonts w:ascii="Calibri" w:eastAsia="Times New Roman" w:hAnsi="Calibri" w:cs="Calibri"/>
                <w:b/>
                <w:color w:val="000000"/>
                <w:sz w:val="14"/>
                <w:szCs w:val="14"/>
              </w:rPr>
              <w:t>2011</w:t>
            </w:r>
          </w:p>
        </w:tc>
        <w:tc>
          <w:tcPr>
            <w:tcW w:w="342" w:type="pct"/>
            <w:tcBorders>
              <w:top w:val="single" w:sz="4" w:space="0" w:color="auto"/>
              <w:left w:val="single" w:sz="4" w:space="0" w:color="auto"/>
              <w:bottom w:val="single" w:sz="4" w:space="0" w:color="auto"/>
              <w:right w:val="single" w:sz="4" w:space="0" w:color="auto"/>
            </w:tcBorders>
            <w:shd w:val="clear" w:color="auto" w:fill="FFC000" w:themeFill="accent4"/>
            <w:noWrap/>
            <w:vAlign w:val="bottom"/>
          </w:tcPr>
          <w:p w14:paraId="2BB53E46" w14:textId="77777777" w:rsidR="00530995" w:rsidRPr="001575BD" w:rsidRDefault="00530995" w:rsidP="004D2F0B">
            <w:pPr>
              <w:spacing w:after="0" w:line="240" w:lineRule="auto"/>
              <w:rPr>
                <w:rFonts w:ascii="Calibri" w:eastAsia="Times New Roman" w:hAnsi="Calibri" w:cs="Calibri"/>
                <w:b/>
                <w:color w:val="000000"/>
                <w:sz w:val="14"/>
                <w:szCs w:val="14"/>
              </w:rPr>
            </w:pPr>
            <w:r w:rsidRPr="001575BD">
              <w:rPr>
                <w:rFonts w:ascii="Calibri" w:eastAsia="Times New Roman" w:hAnsi="Calibri" w:cs="Calibri"/>
                <w:b/>
                <w:color w:val="000000"/>
                <w:sz w:val="14"/>
                <w:szCs w:val="14"/>
              </w:rPr>
              <w:t>2012</w:t>
            </w:r>
          </w:p>
        </w:tc>
        <w:tc>
          <w:tcPr>
            <w:tcW w:w="342" w:type="pct"/>
            <w:tcBorders>
              <w:top w:val="single" w:sz="4" w:space="0" w:color="auto"/>
              <w:left w:val="single" w:sz="4" w:space="0" w:color="auto"/>
              <w:bottom w:val="single" w:sz="4" w:space="0" w:color="auto"/>
              <w:right w:val="single" w:sz="4" w:space="0" w:color="auto"/>
            </w:tcBorders>
            <w:shd w:val="clear" w:color="auto" w:fill="FFC000" w:themeFill="accent4"/>
            <w:noWrap/>
            <w:vAlign w:val="bottom"/>
          </w:tcPr>
          <w:p w14:paraId="6322DE77" w14:textId="77777777" w:rsidR="00530995" w:rsidRPr="001575BD" w:rsidRDefault="00530995" w:rsidP="004D2F0B">
            <w:pPr>
              <w:spacing w:after="0" w:line="240" w:lineRule="auto"/>
              <w:rPr>
                <w:rFonts w:ascii="Calibri" w:eastAsia="Times New Roman" w:hAnsi="Calibri" w:cs="Calibri"/>
                <w:b/>
                <w:color w:val="000000"/>
                <w:sz w:val="14"/>
                <w:szCs w:val="14"/>
              </w:rPr>
            </w:pPr>
            <w:r w:rsidRPr="001575BD">
              <w:rPr>
                <w:rFonts w:ascii="Calibri" w:eastAsia="Times New Roman" w:hAnsi="Calibri" w:cs="Calibri"/>
                <w:b/>
                <w:color w:val="000000"/>
                <w:sz w:val="14"/>
                <w:szCs w:val="14"/>
              </w:rPr>
              <w:t>2013</w:t>
            </w:r>
          </w:p>
        </w:tc>
        <w:tc>
          <w:tcPr>
            <w:tcW w:w="342" w:type="pct"/>
            <w:tcBorders>
              <w:top w:val="single" w:sz="4" w:space="0" w:color="auto"/>
              <w:left w:val="single" w:sz="4" w:space="0" w:color="auto"/>
              <w:bottom w:val="single" w:sz="4" w:space="0" w:color="auto"/>
              <w:right w:val="single" w:sz="4" w:space="0" w:color="auto"/>
            </w:tcBorders>
            <w:shd w:val="clear" w:color="auto" w:fill="FFC000" w:themeFill="accent4"/>
            <w:noWrap/>
            <w:vAlign w:val="bottom"/>
          </w:tcPr>
          <w:p w14:paraId="4BBD6FAB" w14:textId="77777777" w:rsidR="00530995" w:rsidRPr="001575BD" w:rsidRDefault="00530995" w:rsidP="004D2F0B">
            <w:pPr>
              <w:spacing w:after="0" w:line="240" w:lineRule="auto"/>
              <w:rPr>
                <w:rFonts w:ascii="Calibri" w:eastAsia="Times New Roman" w:hAnsi="Calibri" w:cs="Calibri"/>
                <w:b/>
                <w:color w:val="000000"/>
                <w:sz w:val="14"/>
                <w:szCs w:val="14"/>
              </w:rPr>
            </w:pPr>
            <w:r w:rsidRPr="001575BD">
              <w:rPr>
                <w:rFonts w:ascii="Calibri" w:eastAsia="Times New Roman" w:hAnsi="Calibri" w:cs="Calibri"/>
                <w:b/>
                <w:color w:val="000000"/>
                <w:sz w:val="14"/>
                <w:szCs w:val="14"/>
              </w:rPr>
              <w:t>2014</w:t>
            </w:r>
          </w:p>
        </w:tc>
        <w:tc>
          <w:tcPr>
            <w:tcW w:w="347" w:type="pct"/>
            <w:tcBorders>
              <w:top w:val="single" w:sz="4" w:space="0" w:color="auto"/>
              <w:left w:val="single" w:sz="4" w:space="0" w:color="auto"/>
              <w:bottom w:val="single" w:sz="4" w:space="0" w:color="auto"/>
              <w:right w:val="single" w:sz="4" w:space="0" w:color="auto"/>
            </w:tcBorders>
            <w:shd w:val="clear" w:color="auto" w:fill="FFC000" w:themeFill="accent4"/>
            <w:noWrap/>
            <w:vAlign w:val="bottom"/>
          </w:tcPr>
          <w:p w14:paraId="3D71D74D" w14:textId="77777777" w:rsidR="00530995" w:rsidRPr="001575BD" w:rsidRDefault="00530995" w:rsidP="004D2F0B">
            <w:pPr>
              <w:spacing w:after="0" w:line="240" w:lineRule="auto"/>
              <w:rPr>
                <w:rFonts w:ascii="Calibri" w:eastAsia="Times New Roman" w:hAnsi="Calibri" w:cs="Calibri"/>
                <w:b/>
                <w:color w:val="000000"/>
                <w:sz w:val="14"/>
                <w:szCs w:val="14"/>
              </w:rPr>
            </w:pPr>
            <w:r w:rsidRPr="001575BD">
              <w:rPr>
                <w:rFonts w:ascii="Calibri" w:eastAsia="Times New Roman" w:hAnsi="Calibri" w:cs="Calibri"/>
                <w:b/>
                <w:color w:val="000000"/>
                <w:sz w:val="14"/>
                <w:szCs w:val="14"/>
              </w:rPr>
              <w:t>2015</w:t>
            </w:r>
          </w:p>
        </w:tc>
        <w:tc>
          <w:tcPr>
            <w:tcW w:w="342" w:type="pct"/>
            <w:tcBorders>
              <w:top w:val="single" w:sz="4" w:space="0" w:color="auto"/>
              <w:left w:val="single" w:sz="4" w:space="0" w:color="auto"/>
              <w:bottom w:val="single" w:sz="4" w:space="0" w:color="auto"/>
              <w:right w:val="single" w:sz="4" w:space="0" w:color="auto"/>
            </w:tcBorders>
            <w:shd w:val="clear" w:color="auto" w:fill="FFC000" w:themeFill="accent4"/>
            <w:noWrap/>
            <w:vAlign w:val="bottom"/>
          </w:tcPr>
          <w:p w14:paraId="535D7931" w14:textId="77777777" w:rsidR="00530995" w:rsidRPr="001575BD" w:rsidRDefault="00530995" w:rsidP="004D2F0B">
            <w:pPr>
              <w:spacing w:after="0" w:line="240" w:lineRule="auto"/>
              <w:rPr>
                <w:rFonts w:ascii="Calibri" w:eastAsia="Times New Roman" w:hAnsi="Calibri" w:cs="Calibri"/>
                <w:b/>
                <w:color w:val="000000"/>
                <w:sz w:val="14"/>
                <w:szCs w:val="14"/>
              </w:rPr>
            </w:pPr>
            <w:r w:rsidRPr="001575BD">
              <w:rPr>
                <w:rFonts w:ascii="Calibri" w:eastAsia="Times New Roman" w:hAnsi="Calibri" w:cs="Calibri"/>
                <w:b/>
                <w:color w:val="000000"/>
                <w:sz w:val="14"/>
                <w:szCs w:val="14"/>
              </w:rPr>
              <w:t>2016</w:t>
            </w:r>
          </w:p>
        </w:tc>
      </w:tr>
      <w:tr w:rsidR="00530995" w:rsidRPr="00EA4DA0" w14:paraId="1EB7A039" w14:textId="77777777" w:rsidTr="001575BD">
        <w:trPr>
          <w:trHeight w:val="451"/>
        </w:trPr>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6BA863" w14:textId="77777777" w:rsidR="00530995" w:rsidRPr="001575BD" w:rsidRDefault="00530995" w:rsidP="00764B5B">
            <w:pPr>
              <w:spacing w:after="0" w:line="240" w:lineRule="auto"/>
              <w:rPr>
                <w:rFonts w:ascii="Calibri" w:eastAsia="Times New Roman" w:hAnsi="Calibri" w:cs="Calibri"/>
                <w:b/>
                <w:bCs/>
                <w:color w:val="000000"/>
                <w:sz w:val="14"/>
                <w:szCs w:val="14"/>
              </w:rPr>
            </w:pPr>
            <w:r w:rsidRPr="001575BD">
              <w:rPr>
                <w:rFonts w:ascii="Calibri" w:eastAsia="Times New Roman" w:hAnsi="Calibri" w:cs="Calibri"/>
                <w:b/>
                <w:bCs/>
                <w:color w:val="000000"/>
                <w:sz w:val="14"/>
                <w:szCs w:val="14"/>
              </w:rPr>
              <w:t>Windbreaks</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27B674"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4,754</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8F6DD7"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5,130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758195"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5,412</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F91EF9"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5,506</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45261B63"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6,093</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61F57224"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6,093</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2028AC5E"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6,093</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53694B18"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6,389</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0972B35C"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5,269</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578985"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3,990</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437688"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7,295</w:t>
            </w: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26F042"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7,229</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BFE4C"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7,787</w:t>
            </w:r>
          </w:p>
        </w:tc>
      </w:tr>
      <w:tr w:rsidR="00530995" w:rsidRPr="00EA4DA0" w14:paraId="39846B35" w14:textId="77777777" w:rsidTr="001575BD">
        <w:trPr>
          <w:trHeight w:val="451"/>
        </w:trPr>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8A72DE" w14:textId="77777777" w:rsidR="00530995" w:rsidRPr="001575BD" w:rsidRDefault="00530995" w:rsidP="00764B5B">
            <w:pPr>
              <w:spacing w:after="0" w:line="240" w:lineRule="auto"/>
              <w:rPr>
                <w:rFonts w:ascii="Calibri" w:eastAsia="Times New Roman" w:hAnsi="Calibri" w:cs="Calibri"/>
                <w:b/>
                <w:bCs/>
                <w:color w:val="000000"/>
                <w:sz w:val="14"/>
                <w:szCs w:val="14"/>
              </w:rPr>
            </w:pPr>
            <w:r w:rsidRPr="001575BD">
              <w:rPr>
                <w:rFonts w:ascii="Calibri" w:eastAsia="Times New Roman" w:hAnsi="Calibri" w:cs="Calibri"/>
                <w:b/>
                <w:bCs/>
                <w:color w:val="000000"/>
                <w:sz w:val="14"/>
                <w:szCs w:val="14"/>
              </w:rPr>
              <w:t>Riparian</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655F0E"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16,202</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FC5C99"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17,484</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79427B"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18,447</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F84DEA"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18,766</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1CD1CCC5"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16,643</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37A97556"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16,643</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7B0740ED"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16,643</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6052B862"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23,767</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60788435"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31,084</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74C1B8"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13,597</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3868DD"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24,862</w:t>
            </w: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1BC8E4"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24,636</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F6AE2A"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26,539</w:t>
            </w:r>
          </w:p>
        </w:tc>
      </w:tr>
      <w:tr w:rsidR="00530995" w:rsidRPr="00EA4DA0" w14:paraId="13553C60" w14:textId="77777777" w:rsidTr="001575BD">
        <w:trPr>
          <w:trHeight w:val="451"/>
        </w:trPr>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11A3F3" w14:textId="77777777" w:rsidR="00530995" w:rsidRPr="001575BD" w:rsidRDefault="00530995" w:rsidP="00764B5B">
            <w:pPr>
              <w:spacing w:after="0" w:line="240" w:lineRule="auto"/>
              <w:rPr>
                <w:rFonts w:ascii="Calibri" w:eastAsia="Times New Roman" w:hAnsi="Calibri" w:cs="Calibri"/>
                <w:b/>
                <w:bCs/>
                <w:color w:val="000000"/>
                <w:sz w:val="14"/>
                <w:szCs w:val="14"/>
              </w:rPr>
            </w:pPr>
            <w:r w:rsidRPr="001575BD">
              <w:rPr>
                <w:rFonts w:ascii="Calibri" w:eastAsia="Times New Roman" w:hAnsi="Calibri" w:cs="Calibri"/>
                <w:b/>
                <w:bCs/>
                <w:color w:val="000000"/>
                <w:sz w:val="14"/>
                <w:szCs w:val="14"/>
              </w:rPr>
              <w:t>Alley cropping</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CB76FF"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227</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A0E6AE"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245</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BE9D72"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259</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AAD808"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263</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722E9EE4"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419</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019297EE"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419</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6FDB25C1"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419</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454441F8"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82</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66A398D7"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22</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2B5077"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191</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BAAF55"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349</w:t>
            </w: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E5425F"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346</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2FFEF7"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373</w:t>
            </w:r>
          </w:p>
        </w:tc>
      </w:tr>
      <w:tr w:rsidR="00530995" w:rsidRPr="00EA4DA0" w14:paraId="71C204E9" w14:textId="77777777" w:rsidTr="001575BD">
        <w:trPr>
          <w:trHeight w:val="451"/>
        </w:trPr>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F9DF0E" w14:textId="77777777" w:rsidR="00530995" w:rsidRPr="001575BD" w:rsidRDefault="00530995" w:rsidP="00764B5B">
            <w:pPr>
              <w:spacing w:after="0" w:line="240" w:lineRule="auto"/>
              <w:rPr>
                <w:rFonts w:ascii="Calibri" w:eastAsia="Times New Roman" w:hAnsi="Calibri" w:cs="Calibri"/>
                <w:b/>
                <w:bCs/>
                <w:color w:val="000000"/>
                <w:sz w:val="14"/>
                <w:szCs w:val="14"/>
              </w:rPr>
            </w:pPr>
            <w:r w:rsidRPr="001575BD">
              <w:rPr>
                <w:rFonts w:ascii="Calibri" w:eastAsia="Times New Roman" w:hAnsi="Calibri" w:cs="Calibri"/>
                <w:b/>
                <w:bCs/>
                <w:color w:val="000000"/>
                <w:sz w:val="14"/>
                <w:szCs w:val="14"/>
              </w:rPr>
              <w:t>Silvopasture</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EEEE0E"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128</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2F845A"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138</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F52E70"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145</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034BF1"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148</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43851A71"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146</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64543C3D"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146</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0E97CC2D"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146</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70808FEB"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236</w:t>
            </w:r>
          </w:p>
        </w:tc>
        <w:tc>
          <w:tcPr>
            <w:tcW w:w="342" w:type="pct"/>
            <w:tcBorders>
              <w:top w:val="single" w:sz="4" w:space="0" w:color="auto"/>
              <w:left w:val="single" w:sz="4" w:space="0" w:color="auto"/>
              <w:bottom w:val="single" w:sz="4" w:space="0" w:color="auto"/>
              <w:right w:val="single" w:sz="4" w:space="0" w:color="auto"/>
            </w:tcBorders>
            <w:shd w:val="clear" w:color="000000" w:fill="E5FFFF"/>
            <w:noWrap/>
            <w:vAlign w:val="bottom"/>
          </w:tcPr>
          <w:p w14:paraId="0F1E25B5"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134</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9943A2"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107</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C45E24"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196</w:t>
            </w: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5C5F13"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194</w:t>
            </w:r>
          </w:p>
        </w:tc>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B82721" w14:textId="77777777" w:rsidR="00530995" w:rsidRPr="001575BD" w:rsidRDefault="00530995" w:rsidP="004D2F0B">
            <w:pPr>
              <w:spacing w:after="0" w:line="240" w:lineRule="auto"/>
              <w:rPr>
                <w:rFonts w:ascii="Calibri" w:eastAsia="Times New Roman" w:hAnsi="Calibri" w:cs="Calibri"/>
                <w:color w:val="000000"/>
                <w:sz w:val="14"/>
                <w:szCs w:val="14"/>
              </w:rPr>
            </w:pPr>
            <w:r w:rsidRPr="001575BD">
              <w:rPr>
                <w:rFonts w:ascii="Calibri" w:eastAsia="Times New Roman" w:hAnsi="Calibri" w:cs="Calibri"/>
                <w:color w:val="000000"/>
                <w:sz w:val="14"/>
                <w:szCs w:val="14"/>
              </w:rPr>
              <w:t>209</w:t>
            </w:r>
          </w:p>
        </w:tc>
      </w:tr>
    </w:tbl>
    <w:p w14:paraId="3B435C60" w14:textId="1F34A299" w:rsidR="00530995" w:rsidRPr="00250DD0" w:rsidRDefault="00EA2024" w:rsidP="00530995">
      <w:pPr>
        <w:rPr>
          <w:i/>
          <w:sz w:val="18"/>
          <w:szCs w:val="18"/>
        </w:rPr>
      </w:pPr>
      <w:r w:rsidRPr="00250DD0">
        <w:rPr>
          <w:i/>
          <w:sz w:val="18"/>
          <w:szCs w:val="18"/>
        </w:rPr>
        <w:t>Blue highlighted cells show annual values reported by/derived from USDA (2012). White cells show values derived from annual federal conservation budgets for 2004-2007, 2013-2016.</w:t>
      </w:r>
    </w:p>
    <w:p w14:paraId="223BA0EC" w14:textId="370B2675" w:rsidR="00530995" w:rsidRDefault="00530995" w:rsidP="00530995">
      <w:r>
        <w:t xml:space="preserve">Emissions factors for </w:t>
      </w:r>
      <w:r w:rsidR="00AC4F43">
        <w:t xml:space="preserve">each </w:t>
      </w:r>
      <w:r>
        <w:t xml:space="preserve">agroforestry practice were </w:t>
      </w:r>
      <w:r w:rsidR="007E4503">
        <w:t>sourced from</w:t>
      </w:r>
      <w:r>
        <w:t xml:space="preserve"> </w:t>
      </w:r>
      <w:r w:rsidR="00AC4F43">
        <w:t>Udawatta and Jose (2012),</w:t>
      </w:r>
      <w:r>
        <w:t xml:space="preserve"> which estimates </w:t>
      </w:r>
      <w:r w:rsidR="00AC4F43">
        <w:t xml:space="preserve">agroforestry </w:t>
      </w:r>
      <w:r>
        <w:t>carbon sequestration potential in the U.S. through a meta-analysis of peer</w:t>
      </w:r>
      <w:r w:rsidR="00AC4F43">
        <w:t>-</w:t>
      </w:r>
      <w:r>
        <w:t>reviewed papers and government documents</w:t>
      </w:r>
      <w:r w:rsidR="00AC4F43">
        <w:t xml:space="preserve"> (Table </w:t>
      </w:r>
      <w:r w:rsidR="007D6D6E">
        <w:t>2</w:t>
      </w:r>
      <w:r w:rsidR="00AC4F43">
        <w:t>-24)</w:t>
      </w:r>
      <w:r w:rsidR="007E4503">
        <w:t xml:space="preserve">. We </w:t>
      </w:r>
      <w:r w:rsidR="00AC4F43">
        <w:t xml:space="preserve">also considered lower emissions factors from </w:t>
      </w:r>
      <w:r>
        <w:t>Nair and Nair</w:t>
      </w:r>
      <w:r w:rsidR="00AC4F43">
        <w:t xml:space="preserve"> (</w:t>
      </w:r>
      <w:r>
        <w:t>2003</w:t>
      </w:r>
      <w:r w:rsidR="00AC4F43">
        <w:t>)</w:t>
      </w:r>
      <w:r>
        <w:t xml:space="preserve">. </w:t>
      </w:r>
      <w:r w:rsidR="00AC4F43">
        <w:t>E</w:t>
      </w:r>
      <w:r>
        <w:t>missions factors</w:t>
      </w:r>
      <w:r w:rsidR="007E4503">
        <w:t xml:space="preserve"> </w:t>
      </w:r>
      <w:r>
        <w:t xml:space="preserve">were multiplied by the yearly USDA land area data and estimates over the period of 2004 through 2016. </w:t>
      </w:r>
      <w:r w:rsidR="00AC4F43">
        <w:t xml:space="preserve">Udawatta and Jose (2012) </w:t>
      </w:r>
      <w:r>
        <w:t xml:space="preserve">note that </w:t>
      </w:r>
      <w:r w:rsidR="00AC4F43">
        <w:t xml:space="preserve">their </w:t>
      </w:r>
      <w:r>
        <w:t>carbon sequestration rates cover aboveground and belowground biomass and soil organic carbo</w:t>
      </w:r>
      <w:r w:rsidR="007E4503">
        <w:t xml:space="preserve">n, but </w:t>
      </w:r>
      <w:r w:rsidR="00AC4F43">
        <w:t xml:space="preserve">do </w:t>
      </w:r>
      <w:r w:rsidR="007E4503">
        <w:t xml:space="preserve">not </w:t>
      </w:r>
      <w:r w:rsidR="00AC4F43">
        <w:t xml:space="preserve">clarify </w:t>
      </w:r>
      <w:r>
        <w:t xml:space="preserve">whether dead wood or litter is included. </w:t>
      </w:r>
    </w:p>
    <w:p w14:paraId="26531E79" w14:textId="77777777" w:rsidR="00250DD0" w:rsidRDefault="00250DD0" w:rsidP="00530995"/>
    <w:p w14:paraId="53989193" w14:textId="41CF222F" w:rsidR="004F4602" w:rsidRPr="00250DD0" w:rsidRDefault="00B13E0F" w:rsidP="004F4602">
      <w:pPr>
        <w:pStyle w:val="Caption"/>
        <w:keepNext/>
        <w:rPr>
          <w:b/>
          <w:sz w:val="22"/>
          <w:szCs w:val="22"/>
        </w:rPr>
      </w:pPr>
      <w:bookmarkStart w:id="194" w:name="_Ref4763979"/>
      <w:r w:rsidRPr="00250DD0">
        <w:rPr>
          <w:b/>
          <w:sz w:val="22"/>
          <w:szCs w:val="22"/>
        </w:rPr>
        <w:t xml:space="preserve">Table </w:t>
      </w:r>
      <w:bookmarkEnd w:id="194"/>
      <w:r w:rsidR="007D6D6E">
        <w:rPr>
          <w:b/>
          <w:sz w:val="22"/>
          <w:szCs w:val="22"/>
        </w:rPr>
        <w:t>2</w:t>
      </w:r>
      <w:r w:rsidR="00AC4F43">
        <w:rPr>
          <w:b/>
          <w:sz w:val="22"/>
          <w:szCs w:val="22"/>
        </w:rPr>
        <w:t>-24</w:t>
      </w:r>
      <w:r w:rsidRPr="00250DD0">
        <w:rPr>
          <w:b/>
          <w:sz w:val="22"/>
          <w:szCs w:val="22"/>
        </w:rPr>
        <w:t xml:space="preserve">: </w:t>
      </w:r>
      <w:r w:rsidR="00E14BE3">
        <w:rPr>
          <w:b/>
          <w:sz w:val="22"/>
          <w:szCs w:val="22"/>
        </w:rPr>
        <w:t xml:space="preserve">Agroforestry </w:t>
      </w:r>
      <w:r w:rsidR="00AC4F43">
        <w:rPr>
          <w:b/>
          <w:sz w:val="22"/>
          <w:szCs w:val="22"/>
        </w:rPr>
        <w:t>carbon sequestration rates</w:t>
      </w:r>
      <w:r w:rsidR="00EA2024" w:rsidRPr="00250DD0">
        <w:rPr>
          <w:b/>
          <w:sz w:val="22"/>
          <w:szCs w:val="22"/>
        </w:rPr>
        <w:t xml:space="preserve"> (Udawatta and Jose, 2012)</w:t>
      </w:r>
    </w:p>
    <w:tbl>
      <w:tblPr>
        <w:tblStyle w:val="TableGrid"/>
        <w:tblW w:w="0" w:type="auto"/>
        <w:tblLook w:val="04A0" w:firstRow="1" w:lastRow="0" w:firstColumn="1" w:lastColumn="0" w:noHBand="0" w:noVBand="1"/>
      </w:tblPr>
      <w:tblGrid>
        <w:gridCol w:w="3055"/>
        <w:gridCol w:w="3420"/>
      </w:tblGrid>
      <w:tr w:rsidR="007E4503" w:rsidRPr="00250DD0" w14:paraId="18545C28" w14:textId="77777777" w:rsidTr="00E14BE3">
        <w:trPr>
          <w:trHeight w:val="254"/>
        </w:trPr>
        <w:tc>
          <w:tcPr>
            <w:tcW w:w="3055" w:type="dxa"/>
            <w:shd w:val="clear" w:color="auto" w:fill="FFC000" w:themeFill="accent4"/>
            <w:vAlign w:val="center"/>
          </w:tcPr>
          <w:p w14:paraId="69291AED" w14:textId="51F702DD" w:rsidR="007E4503" w:rsidRPr="00250DD0" w:rsidRDefault="00E14BE3" w:rsidP="00250DD0">
            <w:pPr>
              <w:jc w:val="center"/>
              <w:rPr>
                <w:b/>
                <w:sz w:val="18"/>
                <w:szCs w:val="18"/>
              </w:rPr>
            </w:pPr>
            <w:r>
              <w:rPr>
                <w:b/>
                <w:sz w:val="18"/>
                <w:szCs w:val="18"/>
              </w:rPr>
              <w:t>Agroforestry practice</w:t>
            </w:r>
          </w:p>
        </w:tc>
        <w:tc>
          <w:tcPr>
            <w:tcW w:w="3420" w:type="dxa"/>
            <w:shd w:val="clear" w:color="auto" w:fill="FFC000" w:themeFill="accent4"/>
            <w:vAlign w:val="center"/>
          </w:tcPr>
          <w:p w14:paraId="68FAEA16" w14:textId="10661510" w:rsidR="007E4503" w:rsidRPr="00250DD0" w:rsidRDefault="007E4503" w:rsidP="00250DD0">
            <w:pPr>
              <w:jc w:val="center"/>
              <w:rPr>
                <w:b/>
                <w:sz w:val="18"/>
                <w:szCs w:val="18"/>
                <w:vertAlign w:val="superscript"/>
              </w:rPr>
            </w:pPr>
            <w:r w:rsidRPr="00250DD0">
              <w:rPr>
                <w:b/>
                <w:sz w:val="18"/>
                <w:szCs w:val="18"/>
              </w:rPr>
              <w:t>Emissions Factor</w:t>
            </w:r>
            <w:r w:rsidR="00E14BE3">
              <w:rPr>
                <w:b/>
                <w:sz w:val="18"/>
                <w:szCs w:val="18"/>
              </w:rPr>
              <w:t xml:space="preserve"> (Mg C ha</w:t>
            </w:r>
            <w:r w:rsidR="00E14BE3" w:rsidRPr="00E14BE3">
              <w:rPr>
                <w:b/>
                <w:sz w:val="18"/>
                <w:szCs w:val="18"/>
                <w:vertAlign w:val="superscript"/>
              </w:rPr>
              <w:t>-1</w:t>
            </w:r>
            <w:r w:rsidR="00E14BE3">
              <w:rPr>
                <w:b/>
                <w:sz w:val="18"/>
                <w:szCs w:val="18"/>
              </w:rPr>
              <w:t xml:space="preserve"> yr</w:t>
            </w:r>
            <w:r w:rsidR="00E14BE3" w:rsidRPr="00E14BE3">
              <w:rPr>
                <w:b/>
                <w:sz w:val="18"/>
                <w:szCs w:val="18"/>
                <w:vertAlign w:val="superscript"/>
              </w:rPr>
              <w:t>-1</w:t>
            </w:r>
            <w:r w:rsidR="00E14BE3">
              <w:rPr>
                <w:b/>
                <w:sz w:val="18"/>
                <w:szCs w:val="18"/>
              </w:rPr>
              <w:t>)</w:t>
            </w:r>
          </w:p>
        </w:tc>
      </w:tr>
      <w:tr w:rsidR="007E4503" w:rsidRPr="00250DD0" w14:paraId="4EDCACBC" w14:textId="77777777" w:rsidTr="00E14BE3">
        <w:trPr>
          <w:trHeight w:val="254"/>
        </w:trPr>
        <w:tc>
          <w:tcPr>
            <w:tcW w:w="3055" w:type="dxa"/>
            <w:vAlign w:val="center"/>
          </w:tcPr>
          <w:p w14:paraId="77602233" w14:textId="77777777" w:rsidR="007E4503" w:rsidRPr="00250DD0" w:rsidRDefault="007E4503" w:rsidP="00250DD0">
            <w:pPr>
              <w:rPr>
                <w:sz w:val="18"/>
                <w:szCs w:val="18"/>
              </w:rPr>
            </w:pPr>
            <w:r w:rsidRPr="00250DD0">
              <w:rPr>
                <w:sz w:val="18"/>
                <w:szCs w:val="18"/>
              </w:rPr>
              <w:t>Windbreaks</w:t>
            </w:r>
          </w:p>
        </w:tc>
        <w:tc>
          <w:tcPr>
            <w:tcW w:w="3420" w:type="dxa"/>
            <w:vAlign w:val="center"/>
          </w:tcPr>
          <w:p w14:paraId="3E0CFD28" w14:textId="77777777" w:rsidR="007E4503" w:rsidRPr="00250DD0" w:rsidRDefault="007E4503" w:rsidP="00250DD0">
            <w:pPr>
              <w:jc w:val="center"/>
              <w:rPr>
                <w:sz w:val="18"/>
                <w:szCs w:val="18"/>
              </w:rPr>
            </w:pPr>
            <w:r w:rsidRPr="00250DD0">
              <w:rPr>
                <w:sz w:val="18"/>
                <w:szCs w:val="18"/>
              </w:rPr>
              <w:t>0.96</w:t>
            </w:r>
          </w:p>
        </w:tc>
      </w:tr>
      <w:tr w:rsidR="007E4503" w:rsidRPr="00250DD0" w14:paraId="1D4FB215" w14:textId="77777777" w:rsidTr="00E14BE3">
        <w:trPr>
          <w:trHeight w:val="254"/>
        </w:trPr>
        <w:tc>
          <w:tcPr>
            <w:tcW w:w="3055" w:type="dxa"/>
            <w:vAlign w:val="center"/>
          </w:tcPr>
          <w:p w14:paraId="02DB8CC8" w14:textId="77777777" w:rsidR="007E4503" w:rsidRPr="00250DD0" w:rsidRDefault="007E4503" w:rsidP="00250DD0">
            <w:pPr>
              <w:rPr>
                <w:sz w:val="18"/>
                <w:szCs w:val="18"/>
              </w:rPr>
            </w:pPr>
            <w:r w:rsidRPr="00250DD0">
              <w:rPr>
                <w:sz w:val="18"/>
                <w:szCs w:val="18"/>
              </w:rPr>
              <w:t>Riparian buffers</w:t>
            </w:r>
          </w:p>
        </w:tc>
        <w:tc>
          <w:tcPr>
            <w:tcW w:w="3420" w:type="dxa"/>
            <w:vAlign w:val="center"/>
          </w:tcPr>
          <w:p w14:paraId="3BB47806" w14:textId="77777777" w:rsidR="007E4503" w:rsidRPr="00250DD0" w:rsidRDefault="007E4503" w:rsidP="00250DD0">
            <w:pPr>
              <w:jc w:val="center"/>
              <w:rPr>
                <w:sz w:val="18"/>
                <w:szCs w:val="18"/>
              </w:rPr>
            </w:pPr>
            <w:r w:rsidRPr="00250DD0">
              <w:rPr>
                <w:sz w:val="18"/>
                <w:szCs w:val="18"/>
              </w:rPr>
              <w:t>2.6</w:t>
            </w:r>
          </w:p>
        </w:tc>
      </w:tr>
      <w:tr w:rsidR="007E4503" w:rsidRPr="00250DD0" w14:paraId="152ED8CB" w14:textId="77777777" w:rsidTr="00E14BE3">
        <w:trPr>
          <w:trHeight w:val="254"/>
        </w:trPr>
        <w:tc>
          <w:tcPr>
            <w:tcW w:w="3055" w:type="dxa"/>
            <w:vAlign w:val="center"/>
          </w:tcPr>
          <w:p w14:paraId="156F90F8" w14:textId="77777777" w:rsidR="007E4503" w:rsidRPr="00250DD0" w:rsidRDefault="007E4503" w:rsidP="00250DD0">
            <w:pPr>
              <w:rPr>
                <w:sz w:val="18"/>
                <w:szCs w:val="18"/>
              </w:rPr>
            </w:pPr>
            <w:r w:rsidRPr="00250DD0">
              <w:rPr>
                <w:sz w:val="18"/>
                <w:szCs w:val="18"/>
              </w:rPr>
              <w:t>Alley cropping</w:t>
            </w:r>
          </w:p>
        </w:tc>
        <w:tc>
          <w:tcPr>
            <w:tcW w:w="3420" w:type="dxa"/>
            <w:vAlign w:val="center"/>
          </w:tcPr>
          <w:p w14:paraId="74193C8D" w14:textId="77777777" w:rsidR="007E4503" w:rsidRPr="00250DD0" w:rsidRDefault="007E4503" w:rsidP="00250DD0">
            <w:pPr>
              <w:jc w:val="center"/>
              <w:rPr>
                <w:sz w:val="18"/>
                <w:szCs w:val="18"/>
              </w:rPr>
            </w:pPr>
            <w:r w:rsidRPr="00250DD0">
              <w:rPr>
                <w:sz w:val="18"/>
                <w:szCs w:val="18"/>
              </w:rPr>
              <w:t>3.4</w:t>
            </w:r>
          </w:p>
        </w:tc>
      </w:tr>
      <w:tr w:rsidR="007E4503" w:rsidRPr="00250DD0" w14:paraId="31A0E922" w14:textId="77777777" w:rsidTr="00E14BE3">
        <w:trPr>
          <w:trHeight w:val="254"/>
        </w:trPr>
        <w:tc>
          <w:tcPr>
            <w:tcW w:w="3055" w:type="dxa"/>
            <w:vAlign w:val="center"/>
          </w:tcPr>
          <w:p w14:paraId="413F97BF" w14:textId="77777777" w:rsidR="007E4503" w:rsidRPr="00250DD0" w:rsidRDefault="007E4503" w:rsidP="00250DD0">
            <w:pPr>
              <w:rPr>
                <w:sz w:val="18"/>
                <w:szCs w:val="18"/>
              </w:rPr>
            </w:pPr>
            <w:r w:rsidRPr="00250DD0">
              <w:rPr>
                <w:sz w:val="18"/>
                <w:szCs w:val="18"/>
              </w:rPr>
              <w:t>Silvopasture</w:t>
            </w:r>
          </w:p>
        </w:tc>
        <w:tc>
          <w:tcPr>
            <w:tcW w:w="3420" w:type="dxa"/>
            <w:vAlign w:val="center"/>
          </w:tcPr>
          <w:p w14:paraId="3FAD5679" w14:textId="77777777" w:rsidR="007E4503" w:rsidRPr="00250DD0" w:rsidRDefault="007E4503" w:rsidP="00250DD0">
            <w:pPr>
              <w:jc w:val="center"/>
              <w:rPr>
                <w:sz w:val="18"/>
                <w:szCs w:val="18"/>
              </w:rPr>
            </w:pPr>
            <w:r w:rsidRPr="00250DD0">
              <w:rPr>
                <w:sz w:val="18"/>
                <w:szCs w:val="18"/>
              </w:rPr>
              <w:t>6.1</w:t>
            </w:r>
          </w:p>
        </w:tc>
      </w:tr>
    </w:tbl>
    <w:p w14:paraId="0C35B726" w14:textId="77777777" w:rsidR="00E14BE3" w:rsidRDefault="00E14BE3" w:rsidP="00530995">
      <w:pPr>
        <w:rPr>
          <w:i/>
          <w:sz w:val="18"/>
          <w:szCs w:val="18"/>
        </w:rPr>
      </w:pPr>
    </w:p>
    <w:p w14:paraId="7E5BC7C8" w14:textId="431087F8" w:rsidR="00530995" w:rsidRDefault="00530995" w:rsidP="00530995">
      <w:r>
        <w:t xml:space="preserve">It is assumed that even as land area under agroforestry practices officially exit the federal program, they continue to provide carbon sequestration benefits. To estimate </w:t>
      </w:r>
      <w:r w:rsidR="00AC4F43">
        <w:t>such “</w:t>
      </w:r>
      <w:r>
        <w:t>legacy effects,</w:t>
      </w:r>
      <w:r w:rsidR="00AC4F43">
        <w:t>”</w:t>
      </w:r>
      <w:r>
        <w:t xml:space="preserve"> each carbon sequestration rate for a given enrolled hectare was discounted at 75% for the </w:t>
      </w:r>
      <w:r w:rsidR="00AC4F43">
        <w:t xml:space="preserve">first </w:t>
      </w:r>
      <w:r>
        <w:t xml:space="preserve">five years </w:t>
      </w:r>
      <w:r w:rsidR="00AC4F43">
        <w:t xml:space="preserve">after </w:t>
      </w:r>
      <w:r>
        <w:t>enrollment</w:t>
      </w:r>
      <w:r w:rsidR="00AC4F43">
        <w:t xml:space="preserve"> ends</w:t>
      </w:r>
      <w:r>
        <w:t xml:space="preserve">, followed by a 50% discount for the remainder of the time series. For example, the carbon sequestration rate for a hectare enrolled in an agroforestry practice in 2004 was 100% of the literature-derived emissions factor in 2004, was discounted by 75% for the years 2005 to 2009, and then at 50% from 2010 onwards.  For each year, the total carbon stock changes from all the previous year’s legacy effects were summed and then added to any carbon stock change from newly enrolled land area in that year. </w:t>
      </w:r>
    </w:p>
    <w:p w14:paraId="5AD6491F" w14:textId="425F2A15" w:rsidR="00F301B1" w:rsidRPr="00250DD0" w:rsidRDefault="00F301B1" w:rsidP="00F301B1">
      <w:pPr>
        <w:pStyle w:val="Caption"/>
        <w:keepNext/>
        <w:rPr>
          <w:b/>
          <w:sz w:val="22"/>
          <w:szCs w:val="22"/>
        </w:rPr>
      </w:pPr>
      <w:r w:rsidRPr="00250DD0">
        <w:rPr>
          <w:b/>
          <w:sz w:val="22"/>
          <w:szCs w:val="22"/>
        </w:rPr>
        <w:t xml:space="preserve">Equation </w:t>
      </w:r>
      <w:r w:rsidR="007D6D6E">
        <w:rPr>
          <w:b/>
          <w:sz w:val="22"/>
          <w:szCs w:val="22"/>
        </w:rPr>
        <w:t>2</w:t>
      </w:r>
      <w:r w:rsidR="00684A1C">
        <w:rPr>
          <w:b/>
          <w:sz w:val="22"/>
          <w:szCs w:val="22"/>
        </w:rPr>
        <w:t>-</w:t>
      </w:r>
      <w:r w:rsidR="001B5A68">
        <w:rPr>
          <w:b/>
          <w:sz w:val="22"/>
          <w:szCs w:val="22"/>
        </w:rPr>
        <w:t>3</w:t>
      </w:r>
      <w:r w:rsidRPr="00250DD0">
        <w:rPr>
          <w:b/>
          <w:sz w:val="22"/>
          <w:szCs w:val="22"/>
        </w:rPr>
        <w:t>:</w:t>
      </w:r>
      <w:r w:rsidR="001C28FA" w:rsidRPr="00250DD0">
        <w:rPr>
          <w:b/>
          <w:sz w:val="22"/>
          <w:szCs w:val="22"/>
        </w:rPr>
        <w:t xml:space="preserve"> Carbon stock change from agroforestry</w:t>
      </w:r>
    </w:p>
    <w:p w14:paraId="499D173A" w14:textId="3BA95040" w:rsidR="00530995" w:rsidRPr="009C1F84" w:rsidRDefault="00530995" w:rsidP="00530995">
      <w:pPr>
        <w:rPr>
          <w:rFonts w:eastAsiaTheme="minorEastAsia"/>
        </w:rPr>
      </w:pPr>
      <m:oMathPara>
        <m:oMath>
          <m:r>
            <w:rPr>
              <w:rFonts w:ascii="Cambria Math" w:hAnsi="Cambria Math"/>
            </w:rPr>
            <m:t>∆</m:t>
          </m:r>
          <m:sSub>
            <m:sSubPr>
              <m:ctrlPr>
                <w:rPr>
                  <w:rFonts w:ascii="Cambria Math" w:hAnsi="Cambria Math"/>
                  <w:i/>
                </w:rPr>
              </m:ctrlPr>
            </m:sSubPr>
            <m:e>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e>
            <m:sub>
              <m:r>
                <w:rPr>
                  <w:rFonts w:ascii="Cambria Math" w:hAnsi="Cambria Math"/>
                </w:rPr>
                <m:t>it</m:t>
              </m:r>
            </m:sub>
          </m:sSub>
          <m:r>
            <w:rPr>
              <w:rFonts w:ascii="Cambria Math" w:hAnsi="Cambria Math"/>
            </w:rPr>
            <m:t>=</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it</m:t>
                      </m:r>
                    </m:sub>
                  </m:sSub>
                  <m:r>
                    <w:rPr>
                      <w:rFonts w:ascii="Cambria Math" w:hAnsi="Cambria Math"/>
                    </w:rPr>
                    <m:t>*E</m:t>
                  </m:r>
                  <m:sSub>
                    <m:sSubPr>
                      <m:ctrlPr>
                        <w:rPr>
                          <w:rFonts w:ascii="Cambria Math" w:hAnsi="Cambria Math"/>
                          <w:i/>
                        </w:rPr>
                      </m:ctrlPr>
                    </m:sSubPr>
                    <m:e>
                      <m:r>
                        <w:rPr>
                          <w:rFonts w:ascii="Cambria Math" w:hAnsi="Cambria Math"/>
                        </w:rPr>
                        <m:t>F</m:t>
                      </m:r>
                    </m:e>
                    <m:sub>
                      <m:r>
                        <w:rPr>
                          <w:rFonts w:ascii="Cambria Math" w:hAnsi="Cambria Math"/>
                        </w:rPr>
                        <m:t>i</m:t>
                      </m:r>
                    </m:sub>
                  </m:sSub>
                </m:e>
              </m:d>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1-5</m:t>
                  </m:r>
                </m:sub>
              </m:sSub>
              <m:nary>
                <m:naryPr>
                  <m:chr m:val="∑"/>
                  <m:limLoc m:val="undOvr"/>
                  <m:ctrlPr>
                    <w:rPr>
                      <w:rFonts w:ascii="Cambria Math" w:hAnsi="Cambria Math"/>
                      <w:i/>
                    </w:rPr>
                  </m:ctrlPr>
                </m:naryPr>
                <m:sub>
                  <m:r>
                    <w:rPr>
                      <w:rFonts w:ascii="Cambria Math" w:hAnsi="Cambria Math"/>
                    </w:rPr>
                    <m:t>s=t-5</m:t>
                  </m:r>
                </m:sub>
                <m:sup>
                  <m:r>
                    <w:rPr>
                      <w:rFonts w:ascii="Cambria Math" w:hAnsi="Cambria Math"/>
                    </w:rPr>
                    <m:t>t-1</m:t>
                  </m:r>
                </m:sup>
                <m:e>
                  <m:sSub>
                    <m:sSubPr>
                      <m:ctrlPr>
                        <w:rPr>
                          <w:rFonts w:ascii="Cambria Math" w:hAnsi="Cambria Math"/>
                          <w:i/>
                        </w:rPr>
                      </m:ctrlPr>
                    </m:sSubPr>
                    <m:e>
                      <m:r>
                        <w:rPr>
                          <w:rFonts w:ascii="Cambria Math" w:hAnsi="Cambria Math"/>
                        </w:rPr>
                        <m:t>A</m:t>
                      </m:r>
                    </m:e>
                    <m:sub>
                      <m:r>
                        <w:rPr>
                          <w:rFonts w:ascii="Cambria Math" w:hAnsi="Cambria Math"/>
                        </w:rPr>
                        <m:t>is</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i</m:t>
                      </m:r>
                    </m:sub>
                  </m:sSub>
                  <m:r>
                    <w:rPr>
                      <w:rFonts w:ascii="Cambria Math" w:hAnsi="Cambria Math"/>
                    </w:rPr>
                    <m:t>)+</m:t>
                  </m:r>
                </m:e>
              </m:nary>
              <m:sSub>
                <m:sSubPr>
                  <m:ctrlPr>
                    <w:rPr>
                      <w:rFonts w:ascii="Cambria Math" w:hAnsi="Cambria Math"/>
                      <w:i/>
                    </w:rPr>
                  </m:ctrlPr>
                </m:sSubPr>
                <m:e>
                  <m:r>
                    <w:rPr>
                      <w:rFonts w:ascii="Cambria Math" w:hAnsi="Cambria Math"/>
                    </w:rPr>
                    <m:t>(D</m:t>
                  </m:r>
                </m:e>
                <m:sub>
                  <m:r>
                    <w:rPr>
                      <w:rFonts w:ascii="Cambria Math" w:hAnsi="Cambria Math"/>
                    </w:rPr>
                    <m:t>≥6</m:t>
                  </m:r>
                </m:sub>
              </m:sSub>
              <m:nary>
                <m:naryPr>
                  <m:chr m:val="∑"/>
                  <m:limLoc m:val="undOvr"/>
                  <m:ctrlPr>
                    <w:rPr>
                      <w:rFonts w:ascii="Cambria Math" w:hAnsi="Cambria Math"/>
                      <w:i/>
                    </w:rPr>
                  </m:ctrlPr>
                </m:naryPr>
                <m:sub>
                  <m:r>
                    <w:rPr>
                      <w:rFonts w:ascii="Cambria Math" w:hAnsi="Cambria Math"/>
                    </w:rPr>
                    <m:t>s=0</m:t>
                  </m:r>
                </m:sub>
                <m:sup>
                  <m:r>
                    <w:rPr>
                      <w:rFonts w:ascii="Cambria Math" w:hAnsi="Cambria Math"/>
                    </w:rPr>
                    <m:t>t-6</m:t>
                  </m:r>
                </m:sup>
                <m:e>
                  <m:sSub>
                    <m:sSubPr>
                      <m:ctrlPr>
                        <w:rPr>
                          <w:rFonts w:ascii="Cambria Math" w:hAnsi="Cambria Math"/>
                          <w:i/>
                        </w:rPr>
                      </m:ctrlPr>
                    </m:sSubPr>
                    <m:e>
                      <m:r>
                        <w:rPr>
                          <w:rFonts w:ascii="Cambria Math" w:hAnsi="Cambria Math"/>
                        </w:rPr>
                        <m:t>A</m:t>
                      </m:r>
                    </m:e>
                    <m:sub>
                      <m:r>
                        <w:rPr>
                          <w:rFonts w:ascii="Cambria Math" w:hAnsi="Cambria Math"/>
                        </w:rPr>
                        <m:t>is</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i</m:t>
                      </m:r>
                    </m:sub>
                  </m:sSub>
                  <m:r>
                    <w:rPr>
                      <w:rFonts w:ascii="Cambria Math" w:hAnsi="Cambria Math"/>
                    </w:rPr>
                    <m:t>)</m:t>
                  </m:r>
                </m:e>
              </m:nary>
            </m:e>
          </m:d>
          <m:r>
            <w:rPr>
              <w:rFonts w:ascii="Cambria Math" w:hAnsi="Cambria Math"/>
            </w:rPr>
            <m:t>*</m:t>
          </m:r>
          <m:f>
            <m:fPr>
              <m:ctrlPr>
                <w:rPr>
                  <w:rFonts w:ascii="Cambria Math" w:hAnsi="Cambria Math"/>
                  <w:i/>
                </w:rPr>
              </m:ctrlPr>
            </m:fPr>
            <m:num>
              <m:r>
                <w:rPr>
                  <w:rFonts w:ascii="Cambria Math" w:hAnsi="Cambria Math"/>
                </w:rPr>
                <m:t>44</m:t>
              </m:r>
            </m:num>
            <m:den>
              <m:r>
                <w:rPr>
                  <w:rFonts w:ascii="Cambria Math" w:hAnsi="Cambria Math"/>
                </w:rPr>
                <m:t>12</m:t>
              </m:r>
            </m:den>
          </m:f>
        </m:oMath>
      </m:oMathPara>
    </w:p>
    <w:p w14:paraId="2A90DDBE" w14:textId="77777777" w:rsidR="00530995" w:rsidRDefault="00530995" w:rsidP="004F4602">
      <w:pPr>
        <w:rPr>
          <w:rFonts w:eastAsiaTheme="minorEastAsia"/>
        </w:rPr>
      </w:pPr>
      <w:r>
        <w:rPr>
          <w:rFonts w:eastAsiaTheme="minorEastAsia"/>
        </w:rPr>
        <w:t>Where:</w:t>
      </w:r>
    </w:p>
    <w:p w14:paraId="12979B6A" w14:textId="77777777" w:rsidR="00530995" w:rsidRPr="00135FD0" w:rsidRDefault="00530995" w:rsidP="00530995">
      <w:pPr>
        <w:ind w:left="720"/>
        <w:rPr>
          <w:rFonts w:eastAsiaTheme="minorEastAsia"/>
        </w:rPr>
      </w:pPr>
      <m:oMath>
        <m:r>
          <w:rPr>
            <w:rFonts w:ascii="Cambria Math" w:hAnsi="Cambria Math"/>
          </w:rPr>
          <w:lastRenderedPageBreak/>
          <m:t>∆</m:t>
        </m:r>
        <m:sSub>
          <m:sSubPr>
            <m:ctrlPr>
              <w:rPr>
                <w:rFonts w:ascii="Cambria Math" w:hAnsi="Cambria Math"/>
                <w:i/>
              </w:rPr>
            </m:ctrlPr>
          </m:sSubPr>
          <m:e>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e>
          <m:sub>
            <m:r>
              <w:rPr>
                <w:rFonts w:ascii="Cambria Math" w:hAnsi="Cambria Math"/>
              </w:rPr>
              <m:t>t</m:t>
            </m:r>
          </m:sub>
        </m:sSub>
      </m:oMath>
      <w:r>
        <w:rPr>
          <w:rFonts w:eastAsiaTheme="minorEastAsia"/>
        </w:rPr>
        <w:t xml:space="preserve"> = Total carbon stock change for agroforestry practice </w:t>
      </w:r>
      <w:r w:rsidRPr="00CB3381">
        <w:rPr>
          <w:rFonts w:eastAsiaTheme="minorEastAsia"/>
          <w:i/>
        </w:rPr>
        <w:t>i</w:t>
      </w:r>
      <w:r>
        <w:rPr>
          <w:rFonts w:eastAsiaTheme="minorEastAsia"/>
        </w:rPr>
        <w:t xml:space="preserve"> in year </w:t>
      </w:r>
      <w:r w:rsidRPr="00CB3381">
        <w:rPr>
          <w:rFonts w:eastAsiaTheme="minorEastAsia"/>
          <w:i/>
        </w:rPr>
        <w:t>t</w:t>
      </w:r>
      <w:r>
        <w:rPr>
          <w:rFonts w:eastAsiaTheme="minorEastAsia"/>
        </w:rPr>
        <w:t>, metric tons CO</w:t>
      </w:r>
      <w:r w:rsidRPr="0022355D">
        <w:rPr>
          <w:rFonts w:eastAsiaTheme="minorEastAsia"/>
          <w:vertAlign w:val="subscript"/>
        </w:rPr>
        <w:t>2</w:t>
      </w:r>
    </w:p>
    <w:p w14:paraId="5D31FFBB" w14:textId="6C3D0138" w:rsidR="00530995" w:rsidRPr="00CB3381" w:rsidRDefault="00876770" w:rsidP="00530995">
      <w:pPr>
        <w:ind w:left="720"/>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it</m:t>
            </m:r>
          </m:sub>
        </m:sSub>
      </m:oMath>
      <w:r w:rsidR="00530995">
        <w:rPr>
          <w:rFonts w:eastAsiaTheme="minorEastAsia"/>
        </w:rPr>
        <w:t xml:space="preserve"> = Land area </w:t>
      </w:r>
      <w:r w:rsidR="00AC4F43">
        <w:rPr>
          <w:rFonts w:eastAsiaTheme="minorEastAsia"/>
        </w:rPr>
        <w:t xml:space="preserve">enrolled in </w:t>
      </w:r>
      <w:r w:rsidR="00530995">
        <w:rPr>
          <w:rFonts w:eastAsiaTheme="minorEastAsia"/>
        </w:rPr>
        <w:t xml:space="preserve">agroforestry practice </w:t>
      </w:r>
      <w:r w:rsidR="00530995" w:rsidRPr="00CB3381">
        <w:rPr>
          <w:rFonts w:eastAsiaTheme="minorEastAsia"/>
          <w:i/>
        </w:rPr>
        <w:t>i</w:t>
      </w:r>
      <w:r w:rsidR="00530995">
        <w:rPr>
          <w:rFonts w:eastAsiaTheme="minorEastAsia"/>
        </w:rPr>
        <w:t xml:space="preserve"> in year </w:t>
      </w:r>
      <w:r w:rsidR="00530995" w:rsidRPr="00CB3381">
        <w:rPr>
          <w:rFonts w:eastAsiaTheme="minorEastAsia"/>
          <w:i/>
        </w:rPr>
        <w:t>t</w:t>
      </w:r>
      <w:r w:rsidR="00530995">
        <w:rPr>
          <w:rFonts w:eastAsiaTheme="minorEastAsia"/>
        </w:rPr>
        <w:t>, hectares</w:t>
      </w:r>
    </w:p>
    <w:p w14:paraId="622C9B0C" w14:textId="77777777" w:rsidR="00530995" w:rsidRPr="00135FD0" w:rsidRDefault="00530995" w:rsidP="00530995">
      <w:pPr>
        <w:ind w:left="720"/>
        <w:rPr>
          <w:rFonts w:eastAsiaTheme="minorEastAsia"/>
        </w:rPr>
      </w:pPr>
      <m:oMath>
        <m:r>
          <w:rPr>
            <w:rFonts w:ascii="Cambria Math" w:hAnsi="Cambria Math"/>
          </w:rPr>
          <m:t>E</m:t>
        </m:r>
        <m:sSub>
          <m:sSubPr>
            <m:ctrlPr>
              <w:rPr>
                <w:rFonts w:ascii="Cambria Math" w:hAnsi="Cambria Math"/>
                <w:i/>
              </w:rPr>
            </m:ctrlPr>
          </m:sSubPr>
          <m:e>
            <m:r>
              <w:rPr>
                <w:rFonts w:ascii="Cambria Math" w:hAnsi="Cambria Math"/>
              </w:rPr>
              <m:t>F</m:t>
            </m:r>
          </m:e>
          <m:sub>
            <m:r>
              <w:rPr>
                <w:rFonts w:ascii="Cambria Math" w:hAnsi="Cambria Math"/>
              </w:rPr>
              <m:t>i</m:t>
            </m:r>
          </m:sub>
        </m:sSub>
      </m:oMath>
      <w:r>
        <w:rPr>
          <w:rFonts w:eastAsiaTheme="minorEastAsia"/>
        </w:rPr>
        <w:t xml:space="preserve"> = emissions factor for agroforestry practice </w:t>
      </w:r>
      <w:r w:rsidRPr="00CB3381">
        <w:rPr>
          <w:rFonts w:eastAsiaTheme="minorEastAsia"/>
          <w:i/>
        </w:rPr>
        <w:t>i</w:t>
      </w:r>
      <w:r>
        <w:rPr>
          <w:rFonts w:eastAsiaTheme="minorEastAsia"/>
        </w:rPr>
        <w:t>, Mg C/ha/year</w:t>
      </w:r>
    </w:p>
    <w:p w14:paraId="64450DB3" w14:textId="60C7079C" w:rsidR="00530995" w:rsidRPr="00D35EC2" w:rsidRDefault="00876770" w:rsidP="00530995">
      <w:pPr>
        <w:ind w:left="720"/>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1-5</m:t>
            </m:r>
          </m:sub>
        </m:sSub>
      </m:oMath>
      <w:r w:rsidR="00530995">
        <w:rPr>
          <w:rFonts w:eastAsiaTheme="minorEastAsia"/>
        </w:rPr>
        <w:t xml:space="preserve"> = Discount factor for</w:t>
      </w:r>
      <w:r w:rsidR="00AC4F43">
        <w:rPr>
          <w:rFonts w:eastAsiaTheme="minorEastAsia"/>
        </w:rPr>
        <w:t xml:space="preserve"> land enrolled between year </w:t>
      </w:r>
      <w:r w:rsidR="00AC4F43" w:rsidRPr="003B4036">
        <w:rPr>
          <w:rFonts w:eastAsiaTheme="minorEastAsia"/>
          <w:i/>
        </w:rPr>
        <w:t>t-1</w:t>
      </w:r>
      <w:r w:rsidR="00AC4F43">
        <w:rPr>
          <w:rFonts w:eastAsiaTheme="minorEastAsia"/>
        </w:rPr>
        <w:t xml:space="preserve"> and </w:t>
      </w:r>
      <w:r w:rsidR="00AC4F43" w:rsidRPr="003B4036">
        <w:rPr>
          <w:rFonts w:eastAsiaTheme="minorEastAsia"/>
          <w:i/>
        </w:rPr>
        <w:t>t-5</w:t>
      </w:r>
      <w:r w:rsidR="00AC4F43">
        <w:rPr>
          <w:rFonts w:eastAsiaTheme="minorEastAsia"/>
        </w:rPr>
        <w:t>, inclusive</w:t>
      </w:r>
    </w:p>
    <w:p w14:paraId="482B6CE9" w14:textId="1E2E78F8" w:rsidR="00530995" w:rsidRDefault="00876770" w:rsidP="00530995">
      <w:pPr>
        <w:ind w:left="720"/>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≥6</m:t>
            </m:r>
          </m:sub>
        </m:sSub>
      </m:oMath>
      <w:r w:rsidR="00530995">
        <w:rPr>
          <w:rFonts w:eastAsiaTheme="minorEastAsia"/>
        </w:rPr>
        <w:t xml:space="preserve"> = Discount </w:t>
      </w:r>
      <w:r w:rsidR="00AC4F43">
        <w:rPr>
          <w:rFonts w:eastAsiaTheme="minorEastAsia"/>
        </w:rPr>
        <w:t xml:space="preserve">factor </w:t>
      </w:r>
      <w:r w:rsidR="00530995">
        <w:rPr>
          <w:rFonts w:eastAsiaTheme="minorEastAsia"/>
        </w:rPr>
        <w:t xml:space="preserve">for </w:t>
      </w:r>
      <w:r w:rsidR="00AC4F43">
        <w:rPr>
          <w:rFonts w:eastAsiaTheme="minorEastAsia"/>
        </w:rPr>
        <w:t xml:space="preserve">land enrolled in year </w:t>
      </w:r>
      <w:r w:rsidR="00AC4F43" w:rsidRPr="003B4036">
        <w:rPr>
          <w:rFonts w:eastAsiaTheme="minorEastAsia"/>
          <w:i/>
        </w:rPr>
        <w:t>t-6</w:t>
      </w:r>
      <w:r w:rsidR="00AC4F43">
        <w:rPr>
          <w:rFonts w:eastAsiaTheme="minorEastAsia"/>
        </w:rPr>
        <w:t xml:space="preserve"> or earlier</w:t>
      </w:r>
    </w:p>
    <w:p w14:paraId="44FDFB2A" w14:textId="77777777" w:rsidR="00530995" w:rsidRPr="000A641E" w:rsidRDefault="00876770" w:rsidP="00530995">
      <w:pPr>
        <w:ind w:left="720"/>
        <w:rPr>
          <w:rFonts w:eastAsiaTheme="minorEastAsia"/>
        </w:rPr>
      </w:pPr>
      <m:oMath>
        <m:f>
          <m:fPr>
            <m:ctrlPr>
              <w:rPr>
                <w:rFonts w:ascii="Cambria Math" w:hAnsi="Cambria Math"/>
                <w:i/>
              </w:rPr>
            </m:ctrlPr>
          </m:fPr>
          <m:num>
            <m:r>
              <w:rPr>
                <w:rFonts w:ascii="Cambria Math" w:hAnsi="Cambria Math"/>
              </w:rPr>
              <m:t>44</m:t>
            </m:r>
          </m:num>
          <m:den>
            <m:r>
              <w:rPr>
                <w:rFonts w:ascii="Cambria Math" w:hAnsi="Cambria Math"/>
              </w:rPr>
              <m:t>12</m:t>
            </m:r>
          </m:den>
        </m:f>
      </m:oMath>
      <w:r w:rsidR="00530995">
        <w:rPr>
          <w:rFonts w:eastAsiaTheme="minorEastAsia"/>
        </w:rPr>
        <w:t xml:space="preserve"> = conversion factor from metric tons C to metric tons CO</w:t>
      </w:r>
      <w:r w:rsidR="00530995" w:rsidRPr="00CB3381">
        <w:rPr>
          <w:rFonts w:eastAsiaTheme="minorEastAsia"/>
          <w:vertAlign w:val="subscript"/>
        </w:rPr>
        <w:t>2</w:t>
      </w:r>
    </w:p>
    <w:p w14:paraId="5E994FE6" w14:textId="77777777" w:rsidR="00530995" w:rsidRPr="009C1F84" w:rsidRDefault="00530995" w:rsidP="00530995">
      <w:pPr>
        <w:ind w:left="720"/>
      </w:pPr>
    </w:p>
    <w:p w14:paraId="3A9B1BFF" w14:textId="57DE4CA2" w:rsidR="00530995" w:rsidRDefault="00530995" w:rsidP="00530995">
      <w:r>
        <w:t xml:space="preserve">The full set of calculations may be found in the Spreadsheet Appendix. </w:t>
      </w:r>
      <w:r w:rsidR="00EC290E">
        <w:t>R</w:t>
      </w:r>
      <w:r>
        <w:t>esults from the five</w:t>
      </w:r>
      <w:r w:rsidR="00585254">
        <w:t>-</w:t>
      </w:r>
      <w:r>
        <w:t>year period of 2011 to 2016 are included here in</w:t>
      </w:r>
      <w:r w:rsidR="004F4602">
        <w:t xml:space="preserve"> </w:t>
      </w:r>
      <w:r w:rsidR="001C28FA" w:rsidRPr="00250DD0">
        <w:fldChar w:fldCharType="begin"/>
      </w:r>
      <w:r w:rsidR="001C28FA" w:rsidRPr="00250DD0">
        <w:instrText xml:space="preserve"> REF _Ref4764046 \h  \* MERGEFORMAT </w:instrText>
      </w:r>
      <w:r w:rsidR="001C28FA" w:rsidRPr="00250DD0">
        <w:fldChar w:fldCharType="separate"/>
      </w:r>
      <w:r w:rsidR="00FB4CFE" w:rsidRPr="00FB4CFE">
        <w:t xml:space="preserve">Table </w:t>
      </w:r>
      <w:r w:rsidR="001C28FA" w:rsidRPr="00250DD0">
        <w:fldChar w:fldCharType="end"/>
      </w:r>
      <w:r w:rsidR="007D6D6E">
        <w:t>2</w:t>
      </w:r>
      <w:r w:rsidR="00AC4F43">
        <w:t>-25</w:t>
      </w:r>
      <w:r w:rsidRPr="00250DD0">
        <w:t>.</w:t>
      </w:r>
    </w:p>
    <w:p w14:paraId="1CE61E5A" w14:textId="77777777" w:rsidR="00652BD5" w:rsidRDefault="00652BD5" w:rsidP="00530995"/>
    <w:p w14:paraId="563AB14C" w14:textId="062EB700" w:rsidR="00B13E0F" w:rsidRPr="00250DD0" w:rsidRDefault="00B13E0F" w:rsidP="00B13E0F">
      <w:pPr>
        <w:pStyle w:val="Caption"/>
        <w:keepNext/>
        <w:rPr>
          <w:b/>
          <w:sz w:val="22"/>
          <w:szCs w:val="22"/>
        </w:rPr>
      </w:pPr>
      <w:bookmarkStart w:id="195" w:name="_Ref4764046"/>
      <w:bookmarkStart w:id="196" w:name="_Ref5102617"/>
      <w:r w:rsidRPr="00250DD0">
        <w:rPr>
          <w:b/>
          <w:sz w:val="22"/>
          <w:szCs w:val="22"/>
        </w:rPr>
        <w:t xml:space="preserve">Table </w:t>
      </w:r>
      <w:bookmarkEnd w:id="195"/>
      <w:r w:rsidR="007D6D6E">
        <w:rPr>
          <w:b/>
          <w:sz w:val="22"/>
          <w:szCs w:val="22"/>
        </w:rPr>
        <w:t>2</w:t>
      </w:r>
      <w:r w:rsidR="005F6840">
        <w:rPr>
          <w:b/>
          <w:sz w:val="22"/>
          <w:szCs w:val="22"/>
        </w:rPr>
        <w:t>-</w:t>
      </w:r>
      <w:r w:rsidR="00AC4F43">
        <w:rPr>
          <w:b/>
          <w:sz w:val="22"/>
          <w:szCs w:val="22"/>
        </w:rPr>
        <w:t>25</w:t>
      </w:r>
      <w:r w:rsidRPr="00250DD0">
        <w:rPr>
          <w:b/>
          <w:sz w:val="22"/>
          <w:szCs w:val="22"/>
        </w:rPr>
        <w:t xml:space="preserve">: </w:t>
      </w:r>
      <w:r w:rsidR="00A9645A">
        <w:rPr>
          <w:b/>
          <w:sz w:val="22"/>
          <w:szCs w:val="22"/>
        </w:rPr>
        <w:t xml:space="preserve">RESULTS – </w:t>
      </w:r>
      <w:r w:rsidR="00195F4D">
        <w:rPr>
          <w:b/>
          <w:sz w:val="22"/>
          <w:szCs w:val="22"/>
        </w:rPr>
        <w:t>Omitted GHG flux</w:t>
      </w:r>
      <w:r w:rsidR="00A9645A">
        <w:rPr>
          <w:b/>
          <w:sz w:val="22"/>
          <w:szCs w:val="22"/>
        </w:rPr>
        <w:t xml:space="preserve"> estimate of </w:t>
      </w:r>
      <w:r w:rsidRPr="00250DD0">
        <w:rPr>
          <w:b/>
          <w:sz w:val="22"/>
          <w:szCs w:val="22"/>
        </w:rPr>
        <w:t xml:space="preserve">agroforestry </w:t>
      </w:r>
      <w:r w:rsidR="00E14BE3">
        <w:rPr>
          <w:b/>
          <w:sz w:val="22"/>
          <w:szCs w:val="22"/>
        </w:rPr>
        <w:t>carbon stock change</w:t>
      </w:r>
      <w:r w:rsidR="00A9645A">
        <w:rPr>
          <w:b/>
          <w:sz w:val="22"/>
          <w:szCs w:val="22"/>
        </w:rPr>
        <w:t xml:space="preserve"> (</w:t>
      </w:r>
      <w:r w:rsidRPr="00250DD0">
        <w:rPr>
          <w:b/>
          <w:sz w:val="22"/>
          <w:szCs w:val="22"/>
        </w:rPr>
        <w:t>2011-2016</w:t>
      </w:r>
      <w:bookmarkEnd w:id="196"/>
      <w:r w:rsidR="00A9645A">
        <w:rPr>
          <w:b/>
          <w:sz w:val="22"/>
          <w:szCs w:val="22"/>
        </w:rPr>
        <w:t>)</w:t>
      </w:r>
    </w:p>
    <w:tbl>
      <w:tblPr>
        <w:tblW w:w="8725" w:type="dxa"/>
        <w:tblLayout w:type="fixed"/>
        <w:tblLook w:val="04A0" w:firstRow="1" w:lastRow="0" w:firstColumn="1" w:lastColumn="0" w:noHBand="0" w:noVBand="1"/>
      </w:tblPr>
      <w:tblGrid>
        <w:gridCol w:w="1525"/>
        <w:gridCol w:w="1200"/>
        <w:gridCol w:w="1200"/>
        <w:gridCol w:w="1200"/>
        <w:gridCol w:w="1200"/>
        <w:gridCol w:w="1200"/>
        <w:gridCol w:w="1200"/>
      </w:tblGrid>
      <w:tr w:rsidR="00530995" w:rsidRPr="00250DD0" w14:paraId="6792FAC5" w14:textId="77777777" w:rsidTr="00A76A00">
        <w:trPr>
          <w:trHeight w:val="300"/>
        </w:trPr>
        <w:tc>
          <w:tcPr>
            <w:tcW w:w="1525" w:type="dxa"/>
            <w:tcBorders>
              <w:top w:val="single" w:sz="4" w:space="0" w:color="auto"/>
              <w:left w:val="single" w:sz="4" w:space="0" w:color="auto"/>
              <w:bottom w:val="single" w:sz="4" w:space="0" w:color="auto"/>
              <w:right w:val="single" w:sz="4" w:space="0" w:color="auto"/>
            </w:tcBorders>
            <w:shd w:val="clear" w:color="auto" w:fill="FFC000" w:themeFill="accent4"/>
            <w:noWrap/>
            <w:vAlign w:val="bottom"/>
            <w:hideMark/>
          </w:tcPr>
          <w:p w14:paraId="3CC8DCBC" w14:textId="77777777" w:rsidR="00530995" w:rsidRPr="00250DD0" w:rsidRDefault="00530995" w:rsidP="004D2F0B">
            <w:pPr>
              <w:spacing w:after="0" w:line="240" w:lineRule="auto"/>
              <w:rPr>
                <w:rFonts w:ascii="Calibri" w:eastAsia="Times New Roman" w:hAnsi="Calibri" w:cs="Calibri"/>
                <w:b/>
                <w:bCs/>
                <w:color w:val="000000"/>
                <w:sz w:val="18"/>
                <w:szCs w:val="18"/>
              </w:rPr>
            </w:pPr>
            <w:r w:rsidRPr="00250DD0">
              <w:rPr>
                <w:rFonts w:ascii="Calibri" w:eastAsia="Times New Roman" w:hAnsi="Calibri" w:cs="Calibri"/>
                <w:b/>
                <w:bCs/>
                <w:color w:val="000000"/>
                <w:sz w:val="18"/>
                <w:szCs w:val="18"/>
              </w:rPr>
              <w:t> </w:t>
            </w:r>
          </w:p>
        </w:tc>
        <w:tc>
          <w:tcPr>
            <w:tcW w:w="1200" w:type="dxa"/>
            <w:tcBorders>
              <w:top w:val="single" w:sz="4" w:space="0" w:color="auto"/>
              <w:left w:val="nil"/>
              <w:bottom w:val="single" w:sz="4" w:space="0" w:color="auto"/>
              <w:right w:val="single" w:sz="4" w:space="0" w:color="auto"/>
            </w:tcBorders>
            <w:shd w:val="clear" w:color="auto" w:fill="FFC000"/>
            <w:noWrap/>
            <w:vAlign w:val="center"/>
            <w:hideMark/>
          </w:tcPr>
          <w:p w14:paraId="00C8E973" w14:textId="77777777" w:rsidR="00530995" w:rsidRPr="00A76A00" w:rsidRDefault="00530995" w:rsidP="00250DD0">
            <w:pPr>
              <w:spacing w:after="0" w:line="240" w:lineRule="auto"/>
              <w:jc w:val="center"/>
              <w:rPr>
                <w:rFonts w:ascii="Calibri" w:eastAsia="Times New Roman" w:hAnsi="Calibri" w:cs="Calibri"/>
                <w:b/>
                <w:bCs/>
                <w:color w:val="000000"/>
                <w:sz w:val="18"/>
                <w:szCs w:val="18"/>
              </w:rPr>
            </w:pPr>
            <w:r w:rsidRPr="00A76A00">
              <w:rPr>
                <w:rFonts w:ascii="Calibri" w:eastAsia="Times New Roman" w:hAnsi="Calibri" w:cs="Calibri"/>
                <w:b/>
                <w:bCs/>
                <w:color w:val="000000"/>
                <w:sz w:val="18"/>
                <w:szCs w:val="18"/>
              </w:rPr>
              <w:t>2011</w:t>
            </w:r>
          </w:p>
        </w:tc>
        <w:tc>
          <w:tcPr>
            <w:tcW w:w="1200" w:type="dxa"/>
            <w:tcBorders>
              <w:top w:val="single" w:sz="4" w:space="0" w:color="auto"/>
              <w:left w:val="nil"/>
              <w:bottom w:val="single" w:sz="4" w:space="0" w:color="auto"/>
              <w:right w:val="single" w:sz="4" w:space="0" w:color="auto"/>
            </w:tcBorders>
            <w:shd w:val="clear" w:color="auto" w:fill="FFC000"/>
            <w:noWrap/>
            <w:vAlign w:val="center"/>
            <w:hideMark/>
          </w:tcPr>
          <w:p w14:paraId="36B08964" w14:textId="77777777" w:rsidR="00530995" w:rsidRPr="00A76A00" w:rsidRDefault="00530995" w:rsidP="00250DD0">
            <w:pPr>
              <w:spacing w:after="0" w:line="240" w:lineRule="auto"/>
              <w:jc w:val="center"/>
              <w:rPr>
                <w:rFonts w:ascii="Calibri" w:eastAsia="Times New Roman" w:hAnsi="Calibri" w:cs="Calibri"/>
                <w:b/>
                <w:bCs/>
                <w:color w:val="000000"/>
                <w:sz w:val="18"/>
                <w:szCs w:val="18"/>
              </w:rPr>
            </w:pPr>
            <w:r w:rsidRPr="00A76A00">
              <w:rPr>
                <w:rFonts w:ascii="Calibri" w:eastAsia="Times New Roman" w:hAnsi="Calibri" w:cs="Calibri"/>
                <w:b/>
                <w:bCs/>
                <w:color w:val="000000"/>
                <w:sz w:val="18"/>
                <w:szCs w:val="18"/>
              </w:rPr>
              <w:t>2012</w:t>
            </w:r>
          </w:p>
        </w:tc>
        <w:tc>
          <w:tcPr>
            <w:tcW w:w="1200" w:type="dxa"/>
            <w:tcBorders>
              <w:top w:val="single" w:sz="4" w:space="0" w:color="auto"/>
              <w:left w:val="nil"/>
              <w:bottom w:val="single" w:sz="4" w:space="0" w:color="auto"/>
              <w:right w:val="single" w:sz="4" w:space="0" w:color="auto"/>
            </w:tcBorders>
            <w:shd w:val="clear" w:color="auto" w:fill="FFC000"/>
            <w:noWrap/>
            <w:vAlign w:val="center"/>
            <w:hideMark/>
          </w:tcPr>
          <w:p w14:paraId="2D93860A" w14:textId="77777777" w:rsidR="00530995" w:rsidRPr="00A76A00" w:rsidRDefault="00530995" w:rsidP="00250DD0">
            <w:pPr>
              <w:spacing w:after="0" w:line="240" w:lineRule="auto"/>
              <w:jc w:val="center"/>
              <w:rPr>
                <w:rFonts w:ascii="Calibri" w:eastAsia="Times New Roman" w:hAnsi="Calibri" w:cs="Calibri"/>
                <w:b/>
                <w:bCs/>
                <w:color w:val="000000"/>
                <w:sz w:val="18"/>
                <w:szCs w:val="18"/>
              </w:rPr>
            </w:pPr>
            <w:r w:rsidRPr="00A76A00">
              <w:rPr>
                <w:rFonts w:ascii="Calibri" w:eastAsia="Times New Roman" w:hAnsi="Calibri" w:cs="Calibri"/>
                <w:b/>
                <w:bCs/>
                <w:color w:val="000000"/>
                <w:sz w:val="18"/>
                <w:szCs w:val="18"/>
              </w:rPr>
              <w:t>2013</w:t>
            </w:r>
          </w:p>
        </w:tc>
        <w:tc>
          <w:tcPr>
            <w:tcW w:w="1200" w:type="dxa"/>
            <w:tcBorders>
              <w:top w:val="single" w:sz="4" w:space="0" w:color="auto"/>
              <w:left w:val="nil"/>
              <w:bottom w:val="single" w:sz="4" w:space="0" w:color="auto"/>
              <w:right w:val="single" w:sz="4" w:space="0" w:color="auto"/>
            </w:tcBorders>
            <w:shd w:val="clear" w:color="auto" w:fill="FFC000"/>
            <w:noWrap/>
            <w:vAlign w:val="center"/>
            <w:hideMark/>
          </w:tcPr>
          <w:p w14:paraId="0F8A023B" w14:textId="77777777" w:rsidR="00530995" w:rsidRPr="00A76A00" w:rsidRDefault="00530995" w:rsidP="00250DD0">
            <w:pPr>
              <w:spacing w:after="0" w:line="240" w:lineRule="auto"/>
              <w:jc w:val="center"/>
              <w:rPr>
                <w:rFonts w:ascii="Calibri" w:eastAsia="Times New Roman" w:hAnsi="Calibri" w:cs="Calibri"/>
                <w:b/>
                <w:bCs/>
                <w:color w:val="000000"/>
                <w:sz w:val="18"/>
                <w:szCs w:val="18"/>
              </w:rPr>
            </w:pPr>
            <w:r w:rsidRPr="00A76A00">
              <w:rPr>
                <w:rFonts w:ascii="Calibri" w:eastAsia="Times New Roman" w:hAnsi="Calibri" w:cs="Calibri"/>
                <w:b/>
                <w:bCs/>
                <w:color w:val="000000"/>
                <w:sz w:val="18"/>
                <w:szCs w:val="18"/>
              </w:rPr>
              <w:t>2014</w:t>
            </w:r>
          </w:p>
        </w:tc>
        <w:tc>
          <w:tcPr>
            <w:tcW w:w="1200" w:type="dxa"/>
            <w:tcBorders>
              <w:top w:val="single" w:sz="4" w:space="0" w:color="auto"/>
              <w:left w:val="nil"/>
              <w:bottom w:val="single" w:sz="4" w:space="0" w:color="auto"/>
              <w:right w:val="single" w:sz="4" w:space="0" w:color="auto"/>
            </w:tcBorders>
            <w:shd w:val="clear" w:color="auto" w:fill="FFC000"/>
            <w:noWrap/>
            <w:vAlign w:val="center"/>
            <w:hideMark/>
          </w:tcPr>
          <w:p w14:paraId="3C8447AF" w14:textId="77777777" w:rsidR="00530995" w:rsidRPr="00A76A00" w:rsidRDefault="00530995" w:rsidP="00250DD0">
            <w:pPr>
              <w:spacing w:after="0" w:line="240" w:lineRule="auto"/>
              <w:jc w:val="center"/>
              <w:rPr>
                <w:rFonts w:ascii="Calibri" w:eastAsia="Times New Roman" w:hAnsi="Calibri" w:cs="Calibri"/>
                <w:b/>
                <w:bCs/>
                <w:color w:val="000000"/>
                <w:sz w:val="18"/>
                <w:szCs w:val="18"/>
              </w:rPr>
            </w:pPr>
            <w:r w:rsidRPr="00A76A00">
              <w:rPr>
                <w:rFonts w:ascii="Calibri" w:eastAsia="Times New Roman" w:hAnsi="Calibri" w:cs="Calibri"/>
                <w:b/>
                <w:bCs/>
                <w:color w:val="000000"/>
                <w:sz w:val="18"/>
                <w:szCs w:val="18"/>
              </w:rPr>
              <w:t>2015</w:t>
            </w:r>
          </w:p>
        </w:tc>
        <w:tc>
          <w:tcPr>
            <w:tcW w:w="1200" w:type="dxa"/>
            <w:tcBorders>
              <w:top w:val="single" w:sz="4" w:space="0" w:color="auto"/>
              <w:left w:val="nil"/>
              <w:bottom w:val="single" w:sz="4" w:space="0" w:color="auto"/>
              <w:right w:val="single" w:sz="4" w:space="0" w:color="auto"/>
            </w:tcBorders>
            <w:shd w:val="clear" w:color="auto" w:fill="FFC000"/>
            <w:noWrap/>
            <w:vAlign w:val="center"/>
            <w:hideMark/>
          </w:tcPr>
          <w:p w14:paraId="39BECB88" w14:textId="77777777" w:rsidR="00530995" w:rsidRPr="00A76A00" w:rsidRDefault="00530995" w:rsidP="00250DD0">
            <w:pPr>
              <w:spacing w:after="0" w:line="240" w:lineRule="auto"/>
              <w:jc w:val="center"/>
              <w:rPr>
                <w:rFonts w:ascii="Calibri" w:eastAsia="Times New Roman" w:hAnsi="Calibri" w:cs="Calibri"/>
                <w:b/>
                <w:bCs/>
                <w:color w:val="000000"/>
                <w:sz w:val="18"/>
                <w:szCs w:val="18"/>
              </w:rPr>
            </w:pPr>
            <w:r w:rsidRPr="00A76A00">
              <w:rPr>
                <w:rFonts w:ascii="Calibri" w:eastAsia="Times New Roman" w:hAnsi="Calibri" w:cs="Calibri"/>
                <w:b/>
                <w:bCs/>
                <w:color w:val="000000"/>
                <w:sz w:val="18"/>
                <w:szCs w:val="18"/>
              </w:rPr>
              <w:t>2016</w:t>
            </w:r>
          </w:p>
        </w:tc>
      </w:tr>
      <w:tr w:rsidR="00530995" w:rsidRPr="00250DD0" w14:paraId="66A93709" w14:textId="77777777" w:rsidTr="00A76A00">
        <w:trPr>
          <w:trHeight w:val="300"/>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14:paraId="0CAB33A8" w14:textId="27B69184" w:rsidR="00530995" w:rsidRPr="00250DD0" w:rsidRDefault="00F301B1" w:rsidP="004D2F0B">
            <w:pPr>
              <w:spacing w:after="0" w:line="240" w:lineRule="auto"/>
              <w:rPr>
                <w:rFonts w:ascii="Calibri" w:eastAsia="Times New Roman" w:hAnsi="Calibri" w:cs="Calibri"/>
                <w:b/>
                <w:bCs/>
                <w:color w:val="000000"/>
                <w:sz w:val="18"/>
                <w:szCs w:val="18"/>
              </w:rPr>
            </w:pPr>
            <w:r w:rsidRPr="00250DD0">
              <w:rPr>
                <w:rFonts w:ascii="Calibri" w:eastAsia="Times New Roman" w:hAnsi="Calibri" w:cs="Calibri"/>
                <w:b/>
                <w:bCs/>
                <w:color w:val="000000"/>
                <w:sz w:val="18"/>
                <w:szCs w:val="18"/>
              </w:rPr>
              <w:t>C stock change</w:t>
            </w:r>
            <w:r w:rsidR="00A76A00">
              <w:rPr>
                <w:rFonts w:ascii="Calibri" w:eastAsia="Times New Roman" w:hAnsi="Calibri" w:cs="Calibri"/>
                <w:b/>
                <w:bCs/>
                <w:color w:val="000000"/>
                <w:sz w:val="18"/>
                <w:szCs w:val="18"/>
              </w:rPr>
              <w:t xml:space="preserve"> (MMT CO</w:t>
            </w:r>
            <w:r w:rsidR="00A76A00" w:rsidRPr="00A76A00">
              <w:rPr>
                <w:rFonts w:ascii="Calibri" w:eastAsia="Times New Roman" w:hAnsi="Calibri" w:cs="Calibri"/>
                <w:b/>
                <w:bCs/>
                <w:color w:val="000000"/>
                <w:sz w:val="18"/>
                <w:szCs w:val="18"/>
                <w:vertAlign w:val="subscript"/>
              </w:rPr>
              <w:t>2</w:t>
            </w:r>
            <w:r w:rsidR="00A76A00">
              <w:rPr>
                <w:rFonts w:ascii="Calibri" w:eastAsia="Times New Roman" w:hAnsi="Calibri" w:cs="Calibri"/>
                <w:b/>
                <w:bCs/>
                <w:color w:val="000000"/>
                <w:sz w:val="18"/>
                <w:szCs w:val="18"/>
              </w:rPr>
              <w:t>e)</w:t>
            </w:r>
          </w:p>
        </w:tc>
        <w:tc>
          <w:tcPr>
            <w:tcW w:w="1200" w:type="dxa"/>
            <w:tcBorders>
              <w:top w:val="nil"/>
              <w:left w:val="nil"/>
              <w:bottom w:val="single" w:sz="4" w:space="0" w:color="auto"/>
              <w:right w:val="single" w:sz="4" w:space="0" w:color="auto"/>
            </w:tcBorders>
            <w:shd w:val="clear" w:color="auto" w:fill="auto"/>
            <w:noWrap/>
            <w:vAlign w:val="center"/>
            <w:hideMark/>
          </w:tcPr>
          <w:p w14:paraId="1EE97093" w14:textId="492E404B" w:rsidR="00530995" w:rsidRPr="00250DD0" w:rsidRDefault="00E14BE3" w:rsidP="00D35EC2">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r w:rsidR="00764B5B">
              <w:rPr>
                <w:rFonts w:ascii="Calibri" w:eastAsia="Times New Roman" w:hAnsi="Calibri" w:cs="Calibri"/>
                <w:color w:val="000000"/>
                <w:sz w:val="18"/>
                <w:szCs w:val="18"/>
              </w:rPr>
              <w:t>1.</w:t>
            </w:r>
            <w:r w:rsidR="00377473">
              <w:rPr>
                <w:rFonts w:ascii="Calibri" w:eastAsia="Times New Roman" w:hAnsi="Calibri" w:cs="Calibri"/>
                <w:color w:val="000000"/>
                <w:sz w:val="18"/>
                <w:szCs w:val="18"/>
              </w:rPr>
              <w:t>2</w:t>
            </w:r>
          </w:p>
        </w:tc>
        <w:tc>
          <w:tcPr>
            <w:tcW w:w="1200" w:type="dxa"/>
            <w:tcBorders>
              <w:top w:val="nil"/>
              <w:left w:val="nil"/>
              <w:bottom w:val="single" w:sz="4" w:space="0" w:color="auto"/>
              <w:right w:val="single" w:sz="4" w:space="0" w:color="auto"/>
            </w:tcBorders>
            <w:shd w:val="clear" w:color="auto" w:fill="auto"/>
            <w:noWrap/>
            <w:vAlign w:val="center"/>
            <w:hideMark/>
          </w:tcPr>
          <w:p w14:paraId="7C90883F" w14:textId="0E656447" w:rsidR="00530995" w:rsidRPr="00250DD0" w:rsidRDefault="00E14BE3" w:rsidP="009323DC">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r w:rsidR="00530995" w:rsidRPr="00250DD0">
              <w:rPr>
                <w:rFonts w:ascii="Calibri" w:eastAsia="Times New Roman" w:hAnsi="Calibri" w:cs="Calibri"/>
                <w:color w:val="000000"/>
                <w:sz w:val="18"/>
                <w:szCs w:val="18"/>
              </w:rPr>
              <w:t>1</w:t>
            </w:r>
            <w:r w:rsidR="00764B5B">
              <w:rPr>
                <w:rFonts w:ascii="Calibri" w:eastAsia="Times New Roman" w:hAnsi="Calibri" w:cs="Calibri"/>
                <w:color w:val="000000"/>
                <w:sz w:val="18"/>
                <w:szCs w:val="18"/>
              </w:rPr>
              <w:t>.</w:t>
            </w:r>
            <w:r w:rsidR="00377473">
              <w:rPr>
                <w:rFonts w:ascii="Calibri" w:eastAsia="Times New Roman" w:hAnsi="Calibri" w:cs="Calibri"/>
                <w:color w:val="000000"/>
                <w:sz w:val="18"/>
                <w:szCs w:val="18"/>
              </w:rPr>
              <w:t>4</w:t>
            </w:r>
          </w:p>
        </w:tc>
        <w:tc>
          <w:tcPr>
            <w:tcW w:w="1200" w:type="dxa"/>
            <w:tcBorders>
              <w:top w:val="nil"/>
              <w:left w:val="nil"/>
              <w:bottom w:val="single" w:sz="4" w:space="0" w:color="auto"/>
              <w:right w:val="single" w:sz="4" w:space="0" w:color="auto"/>
            </w:tcBorders>
            <w:shd w:val="clear" w:color="auto" w:fill="auto"/>
            <w:noWrap/>
            <w:vAlign w:val="center"/>
            <w:hideMark/>
          </w:tcPr>
          <w:p w14:paraId="4FC7D8B7" w14:textId="2C83F7E8" w:rsidR="00530995" w:rsidRPr="00250DD0" w:rsidRDefault="00E14BE3" w:rsidP="000E2401">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r w:rsidR="00530995" w:rsidRPr="00250DD0">
              <w:rPr>
                <w:rFonts w:ascii="Calibri" w:eastAsia="Times New Roman" w:hAnsi="Calibri" w:cs="Calibri"/>
                <w:color w:val="000000"/>
                <w:sz w:val="18"/>
                <w:szCs w:val="18"/>
              </w:rPr>
              <w:t>1</w:t>
            </w:r>
            <w:r w:rsidR="00764B5B">
              <w:rPr>
                <w:rFonts w:ascii="Calibri" w:eastAsia="Times New Roman" w:hAnsi="Calibri" w:cs="Calibri"/>
                <w:color w:val="000000"/>
                <w:sz w:val="18"/>
                <w:szCs w:val="18"/>
              </w:rPr>
              <w:t>.</w:t>
            </w:r>
            <w:r w:rsidR="00377473">
              <w:rPr>
                <w:rFonts w:ascii="Calibri" w:eastAsia="Times New Roman" w:hAnsi="Calibri" w:cs="Calibri"/>
                <w:color w:val="000000"/>
                <w:sz w:val="18"/>
                <w:szCs w:val="18"/>
              </w:rPr>
              <w:t>4</w:t>
            </w:r>
          </w:p>
        </w:tc>
        <w:tc>
          <w:tcPr>
            <w:tcW w:w="1200" w:type="dxa"/>
            <w:tcBorders>
              <w:top w:val="nil"/>
              <w:left w:val="nil"/>
              <w:bottom w:val="single" w:sz="4" w:space="0" w:color="auto"/>
              <w:right w:val="single" w:sz="4" w:space="0" w:color="auto"/>
            </w:tcBorders>
            <w:shd w:val="clear" w:color="auto" w:fill="auto"/>
            <w:noWrap/>
            <w:vAlign w:val="center"/>
            <w:hideMark/>
          </w:tcPr>
          <w:p w14:paraId="40D1B9D3" w14:textId="336E529A" w:rsidR="00530995" w:rsidRPr="00250DD0" w:rsidRDefault="00E14BE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r w:rsidR="00530995" w:rsidRPr="00250DD0">
              <w:rPr>
                <w:rFonts w:ascii="Calibri" w:eastAsia="Times New Roman" w:hAnsi="Calibri" w:cs="Calibri"/>
                <w:color w:val="000000"/>
                <w:sz w:val="18"/>
                <w:szCs w:val="18"/>
              </w:rPr>
              <w:t>1</w:t>
            </w:r>
            <w:r w:rsidR="00764B5B">
              <w:rPr>
                <w:rFonts w:ascii="Calibri" w:eastAsia="Times New Roman" w:hAnsi="Calibri" w:cs="Calibri"/>
                <w:color w:val="000000"/>
                <w:sz w:val="18"/>
                <w:szCs w:val="18"/>
              </w:rPr>
              <w:t>.</w:t>
            </w:r>
            <w:r w:rsidR="00377473">
              <w:rPr>
                <w:rFonts w:ascii="Calibri" w:eastAsia="Times New Roman" w:hAnsi="Calibri" w:cs="Calibri"/>
                <w:color w:val="000000"/>
                <w:sz w:val="18"/>
                <w:szCs w:val="18"/>
              </w:rPr>
              <w:t>6</w:t>
            </w:r>
          </w:p>
        </w:tc>
        <w:tc>
          <w:tcPr>
            <w:tcW w:w="1200" w:type="dxa"/>
            <w:tcBorders>
              <w:top w:val="nil"/>
              <w:left w:val="nil"/>
              <w:bottom w:val="single" w:sz="4" w:space="0" w:color="auto"/>
              <w:right w:val="single" w:sz="4" w:space="0" w:color="auto"/>
            </w:tcBorders>
            <w:shd w:val="clear" w:color="auto" w:fill="auto"/>
            <w:noWrap/>
            <w:vAlign w:val="center"/>
            <w:hideMark/>
          </w:tcPr>
          <w:p w14:paraId="48D2A938" w14:textId="2A63BBE8" w:rsidR="00530995" w:rsidRPr="00250DD0" w:rsidRDefault="00E14BE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r w:rsidR="00530995" w:rsidRPr="00250DD0">
              <w:rPr>
                <w:rFonts w:ascii="Calibri" w:eastAsia="Times New Roman" w:hAnsi="Calibri" w:cs="Calibri"/>
                <w:color w:val="000000"/>
                <w:sz w:val="18"/>
                <w:szCs w:val="18"/>
              </w:rPr>
              <w:t>1</w:t>
            </w:r>
            <w:r w:rsidR="00764B5B">
              <w:rPr>
                <w:rFonts w:ascii="Calibri" w:eastAsia="Times New Roman" w:hAnsi="Calibri" w:cs="Calibri"/>
                <w:color w:val="000000"/>
                <w:sz w:val="18"/>
                <w:szCs w:val="18"/>
              </w:rPr>
              <w:t>.</w:t>
            </w:r>
            <w:r w:rsidR="00377473">
              <w:rPr>
                <w:rFonts w:ascii="Calibri" w:eastAsia="Times New Roman" w:hAnsi="Calibri" w:cs="Calibri"/>
                <w:color w:val="000000"/>
                <w:sz w:val="18"/>
                <w:szCs w:val="18"/>
              </w:rPr>
              <w:t>7</w:t>
            </w:r>
          </w:p>
        </w:tc>
        <w:tc>
          <w:tcPr>
            <w:tcW w:w="1200" w:type="dxa"/>
            <w:tcBorders>
              <w:top w:val="nil"/>
              <w:left w:val="nil"/>
              <w:bottom w:val="single" w:sz="4" w:space="0" w:color="auto"/>
              <w:right w:val="single" w:sz="4" w:space="0" w:color="auto"/>
            </w:tcBorders>
            <w:shd w:val="clear" w:color="auto" w:fill="auto"/>
            <w:noWrap/>
            <w:vAlign w:val="center"/>
            <w:hideMark/>
          </w:tcPr>
          <w:p w14:paraId="54B2B3D1" w14:textId="4F2C8494" w:rsidR="00530995" w:rsidRPr="00250DD0" w:rsidRDefault="00E14BE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r w:rsidR="00530995" w:rsidRPr="00250DD0">
              <w:rPr>
                <w:rFonts w:ascii="Calibri" w:eastAsia="Times New Roman" w:hAnsi="Calibri" w:cs="Calibri"/>
                <w:color w:val="000000"/>
                <w:sz w:val="18"/>
                <w:szCs w:val="18"/>
              </w:rPr>
              <w:t>1</w:t>
            </w:r>
            <w:r w:rsidR="00764B5B">
              <w:rPr>
                <w:rFonts w:ascii="Calibri" w:eastAsia="Times New Roman" w:hAnsi="Calibri" w:cs="Calibri"/>
                <w:color w:val="000000"/>
                <w:sz w:val="18"/>
                <w:szCs w:val="18"/>
              </w:rPr>
              <w:t>.</w:t>
            </w:r>
            <w:r w:rsidR="00377473">
              <w:rPr>
                <w:rFonts w:ascii="Calibri" w:eastAsia="Times New Roman" w:hAnsi="Calibri" w:cs="Calibri"/>
                <w:color w:val="000000"/>
                <w:sz w:val="18"/>
                <w:szCs w:val="18"/>
              </w:rPr>
              <w:t>9</w:t>
            </w:r>
          </w:p>
        </w:tc>
      </w:tr>
    </w:tbl>
    <w:p w14:paraId="263D057B" w14:textId="12D5303A" w:rsidR="00530995" w:rsidRPr="00585254" w:rsidRDefault="00E14BE3" w:rsidP="00530995">
      <w:pPr>
        <w:rPr>
          <w:i/>
          <w:sz w:val="18"/>
          <w:szCs w:val="18"/>
        </w:rPr>
      </w:pPr>
      <w:r>
        <w:rPr>
          <w:i/>
          <w:sz w:val="18"/>
          <w:szCs w:val="18"/>
        </w:rPr>
        <w:t>Negative</w:t>
      </w:r>
      <w:r w:rsidR="00585254" w:rsidRPr="00585254">
        <w:rPr>
          <w:i/>
          <w:sz w:val="18"/>
          <w:szCs w:val="18"/>
        </w:rPr>
        <w:t xml:space="preserve"> values indicate </w:t>
      </w:r>
      <w:r>
        <w:rPr>
          <w:i/>
          <w:sz w:val="18"/>
          <w:szCs w:val="18"/>
        </w:rPr>
        <w:t>CO</w:t>
      </w:r>
      <w:r w:rsidRPr="00E14BE3">
        <w:rPr>
          <w:i/>
          <w:sz w:val="18"/>
          <w:szCs w:val="18"/>
          <w:vertAlign w:val="subscript"/>
        </w:rPr>
        <w:t>2</w:t>
      </w:r>
      <w:r>
        <w:rPr>
          <w:i/>
          <w:sz w:val="18"/>
          <w:szCs w:val="18"/>
        </w:rPr>
        <w:t xml:space="preserve"> </w:t>
      </w:r>
      <w:r w:rsidR="00585254" w:rsidRPr="00585254">
        <w:rPr>
          <w:i/>
          <w:sz w:val="18"/>
          <w:szCs w:val="18"/>
        </w:rPr>
        <w:t>sequestration.</w:t>
      </w:r>
    </w:p>
    <w:p w14:paraId="6D490A33" w14:textId="131B8648" w:rsidR="004F4602" w:rsidRPr="00EE0799" w:rsidRDefault="00CA1B1C" w:rsidP="00250DD0">
      <w:pPr>
        <w:spacing w:after="0"/>
      </w:pPr>
      <w:r w:rsidRPr="00250DD0">
        <w:rPr>
          <w:b/>
        </w:rPr>
        <w:t>Orchards</w:t>
      </w:r>
    </w:p>
    <w:p w14:paraId="065BF484" w14:textId="29B40583" w:rsidR="00210381" w:rsidRPr="00A01AFD" w:rsidRDefault="00CA1B1C" w:rsidP="00530995">
      <w:r w:rsidRPr="00A01AFD">
        <w:t xml:space="preserve">The literature </w:t>
      </w:r>
      <w:r w:rsidR="004A5C46" w:rsidRPr="00A01AFD">
        <w:t xml:space="preserve">has suggested that net emissions from orchards are minimal, due to the removal of orchard trees at the end of their fruit-bearing lifetime (typically around 25-30 years). We have not found any additional evidence to </w:t>
      </w:r>
      <w:r w:rsidR="00AC4F43">
        <w:t xml:space="preserve">contradict </w:t>
      </w:r>
      <w:r w:rsidR="004A5C46" w:rsidRPr="00A01AFD">
        <w:t xml:space="preserve">this </w:t>
      </w:r>
      <w:r w:rsidR="00AC4F43">
        <w:t>assumption</w:t>
      </w:r>
      <w:r w:rsidR="004A5C46" w:rsidRPr="00A01AFD">
        <w:t xml:space="preserve">, despite our own </w:t>
      </w:r>
      <w:r w:rsidR="00FE3AC7" w:rsidRPr="00A01AFD">
        <w:t xml:space="preserve">Tier 2 </w:t>
      </w:r>
      <w:r w:rsidR="004A5C46" w:rsidRPr="00A01AFD">
        <w:t>ana</w:t>
      </w:r>
      <w:r w:rsidR="00FE3AC7" w:rsidRPr="00A01AFD">
        <w:t>lysis to investigate otherwise</w:t>
      </w:r>
      <w:r w:rsidR="003E1BAC" w:rsidRPr="00A01AFD">
        <w:t>.</w:t>
      </w:r>
      <w:r w:rsidR="00FE3AC7" w:rsidRPr="00A01AFD">
        <w:t xml:space="preserve"> </w:t>
      </w:r>
      <w:r w:rsidR="003E1BAC" w:rsidRPr="00A01AFD">
        <w:t>W</w:t>
      </w:r>
      <w:r w:rsidR="00FE3AC7" w:rsidRPr="00A01AFD">
        <w:t>e sourced perennial crop acreage data from the USDA Agricultural Census and multiplied it by the IPCC-recommended factor for biomass accumulation rate in perennial above-ground woody biomass</w:t>
      </w:r>
      <w:r w:rsidR="00F50D5D" w:rsidRPr="00A01AFD">
        <w:t xml:space="preserve"> to calculate total net carbon flux</w:t>
      </w:r>
      <w:r w:rsidR="00377473">
        <w:t>, accounting</w:t>
      </w:r>
      <w:r w:rsidR="00FE3AC7" w:rsidRPr="00A01AFD">
        <w:t xml:space="preserve"> </w:t>
      </w:r>
      <w:r w:rsidR="00F50D5D" w:rsidRPr="00A01AFD">
        <w:t>for replacement after reaching maximum productivity</w:t>
      </w:r>
      <w:r w:rsidR="00377473">
        <w:t>.</w:t>
      </w:r>
      <w:r w:rsidR="00F50D5D" w:rsidRPr="00A01AFD">
        <w:t xml:space="preserve"> </w:t>
      </w:r>
      <w:r w:rsidR="00FE3AC7" w:rsidRPr="00A01AFD">
        <w:t xml:space="preserve">This returned minimal net carbon emissions, which is in line with </w:t>
      </w:r>
      <w:r w:rsidR="001C28FA">
        <w:t>NGHGI</w:t>
      </w:r>
      <w:r w:rsidR="00FE3AC7" w:rsidRPr="00A01AFD">
        <w:t xml:space="preserve"> </w:t>
      </w:r>
      <w:r w:rsidR="001C28FA">
        <w:t xml:space="preserve">statements regarding orchard </w:t>
      </w:r>
      <w:r w:rsidR="00FE3AC7" w:rsidRPr="00A01AFD">
        <w:t>carbon fluxes.</w:t>
      </w:r>
    </w:p>
    <w:p w14:paraId="62B0C29E" w14:textId="43E8DB1A" w:rsidR="004F4602" w:rsidRDefault="004542B6" w:rsidP="00250DD0">
      <w:pPr>
        <w:spacing w:after="0"/>
      </w:pPr>
      <w:r w:rsidRPr="00250DD0">
        <w:rPr>
          <w:b/>
        </w:rPr>
        <w:t>Woodlands</w:t>
      </w:r>
    </w:p>
    <w:p w14:paraId="1C4E98FC" w14:textId="4807BCE9" w:rsidR="00377473" w:rsidRDefault="00377473" w:rsidP="00467758">
      <w:r>
        <w:t>T</w:t>
      </w:r>
      <w:r w:rsidR="00467758">
        <w:t>he NGHGI</w:t>
      </w:r>
      <w:r w:rsidR="00E14BE3">
        <w:t xml:space="preserve"> (2018)</w:t>
      </w:r>
      <w:r w:rsidR="00467758">
        <w:t xml:space="preserve"> </w:t>
      </w:r>
      <w:r w:rsidR="00E14BE3">
        <w:t xml:space="preserve">includes </w:t>
      </w:r>
      <w:r w:rsidR="00467758">
        <w:t xml:space="preserve">a preliminary estimate of </w:t>
      </w:r>
      <w:r w:rsidR="00E14BE3">
        <w:t>g</w:t>
      </w:r>
      <w:r w:rsidR="00467758">
        <w:t xml:space="preserve">rassland </w:t>
      </w:r>
      <w:r w:rsidR="00E14BE3">
        <w:t>w</w:t>
      </w:r>
      <w:r w:rsidR="00467758">
        <w:t xml:space="preserve">oody </w:t>
      </w:r>
      <w:r w:rsidR="00E14BE3">
        <w:t>b</w:t>
      </w:r>
      <w:r w:rsidR="00467758">
        <w:t xml:space="preserve">iomass for regions in the western </w:t>
      </w:r>
      <w:r w:rsidR="007D6D6E">
        <w:t>United States</w:t>
      </w:r>
      <w:r w:rsidR="00E14BE3">
        <w:t>,</w:t>
      </w:r>
      <w:r w:rsidR="00467758">
        <w:t xml:space="preserve"> which was found to be approximately </w:t>
      </w:r>
      <w:r w:rsidR="00D87F96">
        <w:t>-</w:t>
      </w:r>
      <w:r w:rsidR="00467758">
        <w:t>20 MMT CO</w:t>
      </w:r>
      <w:r w:rsidR="00467758" w:rsidRPr="00471AF7">
        <w:rPr>
          <w:vertAlign w:val="subscript"/>
        </w:rPr>
        <w:t>2</w:t>
      </w:r>
      <w:r w:rsidR="00E14BE3">
        <w:t xml:space="preserve"> </w:t>
      </w:r>
      <w:r w:rsidR="00D87F96">
        <w:t xml:space="preserve">(net </w:t>
      </w:r>
      <w:r w:rsidR="00E14BE3">
        <w:t>sequestration</w:t>
      </w:r>
      <w:r w:rsidR="00D87F96">
        <w:t>)</w:t>
      </w:r>
      <w:r w:rsidR="00F301B1">
        <w:t>.</w:t>
      </w:r>
      <w:r w:rsidR="00E14BE3" w:rsidRPr="00E14BE3">
        <w:t xml:space="preserve"> </w:t>
      </w:r>
      <w:r>
        <w:t xml:space="preserve">However, this value was updated in </w:t>
      </w:r>
      <w:r w:rsidR="00D87F96">
        <w:t xml:space="preserve">the </w:t>
      </w:r>
      <w:r>
        <w:t xml:space="preserve">NGHGI </w:t>
      </w:r>
      <w:r w:rsidR="00D87F96">
        <w:t xml:space="preserve">(2020) </w:t>
      </w:r>
      <w:r>
        <w:t xml:space="preserve">to </w:t>
      </w:r>
      <w:r w:rsidR="00D87F96">
        <w:t>-</w:t>
      </w:r>
      <w:r>
        <w:t>4 MMT CO</w:t>
      </w:r>
      <w:r w:rsidRPr="003B4036">
        <w:rPr>
          <w:vertAlign w:val="subscript"/>
        </w:rPr>
        <w:t>2</w:t>
      </w:r>
      <w:r>
        <w:t xml:space="preserve">. The estimate is based on a sample of FIA plots that do not meet the definition of forest land, and accounts for only a subset of grassland and woodland woody biomass. </w:t>
      </w:r>
    </w:p>
    <w:p w14:paraId="228FC843" w14:textId="243DB0D2" w:rsidR="003E6DD7" w:rsidRPr="00E14BE3" w:rsidRDefault="00971F47" w:rsidP="00467758">
      <w:pPr>
        <w:rPr>
          <w:i/>
          <w:sz w:val="18"/>
          <w:szCs w:val="18"/>
        </w:rPr>
      </w:pPr>
      <w:r>
        <w:t>Further n</w:t>
      </w:r>
      <w:r w:rsidR="003E6DD7">
        <w:t>ote that forest to grassland conversion CO</w:t>
      </w:r>
      <w:r w:rsidR="003E6DD7" w:rsidRPr="00627E59">
        <w:rPr>
          <w:vertAlign w:val="subscript"/>
        </w:rPr>
        <w:t>2</w:t>
      </w:r>
      <w:r w:rsidR="003E6DD7">
        <w:t xml:space="preserve"> estimates are discounted by about 50% in Western states, with the assumption that forests are being converted to woody savannah-grassland.  It is not clear to what extent the </w:t>
      </w:r>
      <w:r w:rsidR="00377473">
        <w:t xml:space="preserve">4 </w:t>
      </w:r>
      <w:r w:rsidR="003E6DD7">
        <w:t>MMT CO</w:t>
      </w:r>
      <w:r w:rsidR="003E6DD7" w:rsidRPr="00627E59">
        <w:rPr>
          <w:vertAlign w:val="subscript"/>
        </w:rPr>
        <w:t>2</w:t>
      </w:r>
      <w:r w:rsidR="003E6DD7">
        <w:t xml:space="preserve"> estimate overlaps with this 50% discount, but there is certainly woody-savannah grassland would not fall under forest to grassland conversion. </w:t>
      </w:r>
    </w:p>
    <w:p w14:paraId="639CBDEE" w14:textId="765A31FD" w:rsidR="003E5F0F" w:rsidRPr="00250DD0" w:rsidRDefault="003E5F0F" w:rsidP="00250DD0">
      <w:pPr>
        <w:spacing w:after="0"/>
        <w:rPr>
          <w:b/>
        </w:rPr>
      </w:pPr>
      <w:r w:rsidRPr="00250DD0">
        <w:rPr>
          <w:b/>
        </w:rPr>
        <w:t>Litter</w:t>
      </w:r>
    </w:p>
    <w:p w14:paraId="0F2F3CE3" w14:textId="0D2571FD" w:rsidR="003E5F0F" w:rsidRDefault="003E5F0F" w:rsidP="003E5F0F">
      <w:r>
        <w:t>The NGHGI</w:t>
      </w:r>
      <w:r w:rsidR="00971F47">
        <w:t xml:space="preserve"> (2018)</w:t>
      </w:r>
      <w:r>
        <w:t xml:space="preserve"> indicates that dead wood and litter carbon are insignificant in croplands and grasslands and are therefore not calculated as part of the NGHGI (outside of forest land conversions, in </w:t>
      </w:r>
      <w:r>
        <w:lastRenderedPageBreak/>
        <w:t xml:space="preserve">which dead wood and litter carbon stock changes are accounted for). The IPCC further notes that dead organic matter is an insignificant carbon flux except in agroforestry systems. In croplands, litter, like leaves or crop residue, can be incorporated into the soil through tillage and decomposition, thereby indirectly accounted for through soil organic carbon flux estimates, which are already closely accounted for in the NGHGI cropland and grassland sections. A literature search did not reveal any additional data that would </w:t>
      </w:r>
      <w:r w:rsidR="00377473">
        <w:t xml:space="preserve">allow for </w:t>
      </w:r>
      <w:r>
        <w:t>estimat</w:t>
      </w:r>
      <w:r w:rsidR="00377473">
        <w:t>ing</w:t>
      </w:r>
      <w:r>
        <w:t xml:space="preserve"> carbon stock changes from dead organic matter in croplands and grasslands. In grasslands, dead wood and litter are only considered in forest land conversions, though there is an initiative to calculate the omitted carbon stock change from woodlands. </w:t>
      </w:r>
    </w:p>
    <w:p w14:paraId="7650AAAD" w14:textId="1F01B084" w:rsidR="003E5F0F" w:rsidRPr="00250DD0" w:rsidRDefault="001C28FA" w:rsidP="00250DD0">
      <w:pPr>
        <w:spacing w:after="0"/>
        <w:rPr>
          <w:rStyle w:val="Strong"/>
        </w:rPr>
      </w:pPr>
      <w:r w:rsidRPr="000415B6">
        <w:rPr>
          <w:rStyle w:val="Strong"/>
        </w:rPr>
        <w:t xml:space="preserve">Biomass and litter </w:t>
      </w:r>
      <w:r w:rsidRPr="0073769E">
        <w:rPr>
          <w:rStyle w:val="Strong"/>
        </w:rPr>
        <w:t>results</w:t>
      </w:r>
    </w:p>
    <w:p w14:paraId="243B4211" w14:textId="2991CE48" w:rsidR="003E5F0F" w:rsidRDefault="003E5F0F" w:rsidP="003E5F0F">
      <w:r>
        <w:t xml:space="preserve">In sum, omitted carbon </w:t>
      </w:r>
      <w:r w:rsidR="001C28FA">
        <w:t xml:space="preserve">sequestration </w:t>
      </w:r>
      <w:r>
        <w:t xml:space="preserve">from biomass and litter in croplands and grasslands is approximately </w:t>
      </w:r>
      <w:r w:rsidR="00377473">
        <w:t>5</w:t>
      </w:r>
      <w:r>
        <w:t>.9 MMT CO</w:t>
      </w:r>
      <w:r w:rsidRPr="003E5F0F">
        <w:rPr>
          <w:vertAlign w:val="subscript"/>
        </w:rPr>
        <w:t>2</w:t>
      </w:r>
      <w:r>
        <w:t xml:space="preserve">e, after summing the carbon estimates for agroforestry and woodlands in 2016 (the most recent year of available data). </w:t>
      </w:r>
      <w:r w:rsidR="00377473">
        <w:t>The variability in woodland biomass estimates across inventories (20 MMT CO</w:t>
      </w:r>
      <w:r w:rsidR="00377473" w:rsidRPr="003B4036">
        <w:rPr>
          <w:vertAlign w:val="subscript"/>
        </w:rPr>
        <w:t>2</w:t>
      </w:r>
      <w:r w:rsidR="00377473">
        <w:t xml:space="preserve"> in the 2018 report and 4 MMT CO</w:t>
      </w:r>
      <w:r w:rsidR="00377473" w:rsidRPr="003B4036">
        <w:rPr>
          <w:vertAlign w:val="subscript"/>
        </w:rPr>
        <w:t>2</w:t>
      </w:r>
      <w:r w:rsidR="00377473">
        <w:t xml:space="preserve"> in the 2020 report), along with the limitations of data available for grassland woody biomass, suggests the need for greater research attention. </w:t>
      </w:r>
    </w:p>
    <w:p w14:paraId="50875119" w14:textId="77777777" w:rsidR="003E5F0F" w:rsidRDefault="003E5F0F" w:rsidP="003E5F0F"/>
    <w:p w14:paraId="367B178B" w14:textId="6B3ECA67" w:rsidR="00DE3296" w:rsidRPr="00617821" w:rsidRDefault="00DE3296" w:rsidP="00DE3296">
      <w:pPr>
        <w:pStyle w:val="4-Heading"/>
      </w:pPr>
      <w:r>
        <w:t>Non-CO</w:t>
      </w:r>
      <w:r w:rsidRPr="00674237">
        <w:rPr>
          <w:vertAlign w:val="subscript"/>
        </w:rPr>
        <w:t>2</w:t>
      </w:r>
      <w:r>
        <w:t xml:space="preserve"> emissions from combustion of woody biomass in grassland fires</w:t>
      </w:r>
    </w:p>
    <w:p w14:paraId="305A870D" w14:textId="18E38892" w:rsidR="00DE3296" w:rsidRDefault="00DE3296" w:rsidP="00DE3296">
      <w:pPr>
        <w:jc w:val="both"/>
        <w:rPr>
          <w:rFonts w:ascii="Calibri" w:hAnsi="Calibri"/>
        </w:rPr>
      </w:pPr>
      <w:r>
        <w:rPr>
          <w:rFonts w:ascii="Calibri" w:hAnsi="Calibri"/>
        </w:rPr>
        <w:t xml:space="preserve">The NGHGI </w:t>
      </w:r>
      <w:r w:rsidR="002043D2">
        <w:rPr>
          <w:rFonts w:ascii="Calibri" w:hAnsi="Calibri"/>
        </w:rPr>
        <w:t xml:space="preserve">accounts for </w:t>
      </w:r>
      <w:r>
        <w:rPr>
          <w:rFonts w:ascii="Calibri" w:hAnsi="Calibri"/>
        </w:rPr>
        <w:t>CH</w:t>
      </w:r>
      <w:r w:rsidRPr="00E008E6">
        <w:rPr>
          <w:rFonts w:ascii="Calibri" w:hAnsi="Calibri"/>
          <w:vertAlign w:val="subscript"/>
        </w:rPr>
        <w:t>4</w:t>
      </w:r>
      <w:r>
        <w:rPr>
          <w:rFonts w:ascii="Calibri" w:hAnsi="Calibri"/>
        </w:rPr>
        <w:t xml:space="preserve"> and N</w:t>
      </w:r>
      <w:r w:rsidRPr="00E008E6">
        <w:rPr>
          <w:rFonts w:ascii="Calibri" w:hAnsi="Calibri"/>
          <w:vertAlign w:val="subscript"/>
        </w:rPr>
        <w:t>2</w:t>
      </w:r>
      <w:r>
        <w:rPr>
          <w:rFonts w:ascii="Calibri" w:hAnsi="Calibri"/>
        </w:rPr>
        <w:t xml:space="preserve">O emissions from grassland fires </w:t>
      </w:r>
      <w:r w:rsidR="002043D2">
        <w:rPr>
          <w:rFonts w:ascii="Calibri" w:hAnsi="Calibri"/>
        </w:rPr>
        <w:t xml:space="preserve">but only due to combustion of herbaceous, not woody, biomass. </w:t>
      </w:r>
      <w:r>
        <w:rPr>
          <w:rFonts w:ascii="Calibri" w:hAnsi="Calibri"/>
        </w:rPr>
        <w:t>We use a Tier 1 method from IPCC (2006) to estimate the CH</w:t>
      </w:r>
      <w:r w:rsidRPr="00E0424B">
        <w:rPr>
          <w:rFonts w:ascii="Calibri" w:hAnsi="Calibri"/>
          <w:vertAlign w:val="subscript"/>
        </w:rPr>
        <w:t>4</w:t>
      </w:r>
      <w:r>
        <w:rPr>
          <w:rFonts w:ascii="Calibri" w:hAnsi="Calibri"/>
        </w:rPr>
        <w:t xml:space="preserve"> and N</w:t>
      </w:r>
      <w:r w:rsidRPr="00E0424B">
        <w:rPr>
          <w:rFonts w:ascii="Calibri" w:hAnsi="Calibri"/>
          <w:vertAlign w:val="subscript"/>
        </w:rPr>
        <w:t>2</w:t>
      </w:r>
      <w:r>
        <w:rPr>
          <w:rFonts w:ascii="Calibri" w:hAnsi="Calibri"/>
        </w:rPr>
        <w:t>O emissions from the burning of woody biomass on grasslands in the conterminous United States</w:t>
      </w:r>
      <w:r w:rsidR="002043D2">
        <w:rPr>
          <w:rFonts w:ascii="Calibri" w:hAnsi="Calibri"/>
        </w:rPr>
        <w:t xml:space="preserve">, applying </w:t>
      </w:r>
      <w:r w:rsidRPr="00E43CCF">
        <w:rPr>
          <w:rFonts w:ascii="Calibri" w:hAnsi="Calibri"/>
        </w:rPr>
        <w:t xml:space="preserve">Equation </w:t>
      </w:r>
      <w:r w:rsidR="007D6D6E">
        <w:rPr>
          <w:rFonts w:ascii="Calibri" w:hAnsi="Calibri"/>
        </w:rPr>
        <w:t>2</w:t>
      </w:r>
      <w:r w:rsidR="00684A1C">
        <w:rPr>
          <w:rFonts w:ascii="Calibri" w:hAnsi="Calibri"/>
        </w:rPr>
        <w:t>-</w:t>
      </w:r>
      <w:r w:rsidR="001B5A68">
        <w:rPr>
          <w:rFonts w:ascii="Calibri" w:hAnsi="Calibri"/>
        </w:rPr>
        <w:t>2</w:t>
      </w:r>
      <w:r w:rsidR="002043D2">
        <w:rPr>
          <w:rFonts w:ascii="Calibri" w:hAnsi="Calibri"/>
        </w:rPr>
        <w:t xml:space="preserve"> and inputs shown in Table </w:t>
      </w:r>
      <w:r w:rsidR="007D6D6E">
        <w:rPr>
          <w:rFonts w:ascii="Calibri" w:hAnsi="Calibri"/>
        </w:rPr>
        <w:t>2</w:t>
      </w:r>
      <w:r w:rsidR="002043D2">
        <w:rPr>
          <w:rFonts w:ascii="Calibri" w:hAnsi="Calibri"/>
        </w:rPr>
        <w:t>-26.</w:t>
      </w:r>
    </w:p>
    <w:p w14:paraId="2303151B" w14:textId="786222A9" w:rsidR="00DE3296" w:rsidRDefault="00DE3296" w:rsidP="00DE3296">
      <w:pPr>
        <w:jc w:val="both"/>
        <w:rPr>
          <w:rFonts w:ascii="Calibri" w:hAnsi="Calibri"/>
        </w:rPr>
      </w:pPr>
      <w:r>
        <w:rPr>
          <w:rFonts w:ascii="Calibri" w:hAnsi="Calibri"/>
        </w:rPr>
        <w:t xml:space="preserve">The NGHGI (2019) estimates that “land with perennial woody biomass” </w:t>
      </w:r>
      <w:r w:rsidR="00E43CCF">
        <w:rPr>
          <w:rFonts w:ascii="Calibri" w:hAnsi="Calibri"/>
        </w:rPr>
        <w:t xml:space="preserve">(we </w:t>
      </w:r>
      <w:r w:rsidR="00612368">
        <w:rPr>
          <w:rFonts w:ascii="Calibri" w:hAnsi="Calibri"/>
        </w:rPr>
        <w:t xml:space="preserve">use the term </w:t>
      </w:r>
      <w:r w:rsidR="00E43CCF">
        <w:rPr>
          <w:rFonts w:ascii="Calibri" w:hAnsi="Calibri"/>
        </w:rPr>
        <w:t xml:space="preserve">“woodlands”) </w:t>
      </w:r>
      <w:r>
        <w:rPr>
          <w:rFonts w:ascii="Calibri" w:hAnsi="Calibri"/>
        </w:rPr>
        <w:t xml:space="preserve">accounted for roughly 23.5 Mha in the conterminous United States and southeast and southcentral coastal Alaska in 2017. The NGHGI classifies this land area as either Grassland Remaining Grassland or Land Converted to Grassland. </w:t>
      </w:r>
    </w:p>
    <w:p w14:paraId="1777318F" w14:textId="6BFAF552" w:rsidR="00DE3296" w:rsidRPr="00DE3296" w:rsidRDefault="00DE3296" w:rsidP="00DE3296">
      <w:pPr>
        <w:jc w:val="both"/>
        <w:rPr>
          <w:b/>
          <w:i/>
          <w:iCs/>
          <w:color w:val="44546A" w:themeColor="text2"/>
        </w:rPr>
      </w:pPr>
      <w:r w:rsidRPr="00DE3296">
        <w:rPr>
          <w:b/>
          <w:i/>
          <w:iCs/>
          <w:color w:val="44546A" w:themeColor="text2"/>
        </w:rPr>
        <w:t>Table</w:t>
      </w:r>
      <w:r w:rsidR="00D20A10">
        <w:rPr>
          <w:b/>
          <w:i/>
          <w:iCs/>
          <w:color w:val="44546A" w:themeColor="text2"/>
        </w:rPr>
        <w:t xml:space="preserve"> </w:t>
      </w:r>
      <w:r w:rsidR="007D6D6E">
        <w:rPr>
          <w:b/>
          <w:i/>
          <w:iCs/>
          <w:color w:val="44546A" w:themeColor="text2"/>
        </w:rPr>
        <w:t>2</w:t>
      </w:r>
      <w:r w:rsidR="005F6840">
        <w:rPr>
          <w:b/>
          <w:i/>
          <w:iCs/>
          <w:color w:val="44546A" w:themeColor="text2"/>
        </w:rPr>
        <w:t>-</w:t>
      </w:r>
      <w:r w:rsidR="002043D2">
        <w:rPr>
          <w:b/>
          <w:i/>
          <w:iCs/>
          <w:color w:val="44546A" w:themeColor="text2"/>
        </w:rPr>
        <w:t>26</w:t>
      </w:r>
      <w:r w:rsidRPr="00DE3296">
        <w:rPr>
          <w:b/>
          <w:i/>
          <w:iCs/>
          <w:color w:val="44546A" w:themeColor="text2"/>
        </w:rPr>
        <w:t>: Input</w:t>
      </w:r>
      <w:r w:rsidR="002043D2">
        <w:rPr>
          <w:b/>
          <w:i/>
          <w:iCs/>
          <w:color w:val="44546A" w:themeColor="text2"/>
        </w:rPr>
        <w:t>s</w:t>
      </w:r>
      <w:r w:rsidRPr="00DE3296">
        <w:rPr>
          <w:b/>
          <w:i/>
          <w:iCs/>
          <w:color w:val="44546A" w:themeColor="text2"/>
        </w:rPr>
        <w:t xml:space="preserve"> </w:t>
      </w:r>
      <w:r w:rsidR="002043D2">
        <w:rPr>
          <w:b/>
          <w:i/>
          <w:iCs/>
          <w:color w:val="44546A" w:themeColor="text2"/>
        </w:rPr>
        <w:t xml:space="preserve">to </w:t>
      </w:r>
      <w:r w:rsidRPr="00DE3296">
        <w:rPr>
          <w:b/>
          <w:i/>
          <w:iCs/>
          <w:color w:val="44546A" w:themeColor="text2"/>
        </w:rPr>
        <w:t>non-CO</w:t>
      </w:r>
      <w:r w:rsidRPr="00081E93">
        <w:rPr>
          <w:b/>
          <w:i/>
          <w:iCs/>
          <w:color w:val="44546A" w:themeColor="text2"/>
          <w:vertAlign w:val="subscript"/>
        </w:rPr>
        <w:t>2</w:t>
      </w:r>
      <w:r w:rsidRPr="00DE3296">
        <w:rPr>
          <w:b/>
          <w:i/>
          <w:iCs/>
          <w:color w:val="44546A" w:themeColor="text2"/>
        </w:rPr>
        <w:t xml:space="preserve"> </w:t>
      </w:r>
      <w:r w:rsidR="004B3068">
        <w:rPr>
          <w:b/>
          <w:i/>
          <w:iCs/>
          <w:color w:val="44546A" w:themeColor="text2"/>
        </w:rPr>
        <w:t xml:space="preserve">emissions from </w:t>
      </w:r>
      <w:r w:rsidR="002043D2">
        <w:rPr>
          <w:b/>
          <w:i/>
          <w:iCs/>
          <w:color w:val="44546A" w:themeColor="text2"/>
        </w:rPr>
        <w:t xml:space="preserve">woody biomass combustion in grassland </w:t>
      </w:r>
      <w:r w:rsidR="004B3068">
        <w:rPr>
          <w:b/>
          <w:i/>
          <w:iCs/>
          <w:color w:val="44546A" w:themeColor="text2"/>
        </w:rPr>
        <w:t>fires</w:t>
      </w:r>
    </w:p>
    <w:tbl>
      <w:tblPr>
        <w:tblStyle w:val="TableGrid"/>
        <w:tblW w:w="5000" w:type="pct"/>
        <w:tblLook w:val="04A0" w:firstRow="1" w:lastRow="0" w:firstColumn="1" w:lastColumn="0" w:noHBand="0" w:noVBand="1"/>
      </w:tblPr>
      <w:tblGrid>
        <w:gridCol w:w="4675"/>
        <w:gridCol w:w="4675"/>
      </w:tblGrid>
      <w:tr w:rsidR="00DE3296" w:rsidRPr="00DE3296" w14:paraId="0C211578" w14:textId="77777777" w:rsidTr="00DE3296">
        <w:tc>
          <w:tcPr>
            <w:tcW w:w="2500" w:type="pct"/>
            <w:shd w:val="clear" w:color="auto" w:fill="FFC000" w:themeFill="accent4"/>
            <w:vAlign w:val="center"/>
          </w:tcPr>
          <w:p w14:paraId="02B59711" w14:textId="2F2D5018" w:rsidR="00DE3296" w:rsidRPr="00DE3296" w:rsidRDefault="00DE3296" w:rsidP="00DE3296">
            <w:pPr>
              <w:tabs>
                <w:tab w:val="left" w:pos="3711"/>
              </w:tabs>
              <w:jc w:val="center"/>
              <w:rPr>
                <w:rFonts w:ascii="Calibri" w:hAnsi="Calibri"/>
                <w:b/>
                <w:sz w:val="18"/>
                <w:szCs w:val="18"/>
              </w:rPr>
            </w:pPr>
            <w:r w:rsidRPr="00DE3296">
              <w:rPr>
                <w:rFonts w:ascii="Calibri" w:hAnsi="Calibri"/>
                <w:b/>
                <w:sz w:val="18"/>
                <w:szCs w:val="18"/>
              </w:rPr>
              <w:t>Input parameter</w:t>
            </w:r>
          </w:p>
        </w:tc>
        <w:tc>
          <w:tcPr>
            <w:tcW w:w="2500" w:type="pct"/>
            <w:shd w:val="clear" w:color="auto" w:fill="FFC000" w:themeFill="accent4"/>
            <w:vAlign w:val="center"/>
          </w:tcPr>
          <w:p w14:paraId="0B711436" w14:textId="77777777" w:rsidR="00DE3296" w:rsidRPr="00DE3296" w:rsidRDefault="00DE3296" w:rsidP="00DE3296">
            <w:pPr>
              <w:tabs>
                <w:tab w:val="right" w:pos="2977"/>
              </w:tabs>
              <w:jc w:val="center"/>
              <w:rPr>
                <w:rFonts w:ascii="Calibri" w:hAnsi="Calibri"/>
                <w:b/>
                <w:sz w:val="18"/>
                <w:szCs w:val="18"/>
              </w:rPr>
            </w:pPr>
            <w:r w:rsidRPr="00DE3296">
              <w:rPr>
                <w:rFonts w:ascii="Calibri" w:hAnsi="Calibri"/>
                <w:b/>
                <w:sz w:val="18"/>
                <w:szCs w:val="18"/>
              </w:rPr>
              <w:t>Estimate</w:t>
            </w:r>
          </w:p>
        </w:tc>
      </w:tr>
      <w:tr w:rsidR="00DE3296" w:rsidRPr="00DE3296" w14:paraId="40641783" w14:textId="77777777" w:rsidTr="00DE3296">
        <w:tc>
          <w:tcPr>
            <w:tcW w:w="2500" w:type="pct"/>
          </w:tcPr>
          <w:p w14:paraId="6C414964" w14:textId="45BF5D1E" w:rsidR="00DE3296" w:rsidRPr="00DE3296" w:rsidRDefault="00DE3296" w:rsidP="00DF0924">
            <w:pPr>
              <w:rPr>
                <w:rFonts w:ascii="Calibri" w:hAnsi="Calibri"/>
                <w:sz w:val="18"/>
                <w:szCs w:val="18"/>
              </w:rPr>
            </w:pPr>
            <w:r w:rsidRPr="00DE3296">
              <w:rPr>
                <w:rFonts w:ascii="Calibri" w:hAnsi="Calibri"/>
                <w:sz w:val="18"/>
                <w:szCs w:val="18"/>
              </w:rPr>
              <w:t xml:space="preserve">Burned area of woodlands </w:t>
            </w:r>
          </w:p>
        </w:tc>
        <w:tc>
          <w:tcPr>
            <w:tcW w:w="2500" w:type="pct"/>
            <w:vAlign w:val="center"/>
          </w:tcPr>
          <w:p w14:paraId="1FA963BD" w14:textId="77777777" w:rsidR="00DE3296" w:rsidRPr="00DE3296" w:rsidRDefault="00DE3296" w:rsidP="00DE3296">
            <w:pPr>
              <w:jc w:val="center"/>
              <w:rPr>
                <w:rFonts w:ascii="Calibri" w:hAnsi="Calibri"/>
                <w:sz w:val="18"/>
                <w:szCs w:val="18"/>
              </w:rPr>
            </w:pPr>
            <w:r w:rsidRPr="00DE3296">
              <w:rPr>
                <w:rFonts w:ascii="Calibri" w:hAnsi="Calibri"/>
                <w:sz w:val="18"/>
                <w:szCs w:val="18"/>
              </w:rPr>
              <w:t>141,000 ha</w:t>
            </w:r>
          </w:p>
        </w:tc>
      </w:tr>
      <w:tr w:rsidR="00DE3296" w:rsidRPr="00DE3296" w14:paraId="06ABCCA9" w14:textId="77777777" w:rsidTr="00DE3296">
        <w:tc>
          <w:tcPr>
            <w:tcW w:w="2500" w:type="pct"/>
          </w:tcPr>
          <w:p w14:paraId="5AE6CBDD" w14:textId="6421433E" w:rsidR="00DE3296" w:rsidRPr="00DE3296" w:rsidRDefault="00DE3296" w:rsidP="00DF0924">
            <w:pPr>
              <w:rPr>
                <w:rFonts w:ascii="Calibri" w:hAnsi="Calibri"/>
                <w:sz w:val="18"/>
                <w:szCs w:val="18"/>
              </w:rPr>
            </w:pPr>
            <w:r w:rsidRPr="00DE3296">
              <w:rPr>
                <w:rFonts w:ascii="Calibri" w:hAnsi="Calibri"/>
                <w:sz w:val="18"/>
                <w:szCs w:val="18"/>
              </w:rPr>
              <w:t xml:space="preserve">Fuel consumption factor </w:t>
            </w:r>
            <w:r w:rsidR="00971F47">
              <w:rPr>
                <w:rFonts w:ascii="Calibri" w:hAnsi="Calibri"/>
                <w:sz w:val="18"/>
                <w:szCs w:val="18"/>
                <w:vertAlign w:val="superscript"/>
              </w:rPr>
              <w:t>a</w:t>
            </w:r>
          </w:p>
        </w:tc>
        <w:tc>
          <w:tcPr>
            <w:tcW w:w="2500" w:type="pct"/>
            <w:vAlign w:val="center"/>
          </w:tcPr>
          <w:p w14:paraId="6327BDDE" w14:textId="78667584" w:rsidR="00DE3296" w:rsidRPr="00DE3296" w:rsidRDefault="00DE3296" w:rsidP="00DE3296">
            <w:pPr>
              <w:jc w:val="center"/>
              <w:rPr>
                <w:rFonts w:ascii="Calibri" w:hAnsi="Calibri"/>
                <w:sz w:val="18"/>
                <w:szCs w:val="18"/>
              </w:rPr>
            </w:pPr>
            <w:r w:rsidRPr="00DE3296">
              <w:rPr>
                <w:rFonts w:ascii="Calibri" w:hAnsi="Calibri"/>
                <w:sz w:val="18"/>
                <w:szCs w:val="18"/>
              </w:rPr>
              <w:t>14.3 tons dry matter burned ha</w:t>
            </w:r>
            <w:r w:rsidRPr="00DE3296">
              <w:rPr>
                <w:rFonts w:ascii="Calibri" w:hAnsi="Calibri"/>
                <w:sz w:val="18"/>
                <w:szCs w:val="18"/>
                <w:vertAlign w:val="superscript"/>
              </w:rPr>
              <w:t>-1</w:t>
            </w:r>
          </w:p>
        </w:tc>
      </w:tr>
      <w:tr w:rsidR="00DE3296" w:rsidRPr="00DE3296" w14:paraId="56FA6708" w14:textId="77777777" w:rsidTr="00DE3296">
        <w:tc>
          <w:tcPr>
            <w:tcW w:w="2500" w:type="pct"/>
          </w:tcPr>
          <w:p w14:paraId="07D72F2A" w14:textId="68EF43F7" w:rsidR="00DE3296" w:rsidRPr="00DE3296" w:rsidRDefault="00DE3296" w:rsidP="00DF0924">
            <w:pPr>
              <w:rPr>
                <w:rFonts w:ascii="Calibri" w:hAnsi="Calibri"/>
                <w:sz w:val="18"/>
                <w:szCs w:val="18"/>
              </w:rPr>
            </w:pPr>
            <w:r w:rsidRPr="00DE3296">
              <w:rPr>
                <w:rFonts w:ascii="Calibri" w:hAnsi="Calibri"/>
                <w:sz w:val="18"/>
                <w:szCs w:val="18"/>
              </w:rPr>
              <w:t>Emission factor (CH</w:t>
            </w:r>
            <w:r w:rsidRPr="00DE3296">
              <w:rPr>
                <w:rFonts w:ascii="Calibri" w:hAnsi="Calibri"/>
                <w:sz w:val="18"/>
                <w:szCs w:val="18"/>
                <w:vertAlign w:val="subscript"/>
              </w:rPr>
              <w:t>4</w:t>
            </w:r>
            <w:r w:rsidRPr="00DE3296">
              <w:rPr>
                <w:rFonts w:ascii="Calibri" w:hAnsi="Calibri"/>
                <w:sz w:val="18"/>
                <w:szCs w:val="18"/>
              </w:rPr>
              <w:t xml:space="preserve">) </w:t>
            </w:r>
            <w:r w:rsidR="00971F47">
              <w:rPr>
                <w:rFonts w:ascii="Calibri" w:hAnsi="Calibri"/>
                <w:sz w:val="18"/>
                <w:szCs w:val="18"/>
                <w:vertAlign w:val="superscript"/>
              </w:rPr>
              <w:t>a</w:t>
            </w:r>
          </w:p>
        </w:tc>
        <w:tc>
          <w:tcPr>
            <w:tcW w:w="2500" w:type="pct"/>
            <w:vAlign w:val="center"/>
          </w:tcPr>
          <w:p w14:paraId="65390179" w14:textId="0DB75021" w:rsidR="00DE3296" w:rsidRPr="00DE3296" w:rsidRDefault="00DE3296" w:rsidP="00DE3296">
            <w:pPr>
              <w:jc w:val="center"/>
              <w:rPr>
                <w:rFonts w:ascii="Calibri" w:hAnsi="Calibri"/>
                <w:sz w:val="18"/>
                <w:szCs w:val="18"/>
              </w:rPr>
            </w:pPr>
            <w:r w:rsidRPr="00DE3296">
              <w:rPr>
                <w:rFonts w:ascii="Calibri" w:hAnsi="Calibri"/>
                <w:sz w:val="18"/>
                <w:szCs w:val="18"/>
              </w:rPr>
              <w:t>2.3 g CH</w:t>
            </w:r>
            <w:r w:rsidRPr="00DE3296">
              <w:rPr>
                <w:rFonts w:ascii="Calibri" w:hAnsi="Calibri"/>
                <w:sz w:val="18"/>
                <w:szCs w:val="18"/>
                <w:vertAlign w:val="subscript"/>
              </w:rPr>
              <w:t>4</w:t>
            </w:r>
            <w:r w:rsidRPr="00DE3296">
              <w:rPr>
                <w:rFonts w:ascii="Calibri" w:hAnsi="Calibri"/>
                <w:sz w:val="18"/>
                <w:szCs w:val="18"/>
              </w:rPr>
              <w:t xml:space="preserve"> emitted kg</w:t>
            </w:r>
            <w:r w:rsidRPr="00DE3296">
              <w:rPr>
                <w:rFonts w:ascii="Calibri" w:hAnsi="Calibri"/>
                <w:sz w:val="18"/>
                <w:szCs w:val="18"/>
                <w:vertAlign w:val="superscript"/>
              </w:rPr>
              <w:t>-1</w:t>
            </w:r>
            <w:r w:rsidRPr="00DE3296">
              <w:rPr>
                <w:rFonts w:ascii="Calibri" w:hAnsi="Calibri"/>
                <w:sz w:val="18"/>
                <w:szCs w:val="18"/>
              </w:rPr>
              <w:t xml:space="preserve"> [dry matter burned]</w:t>
            </w:r>
          </w:p>
        </w:tc>
      </w:tr>
      <w:tr w:rsidR="00DE3296" w:rsidRPr="00DE3296" w14:paraId="5137DE1C" w14:textId="77777777" w:rsidTr="00DE3296">
        <w:tc>
          <w:tcPr>
            <w:tcW w:w="2500" w:type="pct"/>
          </w:tcPr>
          <w:p w14:paraId="5F4F8335" w14:textId="6E59D1E8" w:rsidR="00DE3296" w:rsidRPr="00DE3296" w:rsidRDefault="00DE3296" w:rsidP="00DF0924">
            <w:pPr>
              <w:rPr>
                <w:rFonts w:ascii="Calibri" w:hAnsi="Calibri"/>
                <w:sz w:val="18"/>
                <w:szCs w:val="18"/>
              </w:rPr>
            </w:pPr>
            <w:r w:rsidRPr="00DE3296">
              <w:rPr>
                <w:rFonts w:ascii="Calibri" w:hAnsi="Calibri"/>
                <w:sz w:val="18"/>
                <w:szCs w:val="18"/>
              </w:rPr>
              <w:t>Emission factor (N</w:t>
            </w:r>
            <w:r w:rsidRPr="00DE3296">
              <w:rPr>
                <w:rFonts w:ascii="Calibri" w:hAnsi="Calibri"/>
                <w:sz w:val="18"/>
                <w:szCs w:val="18"/>
                <w:vertAlign w:val="subscript"/>
              </w:rPr>
              <w:t>2</w:t>
            </w:r>
            <w:r w:rsidRPr="00DE3296">
              <w:rPr>
                <w:rFonts w:ascii="Calibri" w:hAnsi="Calibri"/>
                <w:sz w:val="18"/>
                <w:szCs w:val="18"/>
              </w:rPr>
              <w:t xml:space="preserve">O) </w:t>
            </w:r>
            <w:r w:rsidR="00971F47">
              <w:rPr>
                <w:rFonts w:ascii="Calibri" w:hAnsi="Calibri"/>
                <w:sz w:val="18"/>
                <w:szCs w:val="18"/>
                <w:vertAlign w:val="superscript"/>
              </w:rPr>
              <w:t>a</w:t>
            </w:r>
          </w:p>
        </w:tc>
        <w:tc>
          <w:tcPr>
            <w:tcW w:w="2500" w:type="pct"/>
            <w:vAlign w:val="center"/>
          </w:tcPr>
          <w:p w14:paraId="08697847" w14:textId="77777777" w:rsidR="00DE3296" w:rsidRPr="00DE3296" w:rsidRDefault="00DE3296" w:rsidP="00DE3296">
            <w:pPr>
              <w:jc w:val="center"/>
              <w:rPr>
                <w:rFonts w:ascii="Calibri" w:hAnsi="Calibri"/>
                <w:sz w:val="18"/>
                <w:szCs w:val="18"/>
              </w:rPr>
            </w:pPr>
            <w:r w:rsidRPr="00DE3296">
              <w:rPr>
                <w:rFonts w:ascii="Calibri" w:hAnsi="Calibri"/>
                <w:sz w:val="18"/>
                <w:szCs w:val="18"/>
              </w:rPr>
              <w:t>0.21 g N</w:t>
            </w:r>
            <w:r w:rsidRPr="00DE3296">
              <w:rPr>
                <w:rFonts w:ascii="Calibri" w:hAnsi="Calibri"/>
                <w:sz w:val="18"/>
                <w:szCs w:val="18"/>
                <w:vertAlign w:val="subscript"/>
              </w:rPr>
              <w:t>2</w:t>
            </w:r>
            <w:r w:rsidRPr="00DE3296">
              <w:rPr>
                <w:rFonts w:ascii="Calibri" w:hAnsi="Calibri"/>
                <w:sz w:val="18"/>
                <w:szCs w:val="18"/>
              </w:rPr>
              <w:t>O emitted kg</w:t>
            </w:r>
            <w:r w:rsidRPr="00DE3296">
              <w:rPr>
                <w:rFonts w:ascii="Calibri" w:hAnsi="Calibri"/>
                <w:sz w:val="18"/>
                <w:szCs w:val="18"/>
                <w:vertAlign w:val="superscript"/>
              </w:rPr>
              <w:t>-1</w:t>
            </w:r>
            <w:r w:rsidRPr="00DE3296">
              <w:rPr>
                <w:rFonts w:ascii="Calibri" w:hAnsi="Calibri"/>
                <w:sz w:val="18"/>
                <w:szCs w:val="18"/>
              </w:rPr>
              <w:t xml:space="preserve"> [dry matter burned]</w:t>
            </w:r>
          </w:p>
        </w:tc>
      </w:tr>
    </w:tbl>
    <w:p w14:paraId="1DCE1184" w14:textId="1BF997E6" w:rsidR="00DE3296" w:rsidRPr="00DE3296" w:rsidRDefault="00971F47" w:rsidP="00DE3296">
      <w:pPr>
        <w:jc w:val="both"/>
        <w:rPr>
          <w:i/>
          <w:sz w:val="18"/>
          <w:szCs w:val="18"/>
        </w:rPr>
      </w:pPr>
      <w:r>
        <w:rPr>
          <w:i/>
          <w:sz w:val="18"/>
          <w:szCs w:val="18"/>
        </w:rPr>
        <w:t>a</w:t>
      </w:r>
      <w:r w:rsidR="00DE3296" w:rsidRPr="00DE3296">
        <w:rPr>
          <w:i/>
          <w:sz w:val="18"/>
          <w:szCs w:val="18"/>
        </w:rPr>
        <w:t>) IPCC (2006).</w:t>
      </w:r>
    </w:p>
    <w:p w14:paraId="3DFA929D" w14:textId="05B0BC74" w:rsidR="00DE3296" w:rsidRDefault="00DE3296" w:rsidP="00DE3296">
      <w:pPr>
        <w:jc w:val="both"/>
        <w:rPr>
          <w:rFonts w:ascii="Calibri" w:hAnsi="Calibri"/>
        </w:rPr>
      </w:pPr>
      <w:r>
        <w:rPr>
          <w:rFonts w:ascii="Calibri" w:hAnsi="Calibri"/>
        </w:rPr>
        <w:t xml:space="preserve">We assume that </w:t>
      </w:r>
      <w:r w:rsidRPr="004335B4">
        <w:rPr>
          <w:rFonts w:ascii="Calibri" w:hAnsi="Calibri"/>
        </w:rPr>
        <w:t>0.6</w:t>
      </w:r>
      <w:r>
        <w:rPr>
          <w:rFonts w:ascii="Calibri" w:hAnsi="Calibri"/>
        </w:rPr>
        <w:t xml:space="preserve">% of woodland area is burned, </w:t>
      </w:r>
      <w:r w:rsidR="002043D2">
        <w:rPr>
          <w:rFonts w:ascii="Calibri" w:hAnsi="Calibri"/>
        </w:rPr>
        <w:t xml:space="preserve">equal to </w:t>
      </w:r>
      <w:r>
        <w:rPr>
          <w:rFonts w:ascii="Calibri" w:hAnsi="Calibri"/>
        </w:rPr>
        <w:t xml:space="preserve">the percentage of managed grassland area in the conterminous United States that burned in 2014, which is the most recent year for which the NGHGI reports </w:t>
      </w:r>
      <w:r w:rsidR="002043D2">
        <w:rPr>
          <w:rFonts w:ascii="Calibri" w:hAnsi="Calibri"/>
        </w:rPr>
        <w:t xml:space="preserve">grassland </w:t>
      </w:r>
      <w:r>
        <w:rPr>
          <w:rFonts w:ascii="Calibri" w:hAnsi="Calibri"/>
        </w:rPr>
        <w:t xml:space="preserve">burned area. The percentage of grassland area burned for the conterminous United States is based on (1) the area of managed grassland burned in the conterminous United </w:t>
      </w:r>
      <w:r w:rsidRPr="00CB5D76">
        <w:rPr>
          <w:rFonts w:ascii="Calibri" w:hAnsi="Calibri"/>
        </w:rPr>
        <w:t>States in 2014 (1.659 Mha) reported by the NGHGI (2018) and (2) our estimate of the total area of</w:t>
      </w:r>
      <w:r>
        <w:rPr>
          <w:rFonts w:ascii="Calibri" w:hAnsi="Calibri"/>
        </w:rPr>
        <w:t xml:space="preserve"> managed grasslands in the conterminous United States for </w:t>
      </w:r>
      <w:r w:rsidRPr="00196946">
        <w:rPr>
          <w:rFonts w:ascii="Calibri" w:hAnsi="Calibri"/>
        </w:rPr>
        <w:t xml:space="preserve">2014 (275.3 Mha), which we calculated by subtracting the area of grassland in Alaska (50 Mha; NGHGI, 2018) from the total area of managed grassland in all 50 states for 2014 (325.3 Mha; Table 6-6 of NGHGI, 2018). Our estimate of total </w:t>
      </w:r>
      <w:r w:rsidR="002043D2">
        <w:rPr>
          <w:rFonts w:ascii="Calibri" w:hAnsi="Calibri"/>
        </w:rPr>
        <w:t xml:space="preserve">grassland </w:t>
      </w:r>
      <w:r w:rsidRPr="00196946">
        <w:rPr>
          <w:rFonts w:ascii="Calibri" w:hAnsi="Calibri"/>
        </w:rPr>
        <w:t>area in the conterminous United States in 2014 is a rough approximation since (1) it includes Hawai’</w:t>
      </w:r>
      <w:r w:rsidR="002043D2">
        <w:rPr>
          <w:rFonts w:ascii="Calibri" w:hAnsi="Calibri"/>
        </w:rPr>
        <w:t>i</w:t>
      </w:r>
      <w:r w:rsidR="00971F47">
        <w:rPr>
          <w:rFonts w:ascii="Calibri" w:hAnsi="Calibri"/>
        </w:rPr>
        <w:t xml:space="preserve"> grassland</w:t>
      </w:r>
      <w:r w:rsidRPr="00196946">
        <w:rPr>
          <w:rFonts w:ascii="Calibri" w:hAnsi="Calibri"/>
        </w:rPr>
        <w:t xml:space="preserve"> and (2) the area of </w:t>
      </w:r>
      <w:r w:rsidRPr="00196946">
        <w:rPr>
          <w:rFonts w:ascii="Calibri" w:hAnsi="Calibri"/>
        </w:rPr>
        <w:lastRenderedPageBreak/>
        <w:t xml:space="preserve">grassland in Alaska reported by the NGHGI only includes land belonging to the </w:t>
      </w:r>
      <w:r w:rsidRPr="00971F47">
        <w:rPr>
          <w:rFonts w:ascii="Calibri" w:hAnsi="Calibri"/>
          <w:i/>
        </w:rPr>
        <w:t>Grassland Remaining Grassland</w:t>
      </w:r>
      <w:r w:rsidRPr="00196946">
        <w:rPr>
          <w:rFonts w:ascii="Calibri" w:hAnsi="Calibri"/>
        </w:rPr>
        <w:t xml:space="preserve"> category and is not specific to </w:t>
      </w:r>
      <w:r w:rsidR="002043D2">
        <w:rPr>
          <w:rFonts w:ascii="Calibri" w:hAnsi="Calibri"/>
        </w:rPr>
        <w:t>2014</w:t>
      </w:r>
      <w:r w:rsidRPr="00196946">
        <w:rPr>
          <w:rFonts w:ascii="Calibri" w:hAnsi="Calibri"/>
        </w:rPr>
        <w:t>.</w:t>
      </w:r>
    </w:p>
    <w:p w14:paraId="11983880" w14:textId="15A2320B" w:rsidR="00DE3296" w:rsidRDefault="002043D2" w:rsidP="00DE3296">
      <w:pPr>
        <w:jc w:val="both"/>
        <w:rPr>
          <w:rFonts w:ascii="Calibri" w:hAnsi="Calibri"/>
        </w:rPr>
      </w:pPr>
      <w:r>
        <w:rPr>
          <w:rFonts w:ascii="Calibri" w:hAnsi="Calibri"/>
        </w:rPr>
        <w:t>T</w:t>
      </w:r>
      <w:r w:rsidR="00DE3296">
        <w:rPr>
          <w:rFonts w:ascii="Calibri" w:hAnsi="Calibri"/>
        </w:rPr>
        <w:t xml:space="preserve">he fuel consumption factor in </w:t>
      </w:r>
      <w:r w:rsidR="00DE3296" w:rsidRPr="00E43CCF">
        <w:rPr>
          <w:rFonts w:ascii="Calibri" w:hAnsi="Calibri"/>
        </w:rPr>
        <w:t xml:space="preserve">Table </w:t>
      </w:r>
      <w:r w:rsidR="007D6D6E">
        <w:rPr>
          <w:rFonts w:ascii="Calibri" w:hAnsi="Calibri"/>
        </w:rPr>
        <w:t>2</w:t>
      </w:r>
      <w:r w:rsidR="005F6840">
        <w:rPr>
          <w:rFonts w:ascii="Calibri" w:hAnsi="Calibri"/>
        </w:rPr>
        <w:t>-</w:t>
      </w:r>
      <w:r>
        <w:rPr>
          <w:rFonts w:ascii="Calibri" w:hAnsi="Calibri"/>
        </w:rPr>
        <w:t xml:space="preserve">26 </w:t>
      </w:r>
      <w:r w:rsidR="00DE3296">
        <w:rPr>
          <w:rFonts w:ascii="Calibri" w:hAnsi="Calibri"/>
        </w:rPr>
        <w:t>represents the product of the fuel availability and the combustion factor. We apply the fuel consumption factor for “all shrublands” from Table 2.4 of IPCC (2006). The CH</w:t>
      </w:r>
      <w:r w:rsidR="00DE3296" w:rsidRPr="00802C1F">
        <w:rPr>
          <w:rFonts w:ascii="Calibri" w:hAnsi="Calibri"/>
          <w:vertAlign w:val="subscript"/>
        </w:rPr>
        <w:t>4</w:t>
      </w:r>
      <w:r w:rsidR="00DE3296">
        <w:rPr>
          <w:rFonts w:ascii="Calibri" w:hAnsi="Calibri"/>
        </w:rPr>
        <w:t xml:space="preserve"> and N</w:t>
      </w:r>
      <w:r w:rsidR="00DE3296" w:rsidRPr="00802C1F">
        <w:rPr>
          <w:rFonts w:ascii="Calibri" w:hAnsi="Calibri"/>
          <w:vertAlign w:val="subscript"/>
        </w:rPr>
        <w:t>2</w:t>
      </w:r>
      <w:r w:rsidR="00DE3296">
        <w:rPr>
          <w:rFonts w:ascii="Calibri" w:hAnsi="Calibri"/>
        </w:rPr>
        <w:t xml:space="preserve">O emission factors are from Table 2.5 of IPCC (2006) and correspond to the combustion of “savanna and </w:t>
      </w:r>
      <w:r w:rsidR="00DE3296" w:rsidRPr="00795900">
        <w:rPr>
          <w:rFonts w:ascii="Calibri" w:hAnsi="Calibri"/>
        </w:rPr>
        <w:t xml:space="preserve">grassland.” These emission factors are the same as those that are applied to estimate emissions from the combustion of herbaceous matter from grassland fires in </w:t>
      </w:r>
      <w:r w:rsidR="00DE3296" w:rsidRPr="00E43CCF">
        <w:rPr>
          <w:rFonts w:ascii="Calibri" w:hAnsi="Calibri"/>
        </w:rPr>
        <w:t>Section</w:t>
      </w:r>
      <w:r w:rsidR="007D6D6E">
        <w:rPr>
          <w:rFonts w:ascii="Calibri" w:hAnsi="Calibri"/>
        </w:rPr>
        <w:t xml:space="preserve"> 2,</w:t>
      </w:r>
      <w:r w:rsidR="00DE3296" w:rsidRPr="00E43CCF">
        <w:rPr>
          <w:rFonts w:ascii="Calibri" w:hAnsi="Calibri"/>
        </w:rPr>
        <w:t xml:space="preserve"> </w:t>
      </w:r>
      <w:r w:rsidR="00E43CCF" w:rsidRPr="00E43CCF">
        <w:rPr>
          <w:rFonts w:ascii="Calibri" w:hAnsi="Calibri"/>
        </w:rPr>
        <w:t>3</w:t>
      </w:r>
      <w:r w:rsidR="00DE3296" w:rsidRPr="00E43CCF">
        <w:rPr>
          <w:rFonts w:ascii="Calibri" w:hAnsi="Calibri"/>
        </w:rPr>
        <w:t>.</w:t>
      </w:r>
      <w:r w:rsidR="00E43CCF" w:rsidRPr="00E43CCF">
        <w:rPr>
          <w:rFonts w:ascii="Calibri" w:hAnsi="Calibri"/>
        </w:rPr>
        <w:t>3</w:t>
      </w:r>
      <w:r w:rsidR="00DE3296" w:rsidRPr="00E43CCF">
        <w:rPr>
          <w:rFonts w:ascii="Calibri" w:hAnsi="Calibri"/>
        </w:rPr>
        <w:t>.</w:t>
      </w:r>
      <w:r w:rsidR="00DE3296">
        <w:rPr>
          <w:rFonts w:ascii="Calibri" w:hAnsi="Calibri"/>
        </w:rPr>
        <w:t xml:space="preserve"> We apply the 100-year global warming potentials from IPCC (2007) to convert the CH</w:t>
      </w:r>
      <w:r w:rsidR="00DE3296" w:rsidRPr="00F141C8">
        <w:rPr>
          <w:rFonts w:ascii="Calibri" w:hAnsi="Calibri"/>
          <w:vertAlign w:val="subscript"/>
        </w:rPr>
        <w:t>4</w:t>
      </w:r>
      <w:r w:rsidR="00DE3296">
        <w:rPr>
          <w:rFonts w:ascii="Calibri" w:hAnsi="Calibri"/>
        </w:rPr>
        <w:t xml:space="preserve"> and </w:t>
      </w:r>
      <w:r w:rsidR="00DE3296" w:rsidRPr="000A098D">
        <w:rPr>
          <w:rFonts w:ascii="Calibri" w:hAnsi="Calibri"/>
        </w:rPr>
        <w:t>N</w:t>
      </w:r>
      <w:r w:rsidR="00DE3296" w:rsidRPr="000A098D">
        <w:rPr>
          <w:rFonts w:ascii="Calibri" w:hAnsi="Calibri"/>
          <w:vertAlign w:val="subscript"/>
        </w:rPr>
        <w:t>2</w:t>
      </w:r>
      <w:r w:rsidR="00DE3296" w:rsidRPr="000A098D">
        <w:rPr>
          <w:rFonts w:ascii="Calibri" w:hAnsi="Calibri"/>
        </w:rPr>
        <w:t>O emissions to a common scale: 25 kg CO</w:t>
      </w:r>
      <w:r w:rsidR="00DE3296" w:rsidRPr="000A098D">
        <w:rPr>
          <w:rFonts w:ascii="Calibri" w:hAnsi="Calibri"/>
          <w:vertAlign w:val="subscript"/>
        </w:rPr>
        <w:t>2</w:t>
      </w:r>
      <w:r w:rsidR="00DE3296">
        <w:rPr>
          <w:rFonts w:ascii="Calibri" w:hAnsi="Calibri"/>
        </w:rPr>
        <w:t xml:space="preserve">e </w:t>
      </w:r>
      <w:r w:rsidR="00DE3296" w:rsidRPr="000A098D">
        <w:rPr>
          <w:rFonts w:ascii="Calibri" w:hAnsi="Calibri"/>
        </w:rPr>
        <w:t>kg</w:t>
      </w:r>
      <w:r w:rsidR="00DE3296" w:rsidRPr="00E4184A">
        <w:rPr>
          <w:rFonts w:ascii="Calibri" w:hAnsi="Calibri"/>
          <w:vertAlign w:val="superscript"/>
        </w:rPr>
        <w:t>-1</w:t>
      </w:r>
      <w:r w:rsidR="00DE3296" w:rsidRPr="000A098D">
        <w:rPr>
          <w:rFonts w:ascii="Calibri" w:hAnsi="Calibri"/>
        </w:rPr>
        <w:t xml:space="preserve"> </w:t>
      </w:r>
      <w:r w:rsidR="00DE3296">
        <w:rPr>
          <w:rFonts w:ascii="Calibri" w:hAnsi="Calibri"/>
        </w:rPr>
        <w:t>[</w:t>
      </w:r>
      <w:r w:rsidR="00DE3296" w:rsidRPr="000A098D">
        <w:rPr>
          <w:rFonts w:ascii="Calibri" w:hAnsi="Calibri"/>
        </w:rPr>
        <w:t>CH</w:t>
      </w:r>
      <w:r w:rsidR="00DE3296" w:rsidRPr="000A098D">
        <w:rPr>
          <w:rFonts w:ascii="Calibri" w:hAnsi="Calibri"/>
          <w:vertAlign w:val="subscript"/>
        </w:rPr>
        <w:t>4</w:t>
      </w:r>
      <w:r w:rsidR="00DE3296" w:rsidRPr="000A098D">
        <w:rPr>
          <w:rFonts w:ascii="Calibri" w:hAnsi="Calibri"/>
        </w:rPr>
        <w:t xml:space="preserve"> emitted</w:t>
      </w:r>
      <w:r w:rsidR="00DE3296">
        <w:rPr>
          <w:rFonts w:ascii="Calibri" w:hAnsi="Calibri"/>
        </w:rPr>
        <w:t>]</w:t>
      </w:r>
      <w:r w:rsidR="00DE3296" w:rsidRPr="000A098D">
        <w:rPr>
          <w:rFonts w:ascii="Calibri" w:hAnsi="Calibri"/>
        </w:rPr>
        <w:t xml:space="preserve"> and 298 kg CO</w:t>
      </w:r>
      <w:r w:rsidR="00DE3296" w:rsidRPr="000A098D">
        <w:rPr>
          <w:rFonts w:ascii="Calibri" w:hAnsi="Calibri"/>
          <w:vertAlign w:val="subscript"/>
        </w:rPr>
        <w:t>2</w:t>
      </w:r>
      <w:r w:rsidR="00DE3296">
        <w:rPr>
          <w:rFonts w:ascii="Calibri" w:hAnsi="Calibri"/>
        </w:rPr>
        <w:t xml:space="preserve">e </w:t>
      </w:r>
      <w:r w:rsidR="00DE3296" w:rsidRPr="000A098D">
        <w:rPr>
          <w:rFonts w:ascii="Calibri" w:hAnsi="Calibri"/>
        </w:rPr>
        <w:t>kg</w:t>
      </w:r>
      <w:r w:rsidR="00DE3296" w:rsidRPr="00E4184A">
        <w:rPr>
          <w:rFonts w:ascii="Calibri" w:hAnsi="Calibri"/>
          <w:vertAlign w:val="superscript"/>
        </w:rPr>
        <w:t>-1</w:t>
      </w:r>
      <w:r w:rsidR="00DE3296" w:rsidRPr="000A098D">
        <w:rPr>
          <w:rFonts w:ascii="Calibri" w:hAnsi="Calibri"/>
        </w:rPr>
        <w:t xml:space="preserve"> </w:t>
      </w:r>
      <w:r w:rsidR="00DE3296">
        <w:rPr>
          <w:rFonts w:ascii="Calibri" w:hAnsi="Calibri"/>
        </w:rPr>
        <w:t>[</w:t>
      </w:r>
      <w:r w:rsidR="00DE3296" w:rsidRPr="000A098D">
        <w:rPr>
          <w:rFonts w:ascii="Calibri" w:hAnsi="Calibri"/>
        </w:rPr>
        <w:t>N</w:t>
      </w:r>
      <w:r w:rsidR="00DE3296" w:rsidRPr="000A098D">
        <w:rPr>
          <w:rFonts w:ascii="Calibri" w:hAnsi="Calibri"/>
          <w:vertAlign w:val="subscript"/>
        </w:rPr>
        <w:t>2</w:t>
      </w:r>
      <w:r w:rsidR="00DE3296" w:rsidRPr="000A098D">
        <w:rPr>
          <w:rFonts w:ascii="Calibri" w:hAnsi="Calibri"/>
        </w:rPr>
        <w:t>O emitted</w:t>
      </w:r>
      <w:r w:rsidR="00DE3296">
        <w:rPr>
          <w:rFonts w:ascii="Calibri" w:hAnsi="Calibri"/>
        </w:rPr>
        <w:t>]</w:t>
      </w:r>
      <w:r w:rsidR="00DE3296" w:rsidRPr="000A098D">
        <w:rPr>
          <w:rFonts w:ascii="Calibri" w:hAnsi="Calibri"/>
        </w:rPr>
        <w:t>.</w:t>
      </w:r>
    </w:p>
    <w:p w14:paraId="17BC4ECF" w14:textId="75898B44" w:rsidR="00DE3296" w:rsidRDefault="00DE3296" w:rsidP="00DE3296">
      <w:pPr>
        <w:jc w:val="both"/>
        <w:rPr>
          <w:rFonts w:ascii="Calibri" w:hAnsi="Calibri"/>
        </w:rPr>
      </w:pPr>
      <w:r>
        <w:rPr>
          <w:rFonts w:ascii="Calibri" w:hAnsi="Calibri"/>
        </w:rPr>
        <w:t>We estimate annual emissions of 4,637 tons CH</w:t>
      </w:r>
      <w:r w:rsidRPr="00F7597D">
        <w:rPr>
          <w:rFonts w:ascii="Calibri" w:hAnsi="Calibri"/>
          <w:vertAlign w:val="subscript"/>
        </w:rPr>
        <w:t>4</w:t>
      </w:r>
      <w:r>
        <w:rPr>
          <w:rFonts w:ascii="Calibri" w:hAnsi="Calibri"/>
        </w:rPr>
        <w:t xml:space="preserve"> (0.12 MMT CO</w:t>
      </w:r>
      <w:r w:rsidRPr="00F7597D">
        <w:rPr>
          <w:rFonts w:ascii="Calibri" w:hAnsi="Calibri"/>
          <w:vertAlign w:val="subscript"/>
        </w:rPr>
        <w:t>2</w:t>
      </w:r>
      <w:r>
        <w:rPr>
          <w:rFonts w:ascii="Calibri" w:hAnsi="Calibri"/>
        </w:rPr>
        <w:t>e) and 423 tons N</w:t>
      </w:r>
      <w:r w:rsidRPr="0016109E">
        <w:rPr>
          <w:rFonts w:ascii="Calibri" w:hAnsi="Calibri"/>
          <w:vertAlign w:val="subscript"/>
        </w:rPr>
        <w:t>2</w:t>
      </w:r>
      <w:r>
        <w:rPr>
          <w:rFonts w:ascii="Calibri" w:hAnsi="Calibri"/>
        </w:rPr>
        <w:t>O (0.13 MMT CO</w:t>
      </w:r>
      <w:r w:rsidRPr="0016109E">
        <w:rPr>
          <w:rFonts w:ascii="Calibri" w:hAnsi="Calibri"/>
          <w:vertAlign w:val="subscript"/>
        </w:rPr>
        <w:t>2</w:t>
      </w:r>
      <w:r>
        <w:rPr>
          <w:rFonts w:ascii="Calibri" w:hAnsi="Calibri"/>
        </w:rPr>
        <w:t>e) from woodland fires. We assume that</w:t>
      </w:r>
      <w:r w:rsidR="002043D2">
        <w:rPr>
          <w:rFonts w:ascii="Calibri" w:hAnsi="Calibri"/>
        </w:rPr>
        <w:t>, given IPCC default factors,</w:t>
      </w:r>
      <w:r>
        <w:rPr>
          <w:rFonts w:ascii="Calibri" w:hAnsi="Calibri"/>
        </w:rPr>
        <w:t xml:space="preserve"> these </w:t>
      </w:r>
      <w:r w:rsidR="002043D2">
        <w:rPr>
          <w:rFonts w:ascii="Calibri" w:hAnsi="Calibri"/>
        </w:rPr>
        <w:t xml:space="preserve">values include </w:t>
      </w:r>
      <w:r>
        <w:rPr>
          <w:rFonts w:ascii="Calibri" w:hAnsi="Calibri"/>
        </w:rPr>
        <w:t xml:space="preserve">combustion of both woody biomass and herbaceous matter. To isolate </w:t>
      </w:r>
      <w:r w:rsidR="002043D2">
        <w:rPr>
          <w:rFonts w:ascii="Calibri" w:hAnsi="Calibri"/>
        </w:rPr>
        <w:t xml:space="preserve">woody biomass </w:t>
      </w:r>
      <w:r>
        <w:rPr>
          <w:rFonts w:ascii="Calibri" w:hAnsi="Calibri"/>
        </w:rPr>
        <w:t xml:space="preserve">emissions, we estimate the emissions from the combustion of herbaceous matter on the 141,000 ha of woodlands that are burned and subtract these emissions from the total woodland fire emissions. </w:t>
      </w:r>
    </w:p>
    <w:p w14:paraId="5368A1C4" w14:textId="0A668F2A" w:rsidR="00DE3296" w:rsidRDefault="00DE3296" w:rsidP="00DE3296">
      <w:pPr>
        <w:jc w:val="both"/>
        <w:rPr>
          <w:rFonts w:ascii="Calibri" w:hAnsi="Calibri"/>
        </w:rPr>
      </w:pPr>
      <w:r>
        <w:rPr>
          <w:rFonts w:ascii="Calibri" w:hAnsi="Calibri"/>
        </w:rPr>
        <w:t>To quantify emissions from the combustion of herbaceous matter, we use the same emission factors (</w:t>
      </w:r>
      <w:r w:rsidRPr="00590BB9">
        <w:rPr>
          <w:rFonts w:ascii="Calibri" w:hAnsi="Calibri"/>
        </w:rPr>
        <w:t>2.3 g CH</w:t>
      </w:r>
      <w:r w:rsidRPr="00590BB9">
        <w:rPr>
          <w:rFonts w:ascii="Calibri" w:hAnsi="Calibri"/>
          <w:vertAlign w:val="subscript"/>
        </w:rPr>
        <w:t>4</w:t>
      </w:r>
      <w:r w:rsidRPr="00590BB9">
        <w:rPr>
          <w:rFonts w:ascii="Calibri" w:hAnsi="Calibri"/>
        </w:rPr>
        <w:t xml:space="preserve"> emitted kg</w:t>
      </w:r>
      <w:r w:rsidRPr="00590BB9">
        <w:rPr>
          <w:rFonts w:ascii="Calibri" w:hAnsi="Calibri"/>
          <w:vertAlign w:val="superscript"/>
        </w:rPr>
        <w:t>-1</w:t>
      </w:r>
      <w:r w:rsidRPr="00590BB9">
        <w:rPr>
          <w:rFonts w:ascii="Calibri" w:hAnsi="Calibri"/>
        </w:rPr>
        <w:t xml:space="preserve"> [dry matter burned]</w:t>
      </w:r>
      <w:r>
        <w:rPr>
          <w:rFonts w:ascii="Calibri" w:hAnsi="Calibri"/>
        </w:rPr>
        <w:t xml:space="preserve"> and 0.21 g N</w:t>
      </w:r>
      <w:r w:rsidRPr="0099764E">
        <w:rPr>
          <w:rFonts w:ascii="Calibri" w:hAnsi="Calibri"/>
          <w:vertAlign w:val="subscript"/>
        </w:rPr>
        <w:t>2</w:t>
      </w:r>
      <w:r>
        <w:rPr>
          <w:rFonts w:ascii="Calibri" w:hAnsi="Calibri"/>
        </w:rPr>
        <w:t>O emitted kg</w:t>
      </w:r>
      <w:r w:rsidRPr="0099764E">
        <w:rPr>
          <w:rFonts w:ascii="Calibri" w:hAnsi="Calibri"/>
          <w:vertAlign w:val="superscript"/>
        </w:rPr>
        <w:t>-1</w:t>
      </w:r>
      <w:r>
        <w:rPr>
          <w:rFonts w:ascii="Calibri" w:hAnsi="Calibri"/>
        </w:rPr>
        <w:t xml:space="preserve"> [dry matter burned]) and fuel availability (4.1 metric tons dry matter </w:t>
      </w:r>
      <w:r w:rsidRPr="00F9730B">
        <w:rPr>
          <w:rFonts w:ascii="Calibri" w:hAnsi="Calibri"/>
        </w:rPr>
        <w:t>ha</w:t>
      </w:r>
      <w:r w:rsidRPr="00E4184A">
        <w:rPr>
          <w:rFonts w:ascii="Calibri" w:hAnsi="Calibri"/>
          <w:vertAlign w:val="superscript"/>
        </w:rPr>
        <w:t>-1</w:t>
      </w:r>
      <w:r>
        <w:rPr>
          <w:rFonts w:ascii="Calibri" w:hAnsi="Calibri"/>
        </w:rPr>
        <w:t xml:space="preserve">) from IPCC (2006) as applied in </w:t>
      </w:r>
      <w:r w:rsidRPr="002F327D">
        <w:rPr>
          <w:rFonts w:ascii="Calibri" w:hAnsi="Calibri"/>
        </w:rPr>
        <w:t>Section</w:t>
      </w:r>
      <w:r w:rsidR="007D6D6E">
        <w:rPr>
          <w:rFonts w:ascii="Calibri" w:hAnsi="Calibri"/>
        </w:rPr>
        <w:t xml:space="preserve"> 2,</w:t>
      </w:r>
      <w:r w:rsidRPr="002F327D">
        <w:rPr>
          <w:rFonts w:ascii="Calibri" w:hAnsi="Calibri"/>
        </w:rPr>
        <w:t xml:space="preserve"> </w:t>
      </w:r>
      <w:r w:rsidR="002F327D" w:rsidRPr="002F327D">
        <w:rPr>
          <w:rFonts w:ascii="Calibri" w:hAnsi="Calibri"/>
        </w:rPr>
        <w:t>3</w:t>
      </w:r>
      <w:r w:rsidRPr="002F327D">
        <w:rPr>
          <w:rFonts w:ascii="Calibri" w:hAnsi="Calibri"/>
        </w:rPr>
        <w:t>.</w:t>
      </w:r>
      <w:r w:rsidR="002F327D">
        <w:rPr>
          <w:rFonts w:ascii="Calibri" w:hAnsi="Calibri"/>
        </w:rPr>
        <w:t>3</w:t>
      </w:r>
      <w:r>
        <w:rPr>
          <w:rFonts w:ascii="Calibri" w:hAnsi="Calibri"/>
        </w:rPr>
        <w:t xml:space="preserve">. We follow the NGHGI in assuming that all available herbaceous matter is combusted (i.e., combustion factor = 1). We </w:t>
      </w:r>
      <w:r w:rsidRPr="003301FC">
        <w:rPr>
          <w:rFonts w:ascii="Calibri" w:hAnsi="Calibri"/>
        </w:rPr>
        <w:t>estimate that the combustion of herbaceous matter during woodland fires results in emissions of 1,330 tons CH</w:t>
      </w:r>
      <w:r w:rsidRPr="003301FC">
        <w:rPr>
          <w:rFonts w:ascii="Calibri" w:hAnsi="Calibri"/>
          <w:vertAlign w:val="subscript"/>
        </w:rPr>
        <w:t>4</w:t>
      </w:r>
      <w:r w:rsidRPr="003301FC">
        <w:rPr>
          <w:rFonts w:ascii="Calibri" w:hAnsi="Calibri"/>
        </w:rPr>
        <w:t xml:space="preserve"> (0.03 MMT CO</w:t>
      </w:r>
      <w:r w:rsidRPr="003301FC">
        <w:rPr>
          <w:rFonts w:ascii="Calibri" w:hAnsi="Calibri"/>
          <w:vertAlign w:val="subscript"/>
        </w:rPr>
        <w:t>2</w:t>
      </w:r>
      <w:r w:rsidRPr="003301FC">
        <w:rPr>
          <w:rFonts w:ascii="Calibri" w:hAnsi="Calibri"/>
        </w:rPr>
        <w:t>e) and 121 tons N</w:t>
      </w:r>
      <w:r w:rsidRPr="003301FC">
        <w:rPr>
          <w:rFonts w:ascii="Calibri" w:hAnsi="Calibri"/>
          <w:vertAlign w:val="subscript"/>
        </w:rPr>
        <w:t>2</w:t>
      </w:r>
      <w:r w:rsidRPr="003301FC">
        <w:rPr>
          <w:rFonts w:ascii="Calibri" w:hAnsi="Calibri"/>
        </w:rPr>
        <w:t>O (0.04 MMT CO</w:t>
      </w:r>
      <w:r w:rsidRPr="003301FC">
        <w:rPr>
          <w:rFonts w:ascii="Calibri" w:hAnsi="Calibri"/>
          <w:vertAlign w:val="subscript"/>
        </w:rPr>
        <w:t>2</w:t>
      </w:r>
      <w:r w:rsidRPr="003301FC">
        <w:rPr>
          <w:rFonts w:ascii="Calibri" w:hAnsi="Calibri"/>
        </w:rPr>
        <w:t>e). Thus, the combustion of woody bio</w:t>
      </w:r>
      <w:r w:rsidRPr="00C96791">
        <w:rPr>
          <w:rFonts w:ascii="Calibri" w:hAnsi="Calibri"/>
        </w:rPr>
        <w:t>mass</w:t>
      </w:r>
      <w:r w:rsidR="002F327D">
        <w:rPr>
          <w:rFonts w:ascii="Calibri" w:hAnsi="Calibri"/>
        </w:rPr>
        <w:t xml:space="preserve"> (net of herbaceous biomass emissions, which are already accounted for in Section </w:t>
      </w:r>
      <w:r w:rsidR="007D6D6E">
        <w:rPr>
          <w:rFonts w:ascii="Calibri" w:hAnsi="Calibri"/>
        </w:rPr>
        <w:t xml:space="preserve">2, </w:t>
      </w:r>
      <w:r w:rsidR="002F327D">
        <w:rPr>
          <w:rFonts w:ascii="Calibri" w:hAnsi="Calibri"/>
        </w:rPr>
        <w:t>3.3)</w:t>
      </w:r>
      <w:r w:rsidR="006B1FB3">
        <w:rPr>
          <w:rFonts w:ascii="Calibri" w:hAnsi="Calibri"/>
        </w:rPr>
        <w:t xml:space="preserve"> results in emissions of 3,307</w:t>
      </w:r>
      <w:r w:rsidRPr="00C96791">
        <w:rPr>
          <w:rFonts w:ascii="Calibri" w:hAnsi="Calibri"/>
        </w:rPr>
        <w:t xml:space="preserve"> tons CH</w:t>
      </w:r>
      <w:r w:rsidRPr="00C96791">
        <w:rPr>
          <w:rFonts w:ascii="Calibri" w:hAnsi="Calibri"/>
          <w:vertAlign w:val="subscript"/>
        </w:rPr>
        <w:t>4</w:t>
      </w:r>
      <w:r w:rsidR="006B1FB3">
        <w:rPr>
          <w:rFonts w:ascii="Calibri" w:hAnsi="Calibri"/>
        </w:rPr>
        <w:t xml:space="preserve"> (0.09</w:t>
      </w:r>
      <w:r w:rsidRPr="00C96791">
        <w:rPr>
          <w:rFonts w:ascii="Calibri" w:hAnsi="Calibri"/>
        </w:rPr>
        <w:t xml:space="preserve"> MMT CO</w:t>
      </w:r>
      <w:r w:rsidRPr="00C96791">
        <w:rPr>
          <w:rFonts w:ascii="Calibri" w:hAnsi="Calibri"/>
          <w:vertAlign w:val="subscript"/>
        </w:rPr>
        <w:t>2</w:t>
      </w:r>
      <w:r w:rsidRPr="00C96791">
        <w:rPr>
          <w:rFonts w:ascii="Calibri" w:hAnsi="Calibri"/>
        </w:rPr>
        <w:t>e) and 302 tons N</w:t>
      </w:r>
      <w:r w:rsidRPr="00C96791">
        <w:rPr>
          <w:rFonts w:ascii="Calibri" w:hAnsi="Calibri"/>
          <w:vertAlign w:val="subscript"/>
        </w:rPr>
        <w:t>2</w:t>
      </w:r>
      <w:r w:rsidRPr="00C96791">
        <w:rPr>
          <w:rFonts w:ascii="Calibri" w:hAnsi="Calibri"/>
        </w:rPr>
        <w:t>O (0.09 MMT CO</w:t>
      </w:r>
      <w:r w:rsidRPr="00C96791">
        <w:rPr>
          <w:rFonts w:ascii="Calibri" w:hAnsi="Calibri"/>
          <w:vertAlign w:val="subscript"/>
        </w:rPr>
        <w:t>2</w:t>
      </w:r>
      <w:r w:rsidRPr="00C96791">
        <w:rPr>
          <w:rFonts w:ascii="Calibri" w:hAnsi="Calibri"/>
        </w:rPr>
        <w:t>e)</w:t>
      </w:r>
      <w:r w:rsidR="002043D2">
        <w:rPr>
          <w:rFonts w:ascii="Calibri" w:hAnsi="Calibri"/>
        </w:rPr>
        <w:t xml:space="preserve"> (Table </w:t>
      </w:r>
      <w:r w:rsidR="007D6D6E">
        <w:rPr>
          <w:rFonts w:ascii="Calibri" w:hAnsi="Calibri"/>
        </w:rPr>
        <w:t>2</w:t>
      </w:r>
      <w:r w:rsidR="002043D2">
        <w:rPr>
          <w:rFonts w:ascii="Calibri" w:hAnsi="Calibri"/>
        </w:rPr>
        <w:t>-27)</w:t>
      </w:r>
      <w:r w:rsidRPr="00C96791">
        <w:rPr>
          <w:rFonts w:ascii="Calibri" w:hAnsi="Calibri"/>
        </w:rPr>
        <w:t>.</w:t>
      </w:r>
    </w:p>
    <w:p w14:paraId="1229E185" w14:textId="1B8EF675" w:rsidR="00DE3296" w:rsidRPr="00E43CCF" w:rsidRDefault="00DE3296" w:rsidP="00DE3296">
      <w:pPr>
        <w:jc w:val="both"/>
        <w:rPr>
          <w:b/>
          <w:i/>
          <w:iCs/>
          <w:color w:val="44546A" w:themeColor="text2"/>
        </w:rPr>
      </w:pPr>
      <w:r w:rsidRPr="00E43CCF">
        <w:rPr>
          <w:b/>
          <w:i/>
          <w:iCs/>
          <w:color w:val="44546A" w:themeColor="text2"/>
        </w:rPr>
        <w:t xml:space="preserve">Table </w:t>
      </w:r>
      <w:r w:rsidR="007D6D6E">
        <w:rPr>
          <w:b/>
          <w:i/>
          <w:iCs/>
          <w:color w:val="44546A" w:themeColor="text2"/>
        </w:rPr>
        <w:t>2</w:t>
      </w:r>
      <w:r w:rsidR="005F6840">
        <w:rPr>
          <w:b/>
          <w:i/>
          <w:iCs/>
          <w:color w:val="44546A" w:themeColor="text2"/>
        </w:rPr>
        <w:t>-</w:t>
      </w:r>
      <w:r w:rsidRPr="00E43CCF">
        <w:rPr>
          <w:b/>
          <w:i/>
          <w:iCs/>
          <w:color w:val="44546A" w:themeColor="text2"/>
        </w:rPr>
        <w:t>2</w:t>
      </w:r>
      <w:r w:rsidR="002043D2">
        <w:rPr>
          <w:b/>
          <w:i/>
          <w:iCs/>
          <w:color w:val="44546A" w:themeColor="text2"/>
        </w:rPr>
        <w:t>7</w:t>
      </w:r>
      <w:r w:rsidRPr="00E43CCF">
        <w:rPr>
          <w:b/>
          <w:i/>
          <w:iCs/>
          <w:color w:val="44546A" w:themeColor="text2"/>
        </w:rPr>
        <w:t xml:space="preserve">: </w:t>
      </w:r>
      <w:r w:rsidR="00A9645A">
        <w:rPr>
          <w:b/>
          <w:i/>
          <w:iCs/>
          <w:color w:val="44546A" w:themeColor="text2"/>
        </w:rPr>
        <w:t xml:space="preserve">RESULTS - </w:t>
      </w:r>
      <w:r w:rsidR="000558C0">
        <w:rPr>
          <w:b/>
          <w:i/>
          <w:iCs/>
          <w:color w:val="44546A" w:themeColor="text2"/>
        </w:rPr>
        <w:t>N</w:t>
      </w:r>
      <w:r w:rsidRPr="00E43CCF">
        <w:rPr>
          <w:b/>
          <w:i/>
          <w:iCs/>
          <w:color w:val="44546A" w:themeColor="text2"/>
        </w:rPr>
        <w:t>on-CO</w:t>
      </w:r>
      <w:r w:rsidRPr="00E43CCF">
        <w:rPr>
          <w:b/>
          <w:i/>
          <w:iCs/>
          <w:color w:val="44546A" w:themeColor="text2"/>
          <w:vertAlign w:val="subscript"/>
        </w:rPr>
        <w:t>2</w:t>
      </w:r>
      <w:r w:rsidRPr="00E43CCF">
        <w:rPr>
          <w:b/>
          <w:i/>
          <w:iCs/>
          <w:color w:val="44546A" w:themeColor="text2"/>
        </w:rPr>
        <w:t xml:space="preserve"> emissions from woody biomass </w:t>
      </w:r>
      <w:r w:rsidR="00A9645A">
        <w:rPr>
          <w:b/>
          <w:i/>
          <w:iCs/>
          <w:color w:val="44546A" w:themeColor="text2"/>
        </w:rPr>
        <w:t>in</w:t>
      </w:r>
      <w:r w:rsidRPr="00E43CCF">
        <w:rPr>
          <w:b/>
          <w:i/>
          <w:iCs/>
          <w:color w:val="44546A" w:themeColor="text2"/>
        </w:rPr>
        <w:t xml:space="preserve"> grassland fires</w:t>
      </w:r>
    </w:p>
    <w:tbl>
      <w:tblPr>
        <w:tblStyle w:val="TableGrid"/>
        <w:tblW w:w="0" w:type="auto"/>
        <w:tblLook w:val="04A0" w:firstRow="1" w:lastRow="0" w:firstColumn="1" w:lastColumn="0" w:noHBand="0" w:noVBand="1"/>
      </w:tblPr>
      <w:tblGrid>
        <w:gridCol w:w="1661"/>
        <w:gridCol w:w="1571"/>
        <w:gridCol w:w="1570"/>
        <w:gridCol w:w="1570"/>
        <w:gridCol w:w="1571"/>
        <w:gridCol w:w="1407"/>
      </w:tblGrid>
      <w:tr w:rsidR="006B1FB3" w:rsidRPr="00E43CCF" w14:paraId="30EACCA7" w14:textId="662C647C" w:rsidTr="006B1FB3">
        <w:tc>
          <w:tcPr>
            <w:tcW w:w="1661" w:type="dxa"/>
            <w:shd w:val="clear" w:color="auto" w:fill="FFC000" w:themeFill="accent4"/>
            <w:vAlign w:val="center"/>
          </w:tcPr>
          <w:p w14:paraId="5A91476D" w14:textId="77777777" w:rsidR="006B1FB3" w:rsidRPr="00E43CCF" w:rsidRDefault="006B1FB3" w:rsidP="00E43CCF">
            <w:pPr>
              <w:jc w:val="center"/>
              <w:rPr>
                <w:rFonts w:ascii="Calibri" w:hAnsi="Calibri"/>
                <w:b/>
                <w:sz w:val="18"/>
                <w:szCs w:val="18"/>
              </w:rPr>
            </w:pPr>
            <w:r w:rsidRPr="00E43CCF">
              <w:rPr>
                <w:rFonts w:ascii="Calibri" w:hAnsi="Calibri"/>
                <w:b/>
                <w:sz w:val="18"/>
                <w:szCs w:val="18"/>
              </w:rPr>
              <w:t>Biomass type</w:t>
            </w:r>
          </w:p>
        </w:tc>
        <w:tc>
          <w:tcPr>
            <w:tcW w:w="1571" w:type="dxa"/>
            <w:shd w:val="clear" w:color="auto" w:fill="FFC000" w:themeFill="accent4"/>
            <w:vAlign w:val="center"/>
          </w:tcPr>
          <w:p w14:paraId="41F218CE" w14:textId="77777777" w:rsidR="006B1FB3" w:rsidRDefault="006B1FB3" w:rsidP="00E43CCF">
            <w:pPr>
              <w:jc w:val="center"/>
              <w:rPr>
                <w:rFonts w:ascii="Calibri" w:hAnsi="Calibri"/>
                <w:b/>
                <w:sz w:val="18"/>
                <w:szCs w:val="18"/>
              </w:rPr>
            </w:pPr>
            <w:r w:rsidRPr="00E43CCF">
              <w:rPr>
                <w:rFonts w:ascii="Calibri" w:hAnsi="Calibri"/>
                <w:b/>
                <w:sz w:val="18"/>
                <w:szCs w:val="18"/>
              </w:rPr>
              <w:t>Emitted CH</w:t>
            </w:r>
            <w:r w:rsidRPr="00E43CCF">
              <w:rPr>
                <w:rFonts w:ascii="Calibri" w:hAnsi="Calibri"/>
                <w:b/>
                <w:sz w:val="18"/>
                <w:szCs w:val="18"/>
                <w:vertAlign w:val="subscript"/>
              </w:rPr>
              <w:t>4</w:t>
            </w:r>
            <w:r w:rsidRPr="00E43CCF">
              <w:rPr>
                <w:rFonts w:ascii="Calibri" w:hAnsi="Calibri"/>
                <w:b/>
                <w:sz w:val="18"/>
                <w:szCs w:val="18"/>
              </w:rPr>
              <w:t xml:space="preserve"> </w:t>
            </w:r>
          </w:p>
          <w:p w14:paraId="126E06BA" w14:textId="7FAE64C2" w:rsidR="006B1FB3" w:rsidRPr="00E43CCF" w:rsidRDefault="006B1FB3" w:rsidP="00E43CCF">
            <w:pPr>
              <w:jc w:val="center"/>
              <w:rPr>
                <w:rFonts w:ascii="Calibri" w:hAnsi="Calibri"/>
                <w:b/>
                <w:sz w:val="18"/>
                <w:szCs w:val="18"/>
              </w:rPr>
            </w:pPr>
            <w:r w:rsidRPr="00E43CCF">
              <w:rPr>
                <w:rFonts w:ascii="Calibri" w:hAnsi="Calibri"/>
                <w:b/>
                <w:sz w:val="18"/>
                <w:szCs w:val="18"/>
              </w:rPr>
              <w:t>(metric tons CH</w:t>
            </w:r>
            <w:r w:rsidRPr="00E43CCF">
              <w:rPr>
                <w:rFonts w:ascii="Calibri" w:hAnsi="Calibri"/>
                <w:b/>
                <w:sz w:val="18"/>
                <w:szCs w:val="18"/>
                <w:vertAlign w:val="subscript"/>
              </w:rPr>
              <w:t>4</w:t>
            </w:r>
            <w:r w:rsidRPr="00E43CCF">
              <w:rPr>
                <w:rFonts w:ascii="Calibri" w:hAnsi="Calibri"/>
                <w:b/>
                <w:sz w:val="18"/>
                <w:szCs w:val="18"/>
              </w:rPr>
              <w:t>)</w:t>
            </w:r>
          </w:p>
        </w:tc>
        <w:tc>
          <w:tcPr>
            <w:tcW w:w="1570" w:type="dxa"/>
            <w:shd w:val="clear" w:color="auto" w:fill="FFC000" w:themeFill="accent4"/>
            <w:vAlign w:val="center"/>
          </w:tcPr>
          <w:p w14:paraId="605C6315" w14:textId="77777777" w:rsidR="006B1FB3" w:rsidRDefault="006B1FB3" w:rsidP="00E43CCF">
            <w:pPr>
              <w:jc w:val="center"/>
              <w:rPr>
                <w:rFonts w:ascii="Calibri" w:hAnsi="Calibri"/>
                <w:b/>
                <w:sz w:val="18"/>
                <w:szCs w:val="18"/>
              </w:rPr>
            </w:pPr>
            <w:r w:rsidRPr="00E43CCF">
              <w:rPr>
                <w:rFonts w:ascii="Calibri" w:hAnsi="Calibri"/>
                <w:b/>
                <w:sz w:val="18"/>
                <w:szCs w:val="18"/>
              </w:rPr>
              <w:t>Emitted CH</w:t>
            </w:r>
            <w:r w:rsidRPr="00E43CCF">
              <w:rPr>
                <w:rFonts w:ascii="Calibri" w:hAnsi="Calibri"/>
                <w:b/>
                <w:sz w:val="18"/>
                <w:szCs w:val="18"/>
                <w:vertAlign w:val="subscript"/>
              </w:rPr>
              <w:t>4</w:t>
            </w:r>
            <w:r w:rsidRPr="00E43CCF">
              <w:rPr>
                <w:rFonts w:ascii="Calibri" w:hAnsi="Calibri"/>
                <w:b/>
                <w:sz w:val="18"/>
                <w:szCs w:val="18"/>
              </w:rPr>
              <w:t xml:space="preserve"> </w:t>
            </w:r>
          </w:p>
          <w:p w14:paraId="2204D727" w14:textId="5351F92A" w:rsidR="006B1FB3" w:rsidRPr="00E43CCF" w:rsidRDefault="006B1FB3" w:rsidP="00E43CCF">
            <w:pPr>
              <w:jc w:val="center"/>
              <w:rPr>
                <w:rFonts w:ascii="Calibri" w:hAnsi="Calibri"/>
                <w:b/>
                <w:sz w:val="18"/>
                <w:szCs w:val="18"/>
              </w:rPr>
            </w:pPr>
            <w:r w:rsidRPr="00E43CCF">
              <w:rPr>
                <w:rFonts w:ascii="Calibri" w:hAnsi="Calibri"/>
                <w:b/>
                <w:sz w:val="18"/>
                <w:szCs w:val="18"/>
              </w:rPr>
              <w:t>(MMT CO</w:t>
            </w:r>
            <w:r w:rsidRPr="00E43CCF">
              <w:rPr>
                <w:rFonts w:ascii="Calibri" w:hAnsi="Calibri"/>
                <w:b/>
                <w:sz w:val="18"/>
                <w:szCs w:val="18"/>
                <w:vertAlign w:val="subscript"/>
              </w:rPr>
              <w:t>2</w:t>
            </w:r>
            <w:r w:rsidRPr="00E43CCF">
              <w:rPr>
                <w:rFonts w:ascii="Calibri" w:hAnsi="Calibri"/>
                <w:b/>
                <w:sz w:val="18"/>
                <w:szCs w:val="18"/>
              </w:rPr>
              <w:t>e)</w:t>
            </w:r>
          </w:p>
        </w:tc>
        <w:tc>
          <w:tcPr>
            <w:tcW w:w="1570" w:type="dxa"/>
            <w:shd w:val="clear" w:color="auto" w:fill="FFC000" w:themeFill="accent4"/>
            <w:vAlign w:val="center"/>
          </w:tcPr>
          <w:p w14:paraId="0AD0A69D" w14:textId="77777777" w:rsidR="006B1FB3" w:rsidRDefault="006B1FB3" w:rsidP="00E43CCF">
            <w:pPr>
              <w:jc w:val="center"/>
              <w:rPr>
                <w:rFonts w:ascii="Calibri" w:hAnsi="Calibri"/>
                <w:b/>
                <w:sz w:val="18"/>
                <w:szCs w:val="18"/>
              </w:rPr>
            </w:pPr>
            <w:r w:rsidRPr="00E43CCF">
              <w:rPr>
                <w:rFonts w:ascii="Calibri" w:hAnsi="Calibri"/>
                <w:b/>
                <w:sz w:val="18"/>
                <w:szCs w:val="18"/>
              </w:rPr>
              <w:t>Emitted N</w:t>
            </w:r>
            <w:r w:rsidRPr="00E43CCF">
              <w:rPr>
                <w:rFonts w:ascii="Calibri" w:hAnsi="Calibri"/>
                <w:b/>
                <w:sz w:val="18"/>
                <w:szCs w:val="18"/>
                <w:vertAlign w:val="subscript"/>
              </w:rPr>
              <w:t>2</w:t>
            </w:r>
            <w:r w:rsidRPr="00E43CCF">
              <w:rPr>
                <w:rFonts w:ascii="Calibri" w:hAnsi="Calibri"/>
                <w:b/>
                <w:sz w:val="18"/>
                <w:szCs w:val="18"/>
              </w:rPr>
              <w:t xml:space="preserve">O </w:t>
            </w:r>
          </w:p>
          <w:p w14:paraId="2EBEB4E2" w14:textId="01948D29" w:rsidR="006B1FB3" w:rsidRPr="00E43CCF" w:rsidRDefault="006B1FB3" w:rsidP="00E43CCF">
            <w:pPr>
              <w:jc w:val="center"/>
              <w:rPr>
                <w:rFonts w:ascii="Calibri" w:hAnsi="Calibri"/>
                <w:b/>
                <w:sz w:val="18"/>
                <w:szCs w:val="18"/>
              </w:rPr>
            </w:pPr>
            <w:r w:rsidRPr="00E43CCF">
              <w:rPr>
                <w:rFonts w:ascii="Calibri" w:hAnsi="Calibri"/>
                <w:b/>
                <w:sz w:val="18"/>
                <w:szCs w:val="18"/>
              </w:rPr>
              <w:t>(metric tons N</w:t>
            </w:r>
            <w:r w:rsidRPr="00E43CCF">
              <w:rPr>
                <w:rFonts w:ascii="Calibri" w:hAnsi="Calibri"/>
                <w:b/>
                <w:sz w:val="18"/>
                <w:szCs w:val="18"/>
                <w:vertAlign w:val="subscript"/>
              </w:rPr>
              <w:t>2</w:t>
            </w:r>
            <w:r w:rsidRPr="00E43CCF">
              <w:rPr>
                <w:rFonts w:ascii="Calibri" w:hAnsi="Calibri"/>
                <w:b/>
                <w:sz w:val="18"/>
                <w:szCs w:val="18"/>
              </w:rPr>
              <w:t>O)</w:t>
            </w:r>
          </w:p>
        </w:tc>
        <w:tc>
          <w:tcPr>
            <w:tcW w:w="1571" w:type="dxa"/>
            <w:shd w:val="clear" w:color="auto" w:fill="FFC000" w:themeFill="accent4"/>
            <w:vAlign w:val="center"/>
          </w:tcPr>
          <w:p w14:paraId="3AF8133E" w14:textId="77777777" w:rsidR="006B1FB3" w:rsidRDefault="006B1FB3" w:rsidP="00E43CCF">
            <w:pPr>
              <w:jc w:val="center"/>
              <w:rPr>
                <w:rFonts w:ascii="Calibri" w:hAnsi="Calibri"/>
                <w:b/>
                <w:sz w:val="18"/>
                <w:szCs w:val="18"/>
              </w:rPr>
            </w:pPr>
            <w:r w:rsidRPr="00E43CCF">
              <w:rPr>
                <w:rFonts w:ascii="Calibri" w:hAnsi="Calibri"/>
                <w:b/>
                <w:sz w:val="18"/>
                <w:szCs w:val="18"/>
              </w:rPr>
              <w:t>Emitted N</w:t>
            </w:r>
            <w:r w:rsidRPr="00E43CCF">
              <w:rPr>
                <w:rFonts w:ascii="Calibri" w:hAnsi="Calibri"/>
                <w:b/>
                <w:sz w:val="18"/>
                <w:szCs w:val="18"/>
                <w:vertAlign w:val="subscript"/>
              </w:rPr>
              <w:t>2</w:t>
            </w:r>
            <w:r w:rsidRPr="00E43CCF">
              <w:rPr>
                <w:rFonts w:ascii="Calibri" w:hAnsi="Calibri"/>
                <w:b/>
                <w:sz w:val="18"/>
                <w:szCs w:val="18"/>
              </w:rPr>
              <w:t xml:space="preserve">O </w:t>
            </w:r>
          </w:p>
          <w:p w14:paraId="652E010A" w14:textId="5A0717F3" w:rsidR="006B1FB3" w:rsidRPr="00E43CCF" w:rsidRDefault="006B1FB3" w:rsidP="00E43CCF">
            <w:pPr>
              <w:jc w:val="center"/>
              <w:rPr>
                <w:rFonts w:ascii="Calibri" w:hAnsi="Calibri"/>
                <w:b/>
                <w:sz w:val="18"/>
                <w:szCs w:val="18"/>
              </w:rPr>
            </w:pPr>
            <w:r w:rsidRPr="00E43CCF">
              <w:rPr>
                <w:rFonts w:ascii="Calibri" w:hAnsi="Calibri"/>
                <w:b/>
                <w:sz w:val="18"/>
                <w:szCs w:val="18"/>
              </w:rPr>
              <w:t>(MMT CO</w:t>
            </w:r>
            <w:r w:rsidRPr="00E43CCF">
              <w:rPr>
                <w:rFonts w:ascii="Calibri" w:hAnsi="Calibri"/>
                <w:b/>
                <w:sz w:val="18"/>
                <w:szCs w:val="18"/>
                <w:vertAlign w:val="subscript"/>
              </w:rPr>
              <w:t>2</w:t>
            </w:r>
            <w:r w:rsidRPr="00E43CCF">
              <w:rPr>
                <w:rFonts w:ascii="Calibri" w:hAnsi="Calibri"/>
                <w:b/>
                <w:sz w:val="18"/>
                <w:szCs w:val="18"/>
              </w:rPr>
              <w:t>e)</w:t>
            </w:r>
          </w:p>
        </w:tc>
        <w:tc>
          <w:tcPr>
            <w:tcW w:w="1407" w:type="dxa"/>
            <w:shd w:val="clear" w:color="auto" w:fill="FFC000" w:themeFill="accent4"/>
            <w:vAlign w:val="center"/>
          </w:tcPr>
          <w:p w14:paraId="5017CC07" w14:textId="048EFE1A" w:rsidR="006B1FB3" w:rsidRPr="00E43CCF" w:rsidRDefault="006B1FB3" w:rsidP="006B1FB3">
            <w:pPr>
              <w:jc w:val="center"/>
              <w:rPr>
                <w:rFonts w:ascii="Calibri" w:hAnsi="Calibri"/>
                <w:b/>
                <w:sz w:val="18"/>
                <w:szCs w:val="18"/>
              </w:rPr>
            </w:pPr>
            <w:r>
              <w:rPr>
                <w:rFonts w:ascii="Calibri" w:hAnsi="Calibri"/>
                <w:b/>
                <w:sz w:val="18"/>
                <w:szCs w:val="18"/>
              </w:rPr>
              <w:t>CH4 + N2O (MMT CO2e)</w:t>
            </w:r>
          </w:p>
        </w:tc>
      </w:tr>
      <w:tr w:rsidR="006B1FB3" w:rsidRPr="00E43CCF" w14:paraId="2FDC57C8" w14:textId="3BFB005C" w:rsidTr="006B1FB3">
        <w:trPr>
          <w:trHeight w:val="439"/>
        </w:trPr>
        <w:tc>
          <w:tcPr>
            <w:tcW w:w="1661" w:type="dxa"/>
            <w:vAlign w:val="center"/>
          </w:tcPr>
          <w:p w14:paraId="3AB9EB59" w14:textId="77777777" w:rsidR="006B1FB3" w:rsidRPr="00E43CCF" w:rsidRDefault="006B1FB3" w:rsidP="00674237">
            <w:pPr>
              <w:rPr>
                <w:rFonts w:ascii="Calibri" w:hAnsi="Calibri"/>
                <w:sz w:val="18"/>
                <w:szCs w:val="18"/>
              </w:rPr>
            </w:pPr>
            <w:r w:rsidRPr="00E43CCF">
              <w:rPr>
                <w:rFonts w:ascii="Calibri" w:hAnsi="Calibri"/>
                <w:sz w:val="18"/>
                <w:szCs w:val="18"/>
              </w:rPr>
              <w:t>Woody biomass + herbaceous matter</w:t>
            </w:r>
          </w:p>
        </w:tc>
        <w:tc>
          <w:tcPr>
            <w:tcW w:w="1571" w:type="dxa"/>
            <w:vAlign w:val="center"/>
          </w:tcPr>
          <w:p w14:paraId="09869685" w14:textId="77777777" w:rsidR="006B1FB3" w:rsidRPr="00E43CCF" w:rsidRDefault="006B1FB3" w:rsidP="00E43CCF">
            <w:pPr>
              <w:jc w:val="center"/>
              <w:rPr>
                <w:rFonts w:ascii="Calibri" w:hAnsi="Calibri"/>
                <w:sz w:val="18"/>
                <w:szCs w:val="18"/>
              </w:rPr>
            </w:pPr>
            <w:r w:rsidRPr="00E43CCF">
              <w:rPr>
                <w:rFonts w:ascii="Calibri" w:hAnsi="Calibri"/>
                <w:sz w:val="18"/>
                <w:szCs w:val="18"/>
              </w:rPr>
              <w:t>4,637</w:t>
            </w:r>
          </w:p>
        </w:tc>
        <w:tc>
          <w:tcPr>
            <w:tcW w:w="1570" w:type="dxa"/>
            <w:vAlign w:val="center"/>
          </w:tcPr>
          <w:p w14:paraId="0B490FFC" w14:textId="77777777" w:rsidR="006B1FB3" w:rsidRPr="00E43CCF" w:rsidRDefault="006B1FB3" w:rsidP="00E43CCF">
            <w:pPr>
              <w:jc w:val="center"/>
              <w:rPr>
                <w:rFonts w:ascii="Calibri" w:hAnsi="Calibri"/>
                <w:sz w:val="18"/>
                <w:szCs w:val="18"/>
              </w:rPr>
            </w:pPr>
            <w:r w:rsidRPr="00E43CCF">
              <w:rPr>
                <w:rFonts w:ascii="Calibri" w:hAnsi="Calibri"/>
                <w:sz w:val="18"/>
                <w:szCs w:val="18"/>
              </w:rPr>
              <w:t>0.12</w:t>
            </w:r>
          </w:p>
        </w:tc>
        <w:tc>
          <w:tcPr>
            <w:tcW w:w="1570" w:type="dxa"/>
            <w:vAlign w:val="center"/>
          </w:tcPr>
          <w:p w14:paraId="0CF6FBB6" w14:textId="77777777" w:rsidR="006B1FB3" w:rsidRPr="00E43CCF" w:rsidRDefault="006B1FB3" w:rsidP="00E43CCF">
            <w:pPr>
              <w:jc w:val="center"/>
              <w:rPr>
                <w:rFonts w:ascii="Calibri" w:hAnsi="Calibri"/>
                <w:sz w:val="18"/>
                <w:szCs w:val="18"/>
              </w:rPr>
            </w:pPr>
            <w:r w:rsidRPr="00E43CCF">
              <w:rPr>
                <w:rFonts w:ascii="Calibri" w:hAnsi="Calibri"/>
                <w:sz w:val="18"/>
                <w:szCs w:val="18"/>
              </w:rPr>
              <w:t>423</w:t>
            </w:r>
          </w:p>
        </w:tc>
        <w:tc>
          <w:tcPr>
            <w:tcW w:w="1571" w:type="dxa"/>
            <w:vAlign w:val="center"/>
          </w:tcPr>
          <w:p w14:paraId="7A231B54" w14:textId="77777777" w:rsidR="006B1FB3" w:rsidRPr="00E43CCF" w:rsidRDefault="006B1FB3" w:rsidP="00E43CCF">
            <w:pPr>
              <w:jc w:val="center"/>
              <w:rPr>
                <w:rFonts w:ascii="Calibri" w:hAnsi="Calibri"/>
                <w:sz w:val="18"/>
                <w:szCs w:val="18"/>
              </w:rPr>
            </w:pPr>
            <w:r w:rsidRPr="00E43CCF">
              <w:rPr>
                <w:rFonts w:ascii="Calibri" w:hAnsi="Calibri"/>
                <w:sz w:val="18"/>
                <w:szCs w:val="18"/>
              </w:rPr>
              <w:t>0.13</w:t>
            </w:r>
          </w:p>
        </w:tc>
        <w:tc>
          <w:tcPr>
            <w:tcW w:w="1407" w:type="dxa"/>
            <w:vAlign w:val="center"/>
          </w:tcPr>
          <w:p w14:paraId="27499EC4" w14:textId="7CB6E5BC" w:rsidR="006B1FB3" w:rsidRPr="00E43CCF" w:rsidRDefault="006B1FB3" w:rsidP="006B1FB3">
            <w:pPr>
              <w:jc w:val="center"/>
              <w:rPr>
                <w:rFonts w:ascii="Calibri" w:hAnsi="Calibri"/>
                <w:sz w:val="18"/>
                <w:szCs w:val="18"/>
              </w:rPr>
            </w:pPr>
            <w:r>
              <w:rPr>
                <w:rFonts w:ascii="Calibri" w:hAnsi="Calibri"/>
                <w:sz w:val="18"/>
                <w:szCs w:val="18"/>
              </w:rPr>
              <w:t>0.25</w:t>
            </w:r>
          </w:p>
        </w:tc>
      </w:tr>
      <w:tr w:rsidR="006B1FB3" w:rsidRPr="00E43CCF" w14:paraId="2D326728" w14:textId="4E5C9AC5" w:rsidTr="006B1FB3">
        <w:trPr>
          <w:trHeight w:val="439"/>
        </w:trPr>
        <w:tc>
          <w:tcPr>
            <w:tcW w:w="1661" w:type="dxa"/>
            <w:vAlign w:val="center"/>
          </w:tcPr>
          <w:p w14:paraId="33206DA5" w14:textId="77777777" w:rsidR="006B1FB3" w:rsidRPr="00E43CCF" w:rsidRDefault="006B1FB3" w:rsidP="00674237">
            <w:pPr>
              <w:rPr>
                <w:rFonts w:ascii="Calibri" w:hAnsi="Calibri"/>
                <w:sz w:val="18"/>
                <w:szCs w:val="18"/>
              </w:rPr>
            </w:pPr>
            <w:r w:rsidRPr="00E43CCF">
              <w:rPr>
                <w:rFonts w:ascii="Calibri" w:hAnsi="Calibri"/>
                <w:sz w:val="18"/>
                <w:szCs w:val="18"/>
              </w:rPr>
              <w:t>Herbaceous matter</w:t>
            </w:r>
          </w:p>
        </w:tc>
        <w:tc>
          <w:tcPr>
            <w:tcW w:w="1571" w:type="dxa"/>
            <w:vAlign w:val="center"/>
          </w:tcPr>
          <w:p w14:paraId="7E1B328C" w14:textId="77777777" w:rsidR="006B1FB3" w:rsidRPr="00E43CCF" w:rsidRDefault="006B1FB3" w:rsidP="00E43CCF">
            <w:pPr>
              <w:jc w:val="center"/>
              <w:rPr>
                <w:rFonts w:ascii="Calibri" w:hAnsi="Calibri"/>
                <w:sz w:val="18"/>
                <w:szCs w:val="18"/>
              </w:rPr>
            </w:pPr>
            <w:r w:rsidRPr="00E43CCF">
              <w:rPr>
                <w:rFonts w:ascii="Calibri" w:hAnsi="Calibri"/>
                <w:sz w:val="18"/>
                <w:szCs w:val="18"/>
              </w:rPr>
              <w:t>1,330</w:t>
            </w:r>
          </w:p>
        </w:tc>
        <w:tc>
          <w:tcPr>
            <w:tcW w:w="1570" w:type="dxa"/>
            <w:vAlign w:val="center"/>
          </w:tcPr>
          <w:p w14:paraId="746F1C5E" w14:textId="77777777" w:rsidR="006B1FB3" w:rsidRPr="00E43CCF" w:rsidRDefault="006B1FB3" w:rsidP="00E43CCF">
            <w:pPr>
              <w:jc w:val="center"/>
              <w:rPr>
                <w:rFonts w:ascii="Calibri" w:hAnsi="Calibri"/>
                <w:sz w:val="18"/>
                <w:szCs w:val="18"/>
              </w:rPr>
            </w:pPr>
            <w:r w:rsidRPr="00E43CCF">
              <w:rPr>
                <w:rFonts w:ascii="Calibri" w:hAnsi="Calibri"/>
                <w:sz w:val="18"/>
                <w:szCs w:val="18"/>
              </w:rPr>
              <w:t>0.03</w:t>
            </w:r>
          </w:p>
        </w:tc>
        <w:tc>
          <w:tcPr>
            <w:tcW w:w="1570" w:type="dxa"/>
            <w:vAlign w:val="center"/>
          </w:tcPr>
          <w:p w14:paraId="65A0378F" w14:textId="77777777" w:rsidR="006B1FB3" w:rsidRPr="00E43CCF" w:rsidRDefault="006B1FB3" w:rsidP="00E43CCF">
            <w:pPr>
              <w:jc w:val="center"/>
              <w:rPr>
                <w:rFonts w:ascii="Calibri" w:hAnsi="Calibri"/>
                <w:sz w:val="18"/>
                <w:szCs w:val="18"/>
              </w:rPr>
            </w:pPr>
            <w:r w:rsidRPr="00E43CCF">
              <w:rPr>
                <w:rFonts w:ascii="Calibri" w:hAnsi="Calibri"/>
                <w:sz w:val="18"/>
                <w:szCs w:val="18"/>
              </w:rPr>
              <w:t>121</w:t>
            </w:r>
          </w:p>
        </w:tc>
        <w:tc>
          <w:tcPr>
            <w:tcW w:w="1571" w:type="dxa"/>
            <w:vAlign w:val="center"/>
          </w:tcPr>
          <w:p w14:paraId="4E805B10" w14:textId="77777777" w:rsidR="006B1FB3" w:rsidRPr="00E43CCF" w:rsidRDefault="006B1FB3" w:rsidP="00E43CCF">
            <w:pPr>
              <w:jc w:val="center"/>
              <w:rPr>
                <w:rFonts w:ascii="Calibri" w:hAnsi="Calibri"/>
                <w:sz w:val="18"/>
                <w:szCs w:val="18"/>
              </w:rPr>
            </w:pPr>
            <w:r w:rsidRPr="00E43CCF">
              <w:rPr>
                <w:rFonts w:ascii="Calibri" w:hAnsi="Calibri"/>
                <w:sz w:val="18"/>
                <w:szCs w:val="18"/>
              </w:rPr>
              <w:t>0.04</w:t>
            </w:r>
          </w:p>
        </w:tc>
        <w:tc>
          <w:tcPr>
            <w:tcW w:w="1407" w:type="dxa"/>
            <w:vAlign w:val="center"/>
          </w:tcPr>
          <w:p w14:paraId="51AA620A" w14:textId="6519744B" w:rsidR="006B1FB3" w:rsidRPr="00E43CCF" w:rsidRDefault="006B1FB3" w:rsidP="006B1FB3">
            <w:pPr>
              <w:jc w:val="center"/>
              <w:rPr>
                <w:rFonts w:ascii="Calibri" w:hAnsi="Calibri"/>
                <w:sz w:val="18"/>
                <w:szCs w:val="18"/>
              </w:rPr>
            </w:pPr>
            <w:r>
              <w:rPr>
                <w:rFonts w:ascii="Calibri" w:hAnsi="Calibri"/>
                <w:sz w:val="18"/>
                <w:szCs w:val="18"/>
              </w:rPr>
              <w:t>0.07</w:t>
            </w:r>
          </w:p>
        </w:tc>
      </w:tr>
      <w:tr w:rsidR="006B1FB3" w:rsidRPr="00E43CCF" w14:paraId="5C59D57E" w14:textId="107FF7BF" w:rsidTr="006B1FB3">
        <w:trPr>
          <w:trHeight w:val="439"/>
        </w:trPr>
        <w:tc>
          <w:tcPr>
            <w:tcW w:w="1661" w:type="dxa"/>
            <w:vAlign w:val="center"/>
          </w:tcPr>
          <w:p w14:paraId="01AC240E" w14:textId="0239AC22" w:rsidR="006B1FB3" w:rsidRPr="006B1FB3" w:rsidRDefault="006B1FB3" w:rsidP="00674237">
            <w:pPr>
              <w:rPr>
                <w:rFonts w:ascii="Calibri" w:hAnsi="Calibri"/>
                <w:b/>
                <w:sz w:val="18"/>
                <w:szCs w:val="18"/>
              </w:rPr>
            </w:pPr>
            <w:r w:rsidRPr="006B1FB3">
              <w:rPr>
                <w:rFonts w:ascii="Calibri" w:hAnsi="Calibri"/>
                <w:b/>
                <w:sz w:val="18"/>
                <w:szCs w:val="18"/>
              </w:rPr>
              <w:t>Woody biomass (Total)</w:t>
            </w:r>
          </w:p>
        </w:tc>
        <w:tc>
          <w:tcPr>
            <w:tcW w:w="1571" w:type="dxa"/>
            <w:vAlign w:val="center"/>
          </w:tcPr>
          <w:p w14:paraId="43EFDB3E" w14:textId="339C6086" w:rsidR="006B1FB3" w:rsidRPr="006B1FB3" w:rsidRDefault="006B1FB3" w:rsidP="00E43CCF">
            <w:pPr>
              <w:jc w:val="center"/>
              <w:rPr>
                <w:rFonts w:ascii="Calibri" w:hAnsi="Calibri"/>
                <w:b/>
                <w:sz w:val="18"/>
                <w:szCs w:val="18"/>
              </w:rPr>
            </w:pPr>
            <w:r w:rsidRPr="006B1FB3">
              <w:rPr>
                <w:rFonts w:ascii="Calibri" w:hAnsi="Calibri"/>
                <w:b/>
                <w:sz w:val="18"/>
                <w:szCs w:val="18"/>
              </w:rPr>
              <w:t>3,307</w:t>
            </w:r>
          </w:p>
        </w:tc>
        <w:tc>
          <w:tcPr>
            <w:tcW w:w="1570" w:type="dxa"/>
            <w:vAlign w:val="center"/>
          </w:tcPr>
          <w:p w14:paraId="63BAAF2B" w14:textId="6EA01DB0" w:rsidR="006B1FB3" w:rsidRPr="006B1FB3" w:rsidRDefault="006B1FB3" w:rsidP="00E43CCF">
            <w:pPr>
              <w:jc w:val="center"/>
              <w:rPr>
                <w:rFonts w:ascii="Calibri" w:hAnsi="Calibri"/>
                <w:b/>
                <w:sz w:val="18"/>
                <w:szCs w:val="18"/>
              </w:rPr>
            </w:pPr>
            <w:r w:rsidRPr="006B1FB3">
              <w:rPr>
                <w:rFonts w:ascii="Calibri" w:hAnsi="Calibri"/>
                <w:b/>
                <w:sz w:val="18"/>
                <w:szCs w:val="18"/>
              </w:rPr>
              <w:t>0.09</w:t>
            </w:r>
          </w:p>
        </w:tc>
        <w:tc>
          <w:tcPr>
            <w:tcW w:w="1570" w:type="dxa"/>
            <w:vAlign w:val="center"/>
          </w:tcPr>
          <w:p w14:paraId="0BDEE6B5" w14:textId="77777777" w:rsidR="006B1FB3" w:rsidRPr="006B1FB3" w:rsidRDefault="006B1FB3" w:rsidP="00E43CCF">
            <w:pPr>
              <w:jc w:val="center"/>
              <w:rPr>
                <w:rFonts w:ascii="Calibri" w:hAnsi="Calibri"/>
                <w:b/>
                <w:sz w:val="18"/>
                <w:szCs w:val="18"/>
              </w:rPr>
            </w:pPr>
            <w:r w:rsidRPr="006B1FB3">
              <w:rPr>
                <w:rFonts w:ascii="Calibri" w:hAnsi="Calibri"/>
                <w:b/>
                <w:sz w:val="18"/>
                <w:szCs w:val="18"/>
              </w:rPr>
              <w:t>302</w:t>
            </w:r>
          </w:p>
        </w:tc>
        <w:tc>
          <w:tcPr>
            <w:tcW w:w="1571" w:type="dxa"/>
            <w:vAlign w:val="center"/>
          </w:tcPr>
          <w:p w14:paraId="01455851" w14:textId="77777777" w:rsidR="006B1FB3" w:rsidRPr="006B1FB3" w:rsidRDefault="006B1FB3" w:rsidP="00E43CCF">
            <w:pPr>
              <w:jc w:val="center"/>
              <w:rPr>
                <w:rFonts w:ascii="Calibri" w:hAnsi="Calibri"/>
                <w:b/>
                <w:sz w:val="18"/>
                <w:szCs w:val="18"/>
              </w:rPr>
            </w:pPr>
            <w:r w:rsidRPr="006B1FB3">
              <w:rPr>
                <w:rFonts w:ascii="Calibri" w:hAnsi="Calibri"/>
                <w:b/>
                <w:sz w:val="18"/>
                <w:szCs w:val="18"/>
              </w:rPr>
              <w:t>0.09</w:t>
            </w:r>
          </w:p>
        </w:tc>
        <w:tc>
          <w:tcPr>
            <w:tcW w:w="1407" w:type="dxa"/>
            <w:vAlign w:val="center"/>
          </w:tcPr>
          <w:p w14:paraId="18501343" w14:textId="1C8F5889" w:rsidR="006B1FB3" w:rsidRPr="006B1FB3" w:rsidRDefault="006B1FB3" w:rsidP="006B1FB3">
            <w:pPr>
              <w:jc w:val="center"/>
              <w:rPr>
                <w:rFonts w:ascii="Calibri" w:hAnsi="Calibri"/>
                <w:b/>
                <w:sz w:val="18"/>
                <w:szCs w:val="18"/>
              </w:rPr>
            </w:pPr>
            <w:r w:rsidRPr="006B1FB3">
              <w:rPr>
                <w:rFonts w:ascii="Calibri" w:hAnsi="Calibri"/>
                <w:b/>
                <w:sz w:val="18"/>
                <w:szCs w:val="18"/>
              </w:rPr>
              <w:t>0.18</w:t>
            </w:r>
          </w:p>
        </w:tc>
      </w:tr>
    </w:tbl>
    <w:p w14:paraId="08BF7364" w14:textId="77777777" w:rsidR="00DE3296" w:rsidRDefault="00DE3296" w:rsidP="003E5F0F"/>
    <w:p w14:paraId="24A89F80" w14:textId="6557F442" w:rsidR="00F301B1" w:rsidRPr="00617821" w:rsidRDefault="00530995" w:rsidP="00250DD0">
      <w:pPr>
        <w:pStyle w:val="4-Heading"/>
      </w:pPr>
      <w:bookmarkStart w:id="197" w:name="_Ref5090343"/>
      <w:bookmarkStart w:id="198" w:name="_Ref5090351"/>
      <w:bookmarkStart w:id="199" w:name="_Ref5090357"/>
      <w:r w:rsidRPr="00627E59">
        <w:t xml:space="preserve">Federal </w:t>
      </w:r>
      <w:r w:rsidR="00C322FB" w:rsidRPr="00627E59">
        <w:t>cropland and grassland</w:t>
      </w:r>
      <w:bookmarkEnd w:id="197"/>
      <w:bookmarkEnd w:id="198"/>
      <w:bookmarkEnd w:id="199"/>
      <w:r w:rsidR="00C322FB" w:rsidRPr="00627E59">
        <w:t xml:space="preserve"> </w:t>
      </w:r>
    </w:p>
    <w:p w14:paraId="4F5D0979" w14:textId="14757F2D" w:rsidR="006E7324" w:rsidRDefault="004E7A7E" w:rsidP="006E7324">
      <w:r>
        <w:t>W</w:t>
      </w:r>
      <w:r w:rsidR="00530995">
        <w:t xml:space="preserve">hile most </w:t>
      </w:r>
      <w:r>
        <w:t xml:space="preserve">LULUCF </w:t>
      </w:r>
      <w:r w:rsidR="00D737B3">
        <w:t>GHG</w:t>
      </w:r>
      <w:r>
        <w:t xml:space="preserve"> </w:t>
      </w:r>
      <w:r w:rsidR="00530995">
        <w:t xml:space="preserve">fluxes are </w:t>
      </w:r>
      <w:r>
        <w:t xml:space="preserve">estimated </w:t>
      </w:r>
      <w:r w:rsidR="00530995">
        <w:t xml:space="preserve">for federal land, </w:t>
      </w:r>
      <w:r>
        <w:t>there are some exceptions</w:t>
      </w:r>
      <w:r w:rsidR="0049512E">
        <w:t>: s</w:t>
      </w:r>
      <w:r w:rsidR="00530995" w:rsidRPr="004E7A7E">
        <w:t>oil</w:t>
      </w:r>
      <w:r w:rsidR="00530995">
        <w:t xml:space="preserve"> C stock change in organic </w:t>
      </w:r>
      <w:r>
        <w:t xml:space="preserve">federal grassland </w:t>
      </w:r>
      <w:r w:rsidR="00530995">
        <w:t>soils, and indirect and direct N</w:t>
      </w:r>
      <w:r w:rsidR="00530995" w:rsidRPr="00627E59">
        <w:rPr>
          <w:vertAlign w:val="subscript"/>
        </w:rPr>
        <w:t>2</w:t>
      </w:r>
      <w:r w:rsidR="00530995">
        <w:t xml:space="preserve">O emissions </w:t>
      </w:r>
      <w:r>
        <w:t xml:space="preserve">from federal croplands </w:t>
      </w:r>
      <w:r w:rsidR="00530995">
        <w:t xml:space="preserve">and </w:t>
      </w:r>
      <w:r>
        <w:t>gras</w:t>
      </w:r>
      <w:r w:rsidR="00D737B3">
        <w:t xml:space="preserve">slands </w:t>
      </w:r>
      <w:r w:rsidR="00530995">
        <w:t xml:space="preserve">with the exception of </w:t>
      </w:r>
      <w:r>
        <w:t>pasture</w:t>
      </w:r>
      <w:r w:rsidR="002043D2">
        <w:t xml:space="preserve">, </w:t>
      </w:r>
      <w:r>
        <w:t>range</w:t>
      </w:r>
      <w:r w:rsidR="002043D2">
        <w:t xml:space="preserve">, and </w:t>
      </w:r>
      <w:r>
        <w:t>paddock</w:t>
      </w:r>
      <w:r w:rsidR="00D737B3">
        <w:t xml:space="preserve"> (PRP)</w:t>
      </w:r>
      <w:r>
        <w:t xml:space="preserve"> sources of N</w:t>
      </w:r>
      <w:r w:rsidRPr="00627E59">
        <w:rPr>
          <w:vertAlign w:val="subscript"/>
        </w:rPr>
        <w:t>2</w:t>
      </w:r>
      <w:r w:rsidR="00D737B3">
        <w:t>O</w:t>
      </w:r>
      <w:r w:rsidR="0049512E">
        <w:t xml:space="preserve">. </w:t>
      </w:r>
      <w:r w:rsidR="00530995">
        <w:t>This section estimates the</w:t>
      </w:r>
      <w:r w:rsidR="00870C57">
        <w:t xml:space="preserve"> N</w:t>
      </w:r>
      <w:r w:rsidR="00870C57" w:rsidRPr="00627E59">
        <w:rPr>
          <w:vertAlign w:val="subscript"/>
        </w:rPr>
        <w:t>2</w:t>
      </w:r>
      <w:r w:rsidR="00870C57">
        <w:t>O</w:t>
      </w:r>
      <w:r w:rsidR="00530995">
        <w:t xml:space="preserve"> omitted fluxes by using </w:t>
      </w:r>
      <w:r w:rsidR="006E7324">
        <w:t xml:space="preserve">2016 </w:t>
      </w:r>
      <w:r w:rsidR="00530995">
        <w:t xml:space="preserve">land representation </w:t>
      </w:r>
      <w:r w:rsidR="006E7324">
        <w:t xml:space="preserve">and </w:t>
      </w:r>
      <w:r w:rsidR="00530995">
        <w:t>flux</w:t>
      </w:r>
      <w:r w:rsidR="006E7324">
        <w:t xml:space="preserve"> estimates </w:t>
      </w:r>
      <w:r>
        <w:t xml:space="preserve">reported in </w:t>
      </w:r>
      <w:r w:rsidR="00530995">
        <w:t xml:space="preserve">the </w:t>
      </w:r>
      <w:r>
        <w:t>NGHGI</w:t>
      </w:r>
      <w:r w:rsidR="00D737B3">
        <w:t xml:space="preserve"> (2018)</w:t>
      </w:r>
      <w:r w:rsidR="00530995">
        <w:t xml:space="preserve">, to determine </w:t>
      </w:r>
      <w:r>
        <w:t>average</w:t>
      </w:r>
      <w:r w:rsidR="00870C57">
        <w:t xml:space="preserve"> N</w:t>
      </w:r>
      <w:r w:rsidR="00870C57" w:rsidRPr="00627E59">
        <w:rPr>
          <w:vertAlign w:val="subscript"/>
        </w:rPr>
        <w:t>2</w:t>
      </w:r>
      <w:r w:rsidR="00870C57">
        <w:t>O</w:t>
      </w:r>
      <w:r>
        <w:t xml:space="preserve"> </w:t>
      </w:r>
      <w:r w:rsidR="00530995">
        <w:t>emission factors for non-federal land.</w:t>
      </w:r>
      <w:r w:rsidR="006E7324">
        <w:t xml:space="preserve"> We are not able to estimate CO</w:t>
      </w:r>
      <w:r w:rsidR="006E7324" w:rsidRPr="00627E59">
        <w:rPr>
          <w:vertAlign w:val="subscript"/>
        </w:rPr>
        <w:t>2</w:t>
      </w:r>
      <w:r w:rsidR="006E7324">
        <w:t xml:space="preserve"> emissions from organic soils in federal grasslands because we do not have data on the area of organic cropland/grassland soils on federal land. </w:t>
      </w:r>
    </w:p>
    <w:p w14:paraId="288A9263" w14:textId="5691A2D2" w:rsidR="00530995" w:rsidRDefault="006E7324" w:rsidP="00530995">
      <w:r>
        <w:t>To calculate N</w:t>
      </w:r>
      <w:r w:rsidRPr="003B4036">
        <w:rPr>
          <w:vertAlign w:val="subscript"/>
        </w:rPr>
        <w:t>2</w:t>
      </w:r>
      <w:r>
        <w:t>O emissions,</w:t>
      </w:r>
      <w:r w:rsidR="00530995">
        <w:t xml:space="preserve"> </w:t>
      </w:r>
      <w:r>
        <w:t xml:space="preserve">we use equation </w:t>
      </w:r>
      <w:r w:rsidR="007D6D6E">
        <w:t>2</w:t>
      </w:r>
      <w:r>
        <w:t>-4:</w:t>
      </w:r>
    </w:p>
    <w:p w14:paraId="570E3E4D" w14:textId="2C203499" w:rsidR="00F301B1" w:rsidRPr="00250DD0" w:rsidRDefault="00F301B1" w:rsidP="00F301B1">
      <w:pPr>
        <w:pStyle w:val="Caption"/>
        <w:rPr>
          <w:b/>
          <w:sz w:val="22"/>
          <w:szCs w:val="22"/>
        </w:rPr>
      </w:pPr>
      <w:r w:rsidRPr="00250DD0">
        <w:rPr>
          <w:b/>
          <w:sz w:val="22"/>
          <w:szCs w:val="22"/>
        </w:rPr>
        <w:lastRenderedPageBreak/>
        <w:t xml:space="preserve">Equation </w:t>
      </w:r>
      <w:r w:rsidR="007D6D6E">
        <w:rPr>
          <w:b/>
          <w:sz w:val="22"/>
          <w:szCs w:val="22"/>
        </w:rPr>
        <w:t>2</w:t>
      </w:r>
      <w:r w:rsidR="00684A1C">
        <w:rPr>
          <w:b/>
          <w:sz w:val="22"/>
          <w:szCs w:val="22"/>
        </w:rPr>
        <w:t>-</w:t>
      </w:r>
      <w:r w:rsidR="001B5A68">
        <w:rPr>
          <w:b/>
          <w:sz w:val="22"/>
          <w:szCs w:val="22"/>
        </w:rPr>
        <w:t>4</w:t>
      </w:r>
      <w:r w:rsidR="001C28FA" w:rsidRPr="00250DD0">
        <w:rPr>
          <w:b/>
          <w:sz w:val="22"/>
          <w:szCs w:val="22"/>
        </w:rPr>
        <w:t>: Emissions from federal croplands and grasslands</w:t>
      </w:r>
    </w:p>
    <w:p w14:paraId="671E995C" w14:textId="7CF46055" w:rsidR="00530995" w:rsidRPr="0094138B" w:rsidRDefault="00876770" w:rsidP="00530995">
      <w:pPr>
        <w:rPr>
          <w:rFonts w:eastAsiaTheme="minorEastAsia"/>
        </w:rPr>
      </w:pPr>
      <m:oMathPara>
        <m:oMath>
          <m:sSub>
            <m:sSubPr>
              <m:ctrlPr>
                <w:rPr>
                  <w:rFonts w:ascii="Cambria Math" w:hAnsi="Cambria Math"/>
                  <w:i/>
                </w:rPr>
              </m:ctrlPr>
            </m:sSubPr>
            <m:e>
              <m:r>
                <w:rPr>
                  <w:rFonts w:ascii="Cambria Math" w:hAnsi="Cambria Math"/>
                </w:rPr>
                <m:t>E</m:t>
              </m:r>
            </m:e>
            <m:sub>
              <m:r>
                <w:rPr>
                  <w:rFonts w:ascii="Cambria Math" w:hAnsi="Cambria Math"/>
                </w:rPr>
                <m:t>Fij</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Lij</m:t>
                  </m:r>
                </m:sub>
              </m:sSub>
            </m:num>
            <m:den>
              <m:sSub>
                <m:sSubPr>
                  <m:ctrlPr>
                    <w:rPr>
                      <w:rFonts w:ascii="Cambria Math" w:hAnsi="Cambria Math"/>
                      <w:i/>
                    </w:rPr>
                  </m:ctrlPr>
                </m:sSubPr>
                <m:e>
                  <m:r>
                    <w:rPr>
                      <w:rFonts w:ascii="Cambria Math" w:hAnsi="Cambria Math"/>
                    </w:rPr>
                    <m:t>A</m:t>
                  </m:r>
                </m:e>
                <m:sub>
                  <m:r>
                    <w:rPr>
                      <w:rFonts w:ascii="Cambria Math" w:hAnsi="Cambria Math"/>
                    </w:rPr>
                    <m:t>Li</m:t>
                  </m:r>
                </m:sub>
              </m:sSub>
            </m:den>
          </m:f>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Fi</m:t>
              </m:r>
            </m:sub>
          </m:sSub>
        </m:oMath>
      </m:oMathPara>
    </w:p>
    <w:p w14:paraId="1BEE3D82" w14:textId="77777777" w:rsidR="00530995" w:rsidRDefault="00530995" w:rsidP="00530995">
      <w:pPr>
        <w:rPr>
          <w:rFonts w:eastAsiaTheme="minorEastAsia"/>
        </w:rPr>
      </w:pPr>
      <w:r>
        <w:rPr>
          <w:rFonts w:eastAsiaTheme="minorEastAsia"/>
        </w:rPr>
        <w:t>Where:</w:t>
      </w:r>
    </w:p>
    <w:p w14:paraId="1DBA6AF6" w14:textId="246CCD86" w:rsidR="00530995" w:rsidRPr="0094138B" w:rsidRDefault="00876770" w:rsidP="00695C4D">
      <w:pPr>
        <w:ind w:left="900" w:hanging="540"/>
      </w:pPr>
      <m:oMath>
        <m:sSub>
          <m:sSubPr>
            <m:ctrlPr>
              <w:rPr>
                <w:rFonts w:ascii="Cambria Math" w:hAnsi="Cambria Math"/>
                <w:i/>
              </w:rPr>
            </m:ctrlPr>
          </m:sSubPr>
          <m:e>
            <m:r>
              <w:rPr>
                <w:rFonts w:ascii="Cambria Math" w:hAnsi="Cambria Math"/>
              </w:rPr>
              <m:t>E</m:t>
            </m:r>
          </m:e>
          <m:sub>
            <m:r>
              <w:rPr>
                <w:rFonts w:ascii="Cambria Math" w:hAnsi="Cambria Math"/>
              </w:rPr>
              <m:t>Fij</m:t>
            </m:r>
          </m:sub>
        </m:sSub>
      </m:oMath>
      <w:r w:rsidR="00530995" w:rsidRPr="00F301B1">
        <w:rPr>
          <w:rFonts w:eastAsiaTheme="minorEastAsia"/>
        </w:rPr>
        <w:t xml:space="preserve"> = </w:t>
      </w:r>
      <w:r w:rsidR="00695C4D">
        <w:rPr>
          <w:rFonts w:eastAsiaTheme="minorEastAsia"/>
        </w:rPr>
        <w:t>Total omitted federal land N</w:t>
      </w:r>
      <w:r w:rsidR="00695C4D" w:rsidRPr="003B4036">
        <w:rPr>
          <w:rFonts w:eastAsiaTheme="minorEastAsia"/>
          <w:vertAlign w:val="subscript"/>
        </w:rPr>
        <w:t>2</w:t>
      </w:r>
      <w:r w:rsidR="00695C4D">
        <w:rPr>
          <w:rFonts w:eastAsiaTheme="minorEastAsia"/>
        </w:rPr>
        <w:t>O</w:t>
      </w:r>
      <w:r w:rsidR="00530995" w:rsidRPr="00F301B1">
        <w:rPr>
          <w:rFonts w:eastAsiaTheme="minorEastAsia"/>
        </w:rPr>
        <w:t xml:space="preserve"> </w:t>
      </w:r>
      <w:r w:rsidR="00695C4D">
        <w:rPr>
          <w:rFonts w:eastAsiaTheme="minorEastAsia"/>
        </w:rPr>
        <w:t xml:space="preserve">omissions, for </w:t>
      </w:r>
      <w:r w:rsidR="00695C4D" w:rsidRPr="003B4036">
        <w:rPr>
          <w:rFonts w:eastAsiaTheme="minorEastAsia"/>
          <w:i/>
        </w:rPr>
        <w:t xml:space="preserve">i = </w:t>
      </w:r>
      <w:r w:rsidR="00695C4D">
        <w:rPr>
          <w:rFonts w:eastAsiaTheme="minorEastAsia"/>
          <w:i/>
        </w:rPr>
        <w:t>cropland, grassland</w:t>
      </w:r>
      <w:r w:rsidR="00695C4D" w:rsidRPr="003B4036">
        <w:rPr>
          <w:rFonts w:eastAsiaTheme="minorEastAsia"/>
        </w:rPr>
        <w:t>;</w:t>
      </w:r>
      <w:r w:rsidR="00695C4D">
        <w:rPr>
          <w:rFonts w:eastAsiaTheme="minorEastAsia"/>
          <w:i/>
        </w:rPr>
        <w:t xml:space="preserve"> j = direct,</w:t>
      </w:r>
      <w:r w:rsidR="00695C4D" w:rsidRPr="003B4036">
        <w:rPr>
          <w:rFonts w:eastAsiaTheme="minorEastAsia"/>
          <w:i/>
        </w:rPr>
        <w:t xml:space="preserve"> </w:t>
      </w:r>
      <w:r w:rsidR="00695C4D">
        <w:rPr>
          <w:rFonts w:eastAsiaTheme="minorEastAsia"/>
          <w:i/>
        </w:rPr>
        <w:t>indirect</w:t>
      </w:r>
    </w:p>
    <w:p w14:paraId="13A624D4" w14:textId="796F8020" w:rsidR="00530995" w:rsidRPr="0094138B" w:rsidRDefault="00876770" w:rsidP="00F301B1">
      <w:pPr>
        <w:ind w:left="360"/>
      </w:pPr>
      <m:oMath>
        <m:sSub>
          <m:sSubPr>
            <m:ctrlPr>
              <w:rPr>
                <w:rFonts w:ascii="Cambria Math" w:hAnsi="Cambria Math"/>
                <w:i/>
              </w:rPr>
            </m:ctrlPr>
          </m:sSubPr>
          <m:e>
            <m:r>
              <w:rPr>
                <w:rFonts w:ascii="Cambria Math" w:hAnsi="Cambria Math"/>
              </w:rPr>
              <m:t>E</m:t>
            </m:r>
          </m:e>
          <m:sub>
            <m:r>
              <w:rPr>
                <w:rFonts w:ascii="Cambria Math" w:hAnsi="Cambria Math"/>
              </w:rPr>
              <m:t>Lij</m:t>
            </m:r>
          </m:sub>
        </m:sSub>
      </m:oMath>
      <w:r w:rsidR="00530995" w:rsidRPr="00F301B1">
        <w:rPr>
          <w:rFonts w:eastAsiaTheme="minorEastAsia"/>
        </w:rPr>
        <w:t xml:space="preserve"> = </w:t>
      </w:r>
      <w:r w:rsidR="00695C4D">
        <w:rPr>
          <w:rFonts w:eastAsiaTheme="minorEastAsia"/>
        </w:rPr>
        <w:t xml:space="preserve">Total </w:t>
      </w:r>
      <w:r w:rsidR="00530995" w:rsidRPr="00F301B1">
        <w:rPr>
          <w:rFonts w:eastAsiaTheme="minorEastAsia"/>
        </w:rPr>
        <w:t xml:space="preserve">non-federal </w:t>
      </w:r>
      <w:r w:rsidR="00695C4D">
        <w:rPr>
          <w:rFonts w:eastAsiaTheme="minorEastAsia"/>
        </w:rPr>
        <w:t>N</w:t>
      </w:r>
      <w:r w:rsidR="00695C4D" w:rsidRPr="003B4036">
        <w:rPr>
          <w:rFonts w:eastAsiaTheme="minorEastAsia"/>
          <w:vertAlign w:val="subscript"/>
        </w:rPr>
        <w:t>2</w:t>
      </w:r>
      <w:r w:rsidR="00695C4D">
        <w:rPr>
          <w:rFonts w:eastAsiaTheme="minorEastAsia"/>
        </w:rPr>
        <w:t xml:space="preserve">O emissions for </w:t>
      </w:r>
      <w:r w:rsidR="00695C4D" w:rsidRPr="003B4036">
        <w:rPr>
          <w:rFonts w:eastAsiaTheme="minorEastAsia"/>
          <w:i/>
        </w:rPr>
        <w:t>i</w:t>
      </w:r>
      <w:r w:rsidR="00695C4D">
        <w:rPr>
          <w:rFonts w:eastAsiaTheme="minorEastAsia"/>
          <w:i/>
        </w:rPr>
        <w:t>j</w:t>
      </w:r>
      <w:r w:rsidR="00695C4D">
        <w:rPr>
          <w:rFonts w:eastAsiaTheme="minorEastAsia"/>
        </w:rPr>
        <w:t xml:space="preserve">, reported in </w:t>
      </w:r>
      <w:r w:rsidR="00530995" w:rsidRPr="00F301B1">
        <w:rPr>
          <w:rFonts w:eastAsiaTheme="minorEastAsia"/>
        </w:rPr>
        <w:t>NGHGI</w:t>
      </w:r>
      <w:r w:rsidR="00695C4D">
        <w:rPr>
          <w:rFonts w:eastAsiaTheme="minorEastAsia"/>
        </w:rPr>
        <w:t xml:space="preserve"> (2018)</w:t>
      </w:r>
    </w:p>
    <w:p w14:paraId="67DF9B1A" w14:textId="4735EEF0" w:rsidR="00530995" w:rsidRPr="0094138B" w:rsidRDefault="00876770" w:rsidP="00F301B1">
      <w:pPr>
        <w:ind w:left="360"/>
      </w:pPr>
      <m:oMath>
        <m:sSub>
          <m:sSubPr>
            <m:ctrlPr>
              <w:rPr>
                <w:rFonts w:ascii="Cambria Math" w:hAnsi="Cambria Math"/>
                <w:i/>
              </w:rPr>
            </m:ctrlPr>
          </m:sSubPr>
          <m:e>
            <m:r>
              <w:rPr>
                <w:rFonts w:ascii="Cambria Math" w:hAnsi="Cambria Math"/>
              </w:rPr>
              <m:t>A</m:t>
            </m:r>
          </m:e>
          <m:sub>
            <m:r>
              <w:rPr>
                <w:rFonts w:ascii="Cambria Math" w:hAnsi="Cambria Math"/>
              </w:rPr>
              <m:t>Li</m:t>
            </m:r>
          </m:sub>
        </m:sSub>
      </m:oMath>
      <w:r w:rsidR="00530995" w:rsidRPr="00F301B1">
        <w:rPr>
          <w:rFonts w:eastAsiaTheme="minorEastAsia"/>
        </w:rPr>
        <w:t xml:space="preserve"> = Area of non-federal land type</w:t>
      </w:r>
      <w:r w:rsidR="00695C4D">
        <w:rPr>
          <w:rFonts w:eastAsiaTheme="minorEastAsia"/>
        </w:rPr>
        <w:t xml:space="preserve"> </w:t>
      </w:r>
      <w:r w:rsidR="00695C4D">
        <w:rPr>
          <w:rFonts w:eastAsiaTheme="minorEastAsia"/>
          <w:i/>
        </w:rPr>
        <w:t xml:space="preserve">i, </w:t>
      </w:r>
      <w:r w:rsidR="00695C4D">
        <w:rPr>
          <w:rFonts w:eastAsiaTheme="minorEastAsia"/>
        </w:rPr>
        <w:t xml:space="preserve">reported in </w:t>
      </w:r>
      <w:r w:rsidR="00695C4D" w:rsidRPr="00F301B1">
        <w:rPr>
          <w:rFonts w:eastAsiaTheme="minorEastAsia"/>
        </w:rPr>
        <w:t>NGHGI</w:t>
      </w:r>
      <w:r w:rsidR="00695C4D">
        <w:rPr>
          <w:rFonts w:eastAsiaTheme="minorEastAsia"/>
        </w:rPr>
        <w:t xml:space="preserve"> (2018)</w:t>
      </w:r>
    </w:p>
    <w:p w14:paraId="084E163B" w14:textId="459344C9" w:rsidR="00530995" w:rsidRPr="00695C4D" w:rsidRDefault="00876770" w:rsidP="00F301B1">
      <w:pPr>
        <w:ind w:left="360"/>
      </w:pPr>
      <m:oMath>
        <m:sSub>
          <m:sSubPr>
            <m:ctrlPr>
              <w:rPr>
                <w:rFonts w:ascii="Cambria Math" w:hAnsi="Cambria Math"/>
                <w:i/>
              </w:rPr>
            </m:ctrlPr>
          </m:sSubPr>
          <m:e>
            <m:r>
              <w:rPr>
                <w:rFonts w:ascii="Cambria Math" w:hAnsi="Cambria Math"/>
              </w:rPr>
              <m:t>A</m:t>
            </m:r>
          </m:e>
          <m:sub>
            <m:r>
              <w:rPr>
                <w:rFonts w:ascii="Cambria Math" w:hAnsi="Cambria Math"/>
              </w:rPr>
              <m:t>Fi</m:t>
            </m:r>
          </m:sub>
        </m:sSub>
      </m:oMath>
      <w:r w:rsidR="00530995" w:rsidRPr="00F301B1">
        <w:rPr>
          <w:rFonts w:eastAsiaTheme="minorEastAsia"/>
        </w:rPr>
        <w:t xml:space="preserve"> = Area of federal land type</w:t>
      </w:r>
      <w:r w:rsidR="00695C4D">
        <w:rPr>
          <w:rFonts w:eastAsiaTheme="minorEastAsia"/>
        </w:rPr>
        <w:t xml:space="preserve"> </w:t>
      </w:r>
      <w:r w:rsidR="00695C4D" w:rsidRPr="003B4036">
        <w:rPr>
          <w:rFonts w:eastAsiaTheme="minorEastAsia"/>
          <w:i/>
        </w:rPr>
        <w:t>i</w:t>
      </w:r>
      <w:r w:rsidR="00695C4D">
        <w:rPr>
          <w:rFonts w:eastAsiaTheme="minorEastAsia"/>
        </w:rPr>
        <w:t xml:space="preserve">, reported in </w:t>
      </w:r>
      <w:r w:rsidR="00695C4D" w:rsidRPr="00F301B1">
        <w:rPr>
          <w:rFonts w:eastAsiaTheme="minorEastAsia"/>
        </w:rPr>
        <w:t>NGHGI</w:t>
      </w:r>
      <w:r w:rsidR="00695C4D">
        <w:rPr>
          <w:rFonts w:eastAsiaTheme="minorEastAsia"/>
        </w:rPr>
        <w:t xml:space="preserve"> (2018)</w:t>
      </w:r>
    </w:p>
    <w:p w14:paraId="36B78A7C" w14:textId="4197FE61" w:rsidR="00530995" w:rsidRDefault="004E7A7E" w:rsidP="00530995">
      <w:r>
        <w:t>We acknowledge that</w:t>
      </w:r>
      <w:r w:rsidR="00530995">
        <w:t xml:space="preserve"> federal and non-federal lands are</w:t>
      </w:r>
      <w:r w:rsidR="00695C4D">
        <w:t xml:space="preserve"> likely to be</w:t>
      </w:r>
      <w:r w:rsidR="00530995">
        <w:t xml:space="preserve"> managed differently and would therefore have different emissions factors</w:t>
      </w:r>
      <w:r w:rsidR="002043D2">
        <w:t>.</w:t>
      </w:r>
      <w:r w:rsidR="00530995">
        <w:t xml:space="preserve"> </w:t>
      </w:r>
    </w:p>
    <w:p w14:paraId="0AA0C086" w14:textId="304EEFA2" w:rsidR="00530995" w:rsidRDefault="00530995" w:rsidP="00530995">
      <w:r>
        <w:t>To estimate N</w:t>
      </w:r>
      <w:r w:rsidRPr="00627E59">
        <w:rPr>
          <w:vertAlign w:val="subscript"/>
        </w:rPr>
        <w:t>2</w:t>
      </w:r>
      <w:r>
        <w:t xml:space="preserve">O emissions from federal cropland, the </w:t>
      </w:r>
      <w:r w:rsidR="00F416F1">
        <w:t xml:space="preserve">total </w:t>
      </w:r>
      <w:r>
        <w:t>N</w:t>
      </w:r>
      <w:r w:rsidRPr="00627E59">
        <w:rPr>
          <w:vertAlign w:val="subscript"/>
        </w:rPr>
        <w:t>2</w:t>
      </w:r>
      <w:r>
        <w:t>O emissions from non-federal cropland (direct and indirect)</w:t>
      </w:r>
      <w:r w:rsidR="00F416F1">
        <w:t xml:space="preserve"> was divided by total non-federal cropland area (including all</w:t>
      </w:r>
      <w:r w:rsidR="00D737B3">
        <w:t xml:space="preserve"> </w:t>
      </w:r>
      <w:r w:rsidR="00D737B3" w:rsidRPr="00D737B3">
        <w:rPr>
          <w:i/>
        </w:rPr>
        <w:t>Land converted to Cropland</w:t>
      </w:r>
      <w:r w:rsidR="00F416F1">
        <w:t xml:space="preserve">) and multiplied by the total federal cropland area (including all </w:t>
      </w:r>
      <w:r w:rsidR="00D737B3" w:rsidRPr="00D737B3">
        <w:rPr>
          <w:i/>
        </w:rPr>
        <w:t>Land converted to Cropland</w:t>
      </w:r>
      <w:r w:rsidR="00F416F1">
        <w:t>)</w:t>
      </w:r>
      <w:r>
        <w:t xml:space="preserve">. </w:t>
      </w:r>
    </w:p>
    <w:p w14:paraId="54068468" w14:textId="43E3805F" w:rsidR="00530995" w:rsidRDefault="00530995" w:rsidP="00530995">
      <w:r>
        <w:t xml:space="preserve">To estimate </w:t>
      </w:r>
      <w:r w:rsidR="00F416F1">
        <w:t xml:space="preserve">omitted </w:t>
      </w:r>
      <w:r>
        <w:t xml:space="preserve">direct and </w:t>
      </w:r>
      <w:r w:rsidR="00F416F1">
        <w:t>in</w:t>
      </w:r>
      <w:r>
        <w:t>direct N</w:t>
      </w:r>
      <w:r w:rsidRPr="00627E59">
        <w:rPr>
          <w:vertAlign w:val="subscript"/>
        </w:rPr>
        <w:t>2</w:t>
      </w:r>
      <w:r w:rsidR="00D737B3">
        <w:t>O on</w:t>
      </w:r>
      <w:r>
        <w:t xml:space="preserve"> federal grasslands, direct and PRP N</w:t>
      </w:r>
      <w:r w:rsidRPr="00627E59">
        <w:rPr>
          <w:vertAlign w:val="subscript"/>
        </w:rPr>
        <w:t>2</w:t>
      </w:r>
      <w:r>
        <w:t xml:space="preserve">O emissions </w:t>
      </w:r>
      <w:r w:rsidR="00F416F1">
        <w:t xml:space="preserve">and all indirect </w:t>
      </w:r>
      <w:r w:rsidR="00C70755">
        <w:t>N</w:t>
      </w:r>
      <w:r w:rsidR="00C70755" w:rsidRPr="00627E59">
        <w:rPr>
          <w:vertAlign w:val="subscript"/>
        </w:rPr>
        <w:t>2</w:t>
      </w:r>
      <w:r w:rsidR="00C70755">
        <w:t xml:space="preserve">O </w:t>
      </w:r>
      <w:r w:rsidR="00F416F1">
        <w:t xml:space="preserve">emissions from non-federal grasslands </w:t>
      </w:r>
      <w:r>
        <w:t xml:space="preserve">were subtracted from the </w:t>
      </w:r>
      <w:r w:rsidR="00F416F1">
        <w:t xml:space="preserve">total </w:t>
      </w:r>
      <w:r>
        <w:t xml:space="preserve">direct and </w:t>
      </w:r>
      <w:r w:rsidR="00F416F1">
        <w:t>in</w:t>
      </w:r>
      <w:r>
        <w:t>direct N</w:t>
      </w:r>
      <w:r w:rsidRPr="00627E59">
        <w:rPr>
          <w:vertAlign w:val="subscript"/>
        </w:rPr>
        <w:t>2</w:t>
      </w:r>
      <w:r>
        <w:t>O emissions on non-federal grasslands</w:t>
      </w:r>
      <w:r w:rsidR="00F416F1">
        <w:t>, since direct and indirect PRP N</w:t>
      </w:r>
      <w:r w:rsidR="00F416F1" w:rsidRPr="00627E59">
        <w:rPr>
          <w:vertAlign w:val="subscript"/>
        </w:rPr>
        <w:t>2</w:t>
      </w:r>
      <w:r w:rsidR="00F416F1">
        <w:t>O is not omitted from federal land</w:t>
      </w:r>
      <w:r>
        <w:t>.</w:t>
      </w:r>
      <w:r w:rsidR="00F416F1">
        <w:t xml:space="preserve"> Because indirect N</w:t>
      </w:r>
      <w:r w:rsidR="00F416F1" w:rsidRPr="00627E59">
        <w:rPr>
          <w:vertAlign w:val="subscript"/>
        </w:rPr>
        <w:t>2</w:t>
      </w:r>
      <w:r w:rsidR="00F416F1">
        <w:t>O emissions are not reported by original source, we conservatively attributed all grassland indirect N</w:t>
      </w:r>
      <w:r w:rsidR="00F416F1" w:rsidRPr="00627E59">
        <w:rPr>
          <w:vertAlign w:val="subscript"/>
        </w:rPr>
        <w:t>2</w:t>
      </w:r>
      <w:r w:rsidR="00F416F1">
        <w:t>O emissions to PRP manure.</w:t>
      </w:r>
      <w:r>
        <w:t xml:space="preserve"> </w:t>
      </w:r>
      <w:r w:rsidR="00F416F1">
        <w:t xml:space="preserve">This net emissions total was divided by total </w:t>
      </w:r>
      <w:r>
        <w:t xml:space="preserve">non-federal grassland </w:t>
      </w:r>
      <w:r w:rsidR="00F416F1">
        <w:t xml:space="preserve">(including all </w:t>
      </w:r>
      <w:r w:rsidR="00D737B3" w:rsidRPr="00D737B3">
        <w:rPr>
          <w:i/>
        </w:rPr>
        <w:t>Land converted to Grassland</w:t>
      </w:r>
      <w:r w:rsidR="00F416F1">
        <w:t xml:space="preserve">) and </w:t>
      </w:r>
      <w:r>
        <w:t xml:space="preserve">multiplied </w:t>
      </w:r>
      <w:r w:rsidR="00F416F1">
        <w:t xml:space="preserve">by </w:t>
      </w:r>
      <w:r>
        <w:t>the area of federal grassland</w:t>
      </w:r>
      <w:r w:rsidR="00F416F1">
        <w:t xml:space="preserve"> (including all </w:t>
      </w:r>
      <w:r w:rsidR="00D737B3" w:rsidRPr="00D737B3">
        <w:rPr>
          <w:i/>
        </w:rPr>
        <w:t>Land converted to Grassland</w:t>
      </w:r>
      <w:r w:rsidR="00F416F1">
        <w:t>)</w:t>
      </w:r>
      <w:r>
        <w:t xml:space="preserve">. </w:t>
      </w:r>
      <w:r w:rsidR="00F416F1">
        <w:t xml:space="preserve">Note </w:t>
      </w:r>
      <w:r>
        <w:t>it was not necessary to subtract out PRP N</w:t>
      </w:r>
      <w:r w:rsidRPr="00627E59">
        <w:rPr>
          <w:vertAlign w:val="subscript"/>
        </w:rPr>
        <w:t>2</w:t>
      </w:r>
      <w:r>
        <w:t xml:space="preserve">O emissions from cropland because there </w:t>
      </w:r>
      <w:r w:rsidR="00D737B3">
        <w:t xml:space="preserve">is little grazing of </w:t>
      </w:r>
      <w:r>
        <w:t>cattle or other animals on cropland.</w:t>
      </w:r>
      <w:r w:rsidR="00A76A00">
        <w:t xml:space="preserve"> These calculations can be found in the Spreadsheet Appendix.</w:t>
      </w:r>
    </w:p>
    <w:p w14:paraId="2B3953C5" w14:textId="6A61DB17" w:rsidR="00530995" w:rsidRDefault="00530995" w:rsidP="00530995">
      <w:r>
        <w:t xml:space="preserve">In sum, the NGHGI omits </w:t>
      </w:r>
      <w:r w:rsidR="00F416F1">
        <w:t>21.</w:t>
      </w:r>
      <w:r w:rsidR="002043D2">
        <w:t xml:space="preserve">8 </w:t>
      </w:r>
      <w:r>
        <w:t>MMT CO</w:t>
      </w:r>
      <w:r w:rsidRPr="00627E59">
        <w:rPr>
          <w:vertAlign w:val="subscript"/>
        </w:rPr>
        <w:t>2</w:t>
      </w:r>
      <w:r>
        <w:t>e from federal lands,</w:t>
      </w:r>
      <w:r w:rsidR="00F416F1">
        <w:t xml:space="preserve"> nearly 10% of the total </w:t>
      </w:r>
      <w:r w:rsidR="002043D2">
        <w:t xml:space="preserve">2016 </w:t>
      </w:r>
      <w:r w:rsidR="00F416F1">
        <w:t>N</w:t>
      </w:r>
      <w:r w:rsidR="00F416F1" w:rsidRPr="00627E59">
        <w:rPr>
          <w:vertAlign w:val="subscript"/>
        </w:rPr>
        <w:t>2</w:t>
      </w:r>
      <w:r w:rsidR="00F416F1">
        <w:t xml:space="preserve">O </w:t>
      </w:r>
      <w:r w:rsidR="002043D2">
        <w:t xml:space="preserve">emissions </w:t>
      </w:r>
      <w:r w:rsidR="00F416F1">
        <w:t xml:space="preserve">from U.S. croplands and grasslands </w:t>
      </w:r>
      <w:r w:rsidR="00D737B3">
        <w:t>(NGHGI, 2018)</w:t>
      </w:r>
      <w:r w:rsidR="00F416F1">
        <w:t>.</w:t>
      </w:r>
    </w:p>
    <w:p w14:paraId="131B3B46" w14:textId="2D66A3D5" w:rsidR="00C14C6F" w:rsidRPr="00210381" w:rsidRDefault="003A138E" w:rsidP="0082647F">
      <w:r>
        <w:t>A</w:t>
      </w:r>
      <w:r w:rsidR="00870C57">
        <w:t>dditional uncertaint</w:t>
      </w:r>
      <w:r w:rsidR="00703699">
        <w:t>y</w:t>
      </w:r>
      <w:r w:rsidR="00870C57">
        <w:t xml:space="preserve"> on federal lands include</w:t>
      </w:r>
      <w:r w:rsidR="000F05B4">
        <w:t>s</w:t>
      </w:r>
      <w:r w:rsidR="00870C57">
        <w:t xml:space="preserve"> lack of specificity of crop type and input intensity,</w:t>
      </w:r>
      <w:r w:rsidR="00F416F1">
        <w:t xml:space="preserve"> which we did not attempt to quantify here.</w:t>
      </w:r>
      <w:r w:rsidR="00210381">
        <w:t xml:space="preserve"> </w:t>
      </w:r>
    </w:p>
    <w:p w14:paraId="46F27C3D" w14:textId="7F71E006" w:rsidR="00210381" w:rsidRDefault="00E27DC9" w:rsidP="00250DD0">
      <w:pPr>
        <w:pStyle w:val="4-Heading"/>
      </w:pPr>
      <w:r>
        <w:t xml:space="preserve">Soil microbial methane </w:t>
      </w:r>
      <w:r w:rsidR="00EE0799">
        <w:t>sink</w:t>
      </w:r>
    </w:p>
    <w:p w14:paraId="033AFF61" w14:textId="7C2F75B2" w:rsidR="004D785B" w:rsidRDefault="00E27DC9" w:rsidP="004D785B">
      <w:r>
        <w:t xml:space="preserve">The </w:t>
      </w:r>
      <w:r w:rsidR="004D785B">
        <w:t>NGHGI account</w:t>
      </w:r>
      <w:r>
        <w:t xml:space="preserve">s for </w:t>
      </w:r>
      <w:r w:rsidR="00CB3B79">
        <w:t>CH</w:t>
      </w:r>
      <w:r w:rsidR="00CB3B79" w:rsidRPr="003B4036">
        <w:rPr>
          <w:vertAlign w:val="subscript"/>
        </w:rPr>
        <w:t>4</w:t>
      </w:r>
      <w:r w:rsidR="00CB3B79">
        <w:t xml:space="preserve"> </w:t>
      </w:r>
      <w:r w:rsidR="00695C4D">
        <w:t xml:space="preserve">emissions </w:t>
      </w:r>
      <w:r w:rsidR="004D785B">
        <w:t>associated with rice production</w:t>
      </w:r>
      <w:r>
        <w:t xml:space="preserve">, </w:t>
      </w:r>
      <w:r w:rsidR="004D785B">
        <w:t>fires</w:t>
      </w:r>
      <w:r>
        <w:t>, wetlands, and drained organic soils.</w:t>
      </w:r>
      <w:r w:rsidR="004D785B">
        <w:t xml:space="preserve"> </w:t>
      </w:r>
      <w:r w:rsidR="00695C4D">
        <w:t xml:space="preserve">However, mineral </w:t>
      </w:r>
      <w:r w:rsidR="004D785B">
        <w:t>soils</w:t>
      </w:r>
      <w:r w:rsidR="008E4F0D">
        <w:t xml:space="preserve"> are </w:t>
      </w:r>
      <w:r w:rsidR="004D785B">
        <w:t xml:space="preserve">also responsible for a significant methane sink </w:t>
      </w:r>
      <w:r w:rsidR="008E4F0D">
        <w:t xml:space="preserve">– driven by methanogens – that </w:t>
      </w:r>
      <w:r w:rsidR="004D785B">
        <w:t xml:space="preserve">is not currently considered in </w:t>
      </w:r>
      <w:r>
        <w:t>the NGHGI</w:t>
      </w:r>
      <w:r w:rsidR="00695C4D">
        <w:t>, nor by IPCC (2006) guidance</w:t>
      </w:r>
      <w:r>
        <w:t xml:space="preserve">. </w:t>
      </w:r>
      <w:r w:rsidR="00C87EFB">
        <w:t xml:space="preserve">It is not clear how much of </w:t>
      </w:r>
      <w:r w:rsidR="00D737B3">
        <w:t>the</w:t>
      </w:r>
      <w:r w:rsidR="00C87EFB">
        <w:t xml:space="preserve"> microbial methane sink can be attributed to anthropogenic management. Furthermore, the soil methane sink is directly tied to the atmospheric lifetime of methane, and is likely already considered to some extent in the calculation of methane global warming potential (GWP). </w:t>
      </w:r>
      <w:r w:rsidR="0073769E">
        <w:t>However</w:t>
      </w:r>
      <w:r w:rsidR="00C87EFB">
        <w:t xml:space="preserve">, for purposes of NGHGI accounting, it is useful to have an understanding of all sources and sinks and therefore data to estimate this sink at the national level has value. If countries decide to estimate the soil methane sink via GHG inventories, there will need to be a process to decide to account for its contribution to methane GWP as well as </w:t>
      </w:r>
      <w:r w:rsidR="00CB5554">
        <w:t>any methane mitigation efforts.</w:t>
      </w:r>
    </w:p>
    <w:p w14:paraId="264F5D93" w14:textId="7579F257" w:rsidR="009E48A9" w:rsidRDefault="004D785B" w:rsidP="004D785B">
      <w:r>
        <w:lastRenderedPageBreak/>
        <w:t xml:space="preserve">To calculate </w:t>
      </w:r>
      <w:r w:rsidR="002043D2">
        <w:t xml:space="preserve">the </w:t>
      </w:r>
      <w:r>
        <w:t xml:space="preserve">omitted </w:t>
      </w:r>
      <w:r w:rsidR="00D737B3">
        <w:t>GHG flux</w:t>
      </w:r>
      <w:r>
        <w:t xml:space="preserve">, we </w:t>
      </w:r>
      <w:r w:rsidR="00C87EFB">
        <w:t xml:space="preserve">multiply </w:t>
      </w:r>
      <w:r>
        <w:t>the total area of cropland, grassland and forest</w:t>
      </w:r>
      <w:r w:rsidR="00C87EFB">
        <w:t xml:space="preserve"> mineral soils </w:t>
      </w:r>
      <w:r>
        <w:t xml:space="preserve">in the </w:t>
      </w:r>
      <w:r w:rsidR="00695C4D">
        <w:t xml:space="preserve">coterminous </w:t>
      </w:r>
      <w:r>
        <w:t>U.S.</w:t>
      </w:r>
      <w:r w:rsidR="00C87EFB">
        <w:t xml:space="preserve"> by emissions factors identified in the literature</w:t>
      </w:r>
      <w:r w:rsidR="00695C4D">
        <w:t xml:space="preserve"> (Dutaur and Verchot 2007, Del Grosso et al. 2000)</w:t>
      </w:r>
      <w:r>
        <w:t xml:space="preserve">. </w:t>
      </w:r>
      <w:r w:rsidR="00695C4D">
        <w:t xml:space="preserve">We net out </w:t>
      </w:r>
      <w:r>
        <w:t>organic soil</w:t>
      </w:r>
      <w:r w:rsidR="00695C4D">
        <w:t xml:space="preserve"> area for each land use category</w:t>
      </w:r>
      <w:r>
        <w:t xml:space="preserve">, </w:t>
      </w:r>
      <w:r w:rsidR="00695C4D">
        <w:t xml:space="preserve">because high soil water content limits </w:t>
      </w:r>
      <w:r>
        <w:t>methane oxidation</w:t>
      </w:r>
      <w:r w:rsidR="002043D2">
        <w:t xml:space="preserve">. </w:t>
      </w:r>
      <w:r w:rsidR="009E48A9">
        <w:t>For grassland and cropland, t</w:t>
      </w:r>
      <w:r>
        <w:t>his land area was then multiplied by the CH</w:t>
      </w:r>
      <w:r w:rsidRPr="006C10BB">
        <w:rPr>
          <w:vertAlign w:val="subscript"/>
        </w:rPr>
        <w:t>4</w:t>
      </w:r>
      <w:r>
        <w:rPr>
          <w:vertAlign w:val="subscript"/>
        </w:rPr>
        <w:t xml:space="preserve"> </w:t>
      </w:r>
      <w:r w:rsidR="00FC2F2D">
        <w:t xml:space="preserve">uptake rates </w:t>
      </w:r>
      <w:r>
        <w:t>in Du</w:t>
      </w:r>
      <w:r w:rsidR="00AB60B7">
        <w:t>ta</w:t>
      </w:r>
      <w:r w:rsidR="00D1364D">
        <w:t>u</w:t>
      </w:r>
      <w:r>
        <w:t xml:space="preserve">r and Verchot </w:t>
      </w:r>
      <w:r w:rsidR="0001163C">
        <w:t>(</w:t>
      </w:r>
      <w:r>
        <w:t>2007</w:t>
      </w:r>
      <w:r w:rsidR="0001163C">
        <w:t>)</w:t>
      </w:r>
      <w:r>
        <w:t>, a meta</w:t>
      </w:r>
      <w:r w:rsidR="000539EA">
        <w:t>-</w:t>
      </w:r>
      <w:r>
        <w:t>analysis of 120 studies that reported CH</w:t>
      </w:r>
      <w:r w:rsidRPr="006C10BB">
        <w:rPr>
          <w:vertAlign w:val="subscript"/>
        </w:rPr>
        <w:t>4</w:t>
      </w:r>
      <w:r>
        <w:rPr>
          <w:vertAlign w:val="subscript"/>
        </w:rPr>
        <w:t xml:space="preserve"> </w:t>
      </w:r>
      <w:r>
        <w:t>fluxes from different terrestrial biomes: 2.32 kg CH</w:t>
      </w:r>
      <w:r w:rsidRPr="006C10BB">
        <w:rPr>
          <w:vertAlign w:val="subscript"/>
        </w:rPr>
        <w:t>4</w:t>
      </w:r>
      <w:r>
        <w:t xml:space="preserve"> ha</w:t>
      </w:r>
      <w:r>
        <w:rPr>
          <w:vertAlign w:val="superscript"/>
        </w:rPr>
        <w:t>-1</w:t>
      </w:r>
      <w:r>
        <w:t xml:space="preserve"> yr</w:t>
      </w:r>
      <w:r>
        <w:rPr>
          <w:vertAlign w:val="superscript"/>
        </w:rPr>
        <w:t>-1</w:t>
      </w:r>
      <w:r>
        <w:t xml:space="preserve"> for grasslands, </w:t>
      </w:r>
      <w:r w:rsidR="009E48A9">
        <w:t xml:space="preserve">and </w:t>
      </w:r>
      <w:r>
        <w:t>1.23 kg CH</w:t>
      </w:r>
      <w:r w:rsidRPr="006C10BB">
        <w:rPr>
          <w:vertAlign w:val="subscript"/>
        </w:rPr>
        <w:t>4</w:t>
      </w:r>
      <w:r>
        <w:t xml:space="preserve"> ha</w:t>
      </w:r>
      <w:r>
        <w:rPr>
          <w:vertAlign w:val="superscript"/>
        </w:rPr>
        <w:t>-1</w:t>
      </w:r>
      <w:r>
        <w:t xml:space="preserve"> yr</w:t>
      </w:r>
      <w:r>
        <w:rPr>
          <w:vertAlign w:val="superscript"/>
        </w:rPr>
        <w:t>-1</w:t>
      </w:r>
      <w:r>
        <w:t xml:space="preserve"> for croplands. </w:t>
      </w:r>
    </w:p>
    <w:p w14:paraId="4F5D6D68" w14:textId="57B7C322" w:rsidR="009E48A9" w:rsidRDefault="00695C4D" w:rsidP="004D785B">
      <w:r>
        <w:t>M</w:t>
      </w:r>
      <w:r w:rsidR="009E48A9">
        <w:t xml:space="preserve">ethane uptake rates are consistently higher in forests compared to all other ecosystems, and soil texture </w:t>
      </w:r>
      <w:r w:rsidR="006043BB">
        <w:t xml:space="preserve">(coarse, medium, and fine) </w:t>
      </w:r>
      <w:r w:rsidR="009E48A9">
        <w:t>is of particular importance in temperate forests (Del</w:t>
      </w:r>
      <w:r w:rsidR="00612368">
        <w:t xml:space="preserve"> </w:t>
      </w:r>
      <w:r w:rsidR="009E48A9">
        <w:t>Grosso et al., 2000; Duta</w:t>
      </w:r>
      <w:r w:rsidR="00D1364D">
        <w:t>u</w:t>
      </w:r>
      <w:r w:rsidR="009E48A9">
        <w:t xml:space="preserve">r </w:t>
      </w:r>
      <w:r w:rsidR="00AB60B7">
        <w:t>and</w:t>
      </w:r>
      <w:r w:rsidR="009E48A9">
        <w:t xml:space="preserve"> Verchot</w:t>
      </w:r>
      <w:r w:rsidR="00AB60B7">
        <w:t>,</w:t>
      </w:r>
      <w:r w:rsidR="009E48A9">
        <w:t xml:space="preserve"> 2007). Given this distinction, forests were treated with greater granularity. Using data from the FIA and SSURGO, </w:t>
      </w:r>
      <w:r w:rsidR="002043D2">
        <w:t>we find</w:t>
      </w:r>
      <w:r w:rsidR="009E48A9">
        <w:t xml:space="preserve"> </w:t>
      </w:r>
      <w:r w:rsidR="002043D2">
        <w:t xml:space="preserve">coterminous </w:t>
      </w:r>
      <w:r w:rsidR="009E48A9">
        <w:t>U.S. forest</w:t>
      </w:r>
      <w:r w:rsidR="002043D2">
        <w:t xml:space="preserve"> soils are </w:t>
      </w:r>
      <w:r w:rsidR="009E48A9">
        <w:t xml:space="preserve">21% clay soil, 35% silt, and 44% sand. </w:t>
      </w:r>
      <w:r w:rsidR="006043BB">
        <w:t xml:space="preserve">These soil textures were used as proxies for the soil textures used in the literature (clay = coarse; silt = medium; sand = fine). </w:t>
      </w:r>
      <w:r w:rsidR="002043D2">
        <w:t>The area of e</w:t>
      </w:r>
      <w:r w:rsidR="00FC2F2D">
        <w:t xml:space="preserve">ach </w:t>
      </w:r>
      <w:r w:rsidR="002043D2">
        <w:t xml:space="preserve">forest </w:t>
      </w:r>
      <w:r w:rsidR="00FC2F2D">
        <w:t xml:space="preserve">soil texture was multiplied by its respective </w:t>
      </w:r>
      <w:r w:rsidR="006043BB">
        <w:t>CH</w:t>
      </w:r>
      <w:r w:rsidR="006043BB" w:rsidRPr="006C10BB">
        <w:rPr>
          <w:vertAlign w:val="subscript"/>
        </w:rPr>
        <w:t>4</w:t>
      </w:r>
      <w:r w:rsidR="00FC2F2D">
        <w:t xml:space="preserve"> uptake rate (7.5 kg CH</w:t>
      </w:r>
      <w:r w:rsidR="00FC2F2D" w:rsidRPr="006C10BB">
        <w:rPr>
          <w:vertAlign w:val="subscript"/>
        </w:rPr>
        <w:t>4</w:t>
      </w:r>
      <w:r w:rsidR="00FC2F2D">
        <w:t xml:space="preserve"> ha</w:t>
      </w:r>
      <w:r w:rsidR="00FC2F2D">
        <w:rPr>
          <w:vertAlign w:val="superscript"/>
        </w:rPr>
        <w:t>-1</w:t>
      </w:r>
      <w:r w:rsidR="00FC2F2D">
        <w:t xml:space="preserve"> yr</w:t>
      </w:r>
      <w:r w:rsidR="00FC2F2D">
        <w:rPr>
          <w:vertAlign w:val="superscript"/>
        </w:rPr>
        <w:t>-1</w:t>
      </w:r>
      <w:r w:rsidR="00FC2F2D">
        <w:t xml:space="preserve"> for </w:t>
      </w:r>
      <w:r w:rsidR="006043BB">
        <w:t>coarse soils, 5.5 kg CH</w:t>
      </w:r>
      <w:r w:rsidR="006043BB" w:rsidRPr="006C10BB">
        <w:rPr>
          <w:vertAlign w:val="subscript"/>
        </w:rPr>
        <w:t>4</w:t>
      </w:r>
      <w:r w:rsidR="006043BB">
        <w:t xml:space="preserve"> ha</w:t>
      </w:r>
      <w:r w:rsidR="006043BB">
        <w:rPr>
          <w:vertAlign w:val="superscript"/>
        </w:rPr>
        <w:t>-1</w:t>
      </w:r>
      <w:r w:rsidR="006043BB">
        <w:t xml:space="preserve"> yr</w:t>
      </w:r>
      <w:r w:rsidR="006043BB">
        <w:rPr>
          <w:vertAlign w:val="superscript"/>
        </w:rPr>
        <w:t xml:space="preserve">-1 </w:t>
      </w:r>
      <w:r w:rsidR="006043BB">
        <w:t>for medium soil, and 2.6 kg CH</w:t>
      </w:r>
      <w:r w:rsidR="006043BB" w:rsidRPr="006C10BB">
        <w:rPr>
          <w:vertAlign w:val="subscript"/>
        </w:rPr>
        <w:t>4</w:t>
      </w:r>
      <w:r w:rsidR="006043BB">
        <w:t xml:space="preserve"> ha</w:t>
      </w:r>
      <w:r w:rsidR="006043BB">
        <w:rPr>
          <w:vertAlign w:val="superscript"/>
        </w:rPr>
        <w:t>-1</w:t>
      </w:r>
      <w:r w:rsidR="006043BB">
        <w:t xml:space="preserve"> yr</w:t>
      </w:r>
      <w:r w:rsidR="006043BB">
        <w:rPr>
          <w:vertAlign w:val="superscript"/>
        </w:rPr>
        <w:t xml:space="preserve">-1 </w:t>
      </w:r>
      <w:r w:rsidR="006043BB">
        <w:t>for fine soils) to estimate total CH</w:t>
      </w:r>
      <w:r w:rsidR="006043BB" w:rsidRPr="006C10BB">
        <w:rPr>
          <w:vertAlign w:val="subscript"/>
        </w:rPr>
        <w:t>4</w:t>
      </w:r>
      <w:r w:rsidR="006043BB">
        <w:t xml:space="preserve"> uptake rate by U.S. forest soils</w:t>
      </w:r>
      <w:r w:rsidR="002043D2">
        <w:t xml:space="preserve"> (Duta</w:t>
      </w:r>
      <w:r w:rsidR="00D1364D">
        <w:t>u</w:t>
      </w:r>
      <w:r w:rsidR="002043D2">
        <w:t>r and Verchot, 2007)</w:t>
      </w:r>
      <w:r w:rsidR="006043BB">
        <w:t>.</w:t>
      </w:r>
    </w:p>
    <w:p w14:paraId="1DFB3658" w14:textId="0165B298" w:rsidR="008E4F0D" w:rsidRDefault="004D785B" w:rsidP="004D785B">
      <w:r>
        <w:t xml:space="preserve">The combined </w:t>
      </w:r>
      <w:r w:rsidR="0073769E">
        <w:t xml:space="preserve">soil methane </w:t>
      </w:r>
      <w:r>
        <w:t xml:space="preserve">sink </w:t>
      </w:r>
      <w:r w:rsidR="0073769E">
        <w:t>is 2</w:t>
      </w:r>
      <w:r w:rsidR="00B83714">
        <w:t>5.12</w:t>
      </w:r>
      <w:r w:rsidR="0073769E">
        <w:t xml:space="preserve"> MMT </w:t>
      </w:r>
      <w:r>
        <w:t>CO</w:t>
      </w:r>
      <w:r w:rsidRPr="006C10BB">
        <w:rPr>
          <w:vertAlign w:val="subscript"/>
        </w:rPr>
        <w:t>2</w:t>
      </w:r>
      <w:r>
        <w:t>e (</w:t>
      </w:r>
      <w:r w:rsidR="006043BB">
        <w:t>14.67</w:t>
      </w:r>
      <w:r>
        <w:t xml:space="preserve"> </w:t>
      </w:r>
      <w:r w:rsidR="0073769E">
        <w:t xml:space="preserve">MMT </w:t>
      </w:r>
      <w:r>
        <w:t>CO</w:t>
      </w:r>
      <w:r w:rsidRPr="006C10BB">
        <w:rPr>
          <w:vertAlign w:val="subscript"/>
        </w:rPr>
        <w:t>2</w:t>
      </w:r>
      <w:r>
        <w:t>e for grassland</w:t>
      </w:r>
      <w:r w:rsidR="006043BB">
        <w:t xml:space="preserve">, 6.64 </w:t>
      </w:r>
      <w:r w:rsidR="0073769E">
        <w:t xml:space="preserve">MMT </w:t>
      </w:r>
      <w:r w:rsidR="006043BB">
        <w:t>CO</w:t>
      </w:r>
      <w:r w:rsidR="006043BB" w:rsidRPr="006C10BB">
        <w:rPr>
          <w:vertAlign w:val="subscript"/>
        </w:rPr>
        <w:t>2</w:t>
      </w:r>
      <w:r w:rsidR="006043BB">
        <w:t xml:space="preserve">e for </w:t>
      </w:r>
      <w:r>
        <w:t>cropland</w:t>
      </w:r>
      <w:r w:rsidR="006043BB">
        <w:t>,</w:t>
      </w:r>
      <w:r>
        <w:t xml:space="preserve"> and </w:t>
      </w:r>
      <w:r w:rsidR="006043BB">
        <w:t>3.81</w:t>
      </w:r>
      <w:r>
        <w:t xml:space="preserve"> </w:t>
      </w:r>
      <w:r w:rsidR="0073769E">
        <w:t xml:space="preserve">MMT </w:t>
      </w:r>
      <w:r>
        <w:t>CO</w:t>
      </w:r>
      <w:r w:rsidRPr="006C10BB">
        <w:rPr>
          <w:vertAlign w:val="subscript"/>
        </w:rPr>
        <w:t>2</w:t>
      </w:r>
      <w:r>
        <w:t xml:space="preserve">e for </w:t>
      </w:r>
      <w:r w:rsidR="002F0031">
        <w:t>forests</w:t>
      </w:r>
      <w:r>
        <w:t>)</w:t>
      </w:r>
      <w:r w:rsidR="009F761A">
        <w:t>.</w:t>
      </w:r>
    </w:p>
    <w:p w14:paraId="5B90C9FC" w14:textId="6A8E910B" w:rsidR="00B13E0F" w:rsidRPr="00250DD0" w:rsidRDefault="00B13E0F" w:rsidP="00B13E0F">
      <w:pPr>
        <w:pStyle w:val="Caption"/>
        <w:keepNext/>
        <w:rPr>
          <w:b/>
          <w:sz w:val="22"/>
          <w:szCs w:val="22"/>
        </w:rPr>
      </w:pPr>
      <w:r w:rsidRPr="00250DD0">
        <w:rPr>
          <w:b/>
          <w:sz w:val="22"/>
          <w:szCs w:val="22"/>
        </w:rPr>
        <w:t xml:space="preserve">Table </w:t>
      </w:r>
      <w:r w:rsidR="007D6D6E">
        <w:rPr>
          <w:b/>
          <w:sz w:val="22"/>
          <w:szCs w:val="22"/>
        </w:rPr>
        <w:t>2</w:t>
      </w:r>
      <w:r w:rsidR="005F6840">
        <w:rPr>
          <w:b/>
          <w:sz w:val="22"/>
          <w:szCs w:val="22"/>
        </w:rPr>
        <w:t>-</w:t>
      </w:r>
      <w:r w:rsidR="002F327D">
        <w:rPr>
          <w:b/>
          <w:sz w:val="22"/>
          <w:szCs w:val="22"/>
        </w:rPr>
        <w:t>2</w:t>
      </w:r>
      <w:r w:rsidR="008F4C88">
        <w:rPr>
          <w:b/>
          <w:sz w:val="22"/>
          <w:szCs w:val="22"/>
        </w:rPr>
        <w:t>8</w:t>
      </w:r>
      <w:r w:rsidRPr="00250DD0">
        <w:rPr>
          <w:b/>
          <w:sz w:val="22"/>
          <w:szCs w:val="22"/>
        </w:rPr>
        <w:t xml:space="preserve">: </w:t>
      </w:r>
      <w:r w:rsidR="00A9645A">
        <w:rPr>
          <w:b/>
          <w:sz w:val="22"/>
          <w:szCs w:val="22"/>
        </w:rPr>
        <w:t xml:space="preserve">RESULTS – </w:t>
      </w:r>
      <w:r w:rsidR="006F698E">
        <w:rPr>
          <w:b/>
          <w:sz w:val="22"/>
          <w:szCs w:val="22"/>
        </w:rPr>
        <w:t>S</w:t>
      </w:r>
      <w:r w:rsidR="0073769E" w:rsidRPr="00250DD0">
        <w:rPr>
          <w:b/>
          <w:sz w:val="22"/>
          <w:szCs w:val="22"/>
        </w:rPr>
        <w:t xml:space="preserve">oil </w:t>
      </w:r>
      <w:r w:rsidR="006F698E">
        <w:rPr>
          <w:b/>
          <w:sz w:val="22"/>
          <w:szCs w:val="22"/>
        </w:rPr>
        <w:t xml:space="preserve">microbial </w:t>
      </w:r>
      <w:r w:rsidR="0073769E" w:rsidRPr="00250DD0">
        <w:rPr>
          <w:b/>
          <w:sz w:val="22"/>
          <w:szCs w:val="22"/>
        </w:rPr>
        <w:t xml:space="preserve">methane </w:t>
      </w:r>
      <w:r w:rsidRPr="00250DD0">
        <w:rPr>
          <w:b/>
          <w:sz w:val="22"/>
          <w:szCs w:val="22"/>
        </w:rPr>
        <w:t xml:space="preserve">sink by land </w:t>
      </w:r>
      <w:r w:rsidR="006F698E">
        <w:rPr>
          <w:b/>
          <w:sz w:val="22"/>
          <w:szCs w:val="22"/>
        </w:rPr>
        <w:t>category</w:t>
      </w:r>
    </w:p>
    <w:tbl>
      <w:tblPr>
        <w:tblW w:w="8943" w:type="dxa"/>
        <w:tblLook w:val="04A0" w:firstRow="1" w:lastRow="0" w:firstColumn="1" w:lastColumn="0" w:noHBand="0" w:noVBand="1"/>
      </w:tblPr>
      <w:tblGrid>
        <w:gridCol w:w="3055"/>
        <w:gridCol w:w="2443"/>
        <w:gridCol w:w="1620"/>
        <w:gridCol w:w="1825"/>
      </w:tblGrid>
      <w:tr w:rsidR="008E4F0D" w:rsidRPr="008E4F0D" w14:paraId="22CF11A1" w14:textId="77777777" w:rsidTr="002F327D">
        <w:trPr>
          <w:trHeight w:val="288"/>
        </w:trPr>
        <w:tc>
          <w:tcPr>
            <w:tcW w:w="305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CBCCFE9" w14:textId="77777777" w:rsidR="008E4F0D" w:rsidRPr="00E6343F" w:rsidRDefault="008E4F0D" w:rsidP="002F327D">
            <w:pPr>
              <w:spacing w:after="0" w:line="240" w:lineRule="auto"/>
              <w:jc w:val="center"/>
              <w:rPr>
                <w:rFonts w:ascii="Calibri" w:eastAsia="Times New Roman" w:hAnsi="Calibri" w:cs="Calibri"/>
                <w:b/>
                <w:bCs/>
                <w:color w:val="000000"/>
                <w:sz w:val="18"/>
                <w:szCs w:val="18"/>
              </w:rPr>
            </w:pPr>
            <w:r w:rsidRPr="00E6343F">
              <w:rPr>
                <w:rFonts w:ascii="Calibri" w:eastAsia="Times New Roman" w:hAnsi="Calibri" w:cs="Calibri"/>
                <w:b/>
                <w:bCs/>
                <w:color w:val="000000"/>
                <w:sz w:val="18"/>
                <w:szCs w:val="18"/>
              </w:rPr>
              <w:t>Land type</w:t>
            </w:r>
          </w:p>
        </w:tc>
        <w:tc>
          <w:tcPr>
            <w:tcW w:w="2443" w:type="dxa"/>
            <w:tcBorders>
              <w:top w:val="single" w:sz="4" w:space="0" w:color="auto"/>
              <w:left w:val="nil"/>
              <w:bottom w:val="single" w:sz="4" w:space="0" w:color="auto"/>
              <w:right w:val="single" w:sz="4" w:space="0" w:color="auto"/>
            </w:tcBorders>
            <w:shd w:val="clear" w:color="auto" w:fill="FFC000"/>
            <w:noWrap/>
            <w:vAlign w:val="center"/>
            <w:hideMark/>
          </w:tcPr>
          <w:p w14:paraId="533A7BCD" w14:textId="29CDB740" w:rsidR="008E4F0D" w:rsidRPr="00E6343F" w:rsidRDefault="008E4F0D" w:rsidP="00D737B3">
            <w:pPr>
              <w:spacing w:after="0" w:line="240" w:lineRule="auto"/>
              <w:jc w:val="center"/>
              <w:rPr>
                <w:rFonts w:ascii="Calibri" w:eastAsia="Times New Roman" w:hAnsi="Calibri" w:cs="Calibri"/>
                <w:b/>
                <w:bCs/>
                <w:color w:val="000000"/>
                <w:sz w:val="18"/>
                <w:szCs w:val="18"/>
              </w:rPr>
            </w:pPr>
            <w:r w:rsidRPr="00E6343F">
              <w:rPr>
                <w:rFonts w:ascii="Calibri" w:eastAsia="Times New Roman" w:hAnsi="Calibri" w:cs="Calibri"/>
                <w:b/>
                <w:bCs/>
                <w:color w:val="000000"/>
                <w:sz w:val="18"/>
                <w:szCs w:val="18"/>
              </w:rPr>
              <w:t>Area</w:t>
            </w:r>
            <w:r w:rsidR="00405EA1" w:rsidRPr="00E6343F">
              <w:rPr>
                <w:rFonts w:ascii="Calibri" w:eastAsia="Times New Roman" w:hAnsi="Calibri" w:cs="Calibri"/>
                <w:b/>
                <w:bCs/>
                <w:color w:val="000000"/>
                <w:sz w:val="18"/>
                <w:szCs w:val="18"/>
              </w:rPr>
              <w:t xml:space="preserve"> of mineral soil </w:t>
            </w:r>
            <w:r w:rsidRPr="00E6343F">
              <w:rPr>
                <w:rFonts w:ascii="Calibri" w:eastAsia="Times New Roman" w:hAnsi="Calibri" w:cs="Calibri"/>
                <w:b/>
                <w:bCs/>
                <w:color w:val="000000"/>
                <w:sz w:val="18"/>
                <w:szCs w:val="18"/>
              </w:rPr>
              <w:t>(ha)</w:t>
            </w:r>
          </w:p>
        </w:tc>
        <w:tc>
          <w:tcPr>
            <w:tcW w:w="1620" w:type="dxa"/>
            <w:tcBorders>
              <w:top w:val="single" w:sz="4" w:space="0" w:color="auto"/>
              <w:left w:val="nil"/>
              <w:bottom w:val="single" w:sz="4" w:space="0" w:color="auto"/>
              <w:right w:val="single" w:sz="4" w:space="0" w:color="auto"/>
            </w:tcBorders>
            <w:shd w:val="clear" w:color="auto" w:fill="FFC000"/>
            <w:noWrap/>
            <w:vAlign w:val="center"/>
            <w:hideMark/>
          </w:tcPr>
          <w:p w14:paraId="05AC58C5" w14:textId="6D16AE57" w:rsidR="008E4F0D" w:rsidRPr="00E6343F" w:rsidRDefault="008E4F0D" w:rsidP="002F327D">
            <w:pPr>
              <w:spacing w:after="0" w:line="240" w:lineRule="auto"/>
              <w:jc w:val="center"/>
              <w:rPr>
                <w:rFonts w:ascii="Calibri" w:eastAsia="Times New Roman" w:hAnsi="Calibri" w:cs="Calibri"/>
                <w:b/>
                <w:bCs/>
                <w:color w:val="000000"/>
                <w:sz w:val="18"/>
                <w:szCs w:val="18"/>
              </w:rPr>
            </w:pPr>
            <w:r w:rsidRPr="00E6343F">
              <w:rPr>
                <w:rFonts w:ascii="Calibri" w:eastAsia="Times New Roman" w:hAnsi="Calibri" w:cs="Calibri"/>
                <w:b/>
                <w:bCs/>
                <w:color w:val="000000"/>
                <w:sz w:val="18"/>
                <w:szCs w:val="18"/>
              </w:rPr>
              <w:t>CH</w:t>
            </w:r>
            <w:r w:rsidRPr="00081E93">
              <w:rPr>
                <w:rFonts w:ascii="Calibri" w:eastAsia="Times New Roman" w:hAnsi="Calibri" w:cs="Calibri"/>
                <w:b/>
                <w:bCs/>
                <w:color w:val="000000"/>
                <w:sz w:val="18"/>
                <w:szCs w:val="18"/>
                <w:vertAlign w:val="subscript"/>
              </w:rPr>
              <w:t>4</w:t>
            </w:r>
            <w:r w:rsidRPr="00E6343F">
              <w:rPr>
                <w:rFonts w:ascii="Calibri" w:eastAsia="Times New Roman" w:hAnsi="Calibri" w:cs="Calibri"/>
                <w:b/>
                <w:bCs/>
                <w:color w:val="000000"/>
                <w:sz w:val="18"/>
                <w:szCs w:val="18"/>
              </w:rPr>
              <w:t xml:space="preserve"> flux factor (</w:t>
            </w:r>
            <w:r w:rsidRPr="00E6343F">
              <w:rPr>
                <w:b/>
                <w:sz w:val="18"/>
                <w:szCs w:val="18"/>
              </w:rPr>
              <w:t>CH</w:t>
            </w:r>
            <w:r w:rsidRPr="00E6343F">
              <w:rPr>
                <w:b/>
                <w:sz w:val="18"/>
                <w:szCs w:val="18"/>
                <w:vertAlign w:val="subscript"/>
              </w:rPr>
              <w:t>4</w:t>
            </w:r>
            <w:r w:rsidRPr="00E6343F">
              <w:rPr>
                <w:b/>
                <w:sz w:val="18"/>
                <w:szCs w:val="18"/>
              </w:rPr>
              <w:t xml:space="preserve"> ha</w:t>
            </w:r>
            <w:r w:rsidRPr="00E6343F">
              <w:rPr>
                <w:b/>
                <w:sz w:val="18"/>
                <w:szCs w:val="18"/>
                <w:vertAlign w:val="superscript"/>
              </w:rPr>
              <w:t>-1</w:t>
            </w:r>
            <w:r w:rsidRPr="00E6343F">
              <w:rPr>
                <w:b/>
                <w:sz w:val="18"/>
                <w:szCs w:val="18"/>
              </w:rPr>
              <w:t xml:space="preserve"> yr</w:t>
            </w:r>
            <w:r w:rsidRPr="00E6343F">
              <w:rPr>
                <w:b/>
                <w:sz w:val="18"/>
                <w:szCs w:val="18"/>
                <w:vertAlign w:val="superscript"/>
              </w:rPr>
              <w:t>-1</w:t>
            </w:r>
            <w:r w:rsidRPr="00E6343F">
              <w:rPr>
                <w:rFonts w:ascii="Calibri" w:eastAsia="Times New Roman" w:hAnsi="Calibri" w:cs="Calibri"/>
                <w:b/>
                <w:bCs/>
                <w:color w:val="000000"/>
                <w:sz w:val="18"/>
                <w:szCs w:val="18"/>
              </w:rPr>
              <w:t>)</w:t>
            </w:r>
          </w:p>
        </w:tc>
        <w:tc>
          <w:tcPr>
            <w:tcW w:w="1825" w:type="dxa"/>
            <w:tcBorders>
              <w:top w:val="single" w:sz="4" w:space="0" w:color="auto"/>
              <w:left w:val="nil"/>
              <w:bottom w:val="single" w:sz="4" w:space="0" w:color="auto"/>
              <w:right w:val="single" w:sz="4" w:space="0" w:color="auto"/>
            </w:tcBorders>
            <w:shd w:val="clear" w:color="auto" w:fill="FFC000"/>
            <w:noWrap/>
            <w:vAlign w:val="center"/>
            <w:hideMark/>
          </w:tcPr>
          <w:p w14:paraId="3FD62341" w14:textId="5E934142" w:rsidR="008E4F0D" w:rsidRPr="00E6343F" w:rsidRDefault="008E4F0D" w:rsidP="002F327D">
            <w:pPr>
              <w:spacing w:after="0" w:line="240" w:lineRule="auto"/>
              <w:jc w:val="center"/>
              <w:rPr>
                <w:rFonts w:ascii="Calibri" w:eastAsia="Times New Roman" w:hAnsi="Calibri" w:cs="Calibri"/>
                <w:b/>
                <w:bCs/>
                <w:color w:val="000000"/>
                <w:sz w:val="18"/>
                <w:szCs w:val="18"/>
              </w:rPr>
            </w:pPr>
            <w:r w:rsidRPr="00E6343F">
              <w:rPr>
                <w:rFonts w:ascii="Calibri" w:eastAsia="Times New Roman" w:hAnsi="Calibri" w:cs="Calibri"/>
                <w:b/>
                <w:bCs/>
                <w:color w:val="000000"/>
                <w:sz w:val="18"/>
                <w:szCs w:val="18"/>
              </w:rPr>
              <w:t>Total MMT</w:t>
            </w:r>
            <w:r w:rsidRPr="00E6343F">
              <w:rPr>
                <w:b/>
                <w:sz w:val="18"/>
                <w:szCs w:val="18"/>
              </w:rPr>
              <w:t xml:space="preserve"> CO</w:t>
            </w:r>
            <w:r w:rsidRPr="00E6343F">
              <w:rPr>
                <w:b/>
                <w:sz w:val="18"/>
                <w:szCs w:val="18"/>
                <w:vertAlign w:val="subscript"/>
              </w:rPr>
              <w:t>2</w:t>
            </w:r>
            <w:r w:rsidRPr="00E6343F">
              <w:rPr>
                <w:b/>
                <w:sz w:val="18"/>
                <w:szCs w:val="18"/>
              </w:rPr>
              <w:t>e</w:t>
            </w:r>
          </w:p>
        </w:tc>
      </w:tr>
      <w:tr w:rsidR="008E4F0D" w:rsidRPr="008E4F0D" w14:paraId="7311231F" w14:textId="77777777" w:rsidTr="002F327D">
        <w:trPr>
          <w:trHeight w:val="288"/>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7CE42381" w14:textId="77777777" w:rsidR="008E4F0D" w:rsidRPr="00E6343F" w:rsidRDefault="008E4F0D" w:rsidP="008E4F0D">
            <w:pPr>
              <w:spacing w:after="0" w:line="240" w:lineRule="auto"/>
              <w:rPr>
                <w:rFonts w:ascii="Calibri" w:eastAsia="Times New Roman" w:hAnsi="Calibri" w:cs="Calibri"/>
                <w:color w:val="000000"/>
                <w:sz w:val="18"/>
                <w:szCs w:val="18"/>
              </w:rPr>
            </w:pPr>
            <w:r w:rsidRPr="00E6343F">
              <w:rPr>
                <w:rFonts w:ascii="Calibri" w:eastAsia="Times New Roman" w:hAnsi="Calibri" w:cs="Calibri"/>
                <w:color w:val="000000"/>
                <w:sz w:val="18"/>
                <w:szCs w:val="18"/>
              </w:rPr>
              <w:t>Grassland</w:t>
            </w:r>
          </w:p>
        </w:tc>
        <w:tc>
          <w:tcPr>
            <w:tcW w:w="2443" w:type="dxa"/>
            <w:tcBorders>
              <w:top w:val="nil"/>
              <w:left w:val="nil"/>
              <w:bottom w:val="single" w:sz="4" w:space="0" w:color="auto"/>
              <w:right w:val="single" w:sz="4" w:space="0" w:color="auto"/>
            </w:tcBorders>
            <w:shd w:val="clear" w:color="auto" w:fill="auto"/>
            <w:noWrap/>
            <w:vAlign w:val="center"/>
            <w:hideMark/>
          </w:tcPr>
          <w:p w14:paraId="376685C5" w14:textId="7C55BE94" w:rsidR="008E4F0D" w:rsidRPr="00E6343F" w:rsidRDefault="006043BB" w:rsidP="002F327D">
            <w:pPr>
              <w:spacing w:after="0" w:line="240" w:lineRule="auto"/>
              <w:jc w:val="center"/>
              <w:rPr>
                <w:rFonts w:ascii="Calibri" w:eastAsia="Times New Roman" w:hAnsi="Calibri" w:cs="Calibri"/>
                <w:color w:val="000000"/>
                <w:sz w:val="18"/>
                <w:szCs w:val="18"/>
              </w:rPr>
            </w:pPr>
            <w:r w:rsidRPr="00E6343F">
              <w:rPr>
                <w:rFonts w:ascii="Calibri" w:eastAsia="Times New Roman" w:hAnsi="Calibri" w:cs="Calibri"/>
                <w:color w:val="000000"/>
                <w:sz w:val="18"/>
                <w:szCs w:val="18"/>
              </w:rPr>
              <w:t>189,687,098</w:t>
            </w:r>
          </w:p>
        </w:tc>
        <w:tc>
          <w:tcPr>
            <w:tcW w:w="1620" w:type="dxa"/>
            <w:tcBorders>
              <w:top w:val="nil"/>
              <w:left w:val="nil"/>
              <w:bottom w:val="single" w:sz="4" w:space="0" w:color="auto"/>
              <w:right w:val="single" w:sz="4" w:space="0" w:color="auto"/>
            </w:tcBorders>
            <w:shd w:val="clear" w:color="auto" w:fill="auto"/>
            <w:noWrap/>
            <w:vAlign w:val="center"/>
            <w:hideMark/>
          </w:tcPr>
          <w:p w14:paraId="7326B858" w14:textId="1CEBF5F8" w:rsidR="008E4F0D" w:rsidRPr="00E6343F" w:rsidRDefault="0021258E" w:rsidP="002F327D">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2.3</w:t>
            </w:r>
          </w:p>
        </w:tc>
        <w:tc>
          <w:tcPr>
            <w:tcW w:w="1825" w:type="dxa"/>
            <w:tcBorders>
              <w:top w:val="nil"/>
              <w:left w:val="nil"/>
              <w:bottom w:val="single" w:sz="4" w:space="0" w:color="auto"/>
              <w:right w:val="single" w:sz="4" w:space="0" w:color="auto"/>
            </w:tcBorders>
            <w:shd w:val="clear" w:color="auto" w:fill="auto"/>
            <w:noWrap/>
            <w:vAlign w:val="center"/>
            <w:hideMark/>
          </w:tcPr>
          <w:p w14:paraId="2F7B09BF" w14:textId="28E58F67" w:rsidR="008E4F0D" w:rsidRPr="00E6343F" w:rsidRDefault="0021258E" w:rsidP="002F327D">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14.7</w:t>
            </w:r>
          </w:p>
        </w:tc>
      </w:tr>
      <w:tr w:rsidR="008E4F0D" w:rsidRPr="008E4F0D" w14:paraId="67B278D0" w14:textId="77777777" w:rsidTr="002F327D">
        <w:trPr>
          <w:trHeight w:val="288"/>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737D58B7" w14:textId="77777777" w:rsidR="008E4F0D" w:rsidRPr="00E6343F" w:rsidRDefault="008E4F0D" w:rsidP="008E4F0D">
            <w:pPr>
              <w:spacing w:after="0" w:line="240" w:lineRule="auto"/>
              <w:rPr>
                <w:rFonts w:ascii="Calibri" w:eastAsia="Times New Roman" w:hAnsi="Calibri" w:cs="Calibri"/>
                <w:color w:val="000000"/>
                <w:sz w:val="18"/>
                <w:szCs w:val="18"/>
              </w:rPr>
            </w:pPr>
            <w:r w:rsidRPr="00E6343F">
              <w:rPr>
                <w:rFonts w:ascii="Calibri" w:eastAsia="Times New Roman" w:hAnsi="Calibri" w:cs="Calibri"/>
                <w:color w:val="000000"/>
                <w:sz w:val="18"/>
                <w:szCs w:val="18"/>
              </w:rPr>
              <w:t>Cropland</w:t>
            </w:r>
          </w:p>
        </w:tc>
        <w:tc>
          <w:tcPr>
            <w:tcW w:w="2443" w:type="dxa"/>
            <w:tcBorders>
              <w:top w:val="nil"/>
              <w:left w:val="nil"/>
              <w:bottom w:val="single" w:sz="4" w:space="0" w:color="auto"/>
              <w:right w:val="single" w:sz="4" w:space="0" w:color="auto"/>
            </w:tcBorders>
            <w:shd w:val="clear" w:color="auto" w:fill="auto"/>
            <w:noWrap/>
            <w:vAlign w:val="center"/>
            <w:hideMark/>
          </w:tcPr>
          <w:p w14:paraId="1B53A18D" w14:textId="5F2E182E" w:rsidR="008E4F0D" w:rsidRPr="00E6343F" w:rsidRDefault="006043BB" w:rsidP="002F327D">
            <w:pPr>
              <w:spacing w:after="0" w:line="240" w:lineRule="auto"/>
              <w:jc w:val="center"/>
              <w:rPr>
                <w:rFonts w:ascii="Calibri" w:eastAsia="Times New Roman" w:hAnsi="Calibri" w:cs="Calibri"/>
                <w:color w:val="000000"/>
                <w:sz w:val="18"/>
                <w:szCs w:val="18"/>
              </w:rPr>
            </w:pPr>
            <w:r w:rsidRPr="00E6343F">
              <w:rPr>
                <w:rFonts w:ascii="Calibri" w:eastAsia="Times New Roman" w:hAnsi="Calibri" w:cs="Calibri"/>
                <w:color w:val="000000"/>
                <w:sz w:val="18"/>
                <w:szCs w:val="18"/>
              </w:rPr>
              <w:t>161,831,536</w:t>
            </w:r>
          </w:p>
        </w:tc>
        <w:tc>
          <w:tcPr>
            <w:tcW w:w="1620" w:type="dxa"/>
            <w:tcBorders>
              <w:top w:val="nil"/>
              <w:left w:val="nil"/>
              <w:bottom w:val="single" w:sz="4" w:space="0" w:color="auto"/>
              <w:right w:val="single" w:sz="4" w:space="0" w:color="auto"/>
            </w:tcBorders>
            <w:shd w:val="clear" w:color="auto" w:fill="auto"/>
            <w:noWrap/>
            <w:vAlign w:val="center"/>
            <w:hideMark/>
          </w:tcPr>
          <w:p w14:paraId="7269567E" w14:textId="17CD91BB" w:rsidR="008E4F0D" w:rsidRPr="00E6343F" w:rsidRDefault="0021258E" w:rsidP="002F327D">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1.2</w:t>
            </w:r>
          </w:p>
        </w:tc>
        <w:tc>
          <w:tcPr>
            <w:tcW w:w="1825" w:type="dxa"/>
            <w:tcBorders>
              <w:top w:val="nil"/>
              <w:left w:val="nil"/>
              <w:bottom w:val="single" w:sz="4" w:space="0" w:color="auto"/>
              <w:right w:val="single" w:sz="4" w:space="0" w:color="auto"/>
            </w:tcBorders>
            <w:shd w:val="clear" w:color="auto" w:fill="auto"/>
            <w:noWrap/>
            <w:vAlign w:val="center"/>
            <w:hideMark/>
          </w:tcPr>
          <w:p w14:paraId="4E28096C" w14:textId="6D26571D" w:rsidR="008E4F0D" w:rsidRPr="00E6343F" w:rsidRDefault="0021258E" w:rsidP="002F327D">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6.6</w:t>
            </w:r>
          </w:p>
        </w:tc>
      </w:tr>
      <w:tr w:rsidR="008E4F0D" w:rsidRPr="008E4F0D" w14:paraId="7A5FC210" w14:textId="77777777" w:rsidTr="002F327D">
        <w:trPr>
          <w:trHeight w:val="288"/>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44D1B262" w14:textId="442EA701" w:rsidR="008E4F0D" w:rsidRPr="0068052A" w:rsidRDefault="008E4F0D" w:rsidP="008E4F0D">
            <w:pPr>
              <w:spacing w:after="0" w:line="240" w:lineRule="auto"/>
              <w:rPr>
                <w:rFonts w:ascii="Calibri" w:eastAsia="Times New Roman" w:hAnsi="Calibri" w:cs="Calibri"/>
                <w:color w:val="000000"/>
                <w:sz w:val="18"/>
                <w:szCs w:val="18"/>
              </w:rPr>
            </w:pPr>
            <w:r w:rsidRPr="0068052A">
              <w:rPr>
                <w:rFonts w:ascii="Calibri" w:eastAsia="Times New Roman" w:hAnsi="Calibri" w:cs="Calibri"/>
                <w:color w:val="000000"/>
                <w:sz w:val="18"/>
                <w:szCs w:val="18"/>
              </w:rPr>
              <w:t>Forest</w:t>
            </w:r>
            <w:r w:rsidR="00405EA1" w:rsidRPr="00E6343F">
              <w:rPr>
                <w:rFonts w:ascii="Calibri" w:eastAsia="Times New Roman" w:hAnsi="Calibri" w:cs="Calibri"/>
                <w:color w:val="000000"/>
                <w:sz w:val="18"/>
                <w:szCs w:val="18"/>
              </w:rPr>
              <w:t xml:space="preserve"> – coarse</w:t>
            </w:r>
          </w:p>
        </w:tc>
        <w:tc>
          <w:tcPr>
            <w:tcW w:w="2443" w:type="dxa"/>
            <w:tcBorders>
              <w:top w:val="nil"/>
              <w:left w:val="nil"/>
              <w:bottom w:val="single" w:sz="4" w:space="0" w:color="auto"/>
              <w:right w:val="single" w:sz="4" w:space="0" w:color="auto"/>
            </w:tcBorders>
            <w:shd w:val="clear" w:color="auto" w:fill="auto"/>
            <w:noWrap/>
            <w:vAlign w:val="center"/>
            <w:hideMark/>
          </w:tcPr>
          <w:p w14:paraId="1C9A7F64" w14:textId="06628744" w:rsidR="008E4F0D" w:rsidRPr="0068052A" w:rsidRDefault="006043BB" w:rsidP="002F327D">
            <w:pPr>
              <w:spacing w:after="0" w:line="240" w:lineRule="auto"/>
              <w:jc w:val="center"/>
              <w:rPr>
                <w:rFonts w:ascii="Calibri" w:eastAsia="Times New Roman" w:hAnsi="Calibri" w:cs="Calibri"/>
                <w:color w:val="000000"/>
                <w:sz w:val="18"/>
                <w:szCs w:val="18"/>
              </w:rPr>
            </w:pPr>
            <w:r w:rsidRPr="00E6343F">
              <w:rPr>
                <w:rFonts w:ascii="Calibri" w:eastAsia="Times New Roman" w:hAnsi="Calibri" w:cs="Calibri"/>
                <w:color w:val="000000"/>
                <w:sz w:val="18"/>
                <w:szCs w:val="18"/>
              </w:rPr>
              <w:t>5,173,808</w:t>
            </w:r>
          </w:p>
        </w:tc>
        <w:tc>
          <w:tcPr>
            <w:tcW w:w="1620" w:type="dxa"/>
            <w:tcBorders>
              <w:top w:val="nil"/>
              <w:left w:val="nil"/>
              <w:bottom w:val="single" w:sz="4" w:space="0" w:color="auto"/>
              <w:right w:val="single" w:sz="4" w:space="0" w:color="auto"/>
            </w:tcBorders>
            <w:shd w:val="clear" w:color="auto" w:fill="auto"/>
            <w:noWrap/>
            <w:vAlign w:val="center"/>
            <w:hideMark/>
          </w:tcPr>
          <w:p w14:paraId="6E15D01B" w14:textId="0CEBDF86" w:rsidR="008E4F0D" w:rsidRPr="0068052A" w:rsidRDefault="006043BB" w:rsidP="002F327D">
            <w:pPr>
              <w:spacing w:after="0" w:line="240" w:lineRule="auto"/>
              <w:jc w:val="center"/>
              <w:rPr>
                <w:rFonts w:ascii="Calibri" w:eastAsia="Times New Roman" w:hAnsi="Calibri" w:cs="Calibri"/>
                <w:color w:val="000000"/>
                <w:sz w:val="18"/>
                <w:szCs w:val="18"/>
              </w:rPr>
            </w:pPr>
            <w:r w:rsidRPr="00E6343F">
              <w:rPr>
                <w:rFonts w:ascii="Calibri" w:eastAsia="Times New Roman" w:hAnsi="Calibri" w:cs="Calibri"/>
                <w:color w:val="000000"/>
                <w:sz w:val="18"/>
                <w:szCs w:val="18"/>
              </w:rPr>
              <w:t>7.5</w:t>
            </w:r>
          </w:p>
        </w:tc>
        <w:tc>
          <w:tcPr>
            <w:tcW w:w="1825" w:type="dxa"/>
            <w:tcBorders>
              <w:top w:val="nil"/>
              <w:left w:val="nil"/>
              <w:bottom w:val="single" w:sz="4" w:space="0" w:color="auto"/>
              <w:right w:val="single" w:sz="4" w:space="0" w:color="auto"/>
            </w:tcBorders>
            <w:shd w:val="clear" w:color="auto" w:fill="auto"/>
            <w:noWrap/>
            <w:vAlign w:val="center"/>
            <w:hideMark/>
          </w:tcPr>
          <w:p w14:paraId="55DD7F2A" w14:textId="74664745" w:rsidR="006043BB" w:rsidRPr="0068052A" w:rsidRDefault="0021258E" w:rsidP="002F327D">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1.3</w:t>
            </w:r>
          </w:p>
        </w:tc>
      </w:tr>
      <w:tr w:rsidR="006043BB" w:rsidRPr="008E4F0D" w14:paraId="2EAEB624" w14:textId="77777777" w:rsidTr="002F327D">
        <w:trPr>
          <w:trHeight w:val="288"/>
        </w:trPr>
        <w:tc>
          <w:tcPr>
            <w:tcW w:w="3055" w:type="dxa"/>
            <w:tcBorders>
              <w:top w:val="nil"/>
              <w:left w:val="single" w:sz="4" w:space="0" w:color="auto"/>
              <w:bottom w:val="single" w:sz="4" w:space="0" w:color="auto"/>
              <w:right w:val="single" w:sz="4" w:space="0" w:color="auto"/>
            </w:tcBorders>
            <w:shd w:val="clear" w:color="auto" w:fill="auto"/>
            <w:noWrap/>
            <w:vAlign w:val="bottom"/>
          </w:tcPr>
          <w:p w14:paraId="55D10E6B" w14:textId="717FB83F" w:rsidR="006043BB" w:rsidRPr="0068052A" w:rsidRDefault="00405EA1" w:rsidP="008E4F0D">
            <w:pPr>
              <w:spacing w:after="0" w:line="240" w:lineRule="auto"/>
              <w:rPr>
                <w:rFonts w:ascii="Calibri" w:eastAsia="Times New Roman" w:hAnsi="Calibri" w:cs="Calibri"/>
                <w:color w:val="000000"/>
                <w:sz w:val="18"/>
                <w:szCs w:val="18"/>
              </w:rPr>
            </w:pPr>
            <w:r w:rsidRPr="0068052A">
              <w:rPr>
                <w:rFonts w:ascii="Calibri" w:eastAsia="Times New Roman" w:hAnsi="Calibri" w:cs="Calibri"/>
                <w:color w:val="000000"/>
                <w:sz w:val="18"/>
                <w:szCs w:val="18"/>
              </w:rPr>
              <w:t>Forest – medium</w:t>
            </w:r>
          </w:p>
        </w:tc>
        <w:tc>
          <w:tcPr>
            <w:tcW w:w="2443" w:type="dxa"/>
            <w:tcBorders>
              <w:top w:val="nil"/>
              <w:left w:val="nil"/>
              <w:bottom w:val="single" w:sz="4" w:space="0" w:color="auto"/>
              <w:right w:val="single" w:sz="4" w:space="0" w:color="auto"/>
            </w:tcBorders>
            <w:shd w:val="clear" w:color="auto" w:fill="auto"/>
            <w:noWrap/>
            <w:vAlign w:val="center"/>
          </w:tcPr>
          <w:p w14:paraId="5022F856" w14:textId="75778C44" w:rsidR="006043BB" w:rsidRPr="0068052A" w:rsidRDefault="006043BB" w:rsidP="002F327D">
            <w:pPr>
              <w:spacing w:after="0" w:line="240" w:lineRule="auto"/>
              <w:jc w:val="center"/>
              <w:rPr>
                <w:rFonts w:ascii="Calibri" w:eastAsia="Times New Roman" w:hAnsi="Calibri" w:cs="Calibri"/>
                <w:color w:val="000000"/>
                <w:sz w:val="18"/>
                <w:szCs w:val="18"/>
              </w:rPr>
            </w:pPr>
            <w:r w:rsidRPr="00E6343F">
              <w:rPr>
                <w:rFonts w:ascii="Calibri" w:eastAsia="Times New Roman" w:hAnsi="Calibri" w:cs="Calibri"/>
                <w:color w:val="000000"/>
                <w:sz w:val="18"/>
                <w:szCs w:val="18"/>
              </w:rPr>
              <w:t>8,623,013</w:t>
            </w:r>
          </w:p>
        </w:tc>
        <w:tc>
          <w:tcPr>
            <w:tcW w:w="1620" w:type="dxa"/>
            <w:tcBorders>
              <w:top w:val="nil"/>
              <w:left w:val="nil"/>
              <w:bottom w:val="single" w:sz="4" w:space="0" w:color="auto"/>
              <w:right w:val="single" w:sz="4" w:space="0" w:color="auto"/>
            </w:tcBorders>
            <w:shd w:val="clear" w:color="auto" w:fill="auto"/>
            <w:noWrap/>
            <w:vAlign w:val="center"/>
          </w:tcPr>
          <w:p w14:paraId="689DD06F" w14:textId="66586CC2" w:rsidR="006043BB" w:rsidRPr="0068052A" w:rsidRDefault="006043BB" w:rsidP="002F327D">
            <w:pPr>
              <w:spacing w:after="0" w:line="240" w:lineRule="auto"/>
              <w:jc w:val="center"/>
              <w:rPr>
                <w:rFonts w:ascii="Calibri" w:eastAsia="Times New Roman" w:hAnsi="Calibri" w:cs="Calibri"/>
                <w:color w:val="000000"/>
                <w:sz w:val="18"/>
                <w:szCs w:val="18"/>
              </w:rPr>
            </w:pPr>
            <w:r w:rsidRPr="00E6343F">
              <w:rPr>
                <w:rFonts w:ascii="Calibri" w:eastAsia="Times New Roman" w:hAnsi="Calibri" w:cs="Calibri"/>
                <w:color w:val="000000"/>
                <w:sz w:val="18"/>
                <w:szCs w:val="18"/>
              </w:rPr>
              <w:t>5.5</w:t>
            </w:r>
          </w:p>
        </w:tc>
        <w:tc>
          <w:tcPr>
            <w:tcW w:w="1825" w:type="dxa"/>
            <w:tcBorders>
              <w:top w:val="nil"/>
              <w:left w:val="nil"/>
              <w:bottom w:val="single" w:sz="4" w:space="0" w:color="auto"/>
              <w:right w:val="single" w:sz="4" w:space="0" w:color="auto"/>
            </w:tcBorders>
            <w:shd w:val="clear" w:color="auto" w:fill="auto"/>
            <w:noWrap/>
            <w:vAlign w:val="center"/>
          </w:tcPr>
          <w:p w14:paraId="09522053" w14:textId="487C8B17" w:rsidR="006043BB" w:rsidRPr="0068052A" w:rsidRDefault="0021258E" w:rsidP="002F327D">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1.6</w:t>
            </w:r>
          </w:p>
        </w:tc>
      </w:tr>
      <w:tr w:rsidR="006043BB" w:rsidRPr="008E4F0D" w14:paraId="4CB389C0" w14:textId="77777777" w:rsidTr="002F327D">
        <w:trPr>
          <w:trHeight w:val="288"/>
        </w:trPr>
        <w:tc>
          <w:tcPr>
            <w:tcW w:w="3055" w:type="dxa"/>
            <w:tcBorders>
              <w:top w:val="nil"/>
              <w:left w:val="single" w:sz="4" w:space="0" w:color="auto"/>
              <w:bottom w:val="single" w:sz="4" w:space="0" w:color="auto"/>
              <w:right w:val="single" w:sz="4" w:space="0" w:color="auto"/>
            </w:tcBorders>
            <w:shd w:val="clear" w:color="auto" w:fill="auto"/>
            <w:noWrap/>
            <w:vAlign w:val="bottom"/>
          </w:tcPr>
          <w:p w14:paraId="1060942A" w14:textId="12B0DF64" w:rsidR="006043BB" w:rsidRPr="0068052A" w:rsidRDefault="00405EA1" w:rsidP="008E4F0D">
            <w:pPr>
              <w:spacing w:after="0" w:line="240" w:lineRule="auto"/>
              <w:rPr>
                <w:rFonts w:ascii="Calibri" w:eastAsia="Times New Roman" w:hAnsi="Calibri" w:cs="Calibri"/>
                <w:color w:val="000000"/>
                <w:sz w:val="18"/>
                <w:szCs w:val="18"/>
              </w:rPr>
            </w:pPr>
            <w:r w:rsidRPr="0068052A">
              <w:rPr>
                <w:rFonts w:ascii="Calibri" w:eastAsia="Times New Roman" w:hAnsi="Calibri" w:cs="Calibri"/>
                <w:color w:val="000000"/>
                <w:sz w:val="18"/>
                <w:szCs w:val="18"/>
              </w:rPr>
              <w:t>Forest - fine</w:t>
            </w:r>
          </w:p>
        </w:tc>
        <w:tc>
          <w:tcPr>
            <w:tcW w:w="2443" w:type="dxa"/>
            <w:tcBorders>
              <w:top w:val="nil"/>
              <w:left w:val="nil"/>
              <w:bottom w:val="single" w:sz="4" w:space="0" w:color="auto"/>
              <w:right w:val="single" w:sz="4" w:space="0" w:color="auto"/>
            </w:tcBorders>
            <w:shd w:val="clear" w:color="auto" w:fill="auto"/>
            <w:noWrap/>
            <w:vAlign w:val="center"/>
          </w:tcPr>
          <w:p w14:paraId="6420DA8F" w14:textId="75D3FC09" w:rsidR="006043BB" w:rsidRPr="0068052A" w:rsidRDefault="006043BB" w:rsidP="002F327D">
            <w:pPr>
              <w:spacing w:after="0" w:line="240" w:lineRule="auto"/>
              <w:jc w:val="center"/>
              <w:rPr>
                <w:rFonts w:ascii="Calibri" w:eastAsia="Times New Roman" w:hAnsi="Calibri" w:cs="Calibri"/>
                <w:color w:val="000000"/>
                <w:sz w:val="18"/>
                <w:szCs w:val="18"/>
              </w:rPr>
            </w:pPr>
            <w:r w:rsidRPr="00E6343F">
              <w:rPr>
                <w:rFonts w:ascii="Calibri" w:eastAsia="Times New Roman" w:hAnsi="Calibri" w:cs="Calibri"/>
                <w:color w:val="000000"/>
                <w:sz w:val="18"/>
                <w:szCs w:val="18"/>
              </w:rPr>
              <w:t>10,840,359</w:t>
            </w:r>
          </w:p>
        </w:tc>
        <w:tc>
          <w:tcPr>
            <w:tcW w:w="1620" w:type="dxa"/>
            <w:tcBorders>
              <w:top w:val="nil"/>
              <w:left w:val="nil"/>
              <w:bottom w:val="single" w:sz="4" w:space="0" w:color="auto"/>
              <w:right w:val="single" w:sz="4" w:space="0" w:color="auto"/>
            </w:tcBorders>
            <w:shd w:val="clear" w:color="auto" w:fill="auto"/>
            <w:noWrap/>
            <w:vAlign w:val="center"/>
          </w:tcPr>
          <w:p w14:paraId="5B6D8ED7" w14:textId="15BC45CA" w:rsidR="006043BB" w:rsidRPr="0068052A" w:rsidRDefault="006043BB" w:rsidP="002F327D">
            <w:pPr>
              <w:spacing w:after="0" w:line="240" w:lineRule="auto"/>
              <w:jc w:val="center"/>
              <w:rPr>
                <w:rFonts w:ascii="Calibri" w:eastAsia="Times New Roman" w:hAnsi="Calibri" w:cs="Calibri"/>
                <w:color w:val="000000"/>
                <w:sz w:val="18"/>
                <w:szCs w:val="18"/>
              </w:rPr>
            </w:pPr>
            <w:r w:rsidRPr="0068052A">
              <w:rPr>
                <w:rFonts w:ascii="Calibri" w:eastAsia="Times New Roman" w:hAnsi="Calibri" w:cs="Calibri"/>
                <w:color w:val="000000"/>
                <w:sz w:val="18"/>
                <w:szCs w:val="18"/>
              </w:rPr>
              <w:t>2.6</w:t>
            </w:r>
          </w:p>
        </w:tc>
        <w:tc>
          <w:tcPr>
            <w:tcW w:w="1825" w:type="dxa"/>
            <w:tcBorders>
              <w:top w:val="nil"/>
              <w:left w:val="nil"/>
              <w:bottom w:val="single" w:sz="4" w:space="0" w:color="auto"/>
              <w:right w:val="single" w:sz="4" w:space="0" w:color="auto"/>
            </w:tcBorders>
            <w:shd w:val="clear" w:color="auto" w:fill="auto"/>
            <w:noWrap/>
            <w:vAlign w:val="center"/>
          </w:tcPr>
          <w:p w14:paraId="150DC7B8" w14:textId="6CF22BDC" w:rsidR="006043BB" w:rsidRPr="0068052A" w:rsidRDefault="0021258E" w:rsidP="002F327D">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0.9</w:t>
            </w:r>
          </w:p>
        </w:tc>
      </w:tr>
      <w:tr w:rsidR="008E4F0D" w:rsidRPr="008E4F0D" w14:paraId="0588D6F9" w14:textId="77777777" w:rsidTr="001A3B5B">
        <w:trPr>
          <w:trHeight w:val="288"/>
        </w:trPr>
        <w:tc>
          <w:tcPr>
            <w:tcW w:w="30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2ED3C" w14:textId="06B2AB17" w:rsidR="008E4F0D" w:rsidRPr="001A3B5B" w:rsidRDefault="00653D26" w:rsidP="001A3B5B">
            <w:pPr>
              <w:spacing w:after="0" w:line="240" w:lineRule="auto"/>
              <w:rPr>
                <w:rFonts w:ascii="Calibri" w:eastAsia="Times New Roman" w:hAnsi="Calibri" w:cs="Calibri"/>
                <w:color w:val="000000"/>
                <w:sz w:val="18"/>
                <w:szCs w:val="18"/>
              </w:rPr>
            </w:pPr>
            <w:r w:rsidRPr="001A3B5B">
              <w:rPr>
                <w:rFonts w:ascii="Calibri" w:eastAsia="Times New Roman" w:hAnsi="Calibri" w:cs="Calibri"/>
                <w:color w:val="000000"/>
                <w:sz w:val="18"/>
                <w:szCs w:val="18"/>
              </w:rPr>
              <w:t>Total</w:t>
            </w:r>
          </w:p>
        </w:tc>
        <w:tc>
          <w:tcPr>
            <w:tcW w:w="24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73EACB" w14:textId="77777777" w:rsidR="008E4F0D" w:rsidRPr="00250DD0" w:rsidRDefault="008E4F0D" w:rsidP="002F327D">
            <w:pPr>
              <w:spacing w:after="0" w:line="240" w:lineRule="auto"/>
              <w:jc w:val="center"/>
              <w:rPr>
                <w:rFonts w:ascii="Calibri" w:eastAsia="Times New Roman" w:hAnsi="Calibri" w:cs="Calibri"/>
                <w:color w:val="000000"/>
                <w:sz w:val="18"/>
                <w:szCs w:val="18"/>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0338FA" w14:textId="77777777" w:rsidR="008E4F0D" w:rsidRPr="00250DD0" w:rsidRDefault="008E4F0D" w:rsidP="002F327D">
            <w:pPr>
              <w:spacing w:after="0" w:line="240" w:lineRule="auto"/>
              <w:jc w:val="center"/>
              <w:rPr>
                <w:rFonts w:ascii="Calibri" w:eastAsia="Times New Roman" w:hAnsi="Calibri" w:cs="Calibri"/>
                <w:color w:val="000000"/>
                <w:sz w:val="18"/>
                <w:szCs w:val="18"/>
              </w:rPr>
            </w:pP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AD9063" w14:textId="33B45830" w:rsidR="008E4F0D" w:rsidRPr="00250DD0" w:rsidRDefault="0021258E" w:rsidP="002F327D">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25.1</w:t>
            </w:r>
          </w:p>
        </w:tc>
      </w:tr>
    </w:tbl>
    <w:p w14:paraId="4DEB1C51" w14:textId="77777777" w:rsidR="00DE3296" w:rsidRDefault="00DE3296" w:rsidP="00DE3296">
      <w:pPr>
        <w:pStyle w:val="Heading1"/>
        <w:numPr>
          <w:ilvl w:val="0"/>
          <w:numId w:val="0"/>
        </w:numPr>
        <w:ind w:left="432" w:hanging="432"/>
        <w:sectPr w:rsidR="00DE3296">
          <w:pgSz w:w="12240" w:h="15840"/>
          <w:pgMar w:top="1440" w:right="1440" w:bottom="1440" w:left="1440" w:header="720" w:footer="720" w:gutter="0"/>
          <w:cols w:space="720"/>
          <w:docGrid w:linePitch="360"/>
        </w:sectPr>
      </w:pPr>
    </w:p>
    <w:p w14:paraId="08BD7A3F" w14:textId="32E672B8" w:rsidR="00530995" w:rsidRDefault="008E77A4" w:rsidP="000B2554">
      <w:pPr>
        <w:pStyle w:val="Heading1"/>
        <w:numPr>
          <w:ilvl w:val="0"/>
          <w:numId w:val="12"/>
        </w:numPr>
      </w:pPr>
      <w:bookmarkStart w:id="200" w:name="_Toc84784385"/>
      <w:r>
        <w:lastRenderedPageBreak/>
        <w:t>Settlements</w:t>
      </w:r>
      <w:bookmarkEnd w:id="200"/>
    </w:p>
    <w:p w14:paraId="1480CDF7" w14:textId="77777777" w:rsidR="0073769E" w:rsidRPr="0073769E" w:rsidRDefault="0073769E" w:rsidP="000B2554">
      <w:pPr>
        <w:pStyle w:val="ListParagraph"/>
        <w:keepNext/>
        <w:keepLines/>
        <w:numPr>
          <w:ilvl w:val="0"/>
          <w:numId w:val="8"/>
        </w:numPr>
        <w:spacing w:before="240" w:after="0"/>
        <w:contextualSpacing w:val="0"/>
        <w:outlineLvl w:val="0"/>
        <w:rPr>
          <w:rFonts w:asciiTheme="majorHAnsi" w:eastAsiaTheme="majorEastAsia" w:hAnsiTheme="majorHAnsi" w:cstheme="majorBidi"/>
          <w:vanish/>
          <w:color w:val="2E74B5" w:themeColor="accent1" w:themeShade="BF"/>
          <w:sz w:val="32"/>
          <w:szCs w:val="32"/>
        </w:rPr>
      </w:pPr>
      <w:bookmarkStart w:id="201" w:name="_Toc5291955"/>
      <w:bookmarkStart w:id="202" w:name="_Toc5292160"/>
      <w:bookmarkStart w:id="203" w:name="_Toc5292180"/>
      <w:bookmarkStart w:id="204" w:name="_Toc5292200"/>
      <w:bookmarkStart w:id="205" w:name="_Toc5292228"/>
      <w:bookmarkStart w:id="206" w:name="_Toc5291956"/>
      <w:bookmarkStart w:id="207" w:name="_Toc5292161"/>
      <w:bookmarkStart w:id="208" w:name="_Toc5292181"/>
      <w:bookmarkStart w:id="209" w:name="_Toc5292201"/>
      <w:bookmarkStart w:id="210" w:name="_Toc5292229"/>
      <w:bookmarkStart w:id="211" w:name="_Toc5828604"/>
      <w:bookmarkStart w:id="212" w:name="_Toc5828651"/>
      <w:bookmarkStart w:id="213" w:name="_Toc5828832"/>
      <w:bookmarkStart w:id="214" w:name="_Toc5268948"/>
      <w:bookmarkStart w:id="215" w:name="_Toc5269021"/>
      <w:bookmarkStart w:id="216" w:name="_Toc5291583"/>
      <w:bookmarkStart w:id="217" w:name="_Toc5291650"/>
      <w:bookmarkStart w:id="218" w:name="_Toc5291689"/>
      <w:bookmarkStart w:id="219" w:name="_Toc5291720"/>
      <w:bookmarkStart w:id="220" w:name="_Toc5291772"/>
      <w:bookmarkStart w:id="221" w:name="_Toc5291808"/>
      <w:bookmarkStart w:id="222" w:name="_Toc5291855"/>
      <w:bookmarkStart w:id="223" w:name="_Toc5291884"/>
      <w:bookmarkStart w:id="224" w:name="_Toc5291957"/>
      <w:bookmarkStart w:id="225" w:name="_Toc5292162"/>
      <w:bookmarkStart w:id="226" w:name="_Toc5292182"/>
      <w:bookmarkStart w:id="227" w:name="_Toc5292202"/>
      <w:bookmarkStart w:id="228" w:name="_Toc5292230"/>
      <w:bookmarkStart w:id="229" w:name="_Toc5828605"/>
      <w:bookmarkStart w:id="230" w:name="_Toc5828652"/>
      <w:bookmarkStart w:id="231" w:name="_Toc5828833"/>
      <w:bookmarkStart w:id="232" w:name="_Toc5893046"/>
      <w:bookmarkStart w:id="233" w:name="_Toc5893164"/>
      <w:bookmarkStart w:id="234" w:name="_Toc5915398"/>
      <w:bookmarkStart w:id="235" w:name="_Toc14186107"/>
      <w:bookmarkStart w:id="236" w:name="_Toc14188344"/>
      <w:bookmarkStart w:id="237" w:name="_Toc15908789"/>
      <w:bookmarkStart w:id="238" w:name="_Toc15908802"/>
      <w:bookmarkStart w:id="239" w:name="_Toc17461603"/>
      <w:bookmarkStart w:id="240" w:name="_Toc17462133"/>
      <w:bookmarkStart w:id="241" w:name="_Toc17462445"/>
      <w:bookmarkStart w:id="242" w:name="_Toc17462479"/>
      <w:bookmarkStart w:id="243" w:name="_Toc17462492"/>
      <w:bookmarkStart w:id="244" w:name="_Toc28703419"/>
      <w:bookmarkStart w:id="245" w:name="_Toc67835470"/>
      <w:bookmarkStart w:id="246" w:name="_Toc67835571"/>
      <w:bookmarkStart w:id="247" w:name="_Toc67835675"/>
      <w:bookmarkStart w:id="248" w:name="_Toc67835738"/>
      <w:bookmarkStart w:id="249" w:name="_Toc82430804"/>
      <w:bookmarkStart w:id="250" w:name="_Toc82446765"/>
      <w:bookmarkStart w:id="251" w:name="_Toc82892401"/>
      <w:bookmarkStart w:id="252" w:name="_Toc84605777"/>
      <w:bookmarkStart w:id="253" w:name="_Toc84784386"/>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5D945DC4" w14:textId="047FB7E7" w:rsidR="00ED4794" w:rsidRPr="00E6714E" w:rsidRDefault="00195F4D" w:rsidP="000B2554">
      <w:pPr>
        <w:pStyle w:val="Heading2"/>
        <w:numPr>
          <w:ilvl w:val="1"/>
          <w:numId w:val="9"/>
        </w:numPr>
        <w:spacing w:before="240"/>
      </w:pPr>
      <w:r>
        <w:t xml:space="preserve"> Carbon stock change in</w:t>
      </w:r>
      <w:r w:rsidR="00ED4794" w:rsidRPr="00062803">
        <w:t xml:space="preserve"> </w:t>
      </w:r>
      <w:r>
        <w:t>u</w:t>
      </w:r>
      <w:r w:rsidR="00ED4794" w:rsidRPr="00062803">
        <w:t>rban trees</w:t>
      </w:r>
    </w:p>
    <w:p w14:paraId="1FDE1620" w14:textId="58346309" w:rsidR="00ED4794" w:rsidRPr="00DE3296" w:rsidRDefault="00ED4794" w:rsidP="00DE3296">
      <w:pPr>
        <w:pStyle w:val="2-Header"/>
        <w:numPr>
          <w:ilvl w:val="0"/>
          <w:numId w:val="0"/>
        </w:numPr>
        <w:spacing w:before="240"/>
        <w:rPr>
          <w:rStyle w:val="Strong"/>
          <w:b w:val="0"/>
        </w:rPr>
      </w:pPr>
      <w:r w:rsidRPr="00DE3296">
        <w:rPr>
          <w:rStyle w:val="Strong"/>
          <w:b w:val="0"/>
        </w:rPr>
        <w:t>NGHGI Methods</w:t>
      </w:r>
    </w:p>
    <w:p w14:paraId="26038F03" w14:textId="21C9FAAD" w:rsidR="00ED4794" w:rsidRDefault="00ED4794" w:rsidP="00ED4794">
      <w:r>
        <w:t xml:space="preserve">Carbon stock change in urban trees is the </w:t>
      </w:r>
      <w:r w:rsidR="008F4C88">
        <w:t xml:space="preserve">largest LULUCF </w:t>
      </w:r>
      <w:r w:rsidR="00506F72">
        <w:t>GHG flux</w:t>
      </w:r>
      <w:r>
        <w:t xml:space="preserve"> from Settlements, as reported in the NGHGI</w:t>
      </w:r>
      <w:r w:rsidR="00506F72">
        <w:t xml:space="preserve"> (2018)</w:t>
      </w:r>
      <w:r>
        <w:t xml:space="preserve">. This estimate is calculated for each state using a combination of state-level and nationally averaged values. </w:t>
      </w:r>
    </w:p>
    <w:p w14:paraId="71922135" w14:textId="7A5F4D6D" w:rsidR="00ED4794" w:rsidRDefault="00ED4794" w:rsidP="00ED4794">
      <w:r>
        <w:t>Determining the amount of land classified as “settlement” is a challenging component</w:t>
      </w:r>
      <w:r w:rsidR="008F4C88">
        <w:t xml:space="preserve"> of</w:t>
      </w:r>
      <w:r>
        <w:t xml:space="preserve"> </w:t>
      </w:r>
      <w:r w:rsidR="008F4C88">
        <w:t xml:space="preserve">this </w:t>
      </w:r>
      <w:r>
        <w:t>calculat</w:t>
      </w:r>
      <w:r w:rsidR="008F4C88">
        <w:t>ion</w:t>
      </w:r>
      <w:r w:rsidR="00734504">
        <w:t>. NRI</w:t>
      </w:r>
      <w:r>
        <w:t xml:space="preserve"> provides an estimate of settlement area,</w:t>
      </w:r>
      <w:r w:rsidR="008F4C88">
        <w:t xml:space="preserve"> </w:t>
      </w:r>
      <w:r>
        <w:t>but because this dataset has not been updated since 2012</w:t>
      </w:r>
      <w:r w:rsidR="00506F72">
        <w:t xml:space="preserve"> as of the 2018 NGHGI</w:t>
      </w:r>
      <w:r>
        <w:t xml:space="preserve">, </w:t>
      </w:r>
      <w:r w:rsidR="008F4C88">
        <w:t xml:space="preserve">NLCD </w:t>
      </w:r>
      <w:r>
        <w:t>settlement area is utilized for</w:t>
      </w:r>
      <w:r w:rsidR="008F4C88">
        <w:t xml:space="preserve"> urban tree calculations after </w:t>
      </w:r>
      <w:r>
        <w:t>2012. For t</w:t>
      </w:r>
      <w:r w:rsidR="00734504">
        <w:t>he 2018 NGHGI</w:t>
      </w:r>
      <w:r>
        <w:t xml:space="preserve"> and for the </w:t>
      </w:r>
      <w:r w:rsidR="008F4C88">
        <w:t xml:space="preserve">methods </w:t>
      </w:r>
      <w:r>
        <w:t>described here, classifications of urban area, as defined by population density from the U</w:t>
      </w:r>
      <w:r w:rsidR="007D6D6E">
        <w:t>.</w:t>
      </w:r>
      <w:r>
        <w:t>S</w:t>
      </w:r>
      <w:r w:rsidR="007D6D6E">
        <w:t>.</w:t>
      </w:r>
      <w:r>
        <w:t xml:space="preserve"> Census Bureau, were used as a proxy for settlement area. Starting in the 2019 </w:t>
      </w:r>
      <w:r w:rsidR="00734504">
        <w:t>NGHGI</w:t>
      </w:r>
      <w:r>
        <w:t>, however, settle</w:t>
      </w:r>
      <w:r w:rsidR="008F4C88">
        <w:t>ment</w:t>
      </w:r>
      <w:r>
        <w:t xml:space="preserve"> area was determined using both satellite images of tree cover and the </w:t>
      </w:r>
      <w:r w:rsidR="00734504">
        <w:t>NLCD</w:t>
      </w:r>
      <w:r w:rsidRPr="00EC482C">
        <w:t>.</w:t>
      </w:r>
      <w:r>
        <w:t xml:space="preserve"> This change</w:t>
      </w:r>
      <w:r w:rsidR="008F4C88">
        <w:t xml:space="preserve"> significantly increased the area included in urban tree calculations (Table </w:t>
      </w:r>
      <w:r w:rsidR="007D6D6E">
        <w:t>2</w:t>
      </w:r>
      <w:r w:rsidR="008F4C88">
        <w:t>-29)</w:t>
      </w:r>
      <w:r>
        <w:t xml:space="preserve">. </w:t>
      </w:r>
    </w:p>
    <w:p w14:paraId="313FF0BC" w14:textId="32E07654" w:rsidR="00F301B1" w:rsidRPr="00EC482C" w:rsidRDefault="00F301B1" w:rsidP="00F301B1">
      <w:pPr>
        <w:pStyle w:val="Caption"/>
        <w:keepNext/>
        <w:rPr>
          <w:b/>
          <w:sz w:val="22"/>
          <w:szCs w:val="22"/>
        </w:rPr>
      </w:pPr>
      <w:bookmarkStart w:id="254" w:name="_Ref5104576"/>
      <w:r w:rsidRPr="00EC482C">
        <w:rPr>
          <w:b/>
          <w:sz w:val="22"/>
          <w:szCs w:val="22"/>
        </w:rPr>
        <w:t xml:space="preserve">Table </w:t>
      </w:r>
      <w:bookmarkEnd w:id="254"/>
      <w:r w:rsidR="007D6D6E">
        <w:rPr>
          <w:b/>
          <w:sz w:val="22"/>
          <w:szCs w:val="22"/>
        </w:rPr>
        <w:t>2</w:t>
      </w:r>
      <w:r w:rsidR="005F6840">
        <w:rPr>
          <w:b/>
          <w:sz w:val="22"/>
          <w:szCs w:val="22"/>
        </w:rPr>
        <w:t>-</w:t>
      </w:r>
      <w:r w:rsidR="00EC482C">
        <w:rPr>
          <w:b/>
          <w:sz w:val="22"/>
          <w:szCs w:val="22"/>
        </w:rPr>
        <w:t>2</w:t>
      </w:r>
      <w:r w:rsidR="008F4C88">
        <w:rPr>
          <w:b/>
          <w:sz w:val="22"/>
          <w:szCs w:val="22"/>
        </w:rPr>
        <w:t>9</w:t>
      </w:r>
      <w:r w:rsidRPr="00EC482C">
        <w:rPr>
          <w:b/>
          <w:sz w:val="22"/>
          <w:szCs w:val="22"/>
        </w:rPr>
        <w:t>: Comparison of settlement land area classifications</w:t>
      </w:r>
      <w:r w:rsidR="008F4C88">
        <w:rPr>
          <w:b/>
          <w:sz w:val="22"/>
          <w:szCs w:val="22"/>
        </w:rPr>
        <w:t xml:space="preserve"> for urban tree GHG flux</w:t>
      </w:r>
      <w:r w:rsidR="00AF05A3" w:rsidRPr="00EC482C">
        <w:rPr>
          <w:b/>
          <w:sz w:val="22"/>
          <w:szCs w:val="22"/>
        </w:rPr>
        <w:t xml:space="preserve"> (NGHGI, 2018)</w:t>
      </w:r>
    </w:p>
    <w:tbl>
      <w:tblPr>
        <w:tblW w:w="8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7"/>
        <w:gridCol w:w="2158"/>
        <w:gridCol w:w="2157"/>
        <w:gridCol w:w="2158"/>
      </w:tblGrid>
      <w:tr w:rsidR="00ED4794" w:rsidRPr="00CB3381" w14:paraId="5676E729" w14:textId="77777777" w:rsidTr="00764B5B">
        <w:trPr>
          <w:trHeight w:val="451"/>
        </w:trPr>
        <w:tc>
          <w:tcPr>
            <w:tcW w:w="2157"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6A7DD92" w14:textId="77777777" w:rsidR="00ED4794" w:rsidRDefault="00ED4794" w:rsidP="00EC482C">
            <w:pPr>
              <w:spacing w:after="0" w:line="240" w:lineRule="auto"/>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Land area definition</w:t>
            </w:r>
          </w:p>
        </w:tc>
        <w:tc>
          <w:tcPr>
            <w:tcW w:w="2158"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60EBF81D" w14:textId="5CF713A4" w:rsidR="00ED4794" w:rsidRPr="00764B5B" w:rsidRDefault="00ED4794" w:rsidP="00EC482C">
            <w:pPr>
              <w:spacing w:after="0" w:line="240" w:lineRule="auto"/>
              <w:jc w:val="center"/>
              <w:rPr>
                <w:rFonts w:ascii="Calibri" w:eastAsia="Times New Roman" w:hAnsi="Calibri" w:cs="Calibri"/>
                <w:b/>
                <w:color w:val="000000"/>
                <w:sz w:val="18"/>
                <w:szCs w:val="18"/>
              </w:rPr>
            </w:pPr>
            <w:r w:rsidRPr="00764B5B">
              <w:rPr>
                <w:rFonts w:ascii="Calibri" w:eastAsia="Times New Roman" w:hAnsi="Calibri" w:cs="Calibri"/>
                <w:b/>
                <w:color w:val="000000"/>
                <w:sz w:val="18"/>
                <w:szCs w:val="18"/>
              </w:rPr>
              <w:t>Settlement</w:t>
            </w:r>
          </w:p>
        </w:tc>
        <w:tc>
          <w:tcPr>
            <w:tcW w:w="2157"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579A54B7" w14:textId="77777777" w:rsidR="00ED4794" w:rsidRPr="00764B5B" w:rsidRDefault="00ED4794" w:rsidP="00EC482C">
            <w:pPr>
              <w:spacing w:after="0" w:line="240" w:lineRule="auto"/>
              <w:jc w:val="center"/>
              <w:rPr>
                <w:rFonts w:ascii="Calibri" w:eastAsia="Times New Roman" w:hAnsi="Calibri" w:cs="Calibri"/>
                <w:b/>
                <w:color w:val="000000"/>
                <w:sz w:val="18"/>
                <w:szCs w:val="18"/>
              </w:rPr>
            </w:pPr>
            <w:r w:rsidRPr="00764B5B">
              <w:rPr>
                <w:rFonts w:ascii="Calibri" w:eastAsia="Times New Roman" w:hAnsi="Calibri" w:cs="Calibri"/>
                <w:b/>
                <w:color w:val="000000"/>
                <w:sz w:val="18"/>
                <w:szCs w:val="18"/>
              </w:rPr>
              <w:t>Developed</w:t>
            </w:r>
          </w:p>
        </w:tc>
        <w:tc>
          <w:tcPr>
            <w:tcW w:w="2158"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56B0C4B3" w14:textId="77777777" w:rsidR="00ED4794" w:rsidRPr="00764B5B" w:rsidRDefault="00ED4794" w:rsidP="00EC482C">
            <w:pPr>
              <w:spacing w:after="0" w:line="240" w:lineRule="auto"/>
              <w:jc w:val="center"/>
              <w:rPr>
                <w:rFonts w:ascii="Calibri" w:eastAsia="Times New Roman" w:hAnsi="Calibri" w:cs="Calibri"/>
                <w:b/>
                <w:color w:val="000000"/>
                <w:sz w:val="18"/>
                <w:szCs w:val="18"/>
              </w:rPr>
            </w:pPr>
            <w:r w:rsidRPr="00764B5B">
              <w:rPr>
                <w:rFonts w:ascii="Calibri" w:eastAsia="Times New Roman" w:hAnsi="Calibri" w:cs="Calibri"/>
                <w:b/>
                <w:color w:val="000000"/>
                <w:sz w:val="18"/>
                <w:szCs w:val="18"/>
              </w:rPr>
              <w:t>Urban</w:t>
            </w:r>
          </w:p>
        </w:tc>
      </w:tr>
      <w:tr w:rsidR="00ED4794" w:rsidRPr="00EA4DA0" w14:paraId="2CFF1EAC" w14:textId="77777777" w:rsidTr="00EC482C">
        <w:trPr>
          <w:trHeight w:val="566"/>
        </w:trPr>
        <w:tc>
          <w:tcPr>
            <w:tcW w:w="2157" w:type="dxa"/>
            <w:tcBorders>
              <w:top w:val="single" w:sz="4" w:space="0" w:color="auto"/>
              <w:left w:val="single" w:sz="4" w:space="0" w:color="auto"/>
              <w:bottom w:val="single" w:sz="4" w:space="0" w:color="auto"/>
              <w:right w:val="single" w:sz="4" w:space="0" w:color="auto"/>
            </w:tcBorders>
            <w:vAlign w:val="center"/>
          </w:tcPr>
          <w:p w14:paraId="2A8EEB75" w14:textId="77777777" w:rsidR="00ED4794" w:rsidRPr="00C9416F" w:rsidRDefault="00ED4794" w:rsidP="00EC482C">
            <w:pPr>
              <w:spacing w:after="0" w:line="240" w:lineRule="auto"/>
              <w:rPr>
                <w:rFonts w:ascii="Calibri" w:eastAsia="Times New Roman" w:hAnsi="Calibri" w:cs="Calibri"/>
                <w:b/>
                <w:color w:val="000000"/>
                <w:sz w:val="18"/>
                <w:szCs w:val="18"/>
              </w:rPr>
            </w:pPr>
            <w:r w:rsidRPr="00C9416F">
              <w:rPr>
                <w:rFonts w:ascii="Calibri" w:eastAsia="Times New Roman" w:hAnsi="Calibri" w:cs="Calibri"/>
                <w:b/>
                <w:color w:val="000000"/>
                <w:sz w:val="18"/>
                <w:szCs w:val="18"/>
              </w:rPr>
              <w:t>Source</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EBBFFE" w14:textId="77777777" w:rsidR="00ED4794" w:rsidRPr="00EA4DA0" w:rsidRDefault="00ED4794" w:rsidP="00EC482C">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National Resources Inventory (NRI), 2011</w:t>
            </w:r>
          </w:p>
        </w:tc>
        <w:tc>
          <w:tcPr>
            <w:tcW w:w="21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3160F8" w14:textId="77777777" w:rsidR="00ED4794" w:rsidRPr="00EA4DA0" w:rsidRDefault="00ED4794" w:rsidP="00EC482C">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National Land Cover Dataset (NLCD), 2011</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61E0F0" w14:textId="74B71207" w:rsidR="00ED4794" w:rsidRPr="00EA4DA0" w:rsidRDefault="00ED4794" w:rsidP="00EC482C">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U</w:t>
            </w:r>
            <w:r w:rsidR="007D6D6E">
              <w:rPr>
                <w:rFonts w:ascii="Calibri" w:eastAsia="Times New Roman" w:hAnsi="Calibri" w:cs="Calibri"/>
                <w:color w:val="000000"/>
                <w:sz w:val="18"/>
                <w:szCs w:val="18"/>
              </w:rPr>
              <w:t>.</w:t>
            </w:r>
            <w:r>
              <w:rPr>
                <w:rFonts w:ascii="Calibri" w:eastAsia="Times New Roman" w:hAnsi="Calibri" w:cs="Calibri"/>
                <w:color w:val="000000"/>
                <w:sz w:val="18"/>
                <w:szCs w:val="18"/>
              </w:rPr>
              <w:t>S</w:t>
            </w:r>
            <w:r w:rsidR="007D6D6E">
              <w:rPr>
                <w:rFonts w:ascii="Calibri" w:eastAsia="Times New Roman" w:hAnsi="Calibri" w:cs="Calibri"/>
                <w:color w:val="000000"/>
                <w:sz w:val="18"/>
                <w:szCs w:val="18"/>
              </w:rPr>
              <w:t>.</w:t>
            </w:r>
            <w:r>
              <w:rPr>
                <w:rFonts w:ascii="Calibri" w:eastAsia="Times New Roman" w:hAnsi="Calibri" w:cs="Calibri"/>
                <w:color w:val="000000"/>
                <w:sz w:val="18"/>
                <w:szCs w:val="18"/>
              </w:rPr>
              <w:t xml:space="preserve"> Census based on population area, 2010</w:t>
            </w:r>
          </w:p>
        </w:tc>
      </w:tr>
      <w:tr w:rsidR="00ED4794" w:rsidRPr="00EA4DA0" w14:paraId="3D817468" w14:textId="77777777" w:rsidTr="00EC482C">
        <w:trPr>
          <w:trHeight w:val="451"/>
        </w:trPr>
        <w:tc>
          <w:tcPr>
            <w:tcW w:w="2157" w:type="dxa"/>
            <w:tcBorders>
              <w:top w:val="single" w:sz="4" w:space="0" w:color="auto"/>
              <w:left w:val="single" w:sz="4" w:space="0" w:color="auto"/>
              <w:bottom w:val="single" w:sz="4" w:space="0" w:color="auto"/>
              <w:right w:val="single" w:sz="4" w:space="0" w:color="auto"/>
            </w:tcBorders>
            <w:vAlign w:val="center"/>
          </w:tcPr>
          <w:p w14:paraId="52486AE6" w14:textId="45FF8831" w:rsidR="00ED4794" w:rsidRPr="00C9416F" w:rsidRDefault="00ED4794" w:rsidP="00D35EC2">
            <w:pPr>
              <w:spacing w:after="0" w:line="240" w:lineRule="auto"/>
              <w:rPr>
                <w:rFonts w:ascii="Calibri" w:eastAsia="Times New Roman" w:hAnsi="Calibri" w:cs="Calibri"/>
                <w:b/>
                <w:color w:val="000000"/>
                <w:sz w:val="18"/>
                <w:szCs w:val="18"/>
              </w:rPr>
            </w:pPr>
            <w:r>
              <w:rPr>
                <w:rFonts w:ascii="Calibri" w:eastAsia="Times New Roman" w:hAnsi="Calibri" w:cs="Calibri"/>
                <w:b/>
                <w:color w:val="000000"/>
                <w:sz w:val="18"/>
                <w:szCs w:val="18"/>
              </w:rPr>
              <w:t xml:space="preserve">Inventory </w:t>
            </w:r>
            <w:r w:rsidR="008F4C88">
              <w:rPr>
                <w:rFonts w:ascii="Calibri" w:eastAsia="Times New Roman" w:hAnsi="Calibri" w:cs="Calibri"/>
                <w:b/>
                <w:color w:val="000000"/>
                <w:sz w:val="18"/>
                <w:szCs w:val="18"/>
              </w:rPr>
              <w:t>Report</w:t>
            </w:r>
            <w:r>
              <w:rPr>
                <w:rFonts w:ascii="Calibri" w:eastAsia="Times New Roman" w:hAnsi="Calibri" w:cs="Calibri"/>
                <w:b/>
                <w:color w:val="000000"/>
                <w:sz w:val="18"/>
                <w:szCs w:val="18"/>
              </w:rPr>
              <w:t>(s) Used</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39DF28" w14:textId="77189B96" w:rsidR="00ED4794" w:rsidRPr="001B71D1" w:rsidRDefault="00ED4794" w:rsidP="009323DC">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Land Representation, all </w:t>
            </w:r>
            <w:r w:rsidR="008F4C88">
              <w:rPr>
                <w:rFonts w:ascii="Calibri" w:eastAsia="Times New Roman" w:hAnsi="Calibri" w:cs="Calibri"/>
                <w:color w:val="000000"/>
                <w:sz w:val="18"/>
                <w:szCs w:val="18"/>
              </w:rPr>
              <w:t>reports</w:t>
            </w:r>
          </w:p>
        </w:tc>
        <w:tc>
          <w:tcPr>
            <w:tcW w:w="21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32E710" w14:textId="77777777" w:rsidR="00ED4794" w:rsidRPr="001B71D1" w:rsidRDefault="00ED4794" w:rsidP="00EC482C">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2019 Publication year</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70901" w14:textId="0615B6E4" w:rsidR="00ED4794" w:rsidRPr="001B71D1" w:rsidRDefault="00ED4794" w:rsidP="00D35EC2">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2018 Publication year and </w:t>
            </w:r>
            <w:r w:rsidR="008F4C88">
              <w:rPr>
                <w:rFonts w:ascii="Calibri" w:eastAsia="Times New Roman" w:hAnsi="Calibri" w:cs="Calibri"/>
                <w:color w:val="000000"/>
                <w:sz w:val="18"/>
                <w:szCs w:val="18"/>
              </w:rPr>
              <w:t>earlier</w:t>
            </w:r>
          </w:p>
        </w:tc>
      </w:tr>
      <w:tr w:rsidR="00ED4794" w:rsidRPr="00EA4DA0" w14:paraId="2C7CB493" w14:textId="77777777" w:rsidTr="00EC482C">
        <w:trPr>
          <w:trHeight w:val="451"/>
        </w:trPr>
        <w:tc>
          <w:tcPr>
            <w:tcW w:w="2157" w:type="dxa"/>
            <w:tcBorders>
              <w:top w:val="single" w:sz="4" w:space="0" w:color="auto"/>
              <w:left w:val="single" w:sz="4" w:space="0" w:color="auto"/>
              <w:bottom w:val="single" w:sz="4" w:space="0" w:color="auto"/>
              <w:right w:val="single" w:sz="4" w:space="0" w:color="auto"/>
            </w:tcBorders>
            <w:vAlign w:val="center"/>
          </w:tcPr>
          <w:p w14:paraId="2A5B9C2A" w14:textId="77777777" w:rsidR="00ED4794" w:rsidRPr="00C9416F" w:rsidRDefault="00ED4794" w:rsidP="00EC482C">
            <w:pPr>
              <w:spacing w:after="0" w:line="240" w:lineRule="auto"/>
              <w:rPr>
                <w:rFonts w:ascii="Calibri" w:eastAsia="Times New Roman" w:hAnsi="Calibri" w:cs="Calibri"/>
                <w:b/>
                <w:color w:val="000000"/>
                <w:sz w:val="18"/>
                <w:szCs w:val="18"/>
              </w:rPr>
            </w:pPr>
            <w:r w:rsidRPr="00C9416F">
              <w:rPr>
                <w:rFonts w:ascii="Calibri" w:eastAsia="Times New Roman" w:hAnsi="Calibri" w:cs="Calibri"/>
                <w:b/>
                <w:color w:val="000000"/>
                <w:sz w:val="18"/>
                <w:szCs w:val="18"/>
              </w:rPr>
              <w:t>Hectares</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82BDB1" w14:textId="77777777" w:rsidR="00ED4794" w:rsidRPr="00EA4DA0" w:rsidRDefault="00ED4794" w:rsidP="00EC482C">
            <w:pPr>
              <w:spacing w:after="0" w:line="240" w:lineRule="auto"/>
              <w:jc w:val="center"/>
              <w:rPr>
                <w:rFonts w:ascii="Calibri" w:eastAsia="Times New Roman" w:hAnsi="Calibri" w:cs="Calibri"/>
                <w:color w:val="000000"/>
                <w:sz w:val="18"/>
                <w:szCs w:val="18"/>
              </w:rPr>
            </w:pPr>
            <w:r w:rsidRPr="001B71D1">
              <w:rPr>
                <w:rFonts w:ascii="Calibri" w:eastAsia="Times New Roman" w:hAnsi="Calibri" w:cs="Calibri"/>
                <w:color w:val="000000"/>
                <w:sz w:val="18"/>
                <w:szCs w:val="18"/>
              </w:rPr>
              <w:t>42,519,645</w:t>
            </w:r>
          </w:p>
        </w:tc>
        <w:tc>
          <w:tcPr>
            <w:tcW w:w="21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B3FF41" w14:textId="77777777" w:rsidR="00ED4794" w:rsidRPr="00EA4DA0" w:rsidRDefault="00ED4794" w:rsidP="00EC482C">
            <w:pPr>
              <w:spacing w:after="0" w:line="240" w:lineRule="auto"/>
              <w:jc w:val="center"/>
              <w:rPr>
                <w:rFonts w:ascii="Calibri" w:eastAsia="Times New Roman" w:hAnsi="Calibri" w:cs="Calibri"/>
                <w:color w:val="000000"/>
                <w:sz w:val="18"/>
                <w:szCs w:val="18"/>
              </w:rPr>
            </w:pPr>
            <w:r w:rsidRPr="001B71D1">
              <w:rPr>
                <w:rFonts w:ascii="Calibri" w:eastAsia="Times New Roman" w:hAnsi="Calibri" w:cs="Calibri"/>
                <w:color w:val="000000"/>
                <w:sz w:val="18"/>
                <w:szCs w:val="18"/>
              </w:rPr>
              <w:t>45,411,098</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40CD2" w14:textId="77777777" w:rsidR="00ED4794" w:rsidRPr="00EA4DA0" w:rsidRDefault="00ED4794" w:rsidP="00EC482C">
            <w:pPr>
              <w:spacing w:after="0" w:line="240" w:lineRule="auto"/>
              <w:jc w:val="center"/>
              <w:rPr>
                <w:rFonts w:ascii="Calibri" w:eastAsia="Times New Roman" w:hAnsi="Calibri" w:cs="Calibri"/>
                <w:color w:val="000000"/>
                <w:sz w:val="18"/>
                <w:szCs w:val="18"/>
              </w:rPr>
            </w:pPr>
            <w:r w:rsidRPr="001B71D1">
              <w:rPr>
                <w:rFonts w:ascii="Calibri" w:eastAsia="Times New Roman" w:hAnsi="Calibri" w:cs="Calibri"/>
                <w:color w:val="000000"/>
                <w:sz w:val="18"/>
                <w:szCs w:val="18"/>
              </w:rPr>
              <w:t>27,347,901</w:t>
            </w:r>
          </w:p>
        </w:tc>
      </w:tr>
    </w:tbl>
    <w:p w14:paraId="47282E8A" w14:textId="77777777" w:rsidR="00ED4794" w:rsidRDefault="00ED4794" w:rsidP="00ED4794"/>
    <w:p w14:paraId="2A779F41" w14:textId="6828455C" w:rsidR="00ED4794" w:rsidRPr="00210381" w:rsidRDefault="00ED4794" w:rsidP="00ED4794">
      <w:r>
        <w:t>Once settlement area is estimated, state-level average urban tree cover percentages are derived. For the 201</w:t>
      </w:r>
      <w:r w:rsidR="00AF05A3">
        <w:t>8 NGHGI</w:t>
      </w:r>
      <w:r>
        <w:t xml:space="preserve"> and previous inventories, values were taken from Nowak and Greenfield (2013) for each state, combining the values designated as “Urban” and “Community” areas in </w:t>
      </w:r>
      <w:r w:rsidR="00A9645A">
        <w:t>t</w:t>
      </w:r>
      <w:r>
        <w:t xml:space="preserve">able 1 of Nowak and Greenfield (2013). For the 2019 NGHGI and moving forward, NLCD is used to estimate settlement area by aggregating NLCD classifications of “open space”, “low intensity”, “medium intensity”, and “high intensity” by state. These </w:t>
      </w:r>
      <w:r w:rsidR="00AF05A3">
        <w:t>sum to</w:t>
      </w:r>
      <w:r>
        <w:t xml:space="preserve"> </w:t>
      </w:r>
      <m:oMath>
        <m:sSubSup>
          <m:sSubSupPr>
            <m:ctrlPr>
              <w:rPr>
                <w:rFonts w:ascii="Cambria Math" w:hAnsi="Cambria Math"/>
                <w:i/>
              </w:rPr>
            </m:ctrlPr>
          </m:sSubSupPr>
          <m:e>
            <m:r>
              <w:rPr>
                <w:rFonts w:ascii="Cambria Math" w:hAnsi="Cambria Math"/>
              </w:rPr>
              <m:t>TC</m:t>
            </m:r>
          </m:e>
          <m:sub>
            <m:r>
              <w:rPr>
                <w:rFonts w:ascii="Cambria Math" w:hAnsi="Cambria Math"/>
              </w:rPr>
              <m:t>s</m:t>
            </m:r>
          </m:sub>
          <m:sup>
            <m:r>
              <w:rPr>
                <w:rFonts w:ascii="Cambria Math" w:hAnsi="Cambria Math"/>
              </w:rPr>
              <m:t>NLCD</m:t>
            </m:r>
          </m:sup>
        </m:sSubSup>
      </m:oMath>
      <w:r>
        <w:t xml:space="preserve"> in </w:t>
      </w:r>
      <w:r w:rsidR="00734504" w:rsidRPr="00EC482C">
        <w:fldChar w:fldCharType="begin"/>
      </w:r>
      <w:r w:rsidR="00734504" w:rsidRPr="00EC482C">
        <w:instrText xml:space="preserve"> REF _Ref5104625 \h  \* MERGEFORMAT </w:instrText>
      </w:r>
      <w:r w:rsidR="00734504" w:rsidRPr="00EC482C">
        <w:fldChar w:fldCharType="separate"/>
      </w:r>
      <w:r w:rsidR="00FB4CFE" w:rsidRPr="00FB4CFE">
        <w:t xml:space="preserve">Equation </w:t>
      </w:r>
      <w:r w:rsidR="007D6D6E">
        <w:t>2</w:t>
      </w:r>
      <w:r w:rsidR="00684A1C">
        <w:t>-</w:t>
      </w:r>
      <w:r w:rsidR="00FB4CFE" w:rsidRPr="00FB4CFE">
        <w:rPr>
          <w:noProof/>
        </w:rPr>
        <w:t>5</w:t>
      </w:r>
      <w:r w:rsidR="00734504" w:rsidRPr="00EC482C">
        <w:fldChar w:fldCharType="end"/>
      </w:r>
      <w:r w:rsidR="00734504" w:rsidRPr="00EC482C">
        <w:t>.</w:t>
      </w:r>
      <w:r>
        <w:t xml:space="preserve"> Because NLCD has been </w:t>
      </w:r>
      <w:r w:rsidR="008F4C88">
        <w:t xml:space="preserve">found </w:t>
      </w:r>
      <w:r>
        <w:t>to underestimate tree cover (Nowak and Greenfield</w:t>
      </w:r>
      <w:r w:rsidR="00734504">
        <w:t>,</w:t>
      </w:r>
      <w:r>
        <w:t xml:space="preserve"> 2010), photo interpretation of tree cover was completed for the years 2011 and 2016 to determine national values for urban tree cover, expressed in percentages. These were then applied to state-level values to scale up state-level NLCD estimates o</w:t>
      </w:r>
      <w:r w:rsidR="00210381">
        <w:t>f urban tree cover percentages.</w:t>
      </w:r>
    </w:p>
    <w:p w14:paraId="56ADDC33" w14:textId="6BF9DA3F" w:rsidR="00F301B1" w:rsidRPr="00EC482C" w:rsidRDefault="00F301B1" w:rsidP="00F301B1">
      <w:pPr>
        <w:pStyle w:val="Caption"/>
        <w:keepNext/>
        <w:rPr>
          <w:b/>
          <w:sz w:val="22"/>
          <w:szCs w:val="22"/>
        </w:rPr>
      </w:pPr>
      <w:bookmarkStart w:id="255" w:name="_Ref5104625"/>
      <w:r w:rsidRPr="00EC482C">
        <w:rPr>
          <w:b/>
          <w:sz w:val="22"/>
          <w:szCs w:val="22"/>
        </w:rPr>
        <w:t xml:space="preserve">Equation </w:t>
      </w:r>
      <w:r w:rsidR="007D6D6E">
        <w:rPr>
          <w:b/>
          <w:sz w:val="22"/>
          <w:szCs w:val="22"/>
        </w:rPr>
        <w:t>2</w:t>
      </w:r>
      <w:r w:rsidR="00684A1C">
        <w:rPr>
          <w:b/>
          <w:sz w:val="22"/>
          <w:szCs w:val="22"/>
        </w:rPr>
        <w:t>-</w:t>
      </w:r>
      <w:r w:rsidR="001B5A68">
        <w:rPr>
          <w:b/>
          <w:sz w:val="22"/>
          <w:szCs w:val="22"/>
        </w:rPr>
        <w:t>5</w:t>
      </w:r>
      <w:r w:rsidRPr="00EC482C">
        <w:rPr>
          <w:b/>
          <w:sz w:val="22"/>
          <w:szCs w:val="22"/>
        </w:rPr>
        <w:t>:</w:t>
      </w:r>
      <w:bookmarkEnd w:id="255"/>
      <w:r w:rsidR="00AF05A3" w:rsidRPr="00EC482C">
        <w:rPr>
          <w:b/>
          <w:sz w:val="22"/>
          <w:szCs w:val="22"/>
        </w:rPr>
        <w:t xml:space="preserve"> Percent urban tree cover by state</w:t>
      </w:r>
      <w:r w:rsidR="000415B6">
        <w:rPr>
          <w:b/>
          <w:sz w:val="22"/>
          <w:szCs w:val="22"/>
        </w:rPr>
        <w:t xml:space="preserve"> (NGHGI, 2018)</w:t>
      </w:r>
    </w:p>
    <w:p w14:paraId="11435CE9" w14:textId="77777777" w:rsidR="00ED4794" w:rsidRDefault="00876770" w:rsidP="00ED4794">
      <m:oMathPara>
        <m:oMath>
          <m:sSub>
            <m:sSubPr>
              <m:ctrlPr>
                <w:rPr>
                  <w:rFonts w:ascii="Cambria Math" w:hAnsi="Cambria Math"/>
                  <w:i/>
                </w:rPr>
              </m:ctrlPr>
            </m:sSubPr>
            <m:e>
              <m:r>
                <w:rPr>
                  <w:rFonts w:ascii="Cambria Math" w:hAnsi="Cambria Math"/>
                </w:rPr>
                <m:t>TC</m:t>
              </m:r>
            </m:e>
            <m:sub>
              <m:r>
                <w:rPr>
                  <w:rFonts w:ascii="Cambria Math" w:hAnsi="Cambria Math"/>
                </w:rPr>
                <m:t>s</m:t>
              </m:r>
            </m:sub>
          </m:sSub>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TC</m:t>
              </m:r>
            </m:e>
            <m:sub>
              <m:r>
                <w:rPr>
                  <w:rFonts w:ascii="Cambria Math" w:eastAsiaTheme="minorEastAsia" w:hAnsi="Cambria Math"/>
                </w:rPr>
                <m:t>s</m:t>
              </m:r>
            </m:sub>
            <m:sup>
              <m:r>
                <w:rPr>
                  <w:rFonts w:ascii="Cambria Math" w:eastAsiaTheme="minorEastAsia" w:hAnsi="Cambria Math"/>
                </w:rPr>
                <m:t>NLCD</m:t>
              </m:r>
            </m:sup>
          </m:sSubSup>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TC</m:t>
                  </m:r>
                </m:e>
                <m:sub>
                  <m:r>
                    <w:rPr>
                      <w:rFonts w:ascii="Cambria Math" w:eastAsiaTheme="minorEastAsia" w:hAnsi="Cambria Math"/>
                    </w:rPr>
                    <m:t>N</m:t>
                  </m:r>
                </m:sub>
                <m:sup>
                  <m:r>
                    <w:rPr>
                      <w:rFonts w:ascii="Cambria Math" w:eastAsiaTheme="minorEastAsia" w:hAnsi="Cambria Math"/>
                    </w:rPr>
                    <m:t>Photo</m:t>
                  </m:r>
                </m:sup>
              </m:sSubSup>
              <m:r>
                <w:rPr>
                  <w:rFonts w:ascii="Cambria Math" w:eastAsiaTheme="minorEastAsia" w:hAnsi="Cambria Math"/>
                </w:rPr>
                <m:t xml:space="preserve">  </m:t>
              </m:r>
            </m:num>
            <m:den>
              <m:sSubSup>
                <m:sSubSupPr>
                  <m:ctrlPr>
                    <w:rPr>
                      <w:rFonts w:ascii="Cambria Math" w:eastAsiaTheme="minorEastAsia" w:hAnsi="Cambria Math"/>
                      <w:i/>
                    </w:rPr>
                  </m:ctrlPr>
                </m:sSubSupPr>
                <m:e>
                  <m:r>
                    <w:rPr>
                      <w:rFonts w:ascii="Cambria Math" w:eastAsiaTheme="minorEastAsia" w:hAnsi="Cambria Math"/>
                    </w:rPr>
                    <m:t>TC</m:t>
                  </m:r>
                </m:e>
                <m:sub>
                  <m:r>
                    <w:rPr>
                      <w:rFonts w:ascii="Cambria Math" w:eastAsiaTheme="minorEastAsia" w:hAnsi="Cambria Math"/>
                    </w:rPr>
                    <m:t>N</m:t>
                  </m:r>
                </m:sub>
                <m:sup>
                  <m:r>
                    <w:rPr>
                      <w:rFonts w:ascii="Cambria Math" w:eastAsiaTheme="minorEastAsia" w:hAnsi="Cambria Math"/>
                    </w:rPr>
                    <m:t>NLCD</m:t>
                  </m:r>
                </m:sup>
              </m:sSubSup>
            </m:den>
          </m:f>
        </m:oMath>
      </m:oMathPara>
    </w:p>
    <w:p w14:paraId="60500087" w14:textId="77777777" w:rsidR="00ED4794" w:rsidRDefault="00ED4794" w:rsidP="00ED4794">
      <w:r>
        <w:t>Where:</w:t>
      </w:r>
    </w:p>
    <w:p w14:paraId="7831297C" w14:textId="062A6B69" w:rsidR="00ED4794" w:rsidRDefault="00876770" w:rsidP="00F301B1">
      <w:pPr>
        <w:ind w:left="720"/>
        <w:rPr>
          <w:rFonts w:eastAsiaTheme="minorEastAsia"/>
        </w:rPr>
      </w:pPr>
      <m:oMath>
        <m:sSub>
          <m:sSubPr>
            <m:ctrlPr>
              <w:rPr>
                <w:rFonts w:ascii="Cambria Math" w:hAnsi="Cambria Math"/>
                <w:i/>
              </w:rPr>
            </m:ctrlPr>
          </m:sSubPr>
          <m:e>
            <m:r>
              <w:rPr>
                <w:rFonts w:ascii="Cambria Math" w:hAnsi="Cambria Math"/>
              </w:rPr>
              <m:t>TC</m:t>
            </m:r>
          </m:e>
          <m:sub>
            <m:r>
              <w:rPr>
                <w:rFonts w:ascii="Cambria Math" w:hAnsi="Cambria Math"/>
              </w:rPr>
              <m:t>s</m:t>
            </m:r>
          </m:sub>
        </m:sSub>
      </m:oMath>
      <w:r w:rsidR="00ED4794">
        <w:rPr>
          <w:rFonts w:eastAsiaTheme="minorEastAsia"/>
        </w:rPr>
        <w:t xml:space="preserve"> = Percent </w:t>
      </w:r>
      <w:r w:rsidR="00AF05A3">
        <w:rPr>
          <w:rFonts w:eastAsiaTheme="minorEastAsia"/>
        </w:rPr>
        <w:t xml:space="preserve">urban </w:t>
      </w:r>
      <w:r w:rsidR="00ED4794">
        <w:rPr>
          <w:rFonts w:eastAsiaTheme="minorEastAsia"/>
        </w:rPr>
        <w:t xml:space="preserve">tree cover in </w:t>
      </w:r>
      <w:proofErr w:type="spellStart"/>
      <w:r w:rsidR="00ED4794">
        <w:rPr>
          <w:rFonts w:eastAsiaTheme="minorEastAsia"/>
        </w:rPr>
        <w:t xml:space="preserve">state </w:t>
      </w:r>
      <w:r w:rsidR="00ED4794" w:rsidRPr="00A95C5B">
        <w:rPr>
          <w:rFonts w:eastAsiaTheme="minorEastAsia"/>
          <w:i/>
        </w:rPr>
        <w:t>s</w:t>
      </w:r>
      <w:proofErr w:type="spellEnd"/>
      <w:r w:rsidR="00ED4794">
        <w:rPr>
          <w:rFonts w:eastAsiaTheme="minorEastAsia"/>
        </w:rPr>
        <w:t xml:space="preserve"> </w:t>
      </w:r>
      <w:r w:rsidR="00AF05A3">
        <w:rPr>
          <w:rFonts w:eastAsiaTheme="minorEastAsia"/>
        </w:rPr>
        <w:t>used in NGHGI calculations</w:t>
      </w:r>
    </w:p>
    <w:p w14:paraId="11117036" w14:textId="24675ECF" w:rsidR="00ED4794" w:rsidRDefault="00876770" w:rsidP="00F301B1">
      <w:pPr>
        <w:ind w:left="720"/>
        <w:rPr>
          <w:rFonts w:eastAsiaTheme="minorEastAsia"/>
        </w:rPr>
      </w:pPr>
      <m:oMath>
        <m:sSubSup>
          <m:sSubSupPr>
            <m:ctrlPr>
              <w:rPr>
                <w:rFonts w:ascii="Cambria Math" w:hAnsi="Cambria Math"/>
                <w:i/>
              </w:rPr>
            </m:ctrlPr>
          </m:sSubSupPr>
          <m:e>
            <m:r>
              <w:rPr>
                <w:rFonts w:ascii="Cambria Math" w:hAnsi="Cambria Math"/>
              </w:rPr>
              <m:t>TC</m:t>
            </m:r>
          </m:e>
          <m:sub>
            <m:r>
              <w:rPr>
                <w:rFonts w:ascii="Cambria Math" w:hAnsi="Cambria Math"/>
              </w:rPr>
              <m:t>s</m:t>
            </m:r>
          </m:sub>
          <m:sup>
            <m:r>
              <w:rPr>
                <w:rFonts w:ascii="Cambria Math" w:hAnsi="Cambria Math"/>
              </w:rPr>
              <m:t>NLCD</m:t>
            </m:r>
          </m:sup>
        </m:sSubSup>
      </m:oMath>
      <w:r w:rsidR="00ED4794">
        <w:rPr>
          <w:rFonts w:eastAsiaTheme="minorEastAsia"/>
        </w:rPr>
        <w:t xml:space="preserve">= Percent </w:t>
      </w:r>
      <w:r w:rsidR="00AF05A3">
        <w:rPr>
          <w:rFonts w:eastAsiaTheme="minorEastAsia"/>
        </w:rPr>
        <w:t xml:space="preserve">urban </w:t>
      </w:r>
      <w:r w:rsidR="00ED4794">
        <w:rPr>
          <w:rFonts w:eastAsiaTheme="minorEastAsia"/>
        </w:rPr>
        <w:t xml:space="preserve">tree cover in </w:t>
      </w:r>
      <w:proofErr w:type="spellStart"/>
      <w:r w:rsidR="00ED4794">
        <w:rPr>
          <w:rFonts w:eastAsiaTheme="minorEastAsia"/>
        </w:rPr>
        <w:t xml:space="preserve">state </w:t>
      </w:r>
      <w:r w:rsidR="00ED4794" w:rsidRPr="00A95C5B">
        <w:rPr>
          <w:rFonts w:eastAsiaTheme="minorEastAsia"/>
          <w:i/>
        </w:rPr>
        <w:t>s</w:t>
      </w:r>
      <w:proofErr w:type="spellEnd"/>
      <w:r w:rsidR="00ED4794">
        <w:rPr>
          <w:rFonts w:eastAsiaTheme="minorEastAsia"/>
        </w:rPr>
        <w:t xml:space="preserve"> as determined by the NLCD</w:t>
      </w:r>
    </w:p>
    <w:p w14:paraId="650A8C53" w14:textId="5BFA80D8" w:rsidR="00ED4794" w:rsidRDefault="00876770" w:rsidP="00F301B1">
      <w:pPr>
        <w:ind w:left="720"/>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TC</m:t>
            </m:r>
          </m:e>
          <m:sub>
            <m:r>
              <w:rPr>
                <w:rFonts w:ascii="Cambria Math" w:eastAsiaTheme="minorEastAsia" w:hAnsi="Cambria Math"/>
              </w:rPr>
              <m:t>N</m:t>
            </m:r>
          </m:sub>
          <m:sup>
            <m:r>
              <w:rPr>
                <w:rFonts w:ascii="Cambria Math" w:eastAsiaTheme="minorEastAsia" w:hAnsi="Cambria Math"/>
              </w:rPr>
              <m:t>Photo</m:t>
            </m:r>
          </m:sup>
        </m:sSubSup>
      </m:oMath>
      <w:r w:rsidR="00ED4794">
        <w:rPr>
          <w:rFonts w:eastAsiaTheme="minorEastAsia"/>
        </w:rPr>
        <w:t xml:space="preserve">= </w:t>
      </w:r>
      <w:r w:rsidR="00506F72">
        <w:rPr>
          <w:rFonts w:eastAsiaTheme="minorEastAsia"/>
        </w:rPr>
        <w:t>National p</w:t>
      </w:r>
      <w:r w:rsidR="00ED4794">
        <w:rPr>
          <w:rFonts w:eastAsiaTheme="minorEastAsia"/>
        </w:rPr>
        <w:t xml:space="preserve">ercent </w:t>
      </w:r>
      <w:r w:rsidR="00506F72">
        <w:rPr>
          <w:rFonts w:eastAsiaTheme="minorEastAsia"/>
        </w:rPr>
        <w:t>tree cover in</w:t>
      </w:r>
      <w:r w:rsidR="00ED4794">
        <w:rPr>
          <w:rFonts w:eastAsiaTheme="minorEastAsia"/>
        </w:rPr>
        <w:t xml:space="preserve"> urban areas using photo-interpretation</w:t>
      </w:r>
    </w:p>
    <w:p w14:paraId="60B63BA5" w14:textId="7EDFF8C4" w:rsidR="00ED4794" w:rsidRDefault="00876770" w:rsidP="00F301B1">
      <w:pPr>
        <w:ind w:left="720"/>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TC</m:t>
            </m:r>
          </m:e>
          <m:sub>
            <m:r>
              <w:rPr>
                <w:rFonts w:ascii="Cambria Math" w:eastAsiaTheme="minorEastAsia" w:hAnsi="Cambria Math"/>
              </w:rPr>
              <m:t>N</m:t>
            </m:r>
          </m:sub>
          <m:sup>
            <m:r>
              <w:rPr>
                <w:rFonts w:ascii="Cambria Math" w:eastAsiaTheme="minorEastAsia" w:hAnsi="Cambria Math"/>
              </w:rPr>
              <m:t>NLCD</m:t>
            </m:r>
          </m:sup>
        </m:sSubSup>
      </m:oMath>
      <w:r w:rsidR="00ED4794">
        <w:rPr>
          <w:rFonts w:eastAsiaTheme="minorEastAsia"/>
        </w:rPr>
        <w:t xml:space="preserve"> = </w:t>
      </w:r>
      <w:r w:rsidR="00506F72">
        <w:rPr>
          <w:rFonts w:eastAsiaTheme="minorEastAsia"/>
        </w:rPr>
        <w:t>National p</w:t>
      </w:r>
      <w:r w:rsidR="00ED4794">
        <w:rPr>
          <w:rFonts w:eastAsiaTheme="minorEastAsia"/>
        </w:rPr>
        <w:t xml:space="preserve">ercent tree cover </w:t>
      </w:r>
      <w:r w:rsidR="00506F72">
        <w:rPr>
          <w:rFonts w:eastAsiaTheme="minorEastAsia"/>
        </w:rPr>
        <w:t>in</w:t>
      </w:r>
      <w:r w:rsidR="00ED4794">
        <w:rPr>
          <w:rFonts w:eastAsiaTheme="minorEastAsia"/>
        </w:rPr>
        <w:t xml:space="preserve"> urban areas as determined by the NLCD</w:t>
      </w:r>
    </w:p>
    <w:p w14:paraId="4A1B0D92" w14:textId="77777777" w:rsidR="00ED4794" w:rsidRPr="0018786C" w:rsidRDefault="00ED4794" w:rsidP="00ED4794">
      <w:pPr>
        <w:rPr>
          <w:rFonts w:eastAsiaTheme="minorEastAsia"/>
        </w:rPr>
      </w:pPr>
    </w:p>
    <w:p w14:paraId="0AE471B5" w14:textId="4CD9FCE6" w:rsidR="00ED4794" w:rsidRDefault="00ED4794" w:rsidP="00ED4794">
      <w:r>
        <w:t xml:space="preserve">State-level estimates of urban tree cover area, estimated by multiplying settlement land area by percent tree cover, are then multiplied by a gross sequestration value, taken primarily from Nowak </w:t>
      </w:r>
      <w:r w:rsidR="00506F72">
        <w:t>(</w:t>
      </w:r>
      <w:r>
        <w:t>2013</w:t>
      </w:r>
      <w:r w:rsidR="00506F72">
        <w:t>)</w:t>
      </w:r>
      <w:r>
        <w:t xml:space="preserve">. </w:t>
      </w:r>
      <w:r w:rsidR="00506F72">
        <w:t>Gross sequestration</w:t>
      </w:r>
      <w:r>
        <w:t xml:space="preserve"> values are derived from sample plots in several U.S. cities using </w:t>
      </w:r>
      <w:proofErr w:type="gramStart"/>
      <w:r>
        <w:t>the i</w:t>
      </w:r>
      <w:proofErr w:type="gramEnd"/>
      <w:r>
        <w:t>-Tree model (Nowak et al.</w:t>
      </w:r>
      <w:r w:rsidR="00734504">
        <w:t>,</w:t>
      </w:r>
      <w:r>
        <w:t xml:space="preserve"> 2008), which estimates both carbon storage and sequestration rates. These gross sequestration rates vary from 0.168 </w:t>
      </w:r>
      <w:r w:rsidRPr="005B071A">
        <w:t>kg C/m</w:t>
      </w:r>
      <w:r w:rsidRPr="0018786C">
        <w:rPr>
          <w:vertAlign w:val="superscript"/>
        </w:rPr>
        <w:t>2</w:t>
      </w:r>
      <w:r w:rsidRPr="005B071A">
        <w:t xml:space="preserve"> cover/y</w:t>
      </w:r>
      <w:r>
        <w:t>ea</w:t>
      </w:r>
      <w:r w:rsidRPr="005B071A">
        <w:t>r</w:t>
      </w:r>
      <w:r>
        <w:t xml:space="preserve"> (Alaska) to 0.581 </w:t>
      </w:r>
      <w:r w:rsidRPr="005B071A">
        <w:t>kg C/m</w:t>
      </w:r>
      <w:r w:rsidRPr="0018786C">
        <w:rPr>
          <w:vertAlign w:val="superscript"/>
        </w:rPr>
        <w:t>2</w:t>
      </w:r>
      <w:r w:rsidRPr="005B071A">
        <w:t xml:space="preserve"> cover/y</w:t>
      </w:r>
      <w:r>
        <w:t>ea</w:t>
      </w:r>
      <w:r w:rsidRPr="005B071A">
        <w:t>r</w:t>
      </w:r>
      <w:r>
        <w:t xml:space="preserve"> (Hawaii) based on tree species</w:t>
      </w:r>
      <w:r w:rsidR="00506F72">
        <w:t xml:space="preserve"> mix</w:t>
      </w:r>
      <w:r>
        <w:t xml:space="preserve">, tree density, and climatic factors. </w:t>
      </w:r>
    </w:p>
    <w:p w14:paraId="68A5A6B4" w14:textId="2F3BFB9D" w:rsidR="00ED4794" w:rsidRDefault="00ED4794" w:rsidP="009323DC">
      <w:r>
        <w:t xml:space="preserve">To determine the net sequestration ratio, defined as gross sequestration adjusted for tree removal and death, a net to gross sequestration </w:t>
      </w:r>
      <w:r w:rsidR="00506F72">
        <w:t>ratio</w:t>
      </w:r>
      <w:r>
        <w:t xml:space="preserve"> is applied for each state. The national average </w:t>
      </w:r>
      <w:r w:rsidR="00506F72">
        <w:t>ratio</w:t>
      </w:r>
      <w:r>
        <w:t>, 0</w:t>
      </w:r>
      <w:r w:rsidR="00734504">
        <w:t>.74, is taken from Nowak et al. (</w:t>
      </w:r>
      <w:r>
        <w:t>2013</w:t>
      </w:r>
      <w:r w:rsidR="00734504">
        <w:t>)</w:t>
      </w:r>
      <w:r>
        <w:t xml:space="preserve"> and applied to each state unless a state-specific value is available (North Dakota, South Dakota, Nebraska, Indiana, Tennessee, Kansas, and Washington DC</w:t>
      </w:r>
      <w:r w:rsidR="00506F72">
        <w:t xml:space="preserve"> have state-specific values</w:t>
      </w:r>
      <w:r>
        <w:t>).</w:t>
      </w:r>
      <w:r w:rsidR="008F4C88">
        <w:t xml:space="preserve"> Equation </w:t>
      </w:r>
      <w:r w:rsidR="007D6D6E">
        <w:t>2</w:t>
      </w:r>
      <w:r w:rsidR="008F4C88">
        <w:t xml:space="preserve">-6 summarizes the flux calculation and further details are provided </w:t>
      </w:r>
      <w:r w:rsidRPr="00F87FCC">
        <w:t xml:space="preserve">in the </w:t>
      </w:r>
      <w:r w:rsidRPr="00EC482C">
        <w:t>Spreadsheet Appendix</w:t>
      </w:r>
      <w:r w:rsidRPr="00F87FCC">
        <w:t>.</w:t>
      </w:r>
    </w:p>
    <w:p w14:paraId="44363605" w14:textId="2B309040" w:rsidR="00F301B1" w:rsidRPr="00EC482C" w:rsidRDefault="00F301B1" w:rsidP="00F301B1">
      <w:pPr>
        <w:pStyle w:val="Caption"/>
        <w:keepNext/>
        <w:rPr>
          <w:b/>
          <w:sz w:val="22"/>
          <w:szCs w:val="22"/>
        </w:rPr>
      </w:pPr>
      <w:bookmarkStart w:id="256" w:name="_Ref5104787"/>
      <w:r w:rsidRPr="00EC482C">
        <w:rPr>
          <w:b/>
          <w:sz w:val="22"/>
          <w:szCs w:val="22"/>
        </w:rPr>
        <w:t xml:space="preserve">Equation </w:t>
      </w:r>
      <w:bookmarkEnd w:id="256"/>
      <w:r w:rsidR="007D6D6E">
        <w:rPr>
          <w:b/>
          <w:sz w:val="22"/>
          <w:szCs w:val="22"/>
        </w:rPr>
        <w:t>2</w:t>
      </w:r>
      <w:r w:rsidR="00684A1C">
        <w:rPr>
          <w:b/>
          <w:sz w:val="22"/>
          <w:szCs w:val="22"/>
        </w:rPr>
        <w:t>-</w:t>
      </w:r>
      <w:r w:rsidR="001B5A68">
        <w:rPr>
          <w:b/>
          <w:sz w:val="22"/>
          <w:szCs w:val="22"/>
        </w:rPr>
        <w:t>6</w:t>
      </w:r>
      <w:r w:rsidRPr="00EC482C">
        <w:rPr>
          <w:b/>
          <w:sz w:val="22"/>
          <w:szCs w:val="22"/>
        </w:rPr>
        <w:t>:</w:t>
      </w:r>
      <w:r w:rsidR="009D2E35" w:rsidRPr="00EC482C">
        <w:rPr>
          <w:b/>
          <w:sz w:val="22"/>
          <w:szCs w:val="22"/>
        </w:rPr>
        <w:t xml:space="preserve"> Carbon stock change in urban trees</w:t>
      </w:r>
      <w:r w:rsidR="000415B6">
        <w:rPr>
          <w:b/>
          <w:sz w:val="22"/>
          <w:szCs w:val="22"/>
        </w:rPr>
        <w:t xml:space="preserve"> (NGHGI, 2018)</w:t>
      </w:r>
    </w:p>
    <w:p w14:paraId="33DE0AB0" w14:textId="77777777" w:rsidR="00ED4794" w:rsidRDefault="00ED4794" w:rsidP="00ED4794">
      <w:pPr>
        <w:jc w:val="center"/>
        <w:rPr>
          <w:rFonts w:eastAsiaTheme="minorEastAsia"/>
        </w:rPr>
      </w:pPr>
      <m:oMathPara>
        <m:oMath>
          <m:r>
            <w:rPr>
              <w:rFonts w:ascii="Cambria Math" w:hAnsi="Cambria Math"/>
            </w:rPr>
            <m:t>∆</m:t>
          </m:r>
          <m:sSub>
            <m:sSubPr>
              <m:ctrlPr>
                <w:rPr>
                  <w:rFonts w:ascii="Cambria Math" w:hAnsi="Cambria Math"/>
                  <w:i/>
                </w:rPr>
              </m:ctrlPr>
            </m:sSubPr>
            <m:e>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e>
            <m:sub>
              <m:r>
                <w:rPr>
                  <w:rFonts w:ascii="Cambria Math" w:hAnsi="Cambria Math"/>
                </w:rPr>
                <m:t>t</m:t>
              </m:r>
            </m:sub>
          </m:sSub>
          <m:r>
            <w:rPr>
              <w:rFonts w:ascii="Cambria Math" w:hAnsi="Cambria Math"/>
            </w:rPr>
            <m:t>= 1,000*</m:t>
          </m:r>
          <m:f>
            <m:fPr>
              <m:ctrlPr>
                <w:rPr>
                  <w:rFonts w:ascii="Cambria Math" w:hAnsi="Cambria Math"/>
                  <w:i/>
                </w:rPr>
              </m:ctrlPr>
            </m:fPr>
            <m:num>
              <m:r>
                <w:rPr>
                  <w:rFonts w:ascii="Cambria Math" w:hAnsi="Cambria Math"/>
                </w:rPr>
                <m:t>44</m:t>
              </m:r>
            </m:num>
            <m:den>
              <m:r>
                <w:rPr>
                  <w:rFonts w:ascii="Cambria Math" w:hAnsi="Cambria Math"/>
                </w:rPr>
                <m:t>12</m:t>
              </m:r>
            </m:den>
          </m:f>
          <m:r>
            <w:rPr>
              <w:rFonts w:ascii="Cambria Math" w:hAnsi="Cambria Math"/>
            </w:rPr>
            <m:t>*</m:t>
          </m:r>
          <m:nary>
            <m:naryPr>
              <m:chr m:val="∑"/>
              <m:limLoc m:val="undOvr"/>
              <m:ctrlPr>
                <w:rPr>
                  <w:rFonts w:ascii="Cambria Math" w:hAnsi="Cambria Math"/>
                  <w:i/>
                </w:rPr>
              </m:ctrlPr>
            </m:naryPr>
            <m:sub>
              <m:r>
                <w:rPr>
                  <w:rFonts w:ascii="Cambria Math" w:hAnsi="Cambria Math"/>
                </w:rPr>
                <m:t>s=1</m:t>
              </m:r>
            </m:sub>
            <m:sup>
              <m:r>
                <w:rPr>
                  <w:rFonts w:ascii="Cambria Math" w:hAnsi="Cambria Math"/>
                </w:rPr>
                <m:t>S</m:t>
              </m:r>
            </m:sup>
            <m:e>
              <m:sSub>
                <m:sSubPr>
                  <m:ctrlPr>
                    <w:rPr>
                      <w:rFonts w:ascii="Cambria Math" w:hAnsi="Cambria Math"/>
                      <w:i/>
                    </w:rPr>
                  </m:ctrlPr>
                </m:sSubPr>
                <m:e>
                  <m:r>
                    <w:rPr>
                      <w:rFonts w:ascii="Cambria Math" w:hAnsi="Cambria Math"/>
                    </w:rPr>
                    <m:t>A</m:t>
                  </m:r>
                </m:e>
                <m:sub>
                  <m:r>
                    <w:rPr>
                      <w:rFonts w:ascii="Cambria Math" w:hAnsi="Cambria Math"/>
                    </w:rPr>
                    <m:t>st</m:t>
                  </m:r>
                </m:sub>
              </m:sSub>
              <m:r>
                <w:rPr>
                  <w:rFonts w:ascii="Cambria Math" w:hAnsi="Cambria Math"/>
                </w:rPr>
                <m:t xml:space="preserve">* </m:t>
              </m:r>
              <m:sSub>
                <m:sSubPr>
                  <m:ctrlPr>
                    <w:rPr>
                      <w:rFonts w:ascii="Cambria Math" w:hAnsi="Cambria Math"/>
                      <w:i/>
                    </w:rPr>
                  </m:ctrlPr>
                </m:sSubPr>
                <m:e>
                  <m:r>
                    <w:rPr>
                      <w:rFonts w:ascii="Cambria Math" w:hAnsi="Cambria Math"/>
                    </w:rPr>
                    <m:t>TC</m:t>
                  </m:r>
                </m:e>
                <m:sub>
                  <m:r>
                    <w:rPr>
                      <w:rFonts w:ascii="Cambria Math" w:hAnsi="Cambria Math"/>
                    </w:rPr>
                    <m:t>s</m:t>
                  </m:r>
                </m:sub>
              </m:sSub>
              <m:r>
                <w:rPr>
                  <w:rFonts w:ascii="Cambria Math" w:hAnsi="Cambria Math"/>
                </w:rPr>
                <m:t xml:space="preserve">* </m:t>
              </m:r>
              <m:sSub>
                <m:sSubPr>
                  <m:ctrlPr>
                    <w:rPr>
                      <w:rFonts w:ascii="Cambria Math" w:hAnsi="Cambria Math"/>
                      <w:i/>
                    </w:rPr>
                  </m:ctrlPr>
                </m:sSubPr>
                <m:e>
                  <m:r>
                    <w:rPr>
                      <w:rFonts w:ascii="Cambria Math" w:hAnsi="Cambria Math"/>
                    </w:rPr>
                    <m:t>GS</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GN</m:t>
                  </m:r>
                </m:e>
                <m:sub>
                  <m:r>
                    <w:rPr>
                      <w:rFonts w:ascii="Cambria Math" w:hAnsi="Cambria Math"/>
                    </w:rPr>
                    <m:t>s</m:t>
                  </m:r>
                </m:sub>
              </m:sSub>
            </m:e>
          </m:nary>
        </m:oMath>
      </m:oMathPara>
    </w:p>
    <w:p w14:paraId="684CE404" w14:textId="77777777" w:rsidR="00ED4794" w:rsidRPr="00C501A8" w:rsidRDefault="00ED4794" w:rsidP="00ED4794">
      <w:pPr>
        <w:rPr>
          <w:rFonts w:eastAsiaTheme="minorEastAsia"/>
        </w:rPr>
      </w:pPr>
      <w:r>
        <w:rPr>
          <w:rFonts w:eastAsiaTheme="minorEastAsia"/>
        </w:rPr>
        <w:t>Where:</w:t>
      </w:r>
    </w:p>
    <w:p w14:paraId="37298718" w14:textId="09B5E93B" w:rsidR="00ED4794" w:rsidRPr="00135FD0" w:rsidRDefault="00ED4794" w:rsidP="00D35EC2">
      <w:pPr>
        <w:ind w:left="720"/>
        <w:rPr>
          <w:rFonts w:eastAsiaTheme="minorEastAsia"/>
        </w:rPr>
      </w:pPr>
      <m:oMath>
        <m:r>
          <w:rPr>
            <w:rFonts w:ascii="Cambria Math" w:hAnsi="Cambria Math"/>
          </w:rPr>
          <m:t>∆</m:t>
        </m:r>
        <m:sSub>
          <m:sSubPr>
            <m:ctrlPr>
              <w:rPr>
                <w:rFonts w:ascii="Cambria Math" w:hAnsi="Cambria Math"/>
                <w:i/>
              </w:rPr>
            </m:ctrlPr>
          </m:sSubPr>
          <m:e>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e>
          <m:sub>
            <m:r>
              <w:rPr>
                <w:rFonts w:ascii="Cambria Math" w:hAnsi="Cambria Math"/>
              </w:rPr>
              <m:t>t</m:t>
            </m:r>
          </m:sub>
        </m:sSub>
      </m:oMath>
      <w:r>
        <w:rPr>
          <w:rFonts w:eastAsiaTheme="minorEastAsia"/>
        </w:rPr>
        <w:t xml:space="preserve"> = Total carbon stock change for urban trees in year </w:t>
      </w:r>
      <w:r w:rsidRPr="00CB3381">
        <w:rPr>
          <w:rFonts w:eastAsiaTheme="minorEastAsia"/>
          <w:i/>
        </w:rPr>
        <w:t>t</w:t>
      </w:r>
      <w:r>
        <w:rPr>
          <w:rFonts w:eastAsiaTheme="minorEastAsia"/>
        </w:rPr>
        <w:t>, metric tons CO</w:t>
      </w:r>
      <w:r w:rsidRPr="0022355D">
        <w:rPr>
          <w:rFonts w:eastAsiaTheme="minorEastAsia"/>
          <w:vertAlign w:val="subscript"/>
        </w:rPr>
        <w:t>2</w:t>
      </w:r>
    </w:p>
    <w:p w14:paraId="4F3074CA" w14:textId="77777777" w:rsidR="00ED4794" w:rsidRDefault="00876770" w:rsidP="00ED4794">
      <w:pPr>
        <w:ind w:left="720"/>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st</m:t>
            </m:r>
          </m:sub>
        </m:sSub>
      </m:oMath>
      <w:r w:rsidR="00ED4794">
        <w:rPr>
          <w:rFonts w:eastAsiaTheme="minorEastAsia"/>
        </w:rPr>
        <w:t xml:space="preserve"> = Urban area in </w:t>
      </w:r>
      <w:proofErr w:type="spellStart"/>
      <w:r w:rsidR="00ED4794">
        <w:rPr>
          <w:rFonts w:eastAsiaTheme="minorEastAsia"/>
        </w:rPr>
        <w:t xml:space="preserve">state </w:t>
      </w:r>
      <w:r w:rsidR="00ED4794" w:rsidRPr="0031258F">
        <w:rPr>
          <w:rFonts w:eastAsiaTheme="minorEastAsia"/>
          <w:i/>
        </w:rPr>
        <w:t>s</w:t>
      </w:r>
      <w:proofErr w:type="spellEnd"/>
      <w:r w:rsidR="00ED4794">
        <w:rPr>
          <w:rFonts w:eastAsiaTheme="minorEastAsia"/>
        </w:rPr>
        <w:t xml:space="preserve"> in year </w:t>
      </w:r>
      <w:r w:rsidR="00ED4794" w:rsidRPr="00CB3381">
        <w:rPr>
          <w:rFonts w:eastAsiaTheme="minorEastAsia"/>
          <w:i/>
        </w:rPr>
        <w:t>t</w:t>
      </w:r>
      <w:r w:rsidR="00ED4794">
        <w:rPr>
          <w:rFonts w:eastAsiaTheme="minorEastAsia"/>
        </w:rPr>
        <w:t>, square kilometers</w:t>
      </w:r>
    </w:p>
    <w:p w14:paraId="10FD57C1" w14:textId="3E629061" w:rsidR="00ED4794" w:rsidRDefault="00876770" w:rsidP="00ED4794">
      <w:pPr>
        <w:ind w:left="720"/>
        <w:rPr>
          <w:rFonts w:eastAsiaTheme="minorEastAsia"/>
          <w:i/>
        </w:rPr>
      </w:pPr>
      <m:oMath>
        <m:sSub>
          <m:sSubPr>
            <m:ctrlPr>
              <w:rPr>
                <w:rFonts w:ascii="Cambria Math" w:hAnsi="Cambria Math"/>
                <w:i/>
              </w:rPr>
            </m:ctrlPr>
          </m:sSubPr>
          <m:e>
            <m:r>
              <w:rPr>
                <w:rFonts w:ascii="Cambria Math" w:hAnsi="Cambria Math"/>
              </w:rPr>
              <m:t>TC</m:t>
            </m:r>
          </m:e>
          <m:sub>
            <m:r>
              <w:rPr>
                <w:rFonts w:ascii="Cambria Math" w:hAnsi="Cambria Math"/>
              </w:rPr>
              <m:t>S</m:t>
            </m:r>
          </m:sub>
        </m:sSub>
      </m:oMath>
      <w:r w:rsidR="00ED4794">
        <w:rPr>
          <w:rFonts w:eastAsiaTheme="minorEastAsia"/>
        </w:rPr>
        <w:t xml:space="preserve"> = Percent </w:t>
      </w:r>
      <w:r w:rsidR="009D2E35">
        <w:rPr>
          <w:rFonts w:eastAsiaTheme="minorEastAsia"/>
        </w:rPr>
        <w:t xml:space="preserve">urban </w:t>
      </w:r>
      <w:r w:rsidR="00ED4794">
        <w:rPr>
          <w:rFonts w:eastAsiaTheme="minorEastAsia"/>
        </w:rPr>
        <w:t xml:space="preserve">tree cover in state </w:t>
      </w:r>
      <w:r w:rsidR="00ED4794">
        <w:rPr>
          <w:rFonts w:eastAsiaTheme="minorEastAsia"/>
          <w:i/>
        </w:rPr>
        <w:t>s</w:t>
      </w:r>
    </w:p>
    <w:p w14:paraId="621C4FF1" w14:textId="66499D0C" w:rsidR="00ED4794" w:rsidRDefault="00876770" w:rsidP="00ED4794">
      <w:pPr>
        <w:ind w:left="720"/>
        <w:rPr>
          <w:rFonts w:eastAsiaTheme="minorEastAsia"/>
        </w:rPr>
      </w:pPr>
      <m:oMath>
        <m:sSub>
          <m:sSubPr>
            <m:ctrlPr>
              <w:rPr>
                <w:rFonts w:ascii="Cambria Math" w:hAnsi="Cambria Math"/>
                <w:i/>
              </w:rPr>
            </m:ctrlPr>
          </m:sSubPr>
          <m:e>
            <m:r>
              <w:rPr>
                <w:rFonts w:ascii="Cambria Math" w:hAnsi="Cambria Math"/>
              </w:rPr>
              <m:t>GS</m:t>
            </m:r>
          </m:e>
          <m:sub>
            <m:r>
              <w:rPr>
                <w:rFonts w:ascii="Cambria Math" w:hAnsi="Cambria Math"/>
              </w:rPr>
              <m:t>S</m:t>
            </m:r>
          </m:sub>
        </m:sSub>
      </m:oMath>
      <w:r w:rsidR="00ED4794">
        <w:rPr>
          <w:rFonts w:eastAsiaTheme="minorEastAsia"/>
        </w:rPr>
        <w:t xml:space="preserve"> = Gross sequestration rate in</w:t>
      </w:r>
      <w:r w:rsidR="00506F72">
        <w:rPr>
          <w:rFonts w:eastAsiaTheme="minorEastAsia"/>
        </w:rPr>
        <w:t xml:space="preserve"> in urban trees in</w:t>
      </w:r>
      <w:r w:rsidR="00ED4794">
        <w:rPr>
          <w:rFonts w:eastAsiaTheme="minorEastAsia"/>
        </w:rPr>
        <w:t xml:space="preserve"> </w:t>
      </w:r>
      <w:proofErr w:type="spellStart"/>
      <w:r w:rsidR="00ED4794">
        <w:rPr>
          <w:rFonts w:eastAsiaTheme="minorEastAsia"/>
        </w:rPr>
        <w:t xml:space="preserve">state </w:t>
      </w:r>
      <w:r w:rsidR="00ED4794">
        <w:rPr>
          <w:rFonts w:eastAsiaTheme="minorEastAsia"/>
          <w:i/>
        </w:rPr>
        <w:t>s</w:t>
      </w:r>
      <w:proofErr w:type="spellEnd"/>
      <w:r w:rsidR="00ED4794">
        <w:rPr>
          <w:rFonts w:eastAsiaTheme="minorEastAsia"/>
          <w:i/>
        </w:rPr>
        <w:t xml:space="preserve">, </w:t>
      </w:r>
      <w:r w:rsidR="00ED4794" w:rsidRPr="007200A3">
        <w:rPr>
          <w:rFonts w:eastAsiaTheme="minorEastAsia"/>
        </w:rPr>
        <w:t>kg C/m</w:t>
      </w:r>
      <w:r w:rsidR="00ED4794" w:rsidRPr="00655518">
        <w:rPr>
          <w:rFonts w:eastAsiaTheme="minorEastAsia"/>
          <w:vertAlign w:val="superscript"/>
        </w:rPr>
        <w:t>2</w:t>
      </w:r>
      <w:r w:rsidR="00ED4794" w:rsidRPr="007200A3">
        <w:rPr>
          <w:rFonts w:eastAsiaTheme="minorEastAsia"/>
        </w:rPr>
        <w:t xml:space="preserve"> cover/y</w:t>
      </w:r>
      <w:r w:rsidR="00ED4794">
        <w:rPr>
          <w:rFonts w:eastAsiaTheme="minorEastAsia"/>
        </w:rPr>
        <w:t>ea</w:t>
      </w:r>
      <w:r w:rsidR="00ED4794" w:rsidRPr="007200A3">
        <w:rPr>
          <w:rFonts w:eastAsiaTheme="minorEastAsia"/>
        </w:rPr>
        <w:t>r</w:t>
      </w:r>
    </w:p>
    <w:p w14:paraId="7333BFAB" w14:textId="311ABDF6" w:rsidR="00ED4794" w:rsidRPr="005C6203" w:rsidRDefault="00876770" w:rsidP="00ED4794">
      <w:pPr>
        <w:ind w:left="720"/>
        <w:rPr>
          <w:rFonts w:eastAsiaTheme="minorEastAsia"/>
          <w:i/>
        </w:rPr>
      </w:pPr>
      <m:oMath>
        <m:sSub>
          <m:sSubPr>
            <m:ctrlPr>
              <w:rPr>
                <w:rFonts w:ascii="Cambria Math" w:hAnsi="Cambria Math"/>
                <w:i/>
              </w:rPr>
            </m:ctrlPr>
          </m:sSubPr>
          <m:e>
            <m:r>
              <w:rPr>
                <w:rFonts w:ascii="Cambria Math" w:hAnsi="Cambria Math"/>
              </w:rPr>
              <m:t>GN</m:t>
            </m:r>
          </m:e>
          <m:sub>
            <m:r>
              <w:rPr>
                <w:rFonts w:ascii="Cambria Math" w:hAnsi="Cambria Math"/>
              </w:rPr>
              <m:t>S</m:t>
            </m:r>
          </m:sub>
        </m:sSub>
      </m:oMath>
      <w:r w:rsidR="00ED4794">
        <w:rPr>
          <w:rFonts w:eastAsiaTheme="minorEastAsia"/>
        </w:rPr>
        <w:t xml:space="preserve"> = Gross to net sequestration ratio in </w:t>
      </w:r>
      <w:r w:rsidR="00506F72">
        <w:rPr>
          <w:rFonts w:eastAsiaTheme="minorEastAsia"/>
        </w:rPr>
        <w:t xml:space="preserve">urban trees in </w:t>
      </w:r>
      <w:r w:rsidR="00ED4794">
        <w:rPr>
          <w:rFonts w:eastAsiaTheme="minorEastAsia"/>
        </w:rPr>
        <w:t xml:space="preserve">state </w:t>
      </w:r>
      <w:r w:rsidR="00ED4794">
        <w:rPr>
          <w:rFonts w:eastAsiaTheme="minorEastAsia"/>
          <w:i/>
        </w:rPr>
        <w:t>s</w:t>
      </w:r>
    </w:p>
    <w:p w14:paraId="234CEB46" w14:textId="77777777" w:rsidR="00ED4794" w:rsidRDefault="00ED4794" w:rsidP="00ED4794"/>
    <w:p w14:paraId="2FC809D7" w14:textId="29A59C7D" w:rsidR="00AB60B7" w:rsidRPr="0018786C" w:rsidRDefault="00ED4794" w:rsidP="00EC482C">
      <w:pPr>
        <w:pStyle w:val="2-Header"/>
        <w:numPr>
          <w:ilvl w:val="0"/>
          <w:numId w:val="0"/>
        </w:numPr>
      </w:pPr>
      <w:r w:rsidRPr="00EC482C">
        <w:rPr>
          <w:rStyle w:val="Strong"/>
          <w:b w:val="0"/>
        </w:rPr>
        <w:t>Project methods</w:t>
      </w:r>
    </w:p>
    <w:p w14:paraId="3C6868E1" w14:textId="78ADF533" w:rsidR="00ED4794" w:rsidRDefault="008F4C88" w:rsidP="00ED4794">
      <w:r>
        <w:t>W</w:t>
      </w:r>
      <w:r w:rsidR="00ED4794">
        <w:t>e</w:t>
      </w:r>
      <w:r>
        <w:t xml:space="preserve"> performed </w:t>
      </w:r>
      <w:r w:rsidR="00ED4794">
        <w:t xml:space="preserve">a contribution index analysis </w:t>
      </w:r>
      <w:r>
        <w:t xml:space="preserve">accounting for uncertainty from each input in Equation </w:t>
      </w:r>
      <w:r w:rsidR="007D6D6E">
        <w:t>2</w:t>
      </w:r>
      <w:r>
        <w:t>-6. Assuming all inputs are normally distributed, we were able to use error propagation. T</w:t>
      </w:r>
      <w:r w:rsidR="00ED4794">
        <w:t xml:space="preserve">he standard </w:t>
      </w:r>
      <w:r w:rsidR="004C0B7C">
        <w:t xml:space="preserve">errors </w:t>
      </w:r>
      <w:r w:rsidR="00ED4794">
        <w:t>of urban area, percent tree cover, gross sequestration rate, and gross to net sequestration ratio were determined from the literature or the NGHGI</w:t>
      </w:r>
      <w:r w:rsidR="00506F72">
        <w:t xml:space="preserve"> (2018)</w:t>
      </w:r>
      <w:r>
        <w:t>, shown in</w:t>
      </w:r>
      <w:r w:rsidR="00ED4794">
        <w:t xml:space="preserve"> </w:t>
      </w:r>
      <w:r w:rsidR="009D2E35" w:rsidRPr="00764B5B">
        <w:fldChar w:fldCharType="begin"/>
      </w:r>
      <w:r w:rsidR="009D2E35" w:rsidRPr="00764B5B">
        <w:instrText xml:space="preserve"> REF _Ref5105045 \h  \* MERGEFORMAT </w:instrText>
      </w:r>
      <w:r w:rsidR="009D2E35" w:rsidRPr="00764B5B">
        <w:fldChar w:fldCharType="separate"/>
      </w:r>
      <w:r w:rsidR="00FB4CFE" w:rsidRPr="00FB4CFE">
        <w:t xml:space="preserve">Table </w:t>
      </w:r>
      <w:r w:rsidR="009D2E35" w:rsidRPr="00764B5B">
        <w:fldChar w:fldCharType="end"/>
      </w:r>
      <w:r w:rsidR="007D6D6E">
        <w:t>2</w:t>
      </w:r>
      <w:r>
        <w:t xml:space="preserve">-30. </w:t>
      </w:r>
    </w:p>
    <w:p w14:paraId="64879381" w14:textId="44A49BFD" w:rsidR="00734504" w:rsidRPr="00734504" w:rsidRDefault="00734504" w:rsidP="00734504">
      <w:pPr>
        <w:pStyle w:val="Caption"/>
        <w:keepNext/>
        <w:rPr>
          <w:b/>
          <w:sz w:val="22"/>
          <w:szCs w:val="22"/>
        </w:rPr>
      </w:pPr>
      <w:bookmarkStart w:id="257" w:name="_Ref5105045"/>
      <w:r w:rsidRPr="00734504">
        <w:rPr>
          <w:b/>
          <w:sz w:val="22"/>
          <w:szCs w:val="22"/>
        </w:rPr>
        <w:lastRenderedPageBreak/>
        <w:t xml:space="preserve">Table </w:t>
      </w:r>
      <w:bookmarkEnd w:id="257"/>
      <w:r w:rsidR="007D6D6E">
        <w:rPr>
          <w:b/>
          <w:sz w:val="22"/>
          <w:szCs w:val="22"/>
        </w:rPr>
        <w:t>2</w:t>
      </w:r>
      <w:r w:rsidR="005F6840">
        <w:rPr>
          <w:b/>
          <w:sz w:val="22"/>
          <w:szCs w:val="22"/>
        </w:rPr>
        <w:t>-</w:t>
      </w:r>
      <w:r w:rsidR="008F4C88">
        <w:rPr>
          <w:b/>
          <w:sz w:val="22"/>
          <w:szCs w:val="22"/>
        </w:rPr>
        <w:t>30</w:t>
      </w:r>
      <w:r w:rsidRPr="00734504">
        <w:rPr>
          <w:b/>
          <w:sz w:val="22"/>
          <w:szCs w:val="22"/>
        </w:rPr>
        <w:t xml:space="preserve">: </w:t>
      </w:r>
      <w:r w:rsidR="008F4C88">
        <w:rPr>
          <w:b/>
          <w:sz w:val="22"/>
          <w:szCs w:val="22"/>
        </w:rPr>
        <w:t>U</w:t>
      </w:r>
      <w:r w:rsidRPr="00734504">
        <w:rPr>
          <w:b/>
          <w:sz w:val="22"/>
          <w:szCs w:val="22"/>
        </w:rPr>
        <w:t>rban tree</w:t>
      </w:r>
      <w:r w:rsidR="008F4C88">
        <w:rPr>
          <w:b/>
          <w:sz w:val="22"/>
          <w:szCs w:val="22"/>
        </w:rPr>
        <w:t xml:space="preserve"> input uncertainty assumptions</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4590"/>
        <w:gridCol w:w="3330"/>
      </w:tblGrid>
      <w:tr w:rsidR="00ED4794" w:rsidRPr="00CB3381" w14:paraId="4F49C7B5" w14:textId="77777777" w:rsidTr="005E51F4">
        <w:trPr>
          <w:cantSplit/>
          <w:trHeight w:val="710"/>
          <w:tblHeader/>
        </w:trPr>
        <w:tc>
          <w:tcPr>
            <w:tcW w:w="1795" w:type="dxa"/>
            <w:tcBorders>
              <w:top w:val="single" w:sz="4" w:space="0" w:color="auto"/>
              <w:left w:val="single" w:sz="4" w:space="0" w:color="auto"/>
              <w:bottom w:val="single" w:sz="4" w:space="0" w:color="auto"/>
              <w:right w:val="single" w:sz="4" w:space="0" w:color="auto"/>
            </w:tcBorders>
            <w:shd w:val="clear" w:color="auto" w:fill="FFC000"/>
            <w:vAlign w:val="center"/>
          </w:tcPr>
          <w:p w14:paraId="0154FD6C" w14:textId="77777777" w:rsidR="00ED4794" w:rsidRPr="00674237" w:rsidRDefault="00ED4794" w:rsidP="00674237">
            <w:pPr>
              <w:spacing w:after="0" w:line="240" w:lineRule="auto"/>
              <w:jc w:val="center"/>
              <w:rPr>
                <w:rFonts w:ascii="Calibri" w:eastAsia="Times New Roman" w:hAnsi="Calibri" w:cs="Calibri"/>
                <w:b/>
                <w:color w:val="000000"/>
                <w:sz w:val="18"/>
                <w:szCs w:val="18"/>
              </w:rPr>
            </w:pPr>
            <w:r w:rsidRPr="00674237">
              <w:rPr>
                <w:rFonts w:ascii="Calibri" w:eastAsia="Times New Roman" w:hAnsi="Calibri" w:cs="Calibri"/>
                <w:b/>
                <w:color w:val="000000"/>
                <w:sz w:val="18"/>
                <w:szCs w:val="18"/>
              </w:rPr>
              <w:t>Parameter</w:t>
            </w:r>
          </w:p>
        </w:tc>
        <w:tc>
          <w:tcPr>
            <w:tcW w:w="4590"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348AC69E" w14:textId="19997F9D" w:rsidR="00ED4794" w:rsidRPr="00674237" w:rsidRDefault="00ED4794">
            <w:pPr>
              <w:spacing w:after="0" w:line="240" w:lineRule="auto"/>
              <w:jc w:val="center"/>
              <w:rPr>
                <w:rFonts w:ascii="Calibri" w:eastAsia="Times New Roman" w:hAnsi="Calibri" w:cs="Calibri"/>
                <w:b/>
                <w:color w:val="000000"/>
                <w:sz w:val="18"/>
                <w:szCs w:val="18"/>
              </w:rPr>
            </w:pPr>
            <w:r w:rsidRPr="00674237">
              <w:rPr>
                <w:rFonts w:ascii="Calibri" w:eastAsia="Times New Roman" w:hAnsi="Calibri" w:cs="Calibri"/>
                <w:b/>
                <w:color w:val="000000"/>
                <w:sz w:val="18"/>
                <w:szCs w:val="18"/>
              </w:rPr>
              <w:t xml:space="preserve">Standard </w:t>
            </w:r>
            <w:r w:rsidR="004C0B7C">
              <w:rPr>
                <w:rFonts w:ascii="Calibri" w:eastAsia="Times New Roman" w:hAnsi="Calibri" w:cs="Calibri"/>
                <w:b/>
                <w:color w:val="000000"/>
                <w:sz w:val="18"/>
                <w:szCs w:val="18"/>
              </w:rPr>
              <w:t>Error</w:t>
            </w:r>
          </w:p>
        </w:tc>
        <w:tc>
          <w:tcPr>
            <w:tcW w:w="3330"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4AF25F96" w14:textId="77777777" w:rsidR="00ED4794" w:rsidRPr="00674237" w:rsidRDefault="00ED4794" w:rsidP="00674237">
            <w:pPr>
              <w:spacing w:after="0" w:line="240" w:lineRule="auto"/>
              <w:jc w:val="center"/>
              <w:rPr>
                <w:rFonts w:ascii="Calibri" w:eastAsia="Times New Roman" w:hAnsi="Calibri" w:cs="Calibri"/>
                <w:b/>
                <w:color w:val="000000"/>
                <w:sz w:val="18"/>
                <w:szCs w:val="18"/>
              </w:rPr>
            </w:pPr>
            <w:r w:rsidRPr="00674237">
              <w:rPr>
                <w:rFonts w:ascii="Calibri" w:eastAsia="Times New Roman" w:hAnsi="Calibri" w:cs="Calibri"/>
                <w:b/>
                <w:color w:val="000000"/>
                <w:sz w:val="18"/>
                <w:szCs w:val="18"/>
              </w:rPr>
              <w:t>Source</w:t>
            </w:r>
          </w:p>
        </w:tc>
      </w:tr>
      <w:tr w:rsidR="00ED4794" w:rsidRPr="00EA4DA0" w14:paraId="7A070DC1" w14:textId="77777777" w:rsidTr="005E51F4">
        <w:trPr>
          <w:cantSplit/>
          <w:trHeight w:val="451"/>
        </w:trPr>
        <w:tc>
          <w:tcPr>
            <w:tcW w:w="1795" w:type="dxa"/>
            <w:tcBorders>
              <w:top w:val="single" w:sz="4" w:space="0" w:color="auto"/>
              <w:left w:val="single" w:sz="4" w:space="0" w:color="auto"/>
              <w:bottom w:val="single" w:sz="4" w:space="0" w:color="auto"/>
              <w:right w:val="single" w:sz="4" w:space="0" w:color="auto"/>
            </w:tcBorders>
            <w:vAlign w:val="center"/>
          </w:tcPr>
          <w:p w14:paraId="5C7F548D" w14:textId="77777777" w:rsidR="00ED4794" w:rsidRPr="00C64817" w:rsidRDefault="00ED4794" w:rsidP="00A76A00">
            <w:pPr>
              <w:spacing w:after="0" w:line="240" w:lineRule="auto"/>
              <w:rPr>
                <w:rFonts w:ascii="Calibri" w:eastAsia="Times New Roman" w:hAnsi="Calibri" w:cs="Calibri"/>
                <w:b/>
                <w:color w:val="000000"/>
                <w:sz w:val="18"/>
                <w:szCs w:val="18"/>
              </w:rPr>
            </w:pPr>
            <w:r>
              <w:rPr>
                <w:rFonts w:ascii="Calibri" w:eastAsia="Times New Roman" w:hAnsi="Calibri" w:cs="Calibri"/>
                <w:b/>
                <w:color w:val="000000"/>
                <w:sz w:val="18"/>
                <w:szCs w:val="18"/>
              </w:rPr>
              <w:t>Urban Area</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B9159" w14:textId="77777777" w:rsidR="00ED4794" w:rsidRPr="00DD4D58" w:rsidRDefault="00ED4794" w:rsidP="00A76A0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+/- 10%</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3BAEE" w14:textId="562F86D6" w:rsidR="00ED4794" w:rsidRPr="00DD4D58" w:rsidRDefault="005E51F4" w:rsidP="00506F72">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Expert judgment, NGHGI, 2018</w:t>
            </w:r>
          </w:p>
        </w:tc>
      </w:tr>
      <w:tr w:rsidR="00ED4794" w:rsidRPr="00EA4DA0" w14:paraId="4E99765E" w14:textId="77777777" w:rsidTr="005E51F4">
        <w:trPr>
          <w:cantSplit/>
          <w:trHeight w:val="451"/>
        </w:trPr>
        <w:tc>
          <w:tcPr>
            <w:tcW w:w="1795" w:type="dxa"/>
            <w:tcBorders>
              <w:top w:val="single" w:sz="4" w:space="0" w:color="auto"/>
              <w:left w:val="single" w:sz="4" w:space="0" w:color="auto"/>
              <w:bottom w:val="single" w:sz="4" w:space="0" w:color="auto"/>
              <w:right w:val="single" w:sz="4" w:space="0" w:color="auto"/>
            </w:tcBorders>
            <w:vAlign w:val="center"/>
          </w:tcPr>
          <w:p w14:paraId="7BA7A862" w14:textId="77777777" w:rsidR="00ED4794" w:rsidRPr="00A81644" w:rsidRDefault="00ED4794" w:rsidP="00A76A00">
            <w:pPr>
              <w:spacing w:after="0" w:line="240" w:lineRule="auto"/>
              <w:rPr>
                <w:rFonts w:ascii="Calibri" w:eastAsia="Times New Roman" w:hAnsi="Calibri" w:cs="Calibri"/>
                <w:b/>
                <w:color w:val="000000"/>
                <w:sz w:val="18"/>
                <w:szCs w:val="18"/>
              </w:rPr>
            </w:pPr>
            <w:r w:rsidRPr="00A81644">
              <w:rPr>
                <w:rFonts w:ascii="Calibri" w:eastAsia="Times New Roman" w:hAnsi="Calibri" w:cs="Calibri"/>
                <w:b/>
                <w:color w:val="000000"/>
                <w:sz w:val="18"/>
                <w:szCs w:val="18"/>
              </w:rPr>
              <w:t>Tree Cover Percentage</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F3C0CB" w14:textId="70836A30" w:rsidR="00ED4794" w:rsidRPr="00DD4D58" w:rsidRDefault="00ED4794" w:rsidP="00A76A0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Varies by state; see </w:t>
            </w:r>
            <w:r w:rsidR="009D2E35">
              <w:rPr>
                <w:rFonts w:ascii="Calibri" w:eastAsia="Times New Roman" w:hAnsi="Calibri" w:cs="Calibri"/>
                <w:color w:val="000000"/>
                <w:sz w:val="18"/>
                <w:szCs w:val="18"/>
              </w:rPr>
              <w:t xml:space="preserve">Spreadsheet </w:t>
            </w:r>
            <w:r>
              <w:rPr>
                <w:rFonts w:ascii="Calibri" w:eastAsia="Times New Roman" w:hAnsi="Calibri" w:cs="Calibri"/>
                <w:color w:val="000000"/>
                <w:sz w:val="18"/>
                <w:szCs w:val="18"/>
              </w:rPr>
              <w:t>Appendix for full list</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81C10" w14:textId="58F9B967" w:rsidR="00ED4794" w:rsidRPr="00EA4DA0" w:rsidRDefault="00ED4794" w:rsidP="005E51F4">
            <w:pPr>
              <w:spacing w:after="0" w:line="240" w:lineRule="auto"/>
              <w:rPr>
                <w:rFonts w:ascii="Calibri" w:eastAsia="Times New Roman" w:hAnsi="Calibri" w:cs="Calibri"/>
                <w:color w:val="000000"/>
                <w:sz w:val="18"/>
                <w:szCs w:val="18"/>
              </w:rPr>
            </w:pPr>
            <w:r w:rsidRPr="00EF38FE">
              <w:rPr>
                <w:rFonts w:ascii="Calibri" w:eastAsia="Times New Roman" w:hAnsi="Calibri" w:cs="Calibri"/>
                <w:color w:val="000000"/>
                <w:sz w:val="18"/>
                <w:szCs w:val="18"/>
              </w:rPr>
              <w:t>Nowak and Greenfield</w:t>
            </w:r>
            <w:r w:rsidR="005E51F4">
              <w:rPr>
                <w:rFonts w:ascii="Calibri" w:eastAsia="Times New Roman" w:hAnsi="Calibri" w:cs="Calibri"/>
                <w:color w:val="000000"/>
                <w:sz w:val="18"/>
                <w:szCs w:val="18"/>
              </w:rPr>
              <w:t>,</w:t>
            </w:r>
            <w:r w:rsidRPr="00EF38FE">
              <w:rPr>
                <w:rFonts w:ascii="Calibri" w:eastAsia="Times New Roman" w:hAnsi="Calibri" w:cs="Calibri"/>
                <w:color w:val="000000"/>
                <w:sz w:val="18"/>
                <w:szCs w:val="18"/>
              </w:rPr>
              <w:t xml:space="preserve"> </w:t>
            </w:r>
            <w:r w:rsidR="005E51F4">
              <w:rPr>
                <w:rFonts w:ascii="Calibri" w:eastAsia="Times New Roman" w:hAnsi="Calibri" w:cs="Calibri"/>
                <w:color w:val="000000"/>
                <w:sz w:val="18"/>
                <w:szCs w:val="18"/>
              </w:rPr>
              <w:t>2012,</w:t>
            </w:r>
            <w:r w:rsidRPr="00EF38FE">
              <w:rPr>
                <w:rFonts w:ascii="Calibri" w:eastAsia="Times New Roman" w:hAnsi="Calibri" w:cs="Calibri"/>
                <w:color w:val="000000"/>
                <w:sz w:val="18"/>
                <w:szCs w:val="18"/>
              </w:rPr>
              <w:t xml:space="preserve"> </w:t>
            </w:r>
            <w:r w:rsidR="005E51F4">
              <w:rPr>
                <w:rFonts w:ascii="Calibri" w:eastAsia="Times New Roman" w:hAnsi="Calibri" w:cs="Calibri"/>
                <w:color w:val="000000"/>
                <w:sz w:val="18"/>
                <w:szCs w:val="18"/>
              </w:rPr>
              <w:t>Table 1</w:t>
            </w:r>
          </w:p>
        </w:tc>
      </w:tr>
      <w:tr w:rsidR="00ED4794" w:rsidRPr="00EA4DA0" w14:paraId="2A1DB0E1" w14:textId="77777777" w:rsidTr="005E51F4">
        <w:trPr>
          <w:cantSplit/>
          <w:trHeight w:val="451"/>
        </w:trPr>
        <w:tc>
          <w:tcPr>
            <w:tcW w:w="1795" w:type="dxa"/>
            <w:tcBorders>
              <w:top w:val="single" w:sz="4" w:space="0" w:color="auto"/>
              <w:left w:val="single" w:sz="4" w:space="0" w:color="auto"/>
              <w:bottom w:val="single" w:sz="4" w:space="0" w:color="auto"/>
              <w:right w:val="single" w:sz="4" w:space="0" w:color="auto"/>
            </w:tcBorders>
            <w:vAlign w:val="center"/>
          </w:tcPr>
          <w:p w14:paraId="705EC4D8" w14:textId="77777777" w:rsidR="00ED4794" w:rsidRPr="00A81644" w:rsidRDefault="00ED4794" w:rsidP="00A76A00">
            <w:pPr>
              <w:spacing w:after="0" w:line="240" w:lineRule="auto"/>
              <w:rPr>
                <w:rFonts w:ascii="Calibri" w:eastAsia="Times New Roman" w:hAnsi="Calibri" w:cs="Calibri"/>
                <w:b/>
                <w:color w:val="000000"/>
                <w:sz w:val="18"/>
                <w:szCs w:val="18"/>
              </w:rPr>
            </w:pPr>
            <w:r w:rsidRPr="00A81644">
              <w:rPr>
                <w:rFonts w:ascii="Calibri" w:eastAsia="Times New Roman" w:hAnsi="Calibri" w:cs="Calibri"/>
                <w:b/>
                <w:color w:val="000000"/>
                <w:sz w:val="18"/>
                <w:szCs w:val="18"/>
              </w:rPr>
              <w:t>Gross Sequestration Rate</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2845B" w14:textId="77777777" w:rsidR="00ED4794" w:rsidRPr="00DD4D58" w:rsidRDefault="00ED4794" w:rsidP="00A76A0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+/- 16.2%</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8C9ADC" w14:textId="68B27549" w:rsidR="00ED4794" w:rsidRPr="001B71D1" w:rsidRDefault="00ED4794" w:rsidP="005E51F4">
            <w:pPr>
              <w:spacing w:after="0" w:line="240" w:lineRule="auto"/>
              <w:rPr>
                <w:rFonts w:ascii="Calibri" w:eastAsia="Times New Roman" w:hAnsi="Calibri" w:cs="Calibri"/>
                <w:color w:val="000000"/>
                <w:sz w:val="18"/>
                <w:szCs w:val="18"/>
              </w:rPr>
            </w:pPr>
            <w:r w:rsidRPr="00EF38FE">
              <w:rPr>
                <w:rFonts w:ascii="Calibri" w:eastAsia="Times New Roman" w:hAnsi="Calibri" w:cs="Calibri"/>
                <w:color w:val="000000"/>
                <w:sz w:val="18"/>
                <w:szCs w:val="18"/>
              </w:rPr>
              <w:t>Nowak</w:t>
            </w:r>
            <w:r w:rsidR="005E51F4">
              <w:rPr>
                <w:rFonts w:ascii="Calibri" w:eastAsia="Times New Roman" w:hAnsi="Calibri" w:cs="Calibri"/>
                <w:color w:val="000000"/>
                <w:sz w:val="18"/>
                <w:szCs w:val="18"/>
              </w:rPr>
              <w:t xml:space="preserve"> et al., 2013</w:t>
            </w:r>
          </w:p>
        </w:tc>
      </w:tr>
      <w:tr w:rsidR="00ED4794" w:rsidRPr="00EA4DA0" w14:paraId="17F094EA" w14:textId="77777777" w:rsidTr="005E51F4">
        <w:trPr>
          <w:cantSplit/>
          <w:trHeight w:val="451"/>
        </w:trPr>
        <w:tc>
          <w:tcPr>
            <w:tcW w:w="1795" w:type="dxa"/>
            <w:tcBorders>
              <w:top w:val="single" w:sz="4" w:space="0" w:color="auto"/>
              <w:left w:val="single" w:sz="4" w:space="0" w:color="auto"/>
              <w:bottom w:val="single" w:sz="4" w:space="0" w:color="auto"/>
              <w:right w:val="single" w:sz="4" w:space="0" w:color="auto"/>
            </w:tcBorders>
            <w:vAlign w:val="center"/>
          </w:tcPr>
          <w:p w14:paraId="5017821A" w14:textId="77777777" w:rsidR="00ED4794" w:rsidRPr="00A81644" w:rsidRDefault="00ED4794" w:rsidP="00A76A00">
            <w:pPr>
              <w:spacing w:after="0" w:line="240" w:lineRule="auto"/>
              <w:rPr>
                <w:rFonts w:ascii="Calibri" w:eastAsia="Times New Roman" w:hAnsi="Calibri" w:cs="Calibri"/>
                <w:b/>
                <w:color w:val="000000"/>
                <w:sz w:val="18"/>
                <w:szCs w:val="18"/>
              </w:rPr>
            </w:pPr>
            <w:r w:rsidRPr="00A81644">
              <w:rPr>
                <w:rFonts w:ascii="Calibri" w:eastAsia="Times New Roman" w:hAnsi="Calibri" w:cs="Calibri"/>
                <w:b/>
                <w:color w:val="000000"/>
                <w:sz w:val="18"/>
                <w:szCs w:val="18"/>
              </w:rPr>
              <w:t>Gross to Net Ratio</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6FB89" w14:textId="77777777" w:rsidR="00ED4794" w:rsidRPr="00DD4D58" w:rsidRDefault="00ED4794" w:rsidP="00A76A00">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+/- 50.5%</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4C7350" w14:textId="0C7FFCF9" w:rsidR="00ED4794" w:rsidRPr="001B71D1" w:rsidRDefault="00ED4794" w:rsidP="005E51F4">
            <w:pPr>
              <w:spacing w:after="0" w:line="240" w:lineRule="auto"/>
              <w:rPr>
                <w:rFonts w:ascii="Calibri" w:eastAsia="Times New Roman" w:hAnsi="Calibri" w:cs="Calibri"/>
                <w:color w:val="000000"/>
                <w:sz w:val="18"/>
                <w:szCs w:val="18"/>
              </w:rPr>
            </w:pPr>
            <w:r w:rsidRPr="00EF38FE">
              <w:rPr>
                <w:rFonts w:ascii="Calibri" w:eastAsia="Times New Roman" w:hAnsi="Calibri" w:cs="Calibri"/>
                <w:color w:val="000000"/>
                <w:sz w:val="18"/>
                <w:szCs w:val="18"/>
              </w:rPr>
              <w:t>Nowak</w:t>
            </w:r>
            <w:r w:rsidR="005E51F4">
              <w:rPr>
                <w:rFonts w:ascii="Calibri" w:eastAsia="Times New Roman" w:hAnsi="Calibri" w:cs="Calibri"/>
                <w:color w:val="000000"/>
                <w:sz w:val="18"/>
                <w:szCs w:val="18"/>
              </w:rPr>
              <w:t xml:space="preserve"> et al., 2013</w:t>
            </w:r>
          </w:p>
        </w:tc>
      </w:tr>
    </w:tbl>
    <w:p w14:paraId="038D881D" w14:textId="77777777" w:rsidR="00ED4794" w:rsidRDefault="00ED4794" w:rsidP="00ED4794"/>
    <w:p w14:paraId="6D675D14" w14:textId="494AC5DB" w:rsidR="00AB60B7" w:rsidRPr="00764B5B" w:rsidRDefault="00ED4794" w:rsidP="00764B5B">
      <w:pPr>
        <w:pStyle w:val="2-Header"/>
        <w:numPr>
          <w:ilvl w:val="0"/>
          <w:numId w:val="0"/>
        </w:numPr>
        <w:rPr>
          <w:rStyle w:val="Strong"/>
          <w:b w:val="0"/>
        </w:rPr>
      </w:pPr>
      <w:r w:rsidRPr="00764B5B">
        <w:rPr>
          <w:rStyle w:val="Strong"/>
          <w:b w:val="0"/>
        </w:rPr>
        <w:t>Results</w:t>
      </w:r>
    </w:p>
    <w:p w14:paraId="38483502" w14:textId="7A012507" w:rsidR="00ED4794" w:rsidRDefault="00ED4794" w:rsidP="00ED4794">
      <w:r>
        <w:t>The results of the contribution index analysis show that the gross to net sequestration ratio accounted for</w:t>
      </w:r>
      <w:r w:rsidR="00764B5B">
        <w:t xml:space="preserve"> the largest portion (</w:t>
      </w:r>
      <w:r>
        <w:t>83%</w:t>
      </w:r>
      <w:r w:rsidR="00764B5B">
        <w:t>)</w:t>
      </w:r>
      <w:r>
        <w:t xml:space="preserve"> of </w:t>
      </w:r>
      <w:r w:rsidR="005E51F4">
        <w:t>urban tree</w:t>
      </w:r>
      <w:r>
        <w:t xml:space="preserve"> uncertainty (</w:t>
      </w:r>
      <w:r w:rsidR="0063371D" w:rsidRPr="00764B5B">
        <w:fldChar w:fldCharType="begin"/>
      </w:r>
      <w:r w:rsidR="0063371D" w:rsidRPr="00764B5B">
        <w:instrText xml:space="preserve"> REF _Ref5105223 \h  \* MERGEFORMAT </w:instrText>
      </w:r>
      <w:r w:rsidR="0063371D" w:rsidRPr="00764B5B">
        <w:fldChar w:fldCharType="separate"/>
      </w:r>
      <w:r w:rsidR="00FB4CFE" w:rsidRPr="00FB4CFE">
        <w:t xml:space="preserve">Table </w:t>
      </w:r>
      <w:r w:rsidR="0063371D" w:rsidRPr="00764B5B">
        <w:fldChar w:fldCharType="end"/>
      </w:r>
      <w:r w:rsidR="007D6D6E">
        <w:t>2</w:t>
      </w:r>
      <w:r w:rsidR="008F4C88">
        <w:t>-31</w:t>
      </w:r>
      <w:r>
        <w:t xml:space="preserve">), with urban area </w:t>
      </w:r>
      <w:r w:rsidR="005E51F4">
        <w:t xml:space="preserve">estimation </w:t>
      </w:r>
      <w:r>
        <w:t xml:space="preserve">and state-wide sequestration rate both accounting for </w:t>
      </w:r>
      <w:r w:rsidR="008F4C88">
        <w:t>less than 10</w:t>
      </w:r>
      <w:r>
        <w:t xml:space="preserve">% of uncertainty. </w:t>
      </w:r>
    </w:p>
    <w:p w14:paraId="099BC94E" w14:textId="18F681DE" w:rsidR="001D09E3" w:rsidRPr="001D09E3" w:rsidRDefault="001D09E3" w:rsidP="001D09E3">
      <w:pPr>
        <w:pStyle w:val="Caption"/>
        <w:keepNext/>
        <w:rPr>
          <w:b/>
          <w:sz w:val="22"/>
          <w:szCs w:val="22"/>
        </w:rPr>
      </w:pPr>
      <w:bookmarkStart w:id="258" w:name="_Ref5105223"/>
      <w:r w:rsidRPr="001D09E3">
        <w:rPr>
          <w:b/>
          <w:sz w:val="22"/>
          <w:szCs w:val="22"/>
        </w:rPr>
        <w:t xml:space="preserve">Table </w:t>
      </w:r>
      <w:bookmarkEnd w:id="258"/>
      <w:r w:rsidR="007D6D6E">
        <w:rPr>
          <w:b/>
          <w:sz w:val="22"/>
          <w:szCs w:val="22"/>
        </w:rPr>
        <w:t>2</w:t>
      </w:r>
      <w:r w:rsidR="005F6840">
        <w:rPr>
          <w:b/>
          <w:sz w:val="22"/>
          <w:szCs w:val="22"/>
        </w:rPr>
        <w:t>-</w:t>
      </w:r>
      <w:r w:rsidR="008F4C88">
        <w:rPr>
          <w:b/>
          <w:sz w:val="22"/>
          <w:szCs w:val="22"/>
        </w:rPr>
        <w:t>31</w:t>
      </w:r>
      <w:r w:rsidRPr="001D09E3">
        <w:rPr>
          <w:b/>
          <w:sz w:val="22"/>
          <w:szCs w:val="22"/>
        </w:rPr>
        <w:t xml:space="preserve">: </w:t>
      </w:r>
      <w:r w:rsidR="00A9645A">
        <w:rPr>
          <w:b/>
          <w:sz w:val="22"/>
          <w:szCs w:val="22"/>
        </w:rPr>
        <w:t xml:space="preserve">RESULTS – Contributions to </w:t>
      </w:r>
      <w:r w:rsidRPr="001D09E3">
        <w:rPr>
          <w:b/>
          <w:sz w:val="22"/>
          <w:szCs w:val="22"/>
        </w:rPr>
        <w:t xml:space="preserve">uncertainty of urban tree </w:t>
      </w:r>
      <w:r w:rsidR="00A9645A">
        <w:rPr>
          <w:b/>
          <w:sz w:val="22"/>
          <w:szCs w:val="22"/>
        </w:rPr>
        <w:t>carbon stock change</w:t>
      </w: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950"/>
        <w:gridCol w:w="1950"/>
        <w:gridCol w:w="2220"/>
      </w:tblGrid>
      <w:tr w:rsidR="0008052F" w:rsidRPr="00CB3381" w14:paraId="13E2FC69" w14:textId="77777777" w:rsidTr="0008052F">
        <w:trPr>
          <w:cantSplit/>
          <w:trHeight w:val="710"/>
          <w:tblHeader/>
        </w:trPr>
        <w:tc>
          <w:tcPr>
            <w:tcW w:w="1705" w:type="dxa"/>
            <w:tcBorders>
              <w:top w:val="single" w:sz="4" w:space="0" w:color="auto"/>
              <w:left w:val="single" w:sz="4" w:space="0" w:color="auto"/>
              <w:bottom w:val="single" w:sz="4" w:space="0" w:color="auto"/>
              <w:right w:val="single" w:sz="4" w:space="0" w:color="auto"/>
            </w:tcBorders>
            <w:shd w:val="clear" w:color="auto" w:fill="FFC000"/>
            <w:vAlign w:val="center"/>
          </w:tcPr>
          <w:p w14:paraId="6DE71144" w14:textId="77777777" w:rsidR="0008052F" w:rsidRPr="00764B5B" w:rsidRDefault="0008052F" w:rsidP="00764B5B">
            <w:pPr>
              <w:spacing w:after="0" w:line="240" w:lineRule="auto"/>
              <w:jc w:val="center"/>
              <w:rPr>
                <w:rFonts w:ascii="Calibri" w:eastAsia="Times New Roman" w:hAnsi="Calibri" w:cs="Calibri"/>
                <w:b/>
                <w:color w:val="000000"/>
                <w:sz w:val="18"/>
                <w:szCs w:val="18"/>
              </w:rPr>
            </w:pPr>
            <w:r w:rsidRPr="00764B5B">
              <w:rPr>
                <w:rFonts w:ascii="Calibri" w:eastAsia="Times New Roman" w:hAnsi="Calibri" w:cs="Calibri"/>
                <w:b/>
                <w:color w:val="000000"/>
                <w:sz w:val="18"/>
                <w:szCs w:val="18"/>
              </w:rPr>
              <w:t>Variable held constant</w:t>
            </w:r>
          </w:p>
        </w:tc>
        <w:tc>
          <w:tcPr>
            <w:tcW w:w="1950"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548E5B95" w14:textId="77777777" w:rsidR="0008052F" w:rsidRPr="00764B5B" w:rsidRDefault="0008052F" w:rsidP="00764B5B">
            <w:pPr>
              <w:spacing w:after="0" w:line="240" w:lineRule="auto"/>
              <w:jc w:val="center"/>
              <w:rPr>
                <w:rFonts w:ascii="Calibri" w:eastAsia="Times New Roman" w:hAnsi="Calibri" w:cs="Calibri"/>
                <w:b/>
                <w:color w:val="000000"/>
                <w:sz w:val="18"/>
                <w:szCs w:val="18"/>
              </w:rPr>
            </w:pPr>
            <w:r w:rsidRPr="00764B5B">
              <w:rPr>
                <w:rFonts w:ascii="Calibri" w:eastAsia="Times New Roman" w:hAnsi="Calibri" w:cs="Calibri"/>
                <w:b/>
                <w:color w:val="000000"/>
                <w:sz w:val="18"/>
                <w:szCs w:val="18"/>
              </w:rPr>
              <w:t>Range of 95% Interval (MMT CO</w:t>
            </w:r>
            <w:r w:rsidRPr="00764B5B">
              <w:rPr>
                <w:rFonts w:ascii="Calibri" w:eastAsia="Times New Roman" w:hAnsi="Calibri" w:cs="Calibri"/>
                <w:b/>
                <w:color w:val="000000"/>
                <w:sz w:val="18"/>
                <w:szCs w:val="18"/>
                <w:vertAlign w:val="subscript"/>
              </w:rPr>
              <w:t>2</w:t>
            </w:r>
            <w:r w:rsidRPr="00764B5B">
              <w:rPr>
                <w:rFonts w:ascii="Calibri" w:eastAsia="Times New Roman" w:hAnsi="Calibri" w:cs="Calibri"/>
                <w:b/>
                <w:color w:val="000000"/>
                <w:sz w:val="18"/>
                <w:szCs w:val="18"/>
              </w:rPr>
              <w:t>e)</w:t>
            </w:r>
          </w:p>
        </w:tc>
        <w:tc>
          <w:tcPr>
            <w:tcW w:w="1950"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1281BD6C" w14:textId="77777777" w:rsidR="0008052F" w:rsidRPr="00764B5B" w:rsidRDefault="0008052F" w:rsidP="00764B5B">
            <w:pPr>
              <w:spacing w:after="0" w:line="240" w:lineRule="auto"/>
              <w:jc w:val="center"/>
              <w:rPr>
                <w:rFonts w:ascii="Calibri" w:eastAsia="Times New Roman" w:hAnsi="Calibri" w:cs="Calibri"/>
                <w:b/>
                <w:color w:val="000000"/>
                <w:sz w:val="18"/>
                <w:szCs w:val="18"/>
              </w:rPr>
            </w:pPr>
            <w:r w:rsidRPr="00764B5B">
              <w:rPr>
                <w:rFonts w:ascii="Calibri" w:eastAsia="Times New Roman" w:hAnsi="Calibri" w:cs="Calibri"/>
                <w:b/>
                <w:color w:val="000000"/>
                <w:sz w:val="18"/>
                <w:szCs w:val="18"/>
              </w:rPr>
              <w:t>Contribution to Uncertainty (%)</w:t>
            </w:r>
          </w:p>
        </w:tc>
        <w:tc>
          <w:tcPr>
            <w:tcW w:w="2220" w:type="dxa"/>
            <w:tcBorders>
              <w:top w:val="single" w:sz="4" w:space="0" w:color="auto"/>
              <w:left w:val="single" w:sz="4" w:space="0" w:color="auto"/>
              <w:bottom w:val="single" w:sz="4" w:space="0" w:color="auto"/>
              <w:right w:val="single" w:sz="4" w:space="0" w:color="auto"/>
            </w:tcBorders>
            <w:shd w:val="clear" w:color="auto" w:fill="FFC000"/>
            <w:vAlign w:val="center"/>
          </w:tcPr>
          <w:p w14:paraId="164C9B00" w14:textId="77777777" w:rsidR="0008052F" w:rsidRPr="00764B5B" w:rsidDel="001D4241" w:rsidRDefault="0008052F" w:rsidP="00764B5B">
            <w:pPr>
              <w:spacing w:after="0" w:line="240" w:lineRule="auto"/>
              <w:jc w:val="center"/>
              <w:rPr>
                <w:rFonts w:ascii="Calibri" w:eastAsia="Times New Roman" w:hAnsi="Calibri" w:cs="Calibri"/>
                <w:b/>
                <w:color w:val="000000"/>
                <w:sz w:val="18"/>
                <w:szCs w:val="18"/>
              </w:rPr>
            </w:pPr>
            <w:r w:rsidRPr="00764B5B">
              <w:rPr>
                <w:rFonts w:ascii="Calibri" w:eastAsia="Times New Roman" w:hAnsi="Calibri" w:cs="Calibri"/>
                <w:b/>
                <w:color w:val="000000"/>
                <w:sz w:val="18"/>
                <w:szCs w:val="18"/>
              </w:rPr>
              <w:t>Contribution to Uncertainty (MMT CO</w:t>
            </w:r>
            <w:r w:rsidRPr="00764B5B">
              <w:rPr>
                <w:rFonts w:ascii="Calibri" w:eastAsia="Times New Roman" w:hAnsi="Calibri" w:cs="Calibri"/>
                <w:b/>
                <w:color w:val="000000"/>
                <w:sz w:val="18"/>
                <w:szCs w:val="18"/>
                <w:vertAlign w:val="subscript"/>
              </w:rPr>
              <w:t>2</w:t>
            </w:r>
            <w:r w:rsidRPr="00764B5B">
              <w:rPr>
                <w:rFonts w:ascii="Calibri" w:eastAsia="Times New Roman" w:hAnsi="Calibri" w:cs="Calibri"/>
                <w:b/>
                <w:color w:val="000000"/>
                <w:sz w:val="18"/>
                <w:szCs w:val="18"/>
              </w:rPr>
              <w:t>e)</w:t>
            </w:r>
          </w:p>
        </w:tc>
      </w:tr>
      <w:tr w:rsidR="0008052F" w:rsidRPr="00EA4DA0" w14:paraId="1ED299A7" w14:textId="77777777" w:rsidTr="0008052F">
        <w:trPr>
          <w:cantSplit/>
          <w:trHeight w:val="404"/>
        </w:trPr>
        <w:tc>
          <w:tcPr>
            <w:tcW w:w="1705" w:type="dxa"/>
            <w:tcBorders>
              <w:top w:val="single" w:sz="4" w:space="0" w:color="auto"/>
              <w:left w:val="single" w:sz="4" w:space="0" w:color="auto"/>
              <w:bottom w:val="single" w:sz="4" w:space="0" w:color="auto"/>
              <w:right w:val="single" w:sz="4" w:space="0" w:color="auto"/>
            </w:tcBorders>
            <w:vAlign w:val="center"/>
          </w:tcPr>
          <w:p w14:paraId="05F9FE79" w14:textId="784D9206" w:rsidR="0008052F" w:rsidRPr="00A81644" w:rsidRDefault="001E048A" w:rsidP="00764B5B">
            <w:pPr>
              <w:spacing w:after="0" w:line="240" w:lineRule="auto"/>
              <w:rPr>
                <w:rFonts w:ascii="Calibri" w:eastAsia="Times New Roman" w:hAnsi="Calibri" w:cs="Calibri"/>
                <w:b/>
                <w:color w:val="000000"/>
                <w:sz w:val="18"/>
                <w:szCs w:val="18"/>
              </w:rPr>
            </w:pPr>
            <w:r>
              <w:rPr>
                <w:rFonts w:ascii="Calibri" w:eastAsia="Times New Roman" w:hAnsi="Calibri" w:cs="Calibri"/>
                <w:b/>
                <w:color w:val="000000"/>
                <w:sz w:val="18"/>
                <w:szCs w:val="18"/>
              </w:rPr>
              <w:t>None (all vary)</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40F84" w14:textId="3CA6837E" w:rsidR="0008052F" w:rsidRPr="00DD4D58" w:rsidRDefault="005E51F4" w:rsidP="00764B5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104.3</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4456A" w14:textId="77777777" w:rsidR="0008052F" w:rsidRPr="00EA4DA0" w:rsidRDefault="0008052F" w:rsidP="00764B5B">
            <w:pPr>
              <w:spacing w:after="0" w:line="240" w:lineRule="auto"/>
              <w:jc w:val="center"/>
              <w:rPr>
                <w:rFonts w:ascii="Calibri" w:eastAsia="Times New Roman" w:hAnsi="Calibri" w:cs="Calibri"/>
                <w:color w:val="000000"/>
                <w:sz w:val="18"/>
                <w:szCs w:val="18"/>
              </w:rPr>
            </w:pPr>
            <w:r w:rsidRPr="00DD4D58">
              <w:rPr>
                <w:rFonts w:ascii="Calibri" w:eastAsia="Times New Roman" w:hAnsi="Calibri" w:cs="Calibri"/>
                <w:color w:val="000000"/>
                <w:sz w:val="18"/>
                <w:szCs w:val="18"/>
              </w:rPr>
              <w:t>-</w:t>
            </w:r>
          </w:p>
        </w:tc>
        <w:tc>
          <w:tcPr>
            <w:tcW w:w="2220" w:type="dxa"/>
            <w:tcBorders>
              <w:top w:val="single" w:sz="4" w:space="0" w:color="auto"/>
              <w:left w:val="single" w:sz="4" w:space="0" w:color="auto"/>
              <w:bottom w:val="single" w:sz="4" w:space="0" w:color="auto"/>
              <w:right w:val="single" w:sz="4" w:space="0" w:color="auto"/>
            </w:tcBorders>
            <w:vAlign w:val="center"/>
          </w:tcPr>
          <w:p w14:paraId="3CE7AC87" w14:textId="77777777" w:rsidR="0008052F" w:rsidRPr="00DD4D58" w:rsidRDefault="0008052F" w:rsidP="00764B5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r>
      <w:tr w:rsidR="0008052F" w:rsidRPr="00EA4DA0" w14:paraId="6200A063" w14:textId="77777777" w:rsidTr="0008052F">
        <w:trPr>
          <w:cantSplit/>
          <w:trHeight w:val="451"/>
        </w:trPr>
        <w:tc>
          <w:tcPr>
            <w:tcW w:w="1705" w:type="dxa"/>
            <w:tcBorders>
              <w:top w:val="single" w:sz="4" w:space="0" w:color="auto"/>
              <w:left w:val="single" w:sz="4" w:space="0" w:color="auto"/>
              <w:bottom w:val="single" w:sz="4" w:space="0" w:color="auto"/>
              <w:right w:val="single" w:sz="4" w:space="0" w:color="auto"/>
            </w:tcBorders>
            <w:vAlign w:val="center"/>
          </w:tcPr>
          <w:p w14:paraId="105D50A5" w14:textId="77777777" w:rsidR="0008052F" w:rsidRPr="00C64817" w:rsidRDefault="0008052F" w:rsidP="00764B5B">
            <w:pPr>
              <w:spacing w:after="0" w:line="240" w:lineRule="auto"/>
              <w:rPr>
                <w:rFonts w:ascii="Calibri" w:eastAsia="Times New Roman" w:hAnsi="Calibri" w:cs="Calibri"/>
                <w:b/>
                <w:color w:val="000000"/>
                <w:sz w:val="18"/>
                <w:szCs w:val="18"/>
              </w:rPr>
            </w:pPr>
            <w:r>
              <w:rPr>
                <w:rFonts w:ascii="Calibri" w:eastAsia="Times New Roman" w:hAnsi="Calibri" w:cs="Calibri"/>
                <w:b/>
                <w:color w:val="000000"/>
                <w:sz w:val="18"/>
                <w:szCs w:val="18"/>
              </w:rPr>
              <w:t>Urban Area</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EB8D86" w14:textId="74433554" w:rsidR="0008052F" w:rsidRPr="00DD4D58" w:rsidRDefault="005E51F4" w:rsidP="00764B5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100.1</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9F361" w14:textId="546DE58F" w:rsidR="0008052F" w:rsidRPr="00DD4D58" w:rsidRDefault="0008052F" w:rsidP="00764B5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6.2</w:t>
            </w:r>
          </w:p>
        </w:tc>
        <w:tc>
          <w:tcPr>
            <w:tcW w:w="2220" w:type="dxa"/>
            <w:tcBorders>
              <w:top w:val="single" w:sz="4" w:space="0" w:color="auto"/>
              <w:left w:val="single" w:sz="4" w:space="0" w:color="auto"/>
              <w:bottom w:val="single" w:sz="4" w:space="0" w:color="auto"/>
              <w:right w:val="single" w:sz="4" w:space="0" w:color="auto"/>
            </w:tcBorders>
            <w:vAlign w:val="center"/>
          </w:tcPr>
          <w:p w14:paraId="7B0AA248" w14:textId="3191A306" w:rsidR="0008052F" w:rsidRPr="00C64817" w:rsidRDefault="0008052F" w:rsidP="00764B5B">
            <w:pPr>
              <w:spacing w:after="0" w:line="240" w:lineRule="auto"/>
              <w:jc w:val="center"/>
              <w:rPr>
                <w:rFonts w:ascii="Calibri" w:eastAsia="Times New Roman" w:hAnsi="Calibri" w:cs="Calibri"/>
                <w:color w:val="000000"/>
                <w:sz w:val="18"/>
                <w:szCs w:val="18"/>
              </w:rPr>
            </w:pPr>
            <w:r w:rsidRPr="0018786C">
              <w:rPr>
                <w:rFonts w:ascii="Calibri" w:eastAsia="Times New Roman" w:hAnsi="Calibri" w:cs="Calibri"/>
                <w:color w:val="000000"/>
                <w:sz w:val="18"/>
                <w:szCs w:val="18"/>
              </w:rPr>
              <w:t>6.</w:t>
            </w:r>
            <w:r w:rsidR="005E51F4">
              <w:rPr>
                <w:rFonts w:ascii="Calibri" w:eastAsia="Times New Roman" w:hAnsi="Calibri" w:cs="Calibri"/>
                <w:color w:val="000000"/>
                <w:sz w:val="18"/>
                <w:szCs w:val="18"/>
              </w:rPr>
              <w:t>5</w:t>
            </w:r>
          </w:p>
        </w:tc>
      </w:tr>
      <w:tr w:rsidR="0008052F" w:rsidRPr="00EA4DA0" w14:paraId="0CBA92DC" w14:textId="77777777" w:rsidTr="0008052F">
        <w:trPr>
          <w:cantSplit/>
          <w:trHeight w:val="451"/>
        </w:trPr>
        <w:tc>
          <w:tcPr>
            <w:tcW w:w="1705" w:type="dxa"/>
            <w:tcBorders>
              <w:top w:val="single" w:sz="4" w:space="0" w:color="auto"/>
              <w:left w:val="single" w:sz="4" w:space="0" w:color="auto"/>
              <w:bottom w:val="single" w:sz="4" w:space="0" w:color="auto"/>
              <w:right w:val="single" w:sz="4" w:space="0" w:color="auto"/>
            </w:tcBorders>
            <w:vAlign w:val="center"/>
          </w:tcPr>
          <w:p w14:paraId="4D15D619" w14:textId="77777777" w:rsidR="0008052F" w:rsidRPr="00A81644" w:rsidRDefault="0008052F" w:rsidP="00764B5B">
            <w:pPr>
              <w:spacing w:after="0" w:line="240" w:lineRule="auto"/>
              <w:rPr>
                <w:rFonts w:ascii="Calibri" w:eastAsia="Times New Roman" w:hAnsi="Calibri" w:cs="Calibri"/>
                <w:b/>
                <w:color w:val="000000"/>
                <w:sz w:val="18"/>
                <w:szCs w:val="18"/>
              </w:rPr>
            </w:pPr>
            <w:r w:rsidRPr="00A81644">
              <w:rPr>
                <w:rFonts w:ascii="Calibri" w:eastAsia="Times New Roman" w:hAnsi="Calibri" w:cs="Calibri"/>
                <w:b/>
                <w:color w:val="000000"/>
                <w:sz w:val="18"/>
                <w:szCs w:val="18"/>
              </w:rPr>
              <w:t>Tree Cover Percentage</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358A5" w14:textId="41BDA69C" w:rsidR="0008052F" w:rsidRPr="00DD4D58" w:rsidRDefault="005E51F4" w:rsidP="00764B5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101.5</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C78BA7" w14:textId="170C7100" w:rsidR="0008052F" w:rsidRPr="00EA4DA0" w:rsidRDefault="0008052F" w:rsidP="00764B5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4.1</w:t>
            </w:r>
          </w:p>
        </w:tc>
        <w:tc>
          <w:tcPr>
            <w:tcW w:w="2220" w:type="dxa"/>
            <w:tcBorders>
              <w:top w:val="single" w:sz="4" w:space="0" w:color="auto"/>
              <w:left w:val="single" w:sz="4" w:space="0" w:color="auto"/>
              <w:bottom w:val="single" w:sz="4" w:space="0" w:color="auto"/>
              <w:right w:val="single" w:sz="4" w:space="0" w:color="auto"/>
            </w:tcBorders>
            <w:vAlign w:val="center"/>
          </w:tcPr>
          <w:p w14:paraId="334582E0" w14:textId="07FA03F5" w:rsidR="0008052F" w:rsidRDefault="005E51F4" w:rsidP="00764B5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4.3</w:t>
            </w:r>
          </w:p>
        </w:tc>
      </w:tr>
      <w:tr w:rsidR="0008052F" w:rsidRPr="00EA4DA0" w14:paraId="5D4A3E89" w14:textId="77777777" w:rsidTr="0008052F">
        <w:trPr>
          <w:cantSplit/>
          <w:trHeight w:val="451"/>
        </w:trPr>
        <w:tc>
          <w:tcPr>
            <w:tcW w:w="1705" w:type="dxa"/>
            <w:tcBorders>
              <w:top w:val="single" w:sz="4" w:space="0" w:color="auto"/>
              <w:left w:val="single" w:sz="4" w:space="0" w:color="auto"/>
              <w:bottom w:val="single" w:sz="4" w:space="0" w:color="auto"/>
              <w:right w:val="single" w:sz="4" w:space="0" w:color="auto"/>
            </w:tcBorders>
            <w:vAlign w:val="center"/>
          </w:tcPr>
          <w:p w14:paraId="6CA0C056" w14:textId="77777777" w:rsidR="0008052F" w:rsidRPr="00A81644" w:rsidRDefault="0008052F" w:rsidP="00764B5B">
            <w:pPr>
              <w:spacing w:after="0" w:line="240" w:lineRule="auto"/>
              <w:rPr>
                <w:rFonts w:ascii="Calibri" w:eastAsia="Times New Roman" w:hAnsi="Calibri" w:cs="Calibri"/>
                <w:b/>
                <w:color w:val="000000"/>
                <w:sz w:val="18"/>
                <w:szCs w:val="18"/>
              </w:rPr>
            </w:pPr>
            <w:r w:rsidRPr="00A81644">
              <w:rPr>
                <w:rFonts w:ascii="Calibri" w:eastAsia="Times New Roman" w:hAnsi="Calibri" w:cs="Calibri"/>
                <w:b/>
                <w:color w:val="000000"/>
                <w:sz w:val="18"/>
                <w:szCs w:val="18"/>
              </w:rPr>
              <w:t>Gross Sequestration Rate</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FF88D8" w14:textId="23AD83B8" w:rsidR="0008052F" w:rsidRPr="00DD4D58" w:rsidRDefault="0008052F" w:rsidP="00764B5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99.7</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A03446" w14:textId="5357BC81" w:rsidR="0008052F" w:rsidRPr="001B71D1" w:rsidRDefault="0008052F" w:rsidP="00764B5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6.7</w:t>
            </w:r>
          </w:p>
        </w:tc>
        <w:tc>
          <w:tcPr>
            <w:tcW w:w="2220" w:type="dxa"/>
            <w:tcBorders>
              <w:top w:val="single" w:sz="4" w:space="0" w:color="auto"/>
              <w:left w:val="single" w:sz="4" w:space="0" w:color="auto"/>
              <w:bottom w:val="single" w:sz="4" w:space="0" w:color="auto"/>
              <w:right w:val="single" w:sz="4" w:space="0" w:color="auto"/>
            </w:tcBorders>
            <w:vAlign w:val="center"/>
          </w:tcPr>
          <w:p w14:paraId="300224CB" w14:textId="1D767D96" w:rsidR="0008052F" w:rsidRDefault="0008052F" w:rsidP="00764B5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7.0</w:t>
            </w:r>
          </w:p>
        </w:tc>
      </w:tr>
      <w:tr w:rsidR="0008052F" w:rsidRPr="00EA4DA0" w14:paraId="33906FE1" w14:textId="77777777" w:rsidTr="0008052F">
        <w:trPr>
          <w:cantSplit/>
          <w:trHeight w:val="451"/>
        </w:trPr>
        <w:tc>
          <w:tcPr>
            <w:tcW w:w="1705" w:type="dxa"/>
            <w:tcBorders>
              <w:top w:val="single" w:sz="4" w:space="0" w:color="auto"/>
              <w:left w:val="single" w:sz="4" w:space="0" w:color="auto"/>
              <w:bottom w:val="single" w:sz="4" w:space="0" w:color="auto"/>
              <w:right w:val="single" w:sz="4" w:space="0" w:color="auto"/>
            </w:tcBorders>
            <w:vAlign w:val="center"/>
          </w:tcPr>
          <w:p w14:paraId="044DEFDB" w14:textId="77777777" w:rsidR="0008052F" w:rsidRPr="00A81644" w:rsidRDefault="0008052F" w:rsidP="00764B5B">
            <w:pPr>
              <w:spacing w:after="0" w:line="240" w:lineRule="auto"/>
              <w:rPr>
                <w:rFonts w:ascii="Calibri" w:eastAsia="Times New Roman" w:hAnsi="Calibri" w:cs="Calibri"/>
                <w:b/>
                <w:color w:val="000000"/>
                <w:sz w:val="18"/>
                <w:szCs w:val="18"/>
              </w:rPr>
            </w:pPr>
            <w:r w:rsidRPr="00A81644">
              <w:rPr>
                <w:rFonts w:ascii="Calibri" w:eastAsia="Times New Roman" w:hAnsi="Calibri" w:cs="Calibri"/>
                <w:b/>
                <w:color w:val="000000"/>
                <w:sz w:val="18"/>
                <w:szCs w:val="18"/>
              </w:rPr>
              <w:t>Gross to Net Ratio</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F74F1E" w14:textId="04979F09" w:rsidR="0008052F" w:rsidRPr="00DD4D58" w:rsidRDefault="005E51F4" w:rsidP="005E51F4">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48</w:t>
            </w:r>
            <w:r w:rsidR="00E44758">
              <w:rPr>
                <w:rFonts w:ascii="Calibri" w:eastAsia="Times New Roman" w:hAnsi="Calibri" w:cs="Calibri"/>
                <w:color w:val="000000"/>
                <w:sz w:val="18"/>
                <w:szCs w:val="18"/>
              </w:rPr>
              <w:t>.</w:t>
            </w:r>
            <w:r>
              <w:rPr>
                <w:rFonts w:ascii="Calibri" w:eastAsia="Times New Roman" w:hAnsi="Calibri" w:cs="Calibri"/>
                <w:color w:val="000000"/>
                <w:sz w:val="18"/>
                <w:szCs w:val="18"/>
              </w:rPr>
              <w:t>0</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317F3" w14:textId="67E780D8" w:rsidR="0008052F" w:rsidRPr="001B71D1" w:rsidRDefault="0008052F" w:rsidP="00764B5B">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83.0</w:t>
            </w:r>
          </w:p>
        </w:tc>
        <w:tc>
          <w:tcPr>
            <w:tcW w:w="2220" w:type="dxa"/>
            <w:tcBorders>
              <w:top w:val="single" w:sz="4" w:space="0" w:color="auto"/>
              <w:left w:val="single" w:sz="4" w:space="0" w:color="auto"/>
              <w:bottom w:val="single" w:sz="4" w:space="0" w:color="auto"/>
              <w:right w:val="single" w:sz="4" w:space="0" w:color="auto"/>
            </w:tcBorders>
            <w:vAlign w:val="center"/>
          </w:tcPr>
          <w:p w14:paraId="36BAB3CC" w14:textId="10EF8323" w:rsidR="0008052F" w:rsidRDefault="0008052F" w:rsidP="00764B5B">
            <w:pPr>
              <w:spacing w:after="0" w:line="240" w:lineRule="auto"/>
              <w:jc w:val="center"/>
              <w:rPr>
                <w:rFonts w:ascii="Calibri" w:eastAsia="Times New Roman" w:hAnsi="Calibri" w:cs="Calibri"/>
                <w:color w:val="000000"/>
                <w:sz w:val="18"/>
                <w:szCs w:val="18"/>
              </w:rPr>
            </w:pPr>
            <w:r w:rsidRPr="0018786C">
              <w:rPr>
                <w:rFonts w:ascii="Calibri" w:eastAsia="Times New Roman" w:hAnsi="Calibri" w:cs="Calibri"/>
                <w:color w:val="000000"/>
                <w:sz w:val="18"/>
                <w:szCs w:val="18"/>
              </w:rPr>
              <w:t>86.</w:t>
            </w:r>
            <w:r w:rsidR="005E51F4">
              <w:rPr>
                <w:rFonts w:ascii="Calibri" w:eastAsia="Times New Roman" w:hAnsi="Calibri" w:cs="Calibri"/>
                <w:color w:val="000000"/>
                <w:sz w:val="18"/>
                <w:szCs w:val="18"/>
              </w:rPr>
              <w:t>5</w:t>
            </w:r>
          </w:p>
        </w:tc>
      </w:tr>
    </w:tbl>
    <w:p w14:paraId="36A4D8D5" w14:textId="77777777" w:rsidR="008E77A4" w:rsidRDefault="008E77A4" w:rsidP="00764B5B">
      <w:pPr>
        <w:rPr>
          <w:rStyle w:val="Strong"/>
          <w:sz w:val="26"/>
          <w:szCs w:val="26"/>
        </w:rPr>
      </w:pPr>
    </w:p>
    <w:p w14:paraId="4A2129AC" w14:textId="75488BEA" w:rsidR="008E77A4" w:rsidRPr="00764B5B" w:rsidRDefault="008E77A4" w:rsidP="00764B5B">
      <w:pPr>
        <w:spacing w:after="0"/>
        <w:rPr>
          <w:rStyle w:val="Strong"/>
          <w:rFonts w:eastAsiaTheme="majorEastAsia" w:cstheme="majorBidi"/>
          <w:b w:val="0"/>
          <w:color w:val="2E74B5" w:themeColor="accent1" w:themeShade="BF"/>
          <w:sz w:val="26"/>
          <w:szCs w:val="26"/>
        </w:rPr>
      </w:pPr>
      <w:r w:rsidRPr="00764B5B">
        <w:rPr>
          <w:rStyle w:val="Strong"/>
          <w:rFonts w:eastAsiaTheme="majorEastAsia" w:cstheme="majorBidi"/>
          <w:b w:val="0"/>
          <w:color w:val="2E74B5" w:themeColor="accent1" w:themeShade="BF"/>
          <w:sz w:val="26"/>
          <w:szCs w:val="26"/>
        </w:rPr>
        <w:t>Discussion</w:t>
      </w:r>
    </w:p>
    <w:p w14:paraId="4F869075" w14:textId="2C303C77" w:rsidR="005E51F4" w:rsidRDefault="005E51F4" w:rsidP="00764B5B">
      <w:r>
        <w:t xml:space="preserve">The 95% confidence interval we </w:t>
      </w:r>
      <w:r w:rsidR="008F4C88">
        <w:t xml:space="preserve">estimated </w:t>
      </w:r>
      <w:r>
        <w:t>for urban trees (-145.0 to -40.7 MMT CO</w:t>
      </w:r>
      <w:r w:rsidRPr="005E51F4">
        <w:rPr>
          <w:vertAlign w:val="subscript"/>
        </w:rPr>
        <w:t>2</w:t>
      </w:r>
      <w:r>
        <w:t xml:space="preserve">) </w:t>
      </w:r>
      <w:r w:rsidR="008F4C88">
        <w:t xml:space="preserve">is close to </w:t>
      </w:r>
      <w:r>
        <w:t>that reported in the 2018 NGHGI for 2016 (-136.9 to -47.9 MMT CO</w:t>
      </w:r>
      <w:r w:rsidRPr="005E51F4">
        <w:rPr>
          <w:vertAlign w:val="subscript"/>
        </w:rPr>
        <w:t>2</w:t>
      </w:r>
      <w:r>
        <w:t>), and we calculate the same mean (-92.9 MMT CO</w:t>
      </w:r>
      <w:r w:rsidRPr="005E51F4">
        <w:rPr>
          <w:vertAlign w:val="subscript"/>
        </w:rPr>
        <w:t>2</w:t>
      </w:r>
      <w:r>
        <w:t>).</w:t>
      </w:r>
    </w:p>
    <w:p w14:paraId="5F5E3E5E" w14:textId="0BBB2A1C" w:rsidR="00764B5B" w:rsidRDefault="00764B5B" w:rsidP="00764B5B">
      <w:r>
        <w:t>The gross to net sequestration ratio for urban trees contributes significantly not only to the uncertainty of the estimation of urban trees, but for settlements and the LULUCF</w:t>
      </w:r>
      <w:r w:rsidR="005E51F4">
        <w:t xml:space="preserve"> GHG</w:t>
      </w:r>
      <w:r>
        <w:t xml:space="preserve"> inventory as a whole. Th</w:t>
      </w:r>
      <w:r w:rsidR="008F4C88">
        <w:t>e</w:t>
      </w:r>
      <w:r>
        <w:t xml:space="preserve"> national average</w:t>
      </w:r>
      <w:r w:rsidR="008F4C88">
        <w:t xml:space="preserve"> gross to net sequestration ratio</w:t>
      </w:r>
      <w:r>
        <w:t>, taken from Nowak</w:t>
      </w:r>
      <w:r w:rsidR="001A3B5B">
        <w:t xml:space="preserve"> et al.</w:t>
      </w:r>
      <w:r>
        <w:t xml:space="preserve"> </w:t>
      </w:r>
      <w:r w:rsidR="005E51F4">
        <w:t>(</w:t>
      </w:r>
      <w:r>
        <w:t>20</w:t>
      </w:r>
      <w:r w:rsidR="001A3B5B">
        <w:t>1</w:t>
      </w:r>
      <w:r>
        <w:t>3</w:t>
      </w:r>
      <w:r w:rsidR="005E51F4">
        <w:t>)</w:t>
      </w:r>
      <w:r>
        <w:t xml:space="preserve">, is applied across </w:t>
      </w:r>
      <w:r w:rsidR="005E51F4">
        <w:t xml:space="preserve">the majority of states because no </w:t>
      </w:r>
      <w:r>
        <w:t>state-level</w:t>
      </w:r>
      <w:r w:rsidR="005E51F4">
        <w:t>s</w:t>
      </w:r>
      <w:r>
        <w:t xml:space="preserve"> factor</w:t>
      </w:r>
      <w:r w:rsidR="005E51F4">
        <w:t>s</w:t>
      </w:r>
      <w:r>
        <w:t xml:space="preserve"> </w:t>
      </w:r>
      <w:r w:rsidR="005E51F4">
        <w:t>are</w:t>
      </w:r>
      <w:r>
        <w:t xml:space="preserve"> available. </w:t>
      </w:r>
    </w:p>
    <w:p w14:paraId="3D8B9143" w14:textId="63E1AA82" w:rsidR="00764B5B" w:rsidRDefault="00764B5B" w:rsidP="00764B5B">
      <w:r>
        <w:t>For future inventories, the methods used to estimate urban trees could be</w:t>
      </w:r>
      <w:r w:rsidR="001A3B5B">
        <w:t xml:space="preserve"> further</w:t>
      </w:r>
      <w:r>
        <w:t xml:space="preserve"> harmonized with those methods used in the forestry section. </w:t>
      </w:r>
      <w:r w:rsidR="008F4C88">
        <w:t>Use of t</w:t>
      </w:r>
      <w:r w:rsidR="001A3B5B">
        <w:t xml:space="preserve">he gross to net </w:t>
      </w:r>
      <w:r w:rsidR="008F4C88">
        <w:t xml:space="preserve">sequestration </w:t>
      </w:r>
      <w:r w:rsidR="001A3B5B">
        <w:t>ratio could be avoided if the</w:t>
      </w:r>
      <w:r w:rsidR="008F4C88">
        <w:t xml:space="preserve"> urban tree inventory category utilized forest carbon stock change methods.</w:t>
      </w:r>
      <w:r w:rsidR="001A3B5B">
        <w:t xml:space="preserve"> </w:t>
      </w:r>
    </w:p>
    <w:p w14:paraId="397A498A" w14:textId="5284BA3C" w:rsidR="00ED4794" w:rsidRDefault="00097F70" w:rsidP="001A3B5B">
      <w:pPr>
        <w:pStyle w:val="Heading2"/>
        <w:numPr>
          <w:ilvl w:val="0"/>
          <w:numId w:val="0"/>
        </w:numPr>
        <w:ind w:left="576"/>
        <w:rPr>
          <w:b/>
        </w:rPr>
      </w:pPr>
      <w:r>
        <w:lastRenderedPageBreak/>
        <w:t xml:space="preserve">4.2 </w:t>
      </w:r>
      <w:r w:rsidR="0061528A">
        <w:t>Carbon stock change in y</w:t>
      </w:r>
      <w:r w:rsidR="00ED4794">
        <w:t xml:space="preserve">ard </w:t>
      </w:r>
      <w:r w:rsidR="0061528A">
        <w:t>t</w:t>
      </w:r>
      <w:r w:rsidR="00ED4794">
        <w:t xml:space="preserve">rimmings and </w:t>
      </w:r>
      <w:r w:rsidR="0061528A">
        <w:t>f</w:t>
      </w:r>
      <w:r w:rsidR="00ED4794">
        <w:t xml:space="preserve">ood </w:t>
      </w:r>
      <w:r w:rsidR="0061528A">
        <w:t>s</w:t>
      </w:r>
      <w:r w:rsidR="00ED4794">
        <w:t>craps</w:t>
      </w:r>
    </w:p>
    <w:p w14:paraId="163A5A29" w14:textId="578BD96E" w:rsidR="00210381" w:rsidRPr="001A3B5B" w:rsidRDefault="00ED4794" w:rsidP="001A3B5B">
      <w:pPr>
        <w:pStyle w:val="2-Header"/>
        <w:numPr>
          <w:ilvl w:val="0"/>
          <w:numId w:val="0"/>
        </w:numPr>
        <w:spacing w:before="240"/>
        <w:rPr>
          <w:rStyle w:val="Strong"/>
          <w:b w:val="0"/>
        </w:rPr>
      </w:pPr>
      <w:r w:rsidRPr="001A3B5B">
        <w:rPr>
          <w:rStyle w:val="Strong"/>
          <w:b w:val="0"/>
        </w:rPr>
        <w:t>NGHGI Methods</w:t>
      </w:r>
    </w:p>
    <w:p w14:paraId="4E0DD841" w14:textId="0D924603" w:rsidR="00ED4794" w:rsidRDefault="00ED4794" w:rsidP="00B92935">
      <w:r>
        <w:t xml:space="preserve">Biological waste disposed in landfills, including food scraps and yard trimmings, </w:t>
      </w:r>
      <w:r w:rsidR="0061528A">
        <w:t>stores carbon and emits CH</w:t>
      </w:r>
      <w:r w:rsidR="0061528A" w:rsidRPr="0061528A">
        <w:rPr>
          <w:vertAlign w:val="subscript"/>
        </w:rPr>
        <w:t>4</w:t>
      </w:r>
      <w:r>
        <w:t xml:space="preserve"> and CO</w:t>
      </w:r>
      <w:r w:rsidRPr="00A95C5B">
        <w:rPr>
          <w:vertAlign w:val="subscript"/>
        </w:rPr>
        <w:t>2</w:t>
      </w:r>
      <w:r w:rsidR="0061528A">
        <w:t xml:space="preserve"> through decay</w:t>
      </w:r>
      <w:r>
        <w:t xml:space="preserve">. The </w:t>
      </w:r>
      <w:r w:rsidR="0061528A">
        <w:t>net carbon stock change</w:t>
      </w:r>
      <w:r>
        <w:t xml:space="preserve"> from yard trimmings and food scraps </w:t>
      </w:r>
      <w:r w:rsidR="0061528A">
        <w:t xml:space="preserve">is </w:t>
      </w:r>
      <w:r>
        <w:t>a function of the quantity of biological material in a landfill and the physical characteristics of the waste, including moisture and carbon content.</w:t>
      </w:r>
      <w:r w:rsidR="00396D51">
        <w:t xml:space="preserve"> </w:t>
      </w:r>
    </w:p>
    <w:p w14:paraId="042E0378" w14:textId="43E0F318" w:rsidR="00ED4794" w:rsidRPr="00FF7ACA" w:rsidRDefault="00ED4794" w:rsidP="00ED4794">
      <w:r>
        <w:t xml:space="preserve">The NGHGI time series for biological materials entering landfills goes back to 1960. The initial volume of each </w:t>
      </w:r>
      <w:r w:rsidR="00200347">
        <w:t xml:space="preserve">waste </w:t>
      </w:r>
      <w:r>
        <w:t xml:space="preserve">component is determined from the EPA guidance document, </w:t>
      </w:r>
      <w:r w:rsidRPr="00FF7ACA">
        <w:t>Advancing Sustainable Materials Management: Facts and Figures 2014</w:t>
      </w:r>
      <w:r>
        <w:t xml:space="preserve"> (ASMM</w:t>
      </w:r>
      <w:r w:rsidR="005F5D01">
        <w:t>,</w:t>
      </w:r>
      <w:r>
        <w:t xml:space="preserve"> 2014). </w:t>
      </w:r>
      <w:r w:rsidR="005F5D01">
        <w:t xml:space="preserve">Historical data is linearly interpolated between </w:t>
      </w:r>
      <w:r w:rsidR="00E718F8">
        <w:t xml:space="preserve">1960 and </w:t>
      </w:r>
      <w:r>
        <w:t xml:space="preserve">2000. The amount of composted material, taken from ASMM </w:t>
      </w:r>
      <w:r w:rsidR="005F5D01">
        <w:t>(</w:t>
      </w:r>
      <w:r>
        <w:t>2014</w:t>
      </w:r>
      <w:r w:rsidR="005F5D01">
        <w:t>)</w:t>
      </w:r>
      <w:r>
        <w:t xml:space="preserve">, is removed from the estimate of waste, and the percent of municipal solid waste (MSW) is multiplied by the volume of each material reaching the landfill. Finally, for yard trimmings, the proportion of each material is multiplied </w:t>
      </w:r>
      <w:r w:rsidR="00200347">
        <w:t>by</w:t>
      </w:r>
      <w:r>
        <w:t xml:space="preserve"> the </w:t>
      </w:r>
      <w:r w:rsidR="00200347">
        <w:t xml:space="preserve">total yard trimmings </w:t>
      </w:r>
      <w:r>
        <w:t>volume to determine the volume for grass, leaves, and branches (</w:t>
      </w:r>
      <w:r w:rsidR="005C7B8B" w:rsidRPr="001A3B5B">
        <w:fldChar w:fldCharType="begin"/>
      </w:r>
      <w:r w:rsidR="005C7B8B" w:rsidRPr="001A3B5B">
        <w:instrText xml:space="preserve"> REF _Ref5105296 \h  \* MERGEFORMAT </w:instrText>
      </w:r>
      <w:r w:rsidR="005C7B8B" w:rsidRPr="001A3B5B">
        <w:fldChar w:fldCharType="separate"/>
      </w:r>
      <w:r w:rsidR="00FB4CFE" w:rsidRPr="00FB4CFE">
        <w:t>Table</w:t>
      </w:r>
      <w:r w:rsidR="005F5D01">
        <w:t xml:space="preserve"> </w:t>
      </w:r>
      <w:r w:rsidR="007D6D6E">
        <w:t>2</w:t>
      </w:r>
      <w:r w:rsidR="005F5D01">
        <w:t>-32</w:t>
      </w:r>
      <w:r w:rsidR="005C7B8B" w:rsidRPr="001A3B5B">
        <w:fldChar w:fldCharType="end"/>
      </w:r>
      <w:r>
        <w:t>).</w:t>
      </w:r>
    </w:p>
    <w:p w14:paraId="4A5D7BF0" w14:textId="27DACA91" w:rsidR="001D09E3" w:rsidRPr="001D09E3" w:rsidRDefault="001D09E3" w:rsidP="001D09E3">
      <w:pPr>
        <w:pStyle w:val="Caption"/>
        <w:keepNext/>
        <w:rPr>
          <w:b/>
          <w:sz w:val="22"/>
          <w:szCs w:val="22"/>
        </w:rPr>
      </w:pPr>
      <w:bookmarkStart w:id="259" w:name="_Ref5105296"/>
      <w:r w:rsidRPr="001D09E3">
        <w:rPr>
          <w:b/>
          <w:sz w:val="22"/>
          <w:szCs w:val="22"/>
        </w:rPr>
        <w:t xml:space="preserve">Table </w:t>
      </w:r>
      <w:bookmarkEnd w:id="259"/>
      <w:r w:rsidR="007D6D6E">
        <w:rPr>
          <w:b/>
          <w:sz w:val="22"/>
          <w:szCs w:val="22"/>
        </w:rPr>
        <w:t>2</w:t>
      </w:r>
      <w:r w:rsidR="005F6840">
        <w:rPr>
          <w:b/>
          <w:sz w:val="22"/>
          <w:szCs w:val="22"/>
        </w:rPr>
        <w:t>-3</w:t>
      </w:r>
      <w:r w:rsidR="005F5D01">
        <w:rPr>
          <w:b/>
          <w:sz w:val="22"/>
          <w:szCs w:val="22"/>
        </w:rPr>
        <w:t>2</w:t>
      </w:r>
      <w:r w:rsidRPr="001D09E3">
        <w:rPr>
          <w:b/>
          <w:sz w:val="22"/>
          <w:szCs w:val="22"/>
        </w:rPr>
        <w:t>: Proportion of yard trimmings</w:t>
      </w:r>
      <w:r w:rsidR="00097F70">
        <w:rPr>
          <w:b/>
          <w:sz w:val="22"/>
          <w:szCs w:val="22"/>
        </w:rPr>
        <w:t xml:space="preserve"> (ASMM 2014)</w:t>
      </w:r>
    </w:p>
    <w:tbl>
      <w:tblPr>
        <w:tblpPr w:leftFromText="180" w:rightFromText="180" w:vertAnchor="text" w:tblpY="1"/>
        <w:tblOverlap w:val="never"/>
        <w:tblW w:w="6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3601"/>
      </w:tblGrid>
      <w:tr w:rsidR="004A5696" w:rsidRPr="00CB3381" w14:paraId="7622DD4E" w14:textId="77777777" w:rsidTr="00200347">
        <w:trPr>
          <w:cantSplit/>
          <w:trHeight w:val="710"/>
          <w:tblHeader/>
        </w:trPr>
        <w:tc>
          <w:tcPr>
            <w:tcW w:w="2784" w:type="dxa"/>
            <w:tcBorders>
              <w:top w:val="single" w:sz="4" w:space="0" w:color="auto"/>
              <w:left w:val="single" w:sz="4" w:space="0" w:color="auto"/>
              <w:bottom w:val="single" w:sz="4" w:space="0" w:color="auto"/>
              <w:right w:val="single" w:sz="4" w:space="0" w:color="auto"/>
            </w:tcBorders>
            <w:shd w:val="clear" w:color="auto" w:fill="FFC000"/>
            <w:vAlign w:val="center"/>
          </w:tcPr>
          <w:p w14:paraId="7D617866" w14:textId="20C39E7F" w:rsidR="004A5696" w:rsidRPr="004A5696" w:rsidRDefault="004A5696" w:rsidP="004A5696">
            <w:pPr>
              <w:spacing w:after="0" w:line="240" w:lineRule="auto"/>
              <w:jc w:val="center"/>
              <w:rPr>
                <w:rFonts w:ascii="Calibri" w:eastAsia="Times New Roman" w:hAnsi="Calibri" w:cs="Calibri"/>
                <w:b/>
                <w:color w:val="000000"/>
                <w:sz w:val="18"/>
                <w:szCs w:val="18"/>
              </w:rPr>
            </w:pPr>
            <w:bookmarkStart w:id="260" w:name="_Hlk2978772"/>
            <w:r>
              <w:rPr>
                <w:rFonts w:ascii="Calibri" w:eastAsia="Times New Roman" w:hAnsi="Calibri" w:cs="Calibri"/>
                <w:b/>
                <w:color w:val="000000"/>
                <w:sz w:val="18"/>
                <w:szCs w:val="18"/>
              </w:rPr>
              <w:t>Material</w:t>
            </w:r>
          </w:p>
        </w:tc>
        <w:tc>
          <w:tcPr>
            <w:tcW w:w="3601"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04100881" w14:textId="4EC504AF" w:rsidR="004A5696" w:rsidRPr="004A5696" w:rsidRDefault="004A5696" w:rsidP="004A5696">
            <w:pPr>
              <w:spacing w:after="0" w:line="240" w:lineRule="auto"/>
              <w:jc w:val="center"/>
              <w:rPr>
                <w:rFonts w:ascii="Calibri" w:eastAsia="Times New Roman" w:hAnsi="Calibri" w:cs="Calibri"/>
                <w:b/>
                <w:color w:val="000000"/>
                <w:sz w:val="18"/>
                <w:szCs w:val="18"/>
              </w:rPr>
            </w:pPr>
            <w:r w:rsidRPr="004A5696">
              <w:rPr>
                <w:rFonts w:ascii="Calibri" w:eastAsia="Times New Roman" w:hAnsi="Calibri" w:cs="Calibri"/>
                <w:b/>
                <w:color w:val="000000"/>
                <w:sz w:val="18"/>
                <w:szCs w:val="18"/>
              </w:rPr>
              <w:t xml:space="preserve">Percentage of </w:t>
            </w:r>
            <w:r w:rsidR="00200347">
              <w:rPr>
                <w:rFonts w:ascii="Calibri" w:eastAsia="Times New Roman" w:hAnsi="Calibri" w:cs="Calibri"/>
                <w:b/>
                <w:color w:val="000000"/>
                <w:sz w:val="18"/>
                <w:szCs w:val="18"/>
              </w:rPr>
              <w:t xml:space="preserve">total </w:t>
            </w:r>
            <w:r w:rsidRPr="004A5696">
              <w:rPr>
                <w:rFonts w:ascii="Calibri" w:eastAsia="Times New Roman" w:hAnsi="Calibri" w:cs="Calibri"/>
                <w:b/>
                <w:color w:val="000000"/>
                <w:sz w:val="18"/>
                <w:szCs w:val="18"/>
              </w:rPr>
              <w:t>yard trimmings</w:t>
            </w:r>
            <w:r w:rsidR="00200347">
              <w:rPr>
                <w:rFonts w:ascii="Calibri" w:eastAsia="Times New Roman" w:hAnsi="Calibri" w:cs="Calibri"/>
                <w:b/>
                <w:color w:val="000000"/>
                <w:sz w:val="18"/>
                <w:szCs w:val="18"/>
              </w:rPr>
              <w:t xml:space="preserve"> (%)</w:t>
            </w:r>
          </w:p>
        </w:tc>
      </w:tr>
      <w:tr w:rsidR="004A5696" w:rsidRPr="00EA4DA0" w14:paraId="569D51CC" w14:textId="77777777" w:rsidTr="00200347">
        <w:trPr>
          <w:cantSplit/>
          <w:trHeight w:val="179"/>
        </w:trPr>
        <w:tc>
          <w:tcPr>
            <w:tcW w:w="2784" w:type="dxa"/>
            <w:tcBorders>
              <w:top w:val="single" w:sz="4" w:space="0" w:color="auto"/>
              <w:left w:val="single" w:sz="4" w:space="0" w:color="auto"/>
              <w:bottom w:val="single" w:sz="4" w:space="0" w:color="auto"/>
              <w:right w:val="single" w:sz="4" w:space="0" w:color="auto"/>
            </w:tcBorders>
            <w:vAlign w:val="center"/>
          </w:tcPr>
          <w:p w14:paraId="154FBE5E" w14:textId="67FC11E5" w:rsidR="004A5696" w:rsidRPr="00FF7ACA" w:rsidRDefault="004A5696" w:rsidP="004A5696">
            <w:pPr>
              <w:spacing w:before="120" w:after="120"/>
              <w:jc w:val="center"/>
              <w:rPr>
                <w:sz w:val="18"/>
              </w:rPr>
            </w:pPr>
            <w:r>
              <w:rPr>
                <w:sz w:val="18"/>
              </w:rPr>
              <w:t>Grass</w:t>
            </w:r>
          </w:p>
        </w:tc>
        <w:tc>
          <w:tcPr>
            <w:tcW w:w="36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F6BF3" w14:textId="5ECC1F62" w:rsidR="004A5696" w:rsidRPr="00FF7ACA" w:rsidRDefault="00200347" w:rsidP="004A5696">
            <w:pPr>
              <w:spacing w:before="120" w:after="120"/>
              <w:jc w:val="center"/>
              <w:rPr>
                <w:sz w:val="18"/>
              </w:rPr>
            </w:pPr>
            <w:r>
              <w:rPr>
                <w:sz w:val="18"/>
              </w:rPr>
              <w:t>30.3</w:t>
            </w:r>
          </w:p>
        </w:tc>
      </w:tr>
      <w:tr w:rsidR="004A5696" w:rsidRPr="00EA4DA0" w14:paraId="07AC5D72" w14:textId="77777777" w:rsidTr="00200347">
        <w:trPr>
          <w:cantSplit/>
          <w:trHeight w:val="451"/>
        </w:trPr>
        <w:tc>
          <w:tcPr>
            <w:tcW w:w="2784" w:type="dxa"/>
            <w:tcBorders>
              <w:top w:val="single" w:sz="4" w:space="0" w:color="auto"/>
              <w:left w:val="single" w:sz="4" w:space="0" w:color="auto"/>
              <w:bottom w:val="single" w:sz="4" w:space="0" w:color="auto"/>
              <w:right w:val="single" w:sz="4" w:space="0" w:color="auto"/>
            </w:tcBorders>
            <w:vAlign w:val="center"/>
          </w:tcPr>
          <w:p w14:paraId="49A96988" w14:textId="4C477A59" w:rsidR="004A5696" w:rsidRPr="00FF7ACA" w:rsidRDefault="004A5696" w:rsidP="004A5696">
            <w:pPr>
              <w:spacing w:before="120" w:after="120"/>
              <w:jc w:val="center"/>
              <w:rPr>
                <w:sz w:val="18"/>
              </w:rPr>
            </w:pPr>
            <w:r>
              <w:rPr>
                <w:sz w:val="18"/>
              </w:rPr>
              <w:t>Leaves</w:t>
            </w:r>
          </w:p>
        </w:tc>
        <w:tc>
          <w:tcPr>
            <w:tcW w:w="36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5B70F" w14:textId="509E0E8D" w:rsidR="004A5696" w:rsidRPr="00FF7ACA" w:rsidRDefault="00200347" w:rsidP="004A5696">
            <w:pPr>
              <w:spacing w:before="120" w:after="120"/>
              <w:jc w:val="center"/>
              <w:rPr>
                <w:sz w:val="18"/>
              </w:rPr>
            </w:pPr>
            <w:r>
              <w:rPr>
                <w:sz w:val="18"/>
              </w:rPr>
              <w:t>40.1</w:t>
            </w:r>
          </w:p>
        </w:tc>
      </w:tr>
      <w:tr w:rsidR="004A5696" w:rsidRPr="00EA4DA0" w14:paraId="14E7D8E2" w14:textId="77777777" w:rsidTr="00200347">
        <w:trPr>
          <w:cantSplit/>
          <w:trHeight w:val="451"/>
        </w:trPr>
        <w:tc>
          <w:tcPr>
            <w:tcW w:w="2784" w:type="dxa"/>
            <w:tcBorders>
              <w:top w:val="single" w:sz="4" w:space="0" w:color="auto"/>
              <w:left w:val="single" w:sz="4" w:space="0" w:color="auto"/>
              <w:bottom w:val="single" w:sz="4" w:space="0" w:color="auto"/>
              <w:right w:val="single" w:sz="4" w:space="0" w:color="auto"/>
            </w:tcBorders>
            <w:vAlign w:val="center"/>
          </w:tcPr>
          <w:p w14:paraId="23E648E6" w14:textId="6D2D8158" w:rsidR="004A5696" w:rsidRPr="00FF7ACA" w:rsidRDefault="004A5696" w:rsidP="004A5696">
            <w:pPr>
              <w:spacing w:before="120" w:after="120"/>
              <w:jc w:val="center"/>
              <w:rPr>
                <w:sz w:val="18"/>
              </w:rPr>
            </w:pPr>
            <w:r>
              <w:rPr>
                <w:sz w:val="18"/>
              </w:rPr>
              <w:t>Branches</w:t>
            </w:r>
          </w:p>
        </w:tc>
        <w:tc>
          <w:tcPr>
            <w:tcW w:w="36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AEE084" w14:textId="73C45A31" w:rsidR="004A5696" w:rsidRPr="00FF7ACA" w:rsidRDefault="00200347" w:rsidP="004A5696">
            <w:pPr>
              <w:spacing w:before="120" w:after="120"/>
              <w:jc w:val="center"/>
              <w:rPr>
                <w:sz w:val="18"/>
              </w:rPr>
            </w:pPr>
            <w:r>
              <w:rPr>
                <w:sz w:val="18"/>
              </w:rPr>
              <w:t>29.6</w:t>
            </w:r>
          </w:p>
        </w:tc>
      </w:tr>
      <w:bookmarkEnd w:id="260"/>
    </w:tbl>
    <w:p w14:paraId="1D782108" w14:textId="03228A07" w:rsidR="005C7B8B" w:rsidRDefault="005C7B8B" w:rsidP="00ED4794"/>
    <w:p w14:paraId="5F15D37B" w14:textId="77777777" w:rsidR="00ED4794" w:rsidRDefault="005C7B8B" w:rsidP="001A3B5B">
      <w:pPr>
        <w:ind w:firstLine="720"/>
      </w:pPr>
      <w:r>
        <w:br w:type="textWrapping" w:clear="all"/>
      </w:r>
    </w:p>
    <w:p w14:paraId="0D909E7F" w14:textId="0F99F744" w:rsidR="001D09E3" w:rsidRDefault="00200347" w:rsidP="00ED4794">
      <w:r>
        <w:t>Next, the carbon content</w:t>
      </w:r>
      <w:r w:rsidR="00ED4794">
        <w:t xml:space="preserve"> of the dry material is estimated. The wet tonnage of the material is converted to dry weight using values from </w:t>
      </w:r>
      <w:r w:rsidR="00ED4794" w:rsidRPr="008D1105">
        <w:t xml:space="preserve">Tchobanoglous et al. </w:t>
      </w:r>
      <w:r w:rsidR="001D09E3">
        <w:t>(</w:t>
      </w:r>
      <w:r w:rsidR="00ED4794" w:rsidRPr="008D1105">
        <w:t>1993</w:t>
      </w:r>
      <w:r w:rsidR="001D09E3">
        <w:t>)</w:t>
      </w:r>
      <w:r w:rsidR="00ED4794">
        <w:t xml:space="preserve">. This value is then multiplied by the percentage of dry material that is carbon, taken from </w:t>
      </w:r>
      <w:r w:rsidR="00ED4794" w:rsidRPr="008D1105">
        <w:t xml:space="preserve">Barlaz (1998, 2005, </w:t>
      </w:r>
      <w:proofErr w:type="gramStart"/>
      <w:r w:rsidR="00ED4794" w:rsidRPr="008D1105">
        <w:t>2008</w:t>
      </w:r>
      <w:proofErr w:type="gramEnd"/>
      <w:r w:rsidR="00ED4794" w:rsidRPr="008D1105">
        <w:t>)</w:t>
      </w:r>
      <w:r w:rsidR="00ED4794">
        <w:t xml:space="preserve">. Both percent moisture content and initial carbon content are outlined in </w:t>
      </w:r>
      <w:r w:rsidR="005C7B8B" w:rsidRPr="001A3B5B">
        <w:fldChar w:fldCharType="begin"/>
      </w:r>
      <w:r w:rsidR="005C7B8B" w:rsidRPr="001A3B5B">
        <w:instrText xml:space="preserve"> REF _Ref5105374 \h  \* MERGEFORMAT </w:instrText>
      </w:r>
      <w:r w:rsidR="005C7B8B" w:rsidRPr="001A3B5B">
        <w:fldChar w:fldCharType="separate"/>
      </w:r>
      <w:r w:rsidR="00FB4CFE" w:rsidRPr="00FB4CFE">
        <w:t>Table</w:t>
      </w:r>
      <w:r w:rsidR="005F5D01">
        <w:t xml:space="preserve"> </w:t>
      </w:r>
      <w:r w:rsidR="007D6D6E">
        <w:t>2</w:t>
      </w:r>
      <w:r w:rsidR="005F5D01">
        <w:t>-33</w:t>
      </w:r>
      <w:r w:rsidR="005C7B8B" w:rsidRPr="001A3B5B">
        <w:fldChar w:fldCharType="end"/>
      </w:r>
      <w:r w:rsidR="005C7B8B">
        <w:t xml:space="preserve"> </w:t>
      </w:r>
      <w:r w:rsidR="00ED4794">
        <w:t>below.</w:t>
      </w:r>
    </w:p>
    <w:p w14:paraId="75A9CDDA" w14:textId="20AFB655" w:rsidR="00ED4794" w:rsidRPr="00210381" w:rsidRDefault="001D09E3" w:rsidP="001A3B5B">
      <w:pPr>
        <w:pStyle w:val="Caption"/>
        <w:keepNext/>
      </w:pPr>
      <w:bookmarkStart w:id="261" w:name="_Ref5105374"/>
      <w:r w:rsidRPr="001D09E3">
        <w:rPr>
          <w:b/>
          <w:sz w:val="22"/>
          <w:szCs w:val="22"/>
        </w:rPr>
        <w:t xml:space="preserve">Table </w:t>
      </w:r>
      <w:bookmarkEnd w:id="261"/>
      <w:r w:rsidR="007D6D6E">
        <w:rPr>
          <w:b/>
          <w:sz w:val="22"/>
          <w:szCs w:val="22"/>
        </w:rPr>
        <w:t>2</w:t>
      </w:r>
      <w:r w:rsidR="005F6840">
        <w:rPr>
          <w:b/>
          <w:sz w:val="22"/>
          <w:szCs w:val="22"/>
        </w:rPr>
        <w:t>-3</w:t>
      </w:r>
      <w:r w:rsidR="005F5D01">
        <w:rPr>
          <w:b/>
          <w:sz w:val="22"/>
          <w:szCs w:val="22"/>
        </w:rPr>
        <w:t>3</w:t>
      </w:r>
      <w:r w:rsidRPr="001D09E3">
        <w:rPr>
          <w:b/>
          <w:sz w:val="22"/>
          <w:szCs w:val="22"/>
        </w:rPr>
        <w:t xml:space="preserve">: </w:t>
      </w:r>
      <w:r w:rsidR="004B3068">
        <w:rPr>
          <w:b/>
          <w:sz w:val="22"/>
          <w:szCs w:val="22"/>
        </w:rPr>
        <w:t>Yard t</w:t>
      </w:r>
      <w:r w:rsidR="005C7B8B">
        <w:rPr>
          <w:b/>
          <w:sz w:val="22"/>
          <w:szCs w:val="22"/>
        </w:rPr>
        <w:t xml:space="preserve">rimmings </w:t>
      </w:r>
      <w:r w:rsidR="004B3068">
        <w:rPr>
          <w:b/>
          <w:sz w:val="22"/>
          <w:szCs w:val="22"/>
        </w:rPr>
        <w:t>m</w:t>
      </w:r>
      <w:r w:rsidRPr="001D09E3">
        <w:rPr>
          <w:b/>
          <w:sz w:val="22"/>
          <w:szCs w:val="22"/>
        </w:rPr>
        <w:t xml:space="preserve">oisture and </w:t>
      </w:r>
      <w:r w:rsidR="004B3068">
        <w:rPr>
          <w:b/>
          <w:sz w:val="22"/>
          <w:szCs w:val="22"/>
        </w:rPr>
        <w:t>i</w:t>
      </w:r>
      <w:r w:rsidRPr="001D09E3">
        <w:rPr>
          <w:b/>
          <w:sz w:val="22"/>
          <w:szCs w:val="22"/>
        </w:rPr>
        <w:t xml:space="preserve">nitial </w:t>
      </w:r>
      <w:r w:rsidR="004B3068">
        <w:rPr>
          <w:b/>
          <w:sz w:val="22"/>
          <w:szCs w:val="22"/>
        </w:rPr>
        <w:t>c</w:t>
      </w:r>
      <w:r w:rsidRPr="001D09E3">
        <w:rPr>
          <w:b/>
          <w:sz w:val="22"/>
          <w:szCs w:val="22"/>
        </w:rPr>
        <w:t xml:space="preserve">arbon </w:t>
      </w:r>
      <w:r w:rsidR="004B3068">
        <w:rPr>
          <w:b/>
          <w:sz w:val="22"/>
          <w:szCs w:val="22"/>
        </w:rPr>
        <w:t>c</w:t>
      </w:r>
      <w:r w:rsidRPr="001D09E3">
        <w:rPr>
          <w:b/>
          <w:sz w:val="22"/>
          <w:szCs w:val="22"/>
        </w:rPr>
        <w:t>ontent</w:t>
      </w:r>
      <w:r w:rsidR="001A3B5B">
        <w:rPr>
          <w:b/>
          <w:sz w:val="22"/>
          <w:szCs w:val="22"/>
        </w:rPr>
        <w:t xml:space="preserve"> (Barlaz, 1998, 2005, 2008)</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2515"/>
        <w:gridCol w:w="2070"/>
        <w:gridCol w:w="1890"/>
        <w:gridCol w:w="1350"/>
      </w:tblGrid>
      <w:tr w:rsidR="00D131B5" w:rsidRPr="001A3B5B" w14:paraId="4F477897" w14:textId="77777777" w:rsidTr="00200347">
        <w:trPr>
          <w:cantSplit/>
          <w:trHeight w:val="710"/>
          <w:tblHeader/>
        </w:trPr>
        <w:tc>
          <w:tcPr>
            <w:tcW w:w="1170" w:type="dxa"/>
            <w:tcBorders>
              <w:top w:val="single" w:sz="4" w:space="0" w:color="auto"/>
              <w:left w:val="single" w:sz="4" w:space="0" w:color="auto"/>
              <w:bottom w:val="single" w:sz="4" w:space="0" w:color="auto"/>
              <w:right w:val="single" w:sz="4" w:space="0" w:color="auto"/>
            </w:tcBorders>
            <w:shd w:val="clear" w:color="auto" w:fill="FFC000"/>
            <w:vAlign w:val="center"/>
          </w:tcPr>
          <w:p w14:paraId="5D0AF708" w14:textId="606A81AF" w:rsidR="00D131B5" w:rsidRPr="00D131B5" w:rsidRDefault="00D131B5" w:rsidP="00D131B5">
            <w:pPr>
              <w:spacing w:after="0" w:line="240" w:lineRule="auto"/>
              <w:jc w:val="center"/>
              <w:rPr>
                <w:rFonts w:ascii="Calibri" w:eastAsia="Times New Roman" w:hAnsi="Calibri" w:cs="Calibri"/>
                <w:b/>
                <w:color w:val="000000"/>
                <w:sz w:val="18"/>
                <w:szCs w:val="18"/>
              </w:rPr>
            </w:pPr>
            <w:r w:rsidRPr="00D131B5">
              <w:rPr>
                <w:rFonts w:ascii="Calibri" w:eastAsia="Times New Roman" w:hAnsi="Calibri" w:cs="Calibri"/>
                <w:b/>
                <w:color w:val="000000"/>
                <w:sz w:val="18"/>
                <w:szCs w:val="18"/>
              </w:rPr>
              <w:t>Material</w:t>
            </w:r>
          </w:p>
        </w:tc>
        <w:tc>
          <w:tcPr>
            <w:tcW w:w="2515"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7255FF18" w14:textId="1B2E264D" w:rsidR="00D131B5" w:rsidRPr="00D131B5" w:rsidRDefault="00D131B5" w:rsidP="00D131B5">
            <w:pPr>
              <w:spacing w:after="0" w:line="240" w:lineRule="auto"/>
              <w:jc w:val="center"/>
              <w:rPr>
                <w:rFonts w:ascii="Calibri" w:eastAsia="Times New Roman" w:hAnsi="Calibri" w:cs="Calibri"/>
                <w:b/>
                <w:color w:val="000000"/>
                <w:sz w:val="18"/>
                <w:szCs w:val="18"/>
              </w:rPr>
            </w:pPr>
            <w:r w:rsidRPr="00D131B5">
              <w:rPr>
                <w:rFonts w:ascii="Calibri" w:eastAsia="Times New Roman" w:hAnsi="Calibri" w:cs="Calibri"/>
                <w:b/>
                <w:color w:val="000000"/>
                <w:sz w:val="18"/>
                <w:szCs w:val="18"/>
              </w:rPr>
              <w:t>Percentage Moisture Content</w:t>
            </w:r>
            <w:r w:rsidR="00200347">
              <w:rPr>
                <w:rFonts w:ascii="Calibri" w:eastAsia="Times New Roman" w:hAnsi="Calibri" w:cs="Calibri"/>
                <w:b/>
                <w:color w:val="000000"/>
                <w:sz w:val="18"/>
                <w:szCs w:val="18"/>
              </w:rPr>
              <w:t xml:space="preserve"> (%)</w:t>
            </w:r>
          </w:p>
        </w:tc>
        <w:tc>
          <w:tcPr>
            <w:tcW w:w="2070" w:type="dxa"/>
            <w:tcBorders>
              <w:top w:val="single" w:sz="4" w:space="0" w:color="auto"/>
              <w:left w:val="single" w:sz="4" w:space="0" w:color="auto"/>
              <w:bottom w:val="single" w:sz="4" w:space="0" w:color="auto"/>
              <w:right w:val="single" w:sz="4" w:space="0" w:color="auto"/>
            </w:tcBorders>
            <w:shd w:val="clear" w:color="auto" w:fill="FFC000"/>
            <w:vAlign w:val="center"/>
          </w:tcPr>
          <w:p w14:paraId="6828309B" w14:textId="1AE9ECCD" w:rsidR="00D131B5" w:rsidRPr="00D131B5" w:rsidRDefault="00D131B5" w:rsidP="00D131B5">
            <w:pPr>
              <w:spacing w:after="0" w:line="240" w:lineRule="auto"/>
              <w:jc w:val="center"/>
              <w:rPr>
                <w:rFonts w:ascii="Calibri" w:eastAsia="Times New Roman" w:hAnsi="Calibri" w:cs="Calibri"/>
                <w:b/>
                <w:color w:val="000000"/>
                <w:sz w:val="18"/>
                <w:szCs w:val="18"/>
              </w:rPr>
            </w:pPr>
            <w:r w:rsidRPr="00D131B5">
              <w:rPr>
                <w:rFonts w:ascii="Calibri" w:eastAsia="Times New Roman" w:hAnsi="Calibri" w:cs="Calibri"/>
                <w:b/>
                <w:color w:val="000000"/>
                <w:sz w:val="18"/>
                <w:szCs w:val="18"/>
              </w:rPr>
              <w:t>Initial Carbon Content</w:t>
            </w:r>
            <w:r w:rsidR="00200347">
              <w:rPr>
                <w:rFonts w:ascii="Calibri" w:eastAsia="Times New Roman" w:hAnsi="Calibri" w:cs="Calibri"/>
                <w:b/>
                <w:color w:val="000000"/>
                <w:sz w:val="18"/>
                <w:szCs w:val="18"/>
              </w:rPr>
              <w:t xml:space="preserve"> (%)</w:t>
            </w:r>
          </w:p>
        </w:tc>
        <w:tc>
          <w:tcPr>
            <w:tcW w:w="1890" w:type="dxa"/>
            <w:tcBorders>
              <w:top w:val="single" w:sz="4" w:space="0" w:color="auto"/>
              <w:left w:val="single" w:sz="4" w:space="0" w:color="auto"/>
              <w:bottom w:val="single" w:sz="4" w:space="0" w:color="auto"/>
              <w:right w:val="single" w:sz="4" w:space="0" w:color="auto"/>
            </w:tcBorders>
            <w:shd w:val="clear" w:color="auto" w:fill="FFC000"/>
            <w:vAlign w:val="center"/>
          </w:tcPr>
          <w:p w14:paraId="68DD91EF" w14:textId="438686B0" w:rsidR="00D131B5" w:rsidRPr="00D131B5" w:rsidRDefault="00D131B5" w:rsidP="00D131B5">
            <w:pPr>
              <w:spacing w:after="0" w:line="240" w:lineRule="auto"/>
              <w:jc w:val="center"/>
              <w:rPr>
                <w:rFonts w:ascii="Calibri" w:eastAsia="Times New Roman" w:hAnsi="Calibri" w:cs="Calibri"/>
                <w:b/>
                <w:color w:val="000000"/>
                <w:sz w:val="18"/>
                <w:szCs w:val="18"/>
              </w:rPr>
            </w:pPr>
            <w:r w:rsidRPr="00D131B5">
              <w:rPr>
                <w:rFonts w:ascii="Calibri" w:eastAsia="Times New Roman" w:hAnsi="Calibri" w:cs="Calibri"/>
                <w:b/>
                <w:color w:val="000000"/>
                <w:sz w:val="18"/>
                <w:szCs w:val="18"/>
              </w:rPr>
              <w:t>Carbon Storage Factor</w:t>
            </w:r>
            <w:r w:rsidR="00200347">
              <w:rPr>
                <w:rFonts w:ascii="Calibri" w:eastAsia="Times New Roman" w:hAnsi="Calibri" w:cs="Calibri"/>
                <w:b/>
                <w:color w:val="000000"/>
                <w:sz w:val="18"/>
                <w:szCs w:val="18"/>
              </w:rPr>
              <w:t xml:space="preserve"> (%)</w:t>
            </w:r>
          </w:p>
        </w:tc>
        <w:tc>
          <w:tcPr>
            <w:tcW w:w="1350" w:type="dxa"/>
            <w:tcBorders>
              <w:top w:val="single" w:sz="4" w:space="0" w:color="auto"/>
              <w:left w:val="single" w:sz="4" w:space="0" w:color="auto"/>
              <w:bottom w:val="single" w:sz="4" w:space="0" w:color="auto"/>
              <w:right w:val="single" w:sz="4" w:space="0" w:color="auto"/>
            </w:tcBorders>
            <w:shd w:val="clear" w:color="auto" w:fill="FFC000"/>
            <w:vAlign w:val="center"/>
          </w:tcPr>
          <w:p w14:paraId="17345FAF" w14:textId="77777777" w:rsidR="00D131B5" w:rsidRPr="00D131B5" w:rsidRDefault="00D131B5" w:rsidP="00D131B5">
            <w:pPr>
              <w:spacing w:after="0" w:line="240" w:lineRule="auto"/>
              <w:jc w:val="center"/>
              <w:rPr>
                <w:rFonts w:ascii="Calibri" w:eastAsia="Times New Roman" w:hAnsi="Calibri" w:cs="Calibri"/>
                <w:b/>
                <w:color w:val="000000"/>
                <w:sz w:val="18"/>
                <w:szCs w:val="18"/>
              </w:rPr>
            </w:pPr>
            <w:r w:rsidRPr="00D131B5">
              <w:rPr>
                <w:rFonts w:ascii="Calibri" w:eastAsia="Times New Roman" w:hAnsi="Calibri" w:cs="Calibri"/>
                <w:b/>
                <w:color w:val="000000"/>
                <w:sz w:val="18"/>
                <w:szCs w:val="18"/>
              </w:rPr>
              <w:t>Decay Rate (k)</w:t>
            </w:r>
          </w:p>
        </w:tc>
      </w:tr>
      <w:tr w:rsidR="00D131B5" w:rsidRPr="001A3B5B" w14:paraId="56D61B1F" w14:textId="77777777" w:rsidTr="00200347">
        <w:trPr>
          <w:cantSplit/>
          <w:trHeight w:val="431"/>
          <w:tblHeader/>
        </w:trPr>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A8F206" w14:textId="39C83197" w:rsidR="00D131B5" w:rsidRPr="001A3B5B" w:rsidRDefault="00D131B5" w:rsidP="00D131B5">
            <w:pPr>
              <w:spacing w:after="0"/>
              <w:jc w:val="center"/>
              <w:rPr>
                <w:sz w:val="18"/>
                <w:szCs w:val="18"/>
              </w:rPr>
            </w:pPr>
            <w:r w:rsidRPr="001A3B5B">
              <w:rPr>
                <w:rFonts w:ascii="Calibri" w:eastAsia="Times New Roman" w:hAnsi="Calibri" w:cs="Calibri"/>
                <w:b/>
                <w:color w:val="000000"/>
                <w:sz w:val="18"/>
                <w:szCs w:val="18"/>
              </w:rPr>
              <w:t>Food Scraps</w:t>
            </w: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B3479E" w14:textId="53D03812" w:rsidR="00D131B5" w:rsidRPr="001A3B5B" w:rsidRDefault="00200347" w:rsidP="00D131B5">
            <w:pPr>
              <w:spacing w:after="0"/>
              <w:jc w:val="center"/>
              <w:rPr>
                <w:sz w:val="18"/>
                <w:szCs w:val="18"/>
              </w:rPr>
            </w:pPr>
            <w:r>
              <w:rPr>
                <w:sz w:val="18"/>
                <w:szCs w:val="18"/>
              </w:rPr>
              <w:t>70</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CF4AF9" w14:textId="29C1F347" w:rsidR="00D131B5" w:rsidRPr="001A3B5B" w:rsidRDefault="00200347" w:rsidP="00D131B5">
            <w:pPr>
              <w:spacing w:after="0"/>
              <w:jc w:val="center"/>
              <w:rPr>
                <w:sz w:val="18"/>
                <w:szCs w:val="18"/>
              </w:rPr>
            </w:pPr>
            <w:r>
              <w:rPr>
                <w:sz w:val="18"/>
                <w:szCs w:val="18"/>
              </w:rPr>
              <w:t>50.8</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7BEC60" w14:textId="546AF3D1" w:rsidR="00D131B5" w:rsidRPr="001A3B5B" w:rsidRDefault="00200347" w:rsidP="009F256C">
            <w:pPr>
              <w:spacing w:after="0"/>
              <w:jc w:val="center"/>
              <w:rPr>
                <w:sz w:val="18"/>
                <w:szCs w:val="18"/>
              </w:rPr>
            </w:pPr>
            <w:r>
              <w:rPr>
                <w:sz w:val="18"/>
                <w:szCs w:val="18"/>
              </w:rPr>
              <w:t>15.7</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28085F" w14:textId="77777777" w:rsidR="00D131B5" w:rsidRPr="001A3B5B" w:rsidRDefault="00D131B5" w:rsidP="009F256C">
            <w:pPr>
              <w:spacing w:after="0"/>
              <w:jc w:val="center"/>
              <w:rPr>
                <w:sz w:val="18"/>
                <w:szCs w:val="18"/>
              </w:rPr>
            </w:pPr>
            <w:r w:rsidRPr="001A3B5B">
              <w:rPr>
                <w:sz w:val="18"/>
                <w:szCs w:val="18"/>
              </w:rPr>
              <w:t>0.156</w:t>
            </w:r>
          </w:p>
        </w:tc>
      </w:tr>
      <w:tr w:rsidR="00D131B5" w:rsidRPr="001A3B5B" w14:paraId="3E8C677F" w14:textId="77777777" w:rsidTr="00200347">
        <w:trPr>
          <w:cantSplit/>
          <w:trHeight w:val="404"/>
        </w:trPr>
        <w:tc>
          <w:tcPr>
            <w:tcW w:w="1170" w:type="dxa"/>
            <w:tcBorders>
              <w:top w:val="single" w:sz="4" w:space="0" w:color="auto"/>
              <w:left w:val="single" w:sz="4" w:space="0" w:color="auto"/>
              <w:bottom w:val="single" w:sz="4" w:space="0" w:color="auto"/>
              <w:right w:val="single" w:sz="4" w:space="0" w:color="auto"/>
            </w:tcBorders>
            <w:vAlign w:val="center"/>
          </w:tcPr>
          <w:p w14:paraId="3C0C2C61" w14:textId="50232EE4" w:rsidR="00D131B5" w:rsidRPr="001A3B5B" w:rsidRDefault="00D131B5" w:rsidP="00D131B5">
            <w:pPr>
              <w:spacing w:after="0"/>
              <w:jc w:val="center"/>
              <w:rPr>
                <w:sz w:val="18"/>
                <w:szCs w:val="18"/>
              </w:rPr>
            </w:pPr>
            <w:r w:rsidRPr="001A3B5B">
              <w:rPr>
                <w:rFonts w:ascii="Calibri" w:eastAsia="Times New Roman" w:hAnsi="Calibri" w:cs="Calibri"/>
                <w:b/>
                <w:color w:val="000000"/>
                <w:sz w:val="18"/>
                <w:szCs w:val="18"/>
              </w:rPr>
              <w:t>Grass</w:t>
            </w:r>
          </w:p>
        </w:tc>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9696C" w14:textId="11232EF8" w:rsidR="00D131B5" w:rsidRPr="001A3B5B" w:rsidRDefault="00200347" w:rsidP="00D131B5">
            <w:pPr>
              <w:spacing w:after="0"/>
              <w:jc w:val="center"/>
              <w:rPr>
                <w:sz w:val="18"/>
                <w:szCs w:val="18"/>
              </w:rPr>
            </w:pPr>
            <w:r>
              <w:rPr>
                <w:sz w:val="18"/>
                <w:szCs w:val="18"/>
              </w:rPr>
              <w:t>70</w:t>
            </w:r>
          </w:p>
        </w:tc>
        <w:tc>
          <w:tcPr>
            <w:tcW w:w="2070" w:type="dxa"/>
            <w:tcBorders>
              <w:top w:val="single" w:sz="4" w:space="0" w:color="auto"/>
              <w:left w:val="single" w:sz="4" w:space="0" w:color="auto"/>
              <w:bottom w:val="single" w:sz="4" w:space="0" w:color="auto"/>
              <w:right w:val="single" w:sz="4" w:space="0" w:color="auto"/>
            </w:tcBorders>
            <w:vAlign w:val="center"/>
          </w:tcPr>
          <w:p w14:paraId="73FE3B42" w14:textId="33AB6664" w:rsidR="00D131B5" w:rsidRPr="001A3B5B" w:rsidRDefault="00200347" w:rsidP="00D131B5">
            <w:pPr>
              <w:spacing w:after="0"/>
              <w:jc w:val="center"/>
              <w:rPr>
                <w:sz w:val="18"/>
                <w:szCs w:val="18"/>
              </w:rPr>
            </w:pPr>
            <w:r>
              <w:rPr>
                <w:sz w:val="18"/>
                <w:szCs w:val="18"/>
              </w:rPr>
              <w:t>44.9</w:t>
            </w:r>
          </w:p>
        </w:tc>
        <w:tc>
          <w:tcPr>
            <w:tcW w:w="1890" w:type="dxa"/>
            <w:tcBorders>
              <w:top w:val="single" w:sz="4" w:space="0" w:color="auto"/>
              <w:left w:val="single" w:sz="4" w:space="0" w:color="auto"/>
              <w:bottom w:val="single" w:sz="4" w:space="0" w:color="auto"/>
              <w:right w:val="single" w:sz="4" w:space="0" w:color="auto"/>
            </w:tcBorders>
            <w:vAlign w:val="center"/>
          </w:tcPr>
          <w:p w14:paraId="7B3449E2" w14:textId="11BB691B" w:rsidR="00D131B5" w:rsidRPr="001A3B5B" w:rsidRDefault="00200347" w:rsidP="009F256C">
            <w:pPr>
              <w:spacing w:after="0"/>
              <w:jc w:val="center"/>
              <w:rPr>
                <w:sz w:val="18"/>
                <w:szCs w:val="18"/>
              </w:rPr>
            </w:pPr>
            <w:r>
              <w:rPr>
                <w:sz w:val="18"/>
                <w:szCs w:val="18"/>
              </w:rPr>
              <w:t>53.5</w:t>
            </w:r>
          </w:p>
        </w:tc>
        <w:tc>
          <w:tcPr>
            <w:tcW w:w="1350" w:type="dxa"/>
            <w:tcBorders>
              <w:top w:val="single" w:sz="4" w:space="0" w:color="auto"/>
              <w:left w:val="single" w:sz="4" w:space="0" w:color="auto"/>
              <w:bottom w:val="single" w:sz="4" w:space="0" w:color="auto"/>
              <w:right w:val="single" w:sz="4" w:space="0" w:color="auto"/>
            </w:tcBorders>
            <w:vAlign w:val="center"/>
          </w:tcPr>
          <w:p w14:paraId="20036D7F" w14:textId="77777777" w:rsidR="00D131B5" w:rsidRPr="001A3B5B" w:rsidRDefault="00D131B5" w:rsidP="009F256C">
            <w:pPr>
              <w:spacing w:after="0"/>
              <w:jc w:val="center"/>
              <w:rPr>
                <w:sz w:val="18"/>
                <w:szCs w:val="18"/>
              </w:rPr>
            </w:pPr>
            <w:r w:rsidRPr="001A3B5B">
              <w:rPr>
                <w:sz w:val="18"/>
                <w:szCs w:val="18"/>
              </w:rPr>
              <w:t>0.323</w:t>
            </w:r>
          </w:p>
        </w:tc>
      </w:tr>
      <w:tr w:rsidR="00D131B5" w:rsidRPr="001A3B5B" w14:paraId="06450281" w14:textId="77777777" w:rsidTr="00200347">
        <w:trPr>
          <w:cantSplit/>
          <w:trHeight w:val="451"/>
        </w:trPr>
        <w:tc>
          <w:tcPr>
            <w:tcW w:w="1170" w:type="dxa"/>
            <w:tcBorders>
              <w:top w:val="single" w:sz="4" w:space="0" w:color="auto"/>
              <w:left w:val="single" w:sz="4" w:space="0" w:color="auto"/>
              <w:bottom w:val="single" w:sz="4" w:space="0" w:color="auto"/>
              <w:right w:val="single" w:sz="4" w:space="0" w:color="auto"/>
            </w:tcBorders>
            <w:vAlign w:val="center"/>
          </w:tcPr>
          <w:p w14:paraId="7BADE933" w14:textId="70CAD424" w:rsidR="00D131B5" w:rsidRPr="001A3B5B" w:rsidRDefault="00D131B5" w:rsidP="00D131B5">
            <w:pPr>
              <w:spacing w:after="0"/>
              <w:jc w:val="center"/>
              <w:rPr>
                <w:sz w:val="18"/>
                <w:szCs w:val="18"/>
              </w:rPr>
            </w:pPr>
            <w:r w:rsidRPr="001A3B5B">
              <w:rPr>
                <w:rFonts w:ascii="Calibri" w:eastAsia="Times New Roman" w:hAnsi="Calibri" w:cs="Calibri"/>
                <w:b/>
                <w:color w:val="000000"/>
                <w:sz w:val="18"/>
                <w:szCs w:val="18"/>
              </w:rPr>
              <w:t>Leaves</w:t>
            </w:r>
          </w:p>
        </w:tc>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E2197" w14:textId="2543BB73" w:rsidR="00D131B5" w:rsidRPr="001A3B5B" w:rsidRDefault="00200347" w:rsidP="00D131B5">
            <w:pPr>
              <w:spacing w:after="0"/>
              <w:jc w:val="center"/>
              <w:rPr>
                <w:sz w:val="18"/>
                <w:szCs w:val="18"/>
              </w:rPr>
            </w:pPr>
            <w:r>
              <w:rPr>
                <w:sz w:val="18"/>
                <w:szCs w:val="18"/>
              </w:rPr>
              <w:t>31</w:t>
            </w:r>
          </w:p>
        </w:tc>
        <w:tc>
          <w:tcPr>
            <w:tcW w:w="2070" w:type="dxa"/>
            <w:tcBorders>
              <w:top w:val="single" w:sz="4" w:space="0" w:color="auto"/>
              <w:left w:val="single" w:sz="4" w:space="0" w:color="auto"/>
              <w:bottom w:val="single" w:sz="4" w:space="0" w:color="auto"/>
              <w:right w:val="single" w:sz="4" w:space="0" w:color="auto"/>
            </w:tcBorders>
            <w:vAlign w:val="center"/>
          </w:tcPr>
          <w:p w14:paraId="098B7DC4" w14:textId="48CCFA36" w:rsidR="00D131B5" w:rsidRPr="001A3B5B" w:rsidRDefault="00200347" w:rsidP="00D131B5">
            <w:pPr>
              <w:spacing w:after="0"/>
              <w:jc w:val="center"/>
              <w:rPr>
                <w:sz w:val="18"/>
                <w:szCs w:val="18"/>
              </w:rPr>
            </w:pPr>
            <w:r>
              <w:rPr>
                <w:sz w:val="18"/>
                <w:szCs w:val="18"/>
              </w:rPr>
              <w:t>45.5</w:t>
            </w:r>
          </w:p>
        </w:tc>
        <w:tc>
          <w:tcPr>
            <w:tcW w:w="1890" w:type="dxa"/>
            <w:tcBorders>
              <w:top w:val="single" w:sz="4" w:space="0" w:color="auto"/>
              <w:left w:val="single" w:sz="4" w:space="0" w:color="auto"/>
              <w:bottom w:val="single" w:sz="4" w:space="0" w:color="auto"/>
              <w:right w:val="single" w:sz="4" w:space="0" w:color="auto"/>
            </w:tcBorders>
            <w:vAlign w:val="center"/>
          </w:tcPr>
          <w:p w14:paraId="47648EDC" w14:textId="0B122321" w:rsidR="00D131B5" w:rsidRPr="001A3B5B" w:rsidRDefault="00200347" w:rsidP="009F256C">
            <w:pPr>
              <w:spacing w:after="0"/>
              <w:jc w:val="center"/>
              <w:rPr>
                <w:sz w:val="18"/>
                <w:szCs w:val="18"/>
              </w:rPr>
            </w:pPr>
            <w:r>
              <w:rPr>
                <w:sz w:val="18"/>
                <w:szCs w:val="18"/>
              </w:rPr>
              <w:t>84.6</w:t>
            </w:r>
          </w:p>
        </w:tc>
        <w:tc>
          <w:tcPr>
            <w:tcW w:w="1350" w:type="dxa"/>
            <w:tcBorders>
              <w:top w:val="single" w:sz="4" w:space="0" w:color="auto"/>
              <w:left w:val="single" w:sz="4" w:space="0" w:color="auto"/>
              <w:bottom w:val="single" w:sz="4" w:space="0" w:color="auto"/>
              <w:right w:val="single" w:sz="4" w:space="0" w:color="auto"/>
            </w:tcBorders>
            <w:vAlign w:val="center"/>
          </w:tcPr>
          <w:p w14:paraId="77C972C6" w14:textId="77777777" w:rsidR="00D131B5" w:rsidRPr="001A3B5B" w:rsidRDefault="00D131B5" w:rsidP="009F256C">
            <w:pPr>
              <w:spacing w:after="0"/>
              <w:jc w:val="center"/>
              <w:rPr>
                <w:sz w:val="18"/>
                <w:szCs w:val="18"/>
              </w:rPr>
            </w:pPr>
            <w:r w:rsidRPr="001A3B5B">
              <w:rPr>
                <w:sz w:val="18"/>
                <w:szCs w:val="18"/>
              </w:rPr>
              <w:t>0.185</w:t>
            </w:r>
          </w:p>
        </w:tc>
      </w:tr>
      <w:tr w:rsidR="00D131B5" w:rsidRPr="001A3B5B" w14:paraId="53616C01" w14:textId="77777777" w:rsidTr="00200347">
        <w:trPr>
          <w:cantSplit/>
          <w:trHeight w:val="451"/>
        </w:trPr>
        <w:tc>
          <w:tcPr>
            <w:tcW w:w="1170" w:type="dxa"/>
            <w:tcBorders>
              <w:top w:val="single" w:sz="4" w:space="0" w:color="auto"/>
              <w:left w:val="single" w:sz="4" w:space="0" w:color="auto"/>
              <w:bottom w:val="single" w:sz="4" w:space="0" w:color="auto"/>
              <w:right w:val="single" w:sz="4" w:space="0" w:color="auto"/>
            </w:tcBorders>
            <w:vAlign w:val="center"/>
          </w:tcPr>
          <w:p w14:paraId="59FBB7D2" w14:textId="303957D3" w:rsidR="00D131B5" w:rsidRPr="001A3B5B" w:rsidRDefault="00D131B5" w:rsidP="00D131B5">
            <w:pPr>
              <w:spacing w:after="0"/>
              <w:jc w:val="center"/>
              <w:rPr>
                <w:sz w:val="18"/>
                <w:szCs w:val="18"/>
              </w:rPr>
            </w:pPr>
            <w:r w:rsidRPr="001A3B5B">
              <w:rPr>
                <w:rFonts w:ascii="Calibri" w:eastAsia="Times New Roman" w:hAnsi="Calibri" w:cs="Calibri"/>
                <w:b/>
                <w:color w:val="000000"/>
                <w:sz w:val="18"/>
                <w:szCs w:val="18"/>
              </w:rPr>
              <w:t>Branches</w:t>
            </w:r>
          </w:p>
        </w:tc>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BA8817" w14:textId="33927CE6" w:rsidR="00D131B5" w:rsidRPr="001A3B5B" w:rsidRDefault="00200347" w:rsidP="00D131B5">
            <w:pPr>
              <w:spacing w:after="0"/>
              <w:jc w:val="center"/>
              <w:rPr>
                <w:sz w:val="18"/>
                <w:szCs w:val="18"/>
              </w:rPr>
            </w:pPr>
            <w:r>
              <w:rPr>
                <w:sz w:val="18"/>
                <w:szCs w:val="18"/>
              </w:rPr>
              <w:t>10</w:t>
            </w:r>
          </w:p>
        </w:tc>
        <w:tc>
          <w:tcPr>
            <w:tcW w:w="2070" w:type="dxa"/>
            <w:tcBorders>
              <w:top w:val="single" w:sz="4" w:space="0" w:color="auto"/>
              <w:left w:val="single" w:sz="4" w:space="0" w:color="auto"/>
              <w:bottom w:val="single" w:sz="4" w:space="0" w:color="auto"/>
              <w:right w:val="single" w:sz="4" w:space="0" w:color="auto"/>
            </w:tcBorders>
            <w:vAlign w:val="center"/>
          </w:tcPr>
          <w:p w14:paraId="53038F07" w14:textId="10F6B1B2" w:rsidR="00D131B5" w:rsidRPr="001A3B5B" w:rsidRDefault="00200347" w:rsidP="00D131B5">
            <w:pPr>
              <w:spacing w:after="0"/>
              <w:jc w:val="center"/>
              <w:rPr>
                <w:sz w:val="18"/>
                <w:szCs w:val="18"/>
              </w:rPr>
            </w:pPr>
            <w:r>
              <w:rPr>
                <w:sz w:val="18"/>
                <w:szCs w:val="18"/>
              </w:rPr>
              <w:t>49.4</w:t>
            </w:r>
          </w:p>
        </w:tc>
        <w:tc>
          <w:tcPr>
            <w:tcW w:w="1890" w:type="dxa"/>
            <w:tcBorders>
              <w:top w:val="single" w:sz="4" w:space="0" w:color="auto"/>
              <w:left w:val="single" w:sz="4" w:space="0" w:color="auto"/>
              <w:bottom w:val="single" w:sz="4" w:space="0" w:color="auto"/>
              <w:right w:val="single" w:sz="4" w:space="0" w:color="auto"/>
            </w:tcBorders>
            <w:vAlign w:val="center"/>
          </w:tcPr>
          <w:p w14:paraId="4A92F3FB" w14:textId="3F8D64C0" w:rsidR="00D131B5" w:rsidRPr="001A3B5B" w:rsidRDefault="00200347" w:rsidP="009F256C">
            <w:pPr>
              <w:spacing w:after="0"/>
              <w:jc w:val="center"/>
              <w:rPr>
                <w:sz w:val="18"/>
                <w:szCs w:val="18"/>
              </w:rPr>
            </w:pPr>
            <w:r>
              <w:rPr>
                <w:sz w:val="18"/>
                <w:szCs w:val="18"/>
              </w:rPr>
              <w:t>76.9</w:t>
            </w:r>
          </w:p>
        </w:tc>
        <w:tc>
          <w:tcPr>
            <w:tcW w:w="1350" w:type="dxa"/>
            <w:tcBorders>
              <w:top w:val="single" w:sz="4" w:space="0" w:color="auto"/>
              <w:left w:val="single" w:sz="4" w:space="0" w:color="auto"/>
              <w:bottom w:val="single" w:sz="4" w:space="0" w:color="auto"/>
              <w:right w:val="single" w:sz="4" w:space="0" w:color="auto"/>
            </w:tcBorders>
            <w:vAlign w:val="center"/>
          </w:tcPr>
          <w:p w14:paraId="02A6C85E" w14:textId="77777777" w:rsidR="00D131B5" w:rsidRPr="001A3B5B" w:rsidRDefault="00D131B5" w:rsidP="009F256C">
            <w:pPr>
              <w:spacing w:after="0"/>
              <w:jc w:val="center"/>
              <w:rPr>
                <w:sz w:val="18"/>
                <w:szCs w:val="18"/>
              </w:rPr>
            </w:pPr>
            <w:r w:rsidRPr="001A3B5B">
              <w:rPr>
                <w:sz w:val="18"/>
                <w:szCs w:val="18"/>
              </w:rPr>
              <w:t>0.016</w:t>
            </w:r>
          </w:p>
        </w:tc>
      </w:tr>
    </w:tbl>
    <w:p w14:paraId="5B79427F" w14:textId="77777777" w:rsidR="00ED4794" w:rsidRDefault="00ED4794" w:rsidP="00ED4794">
      <w:r>
        <w:rPr>
          <w:u w:val="single"/>
        </w:rPr>
        <w:t xml:space="preserve"> </w:t>
      </w:r>
    </w:p>
    <w:p w14:paraId="55F8F4B3" w14:textId="6C8D4E34" w:rsidR="00ED4794" w:rsidRPr="000A352C" w:rsidRDefault="00ED4794" w:rsidP="00ED4794">
      <w:r>
        <w:lastRenderedPageBreak/>
        <w:t xml:space="preserve">For each year beginning in 1960 and through the most recent Inventory year, the decay of each year’s waste is estimated using </w:t>
      </w:r>
      <w:r w:rsidR="001D09E3" w:rsidRPr="001A3B5B">
        <w:fldChar w:fldCharType="begin"/>
      </w:r>
      <w:r w:rsidR="001D09E3" w:rsidRPr="001A3B5B">
        <w:instrText xml:space="preserve"> REF _Ref5105413 \h  \* MERGEFORMAT </w:instrText>
      </w:r>
      <w:r w:rsidR="001D09E3" w:rsidRPr="001A3B5B">
        <w:fldChar w:fldCharType="separate"/>
      </w:r>
      <w:r w:rsidR="00FB4CFE" w:rsidRPr="00FB4CFE">
        <w:t xml:space="preserve">Equation </w:t>
      </w:r>
      <w:r w:rsidR="007D6D6E">
        <w:t>2</w:t>
      </w:r>
      <w:r w:rsidR="00684A1C">
        <w:t>-</w:t>
      </w:r>
      <w:r w:rsidR="00FB4CFE" w:rsidRPr="00FB4CFE">
        <w:rPr>
          <w:noProof/>
        </w:rPr>
        <w:t>7</w:t>
      </w:r>
      <w:r w:rsidR="001D09E3" w:rsidRPr="001A3B5B">
        <w:fldChar w:fldCharType="end"/>
      </w:r>
      <w:r w:rsidR="001D09E3">
        <w:t xml:space="preserve"> </w:t>
      </w:r>
      <w:r>
        <w:t xml:space="preserve">and carbon storage and decay rate </w:t>
      </w:r>
      <w:r w:rsidR="005F5D01">
        <w:t xml:space="preserve">parameters from </w:t>
      </w:r>
      <w:r>
        <w:t xml:space="preserve">Table </w:t>
      </w:r>
      <w:r w:rsidR="007D6D6E">
        <w:t>2</w:t>
      </w:r>
      <w:r w:rsidR="005F6840">
        <w:t>-3</w:t>
      </w:r>
      <w:r w:rsidR="005F5D01">
        <w:t>3</w:t>
      </w:r>
      <w:r>
        <w:t xml:space="preserve">. </w:t>
      </w:r>
      <w:r w:rsidR="0061528A">
        <w:t xml:space="preserve">For example, </w:t>
      </w:r>
      <w:r>
        <w:t>for the 2014 inventory</w:t>
      </w:r>
      <w:r w:rsidR="0061528A">
        <w:t xml:space="preserve"> year</w:t>
      </w:r>
      <w:r>
        <w:t xml:space="preserve">, the total </w:t>
      </w:r>
      <w:r w:rsidR="0061528A">
        <w:t>carbon stock</w:t>
      </w:r>
      <w:r>
        <w:t xml:space="preserve"> is equal to the </w:t>
      </w:r>
      <w:r w:rsidR="0061528A">
        <w:t>undecayed carbon stock from</w:t>
      </w:r>
      <w:r>
        <w:t xml:space="preserve"> biolog</w:t>
      </w:r>
      <w:r w:rsidR="0061528A">
        <w:t xml:space="preserve">ical waste deposited </w:t>
      </w:r>
      <w:r w:rsidR="005F5D01">
        <w:t>over</w:t>
      </w:r>
      <w:r>
        <w:t xml:space="preserve"> 1960-2014 (inclusive). </w:t>
      </w:r>
    </w:p>
    <w:p w14:paraId="0F63C6EE" w14:textId="03FE1628" w:rsidR="00F301B1" w:rsidRPr="001A3B5B" w:rsidRDefault="00F301B1" w:rsidP="00F301B1">
      <w:pPr>
        <w:pStyle w:val="Caption"/>
        <w:keepNext/>
        <w:rPr>
          <w:b/>
          <w:sz w:val="22"/>
          <w:szCs w:val="22"/>
        </w:rPr>
      </w:pPr>
      <w:bookmarkStart w:id="262" w:name="_Ref5105413"/>
      <w:r w:rsidRPr="001A3B5B">
        <w:rPr>
          <w:b/>
          <w:sz w:val="22"/>
          <w:szCs w:val="22"/>
        </w:rPr>
        <w:t xml:space="preserve">Equation </w:t>
      </w:r>
      <w:r w:rsidR="007D6D6E">
        <w:rPr>
          <w:b/>
          <w:sz w:val="22"/>
          <w:szCs w:val="22"/>
        </w:rPr>
        <w:t>2</w:t>
      </w:r>
      <w:r w:rsidR="00684A1C">
        <w:rPr>
          <w:b/>
          <w:sz w:val="22"/>
          <w:szCs w:val="22"/>
        </w:rPr>
        <w:t>-</w:t>
      </w:r>
      <w:r w:rsidR="001B5A68">
        <w:rPr>
          <w:b/>
          <w:sz w:val="22"/>
          <w:szCs w:val="22"/>
        </w:rPr>
        <w:t>7</w:t>
      </w:r>
      <w:r w:rsidRPr="001A3B5B">
        <w:rPr>
          <w:b/>
          <w:sz w:val="22"/>
          <w:szCs w:val="22"/>
        </w:rPr>
        <w:t>:</w:t>
      </w:r>
      <w:bookmarkEnd w:id="262"/>
      <w:r w:rsidR="003D163B" w:rsidRPr="001A3B5B">
        <w:rPr>
          <w:b/>
          <w:sz w:val="22"/>
          <w:szCs w:val="22"/>
        </w:rPr>
        <w:t xml:space="preserve"> La</w:t>
      </w:r>
      <w:r w:rsidR="00396D51">
        <w:rPr>
          <w:b/>
          <w:sz w:val="22"/>
          <w:szCs w:val="22"/>
        </w:rPr>
        <w:t>ndfilled y</w:t>
      </w:r>
      <w:r w:rsidR="003D163B" w:rsidRPr="001A3B5B">
        <w:rPr>
          <w:b/>
          <w:sz w:val="22"/>
          <w:szCs w:val="22"/>
        </w:rPr>
        <w:t xml:space="preserve">ard </w:t>
      </w:r>
      <w:r w:rsidR="00396D51">
        <w:rPr>
          <w:b/>
          <w:sz w:val="22"/>
          <w:szCs w:val="22"/>
        </w:rPr>
        <w:t>t</w:t>
      </w:r>
      <w:r w:rsidR="003D163B" w:rsidRPr="001A3B5B">
        <w:rPr>
          <w:b/>
          <w:sz w:val="22"/>
          <w:szCs w:val="22"/>
        </w:rPr>
        <w:t xml:space="preserve">rimmings and </w:t>
      </w:r>
      <w:r w:rsidR="00396D51">
        <w:rPr>
          <w:b/>
          <w:sz w:val="22"/>
          <w:szCs w:val="22"/>
        </w:rPr>
        <w:t>f</w:t>
      </w:r>
      <w:r w:rsidR="003D163B" w:rsidRPr="001A3B5B">
        <w:rPr>
          <w:b/>
          <w:sz w:val="22"/>
          <w:szCs w:val="22"/>
        </w:rPr>
        <w:t xml:space="preserve">ood </w:t>
      </w:r>
      <w:r w:rsidR="00396D51">
        <w:rPr>
          <w:b/>
          <w:sz w:val="22"/>
          <w:szCs w:val="22"/>
        </w:rPr>
        <w:t>s</w:t>
      </w:r>
      <w:r w:rsidR="003D163B" w:rsidRPr="001A3B5B">
        <w:rPr>
          <w:b/>
          <w:sz w:val="22"/>
          <w:szCs w:val="22"/>
        </w:rPr>
        <w:t xml:space="preserve">crap </w:t>
      </w:r>
      <w:r w:rsidR="00396D51">
        <w:rPr>
          <w:b/>
          <w:sz w:val="22"/>
          <w:szCs w:val="22"/>
        </w:rPr>
        <w:t>c</w:t>
      </w:r>
      <w:r w:rsidR="003D163B" w:rsidRPr="001A3B5B">
        <w:rPr>
          <w:b/>
          <w:sz w:val="22"/>
          <w:szCs w:val="22"/>
        </w:rPr>
        <w:t xml:space="preserve">arbon </w:t>
      </w:r>
      <w:r w:rsidR="00396D51">
        <w:rPr>
          <w:b/>
          <w:sz w:val="22"/>
          <w:szCs w:val="22"/>
        </w:rPr>
        <w:t>s</w:t>
      </w:r>
      <w:r w:rsidR="003D163B" w:rsidRPr="001A3B5B">
        <w:rPr>
          <w:b/>
          <w:sz w:val="22"/>
          <w:szCs w:val="22"/>
        </w:rPr>
        <w:t>tock</w:t>
      </w:r>
      <w:r w:rsidR="001A3B5B">
        <w:rPr>
          <w:b/>
          <w:sz w:val="22"/>
          <w:szCs w:val="22"/>
        </w:rPr>
        <w:t xml:space="preserve"> (NGHGI, 2018)</w:t>
      </w:r>
    </w:p>
    <w:p w14:paraId="38EB5615" w14:textId="4B8AD708" w:rsidR="00ED4794" w:rsidRDefault="00876770" w:rsidP="00ED4794">
      <w:pPr>
        <w:jc w:val="center"/>
        <w:rPr>
          <w:rFonts w:eastAsiaTheme="minorEastAsia"/>
        </w:rPr>
      </w:pPr>
      <m:oMathPara>
        <m:oMath>
          <m:sSub>
            <m:sSubPr>
              <m:ctrlPr>
                <w:rPr>
                  <w:rFonts w:ascii="Cambria Math" w:hAnsi="Cambria Math"/>
                  <w:i/>
                </w:rPr>
              </m:ctrlPr>
            </m:sSubPr>
            <m:e>
              <m:r>
                <w:rPr>
                  <w:rFonts w:ascii="Cambria Math" w:hAnsi="Cambria Math"/>
                </w:rPr>
                <m:t>LFC</m:t>
              </m:r>
            </m:e>
            <m:sub>
              <m:r>
                <w:rPr>
                  <w:rFonts w:ascii="Cambria Math" w:hAnsi="Cambria Math"/>
                </w:rPr>
                <m:t>i,t</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s=0</m:t>
              </m:r>
            </m:sub>
            <m:sup>
              <m:r>
                <w:rPr>
                  <w:rFonts w:ascii="Cambria Math" w:hAnsi="Cambria Math"/>
                </w:rPr>
                <m:t>t</m:t>
              </m:r>
            </m:sup>
            <m:e>
              <m:sSub>
                <m:sSubPr>
                  <m:ctrlPr>
                    <w:rPr>
                      <w:rFonts w:ascii="Cambria Math" w:hAnsi="Cambria Math"/>
                      <w:i/>
                    </w:rPr>
                  </m:ctrlPr>
                </m:sSubPr>
                <m:e>
                  <m:r>
                    <w:rPr>
                      <w:rFonts w:ascii="Cambria Math" w:hAnsi="Cambria Math"/>
                    </w:rPr>
                    <m:t>W</m:t>
                  </m:r>
                </m:e>
                <m:sub>
                  <m:r>
                    <w:rPr>
                      <w:rFonts w:ascii="Cambria Math" w:hAnsi="Cambria Math"/>
                    </w:rPr>
                    <m:t>i,s</m:t>
                  </m:r>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MC</m:t>
                      </m:r>
                    </m:e>
                    <m:sub>
                      <m:r>
                        <w:rPr>
                          <w:rFonts w:ascii="Cambria Math" w:hAnsi="Cambria Math"/>
                        </w:rPr>
                        <m:t>i</m:t>
                      </m:r>
                    </m:sub>
                  </m:sSub>
                </m:e>
              </m:d>
              <m:r>
                <w:rPr>
                  <w:rFonts w:ascii="Cambria Math" w:hAnsi="Cambria Math"/>
                </w:rPr>
                <m:t>*</m:t>
              </m:r>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CS</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ICC</m:t>
                          </m:r>
                        </m:e>
                        <m:sub>
                          <m:r>
                            <w:rPr>
                              <w:rFonts w:ascii="Cambria Math" w:hAnsi="Cambria Math"/>
                            </w:rPr>
                            <m:t>i</m:t>
                          </m:r>
                        </m:sub>
                      </m:sSub>
                    </m:e>
                  </m:d>
                  <m:r>
                    <w:rPr>
                      <w:rFonts w:ascii="Cambria Math" w:hAnsi="Cambria Math"/>
                    </w:rPr>
                    <m:t>+</m:t>
                  </m:r>
                  <m:d>
                    <m:dPr>
                      <m:begChr m:val="["/>
                      <m:endChr m:val="]"/>
                      <m:ctrlPr>
                        <w:rPr>
                          <w:rFonts w:ascii="Cambria Math" w:hAnsi="Cambria Math"/>
                          <w:i/>
                        </w:rPr>
                      </m:ctrlPr>
                    </m:dPr>
                    <m:e>
                      <m:d>
                        <m:dPr>
                          <m:ctrlPr>
                            <w:rPr>
                              <w:rFonts w:ascii="Cambria Math" w:hAnsi="Cambria Math"/>
                              <w:i/>
                            </w:rPr>
                          </m:ctrlPr>
                        </m:dPr>
                        <m:e>
                          <m:r>
                            <w:rPr>
                              <w:rFonts w:ascii="Cambria Math" w:hAnsi="Cambria Math"/>
                            </w:rPr>
                            <m:t>1-</m:t>
                          </m:r>
                          <m:d>
                            <m:dPr>
                              <m:ctrlPr>
                                <w:rPr>
                                  <w:rFonts w:ascii="Cambria Math" w:hAnsi="Cambria Math"/>
                                  <w:i/>
                                </w:rPr>
                              </m:ctrlPr>
                            </m:dPr>
                            <m:e>
                              <m:sSub>
                                <m:sSubPr>
                                  <m:ctrlPr>
                                    <w:rPr>
                                      <w:rFonts w:ascii="Cambria Math" w:hAnsi="Cambria Math"/>
                                      <w:i/>
                                    </w:rPr>
                                  </m:ctrlPr>
                                </m:sSubPr>
                                <m:e>
                                  <m:r>
                                    <w:rPr>
                                      <w:rFonts w:ascii="Cambria Math" w:hAnsi="Cambria Math"/>
                                    </w:rPr>
                                    <m:t>CS</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ICC</m:t>
                                  </m:r>
                                </m:e>
                                <m:sub>
                                  <m:r>
                                    <w:rPr>
                                      <w:rFonts w:ascii="Cambria Math" w:hAnsi="Cambria Math"/>
                                    </w:rPr>
                                    <m:t>i</m:t>
                                  </m:r>
                                </m:sub>
                              </m:sSub>
                            </m:e>
                          </m:d>
                        </m:e>
                      </m:d>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-k(t-s)</m:t>
                          </m:r>
                        </m:sup>
                      </m:sSup>
                    </m:e>
                  </m:d>
                </m:e>
              </m:d>
            </m:e>
          </m:nary>
        </m:oMath>
      </m:oMathPara>
    </w:p>
    <w:p w14:paraId="37523A66" w14:textId="77777777" w:rsidR="00ED4794" w:rsidRPr="00C501A8" w:rsidRDefault="00ED4794" w:rsidP="00ED4794">
      <w:pPr>
        <w:rPr>
          <w:rFonts w:eastAsiaTheme="minorEastAsia"/>
        </w:rPr>
      </w:pPr>
      <w:r>
        <w:rPr>
          <w:rFonts w:eastAsiaTheme="minorEastAsia"/>
        </w:rPr>
        <w:t>Where:</w:t>
      </w:r>
    </w:p>
    <w:p w14:paraId="08097294" w14:textId="54F67984" w:rsidR="00ED4794" w:rsidRDefault="00ED4794" w:rsidP="001D09E3">
      <w:pPr>
        <w:ind w:left="720"/>
        <w:rPr>
          <w:rFonts w:eastAsiaTheme="minorEastAsia"/>
        </w:rPr>
      </w:pPr>
      <m:oMath>
        <m:r>
          <w:rPr>
            <w:rFonts w:ascii="Cambria Math" w:hAnsi="Cambria Math"/>
          </w:rPr>
          <m:t>i</m:t>
        </m:r>
      </m:oMath>
      <w:r>
        <w:rPr>
          <w:rFonts w:eastAsiaTheme="minorEastAsia"/>
        </w:rPr>
        <w:t xml:space="preserve"> = Waste type (grass, branches, leaves, or food scraps)</w:t>
      </w:r>
    </w:p>
    <w:p w14:paraId="6D7D56A1" w14:textId="77777777" w:rsidR="00ED4794" w:rsidRDefault="00876770" w:rsidP="001D09E3">
      <w:pPr>
        <w:ind w:left="720"/>
        <w:rPr>
          <w:rFonts w:eastAsiaTheme="minorEastAsia"/>
        </w:rPr>
      </w:pPr>
      <m:oMath>
        <m:sSub>
          <m:sSubPr>
            <m:ctrlPr>
              <w:rPr>
                <w:rFonts w:ascii="Cambria Math" w:hAnsi="Cambria Math"/>
                <w:i/>
              </w:rPr>
            </m:ctrlPr>
          </m:sSubPr>
          <m:e>
            <m:r>
              <w:rPr>
                <w:rFonts w:ascii="Cambria Math" w:hAnsi="Cambria Math"/>
              </w:rPr>
              <m:t>LFC</m:t>
            </m:r>
          </m:e>
          <m:sub>
            <m:r>
              <w:rPr>
                <w:rFonts w:ascii="Cambria Math" w:hAnsi="Cambria Math"/>
              </w:rPr>
              <m:t>i,t</m:t>
            </m:r>
          </m:sub>
        </m:sSub>
      </m:oMath>
      <w:r w:rsidR="00ED4794">
        <w:rPr>
          <w:rFonts w:eastAsiaTheme="minorEastAsia"/>
        </w:rPr>
        <w:t xml:space="preserve"> = stock of C in landfills in year </w:t>
      </w:r>
      <w:r w:rsidR="00ED4794">
        <w:rPr>
          <w:rFonts w:eastAsiaTheme="minorEastAsia"/>
          <w:i/>
        </w:rPr>
        <w:t>t</w:t>
      </w:r>
      <w:r w:rsidR="00ED4794">
        <w:rPr>
          <w:rFonts w:eastAsiaTheme="minorEastAsia"/>
        </w:rPr>
        <w:t xml:space="preserve">, for waste </w:t>
      </w:r>
      <w:r w:rsidR="00ED4794" w:rsidRPr="00203B69">
        <w:rPr>
          <w:rFonts w:eastAsiaTheme="minorEastAsia"/>
          <w:i/>
        </w:rPr>
        <w:t>i</w:t>
      </w:r>
      <w:r w:rsidR="00ED4794">
        <w:rPr>
          <w:rFonts w:eastAsiaTheme="minorEastAsia"/>
        </w:rPr>
        <w:t xml:space="preserve"> (metric tons)</w:t>
      </w:r>
    </w:p>
    <w:p w14:paraId="7C714789" w14:textId="77777777" w:rsidR="00ED4794" w:rsidRDefault="00876770" w:rsidP="001D09E3">
      <w:pPr>
        <w:ind w:left="720"/>
        <w:rPr>
          <w:rFonts w:eastAsiaTheme="minorEastAsia"/>
        </w:rPr>
      </w:pPr>
      <m:oMath>
        <m:sSub>
          <m:sSubPr>
            <m:ctrlPr>
              <w:rPr>
                <w:rFonts w:ascii="Cambria Math" w:hAnsi="Cambria Math"/>
                <w:i/>
              </w:rPr>
            </m:ctrlPr>
          </m:sSubPr>
          <m:e>
            <m:r>
              <w:rPr>
                <w:rFonts w:ascii="Cambria Math" w:hAnsi="Cambria Math"/>
              </w:rPr>
              <m:t>W</m:t>
            </m:r>
          </m:e>
          <m:sub>
            <m:r>
              <w:rPr>
                <w:rFonts w:ascii="Cambria Math" w:hAnsi="Cambria Math"/>
              </w:rPr>
              <m:t>i,s</m:t>
            </m:r>
          </m:sub>
        </m:sSub>
      </m:oMath>
      <w:r w:rsidR="00ED4794">
        <w:rPr>
          <w:rFonts w:eastAsiaTheme="minorEastAsia"/>
        </w:rPr>
        <w:t xml:space="preserve"> = Mass of waste </w:t>
      </w:r>
      <w:r w:rsidR="00ED4794">
        <w:rPr>
          <w:rFonts w:eastAsiaTheme="minorEastAsia"/>
          <w:i/>
        </w:rPr>
        <w:t xml:space="preserve">i </w:t>
      </w:r>
      <w:r w:rsidR="00ED4794">
        <w:rPr>
          <w:rFonts w:eastAsiaTheme="minorEastAsia"/>
        </w:rPr>
        <w:t xml:space="preserve">disposed of in </w:t>
      </w:r>
      <w:proofErr w:type="spellStart"/>
      <w:r w:rsidR="00ED4794">
        <w:rPr>
          <w:rFonts w:eastAsiaTheme="minorEastAsia"/>
        </w:rPr>
        <w:t xml:space="preserve">year </w:t>
      </w:r>
      <w:r w:rsidR="00ED4794">
        <w:rPr>
          <w:rFonts w:eastAsiaTheme="minorEastAsia"/>
          <w:i/>
        </w:rPr>
        <w:t>s</w:t>
      </w:r>
      <w:proofErr w:type="spellEnd"/>
      <w:r w:rsidR="00ED4794">
        <w:rPr>
          <w:rFonts w:eastAsiaTheme="minorEastAsia"/>
          <w:i/>
        </w:rPr>
        <w:t xml:space="preserve"> </w:t>
      </w:r>
      <w:r w:rsidR="00ED4794">
        <w:rPr>
          <w:rFonts w:eastAsiaTheme="minorEastAsia"/>
        </w:rPr>
        <w:t>(metric tons, wet)</w:t>
      </w:r>
    </w:p>
    <w:p w14:paraId="3DD78273" w14:textId="5EECC969" w:rsidR="00ED4794" w:rsidRDefault="00876770" w:rsidP="001D09E3">
      <w:pPr>
        <w:ind w:left="720"/>
        <w:rPr>
          <w:rFonts w:eastAsiaTheme="minorEastAsia"/>
        </w:rPr>
      </w:pPr>
      <m:oMath>
        <m:sSub>
          <m:sSubPr>
            <m:ctrlPr>
              <w:rPr>
                <w:rFonts w:ascii="Cambria Math" w:hAnsi="Cambria Math"/>
                <w:i/>
              </w:rPr>
            </m:ctrlPr>
          </m:sSubPr>
          <m:e>
            <m:r>
              <w:rPr>
                <w:rFonts w:ascii="Cambria Math" w:hAnsi="Cambria Math"/>
              </w:rPr>
              <m:t>MC</m:t>
            </m:r>
          </m:e>
          <m:sub>
            <m:r>
              <w:rPr>
                <w:rFonts w:ascii="Cambria Math" w:hAnsi="Cambria Math"/>
              </w:rPr>
              <m:t>i</m:t>
            </m:r>
          </m:sub>
        </m:sSub>
      </m:oMath>
      <w:r w:rsidR="00ED4794">
        <w:rPr>
          <w:rFonts w:eastAsiaTheme="minorEastAsia"/>
        </w:rPr>
        <w:t xml:space="preserve"> = Moisture content of waste</w:t>
      </w:r>
      <w:r w:rsidR="009203C4">
        <w:rPr>
          <w:rFonts w:eastAsiaTheme="minorEastAsia"/>
        </w:rPr>
        <w:t xml:space="preserve"> </w:t>
      </w:r>
      <w:r w:rsidR="009203C4" w:rsidRPr="003B4036">
        <w:rPr>
          <w:rFonts w:eastAsiaTheme="minorEastAsia"/>
          <w:i/>
        </w:rPr>
        <w:t>i</w:t>
      </w:r>
    </w:p>
    <w:p w14:paraId="0FB4420F" w14:textId="3CF7AB52" w:rsidR="00ED4794" w:rsidRDefault="00876770" w:rsidP="001D09E3">
      <w:pPr>
        <w:ind w:left="720"/>
        <w:rPr>
          <w:rFonts w:eastAsiaTheme="minorEastAsia"/>
        </w:rPr>
      </w:pPr>
      <m:oMath>
        <m:sSub>
          <m:sSubPr>
            <m:ctrlPr>
              <w:rPr>
                <w:rFonts w:ascii="Cambria Math" w:hAnsi="Cambria Math"/>
                <w:i/>
              </w:rPr>
            </m:ctrlPr>
          </m:sSubPr>
          <m:e>
            <m:r>
              <w:rPr>
                <w:rFonts w:ascii="Cambria Math" w:hAnsi="Cambria Math"/>
              </w:rPr>
              <m:t>CS</m:t>
            </m:r>
          </m:e>
          <m:sub>
            <m:r>
              <w:rPr>
                <w:rFonts w:ascii="Cambria Math" w:hAnsi="Cambria Math"/>
              </w:rPr>
              <m:t>i</m:t>
            </m:r>
          </m:sub>
        </m:sSub>
      </m:oMath>
      <w:r w:rsidR="00ED4794">
        <w:rPr>
          <w:rFonts w:eastAsiaTheme="minorEastAsia"/>
        </w:rPr>
        <w:t xml:space="preserve"> = Proportion of C stored for waste</w:t>
      </w:r>
      <w:r w:rsidR="009203C4">
        <w:rPr>
          <w:rFonts w:eastAsiaTheme="minorEastAsia"/>
        </w:rPr>
        <w:t xml:space="preserve"> </w:t>
      </w:r>
      <w:r w:rsidR="009203C4" w:rsidRPr="003B4036">
        <w:rPr>
          <w:rFonts w:eastAsiaTheme="minorEastAsia"/>
          <w:i/>
        </w:rPr>
        <w:t>i</w:t>
      </w:r>
    </w:p>
    <w:p w14:paraId="1156E97B" w14:textId="04742B08" w:rsidR="00ED4794" w:rsidRDefault="00876770" w:rsidP="001D09E3">
      <w:pPr>
        <w:ind w:left="720"/>
        <w:rPr>
          <w:rFonts w:eastAsiaTheme="minorEastAsia"/>
        </w:rPr>
      </w:pPr>
      <m:oMath>
        <m:sSub>
          <m:sSubPr>
            <m:ctrlPr>
              <w:rPr>
                <w:rFonts w:ascii="Cambria Math" w:hAnsi="Cambria Math"/>
                <w:i/>
              </w:rPr>
            </m:ctrlPr>
          </m:sSubPr>
          <m:e>
            <m:r>
              <w:rPr>
                <w:rFonts w:ascii="Cambria Math" w:hAnsi="Cambria Math"/>
              </w:rPr>
              <m:t>ICC</m:t>
            </m:r>
          </m:e>
          <m:sub>
            <m:r>
              <w:rPr>
                <w:rFonts w:ascii="Cambria Math" w:hAnsi="Cambria Math"/>
              </w:rPr>
              <m:t>i</m:t>
            </m:r>
          </m:sub>
        </m:sSub>
      </m:oMath>
      <w:r w:rsidR="00ED4794">
        <w:rPr>
          <w:rFonts w:eastAsiaTheme="minorEastAsia"/>
        </w:rPr>
        <w:t xml:space="preserve"> = Initial C content of waste</w:t>
      </w:r>
      <w:r w:rsidR="009203C4">
        <w:rPr>
          <w:rFonts w:eastAsiaTheme="minorEastAsia"/>
        </w:rPr>
        <w:t xml:space="preserve"> </w:t>
      </w:r>
      <w:r w:rsidR="009203C4" w:rsidRPr="003B4036">
        <w:rPr>
          <w:rFonts w:eastAsiaTheme="minorEastAsia"/>
          <w:i/>
        </w:rPr>
        <w:t>i</w:t>
      </w:r>
    </w:p>
    <w:p w14:paraId="4E47D7B8" w14:textId="77777777" w:rsidR="00ED4794" w:rsidRPr="00380D85" w:rsidRDefault="00ED4794" w:rsidP="001D09E3">
      <w:pPr>
        <w:ind w:left="720"/>
        <w:rPr>
          <w:rFonts w:eastAsiaTheme="minorEastAsia"/>
          <w:i/>
        </w:rPr>
      </w:pPr>
      <m:oMath>
        <m:r>
          <w:rPr>
            <w:rFonts w:ascii="Cambria Math" w:eastAsiaTheme="minorEastAsia" w:hAnsi="Cambria Math"/>
          </w:rPr>
          <m:t>k</m:t>
        </m:r>
      </m:oMath>
      <w:r>
        <w:rPr>
          <w:rFonts w:eastAsiaTheme="minorEastAsia"/>
        </w:rPr>
        <w:t xml:space="preserve"> = First order decay rate for waste </w:t>
      </w:r>
      <w:r>
        <w:rPr>
          <w:rFonts w:eastAsiaTheme="minorEastAsia"/>
          <w:i/>
        </w:rPr>
        <w:t>i</w:t>
      </w:r>
    </w:p>
    <w:p w14:paraId="352B84FD" w14:textId="77777777" w:rsidR="00ED4794" w:rsidRDefault="00ED4794" w:rsidP="00ED4794">
      <w:pPr>
        <w:rPr>
          <w:b/>
        </w:rPr>
      </w:pPr>
    </w:p>
    <w:p w14:paraId="1F59DC23" w14:textId="103C5BFB" w:rsidR="001D09E3" w:rsidRPr="001A3B5B" w:rsidRDefault="00ED4794" w:rsidP="001A3B5B">
      <w:pPr>
        <w:pStyle w:val="2-Header"/>
        <w:numPr>
          <w:ilvl w:val="0"/>
          <w:numId w:val="0"/>
        </w:numPr>
        <w:rPr>
          <w:rStyle w:val="Strong"/>
          <w:b w:val="0"/>
        </w:rPr>
      </w:pPr>
      <w:r w:rsidRPr="001A3B5B">
        <w:rPr>
          <w:rStyle w:val="Strong"/>
          <w:b w:val="0"/>
        </w:rPr>
        <w:t>Project methods</w:t>
      </w:r>
    </w:p>
    <w:p w14:paraId="3A6CCA3B" w14:textId="79E590C3" w:rsidR="00E22472" w:rsidRDefault="00ED4794" w:rsidP="00ED4794">
      <w:r>
        <w:t xml:space="preserve">A Monte Carlo simulation </w:t>
      </w:r>
      <w:r w:rsidR="005F5D01">
        <w:t xml:space="preserve">(n= </w:t>
      </w:r>
      <w:r>
        <w:t>10,000</w:t>
      </w:r>
      <w:r w:rsidR="005F5D01">
        <w:t>)</w:t>
      </w:r>
      <w:r>
        <w:t xml:space="preserve"> was completed to determine the relative contribution to uncertainty for each of the </w:t>
      </w:r>
      <w:r w:rsidR="00E718F8">
        <w:t xml:space="preserve">yard trimmings and food scrap </w:t>
      </w:r>
      <w:r w:rsidR="005F5D01">
        <w:t xml:space="preserve">inputs </w:t>
      </w:r>
      <w:r w:rsidR="001B5A68">
        <w:t>using</w:t>
      </w:r>
      <w:r w:rsidR="0014775A">
        <w:t xml:space="preserve"> Equation </w:t>
      </w:r>
      <w:r w:rsidR="007D6D6E">
        <w:t>2</w:t>
      </w:r>
      <w:r w:rsidR="0014775A">
        <w:t>-7 and</w:t>
      </w:r>
      <w:r w:rsidR="001B5A68">
        <w:t xml:space="preserve"> contribution index </w:t>
      </w:r>
      <w:r w:rsidR="0014775A">
        <w:t xml:space="preserve">methods </w:t>
      </w:r>
      <w:r w:rsidR="00396D51">
        <w:t>(Ogle et al., 2003)</w:t>
      </w:r>
      <w:r>
        <w:t xml:space="preserve">. All </w:t>
      </w:r>
      <w:r w:rsidR="0014775A">
        <w:t xml:space="preserve">Equation </w:t>
      </w:r>
      <w:r w:rsidR="007D6D6E">
        <w:t>2</w:t>
      </w:r>
      <w:r w:rsidR="0014775A">
        <w:t xml:space="preserve">-7 </w:t>
      </w:r>
      <w:r w:rsidR="005F5D01">
        <w:t>inputs</w:t>
      </w:r>
      <w:r w:rsidR="00396D51">
        <w:t xml:space="preserve"> were assumed to be normally distributed</w:t>
      </w:r>
      <w:r>
        <w:t xml:space="preserve"> except for percent</w:t>
      </w:r>
      <w:r w:rsidR="002309A1">
        <w:t>age</w:t>
      </w:r>
      <w:r>
        <w:t xml:space="preserve"> carbon stored, which </w:t>
      </w:r>
      <w:r w:rsidR="00396D51">
        <w:t>was assumed to be uniformly distributed</w:t>
      </w:r>
      <w:r>
        <w:t>, and the decay rates, which have triangular distribution</w:t>
      </w:r>
      <w:r w:rsidR="00E22472">
        <w:t>s</w:t>
      </w:r>
      <w:r>
        <w:t xml:space="preserve">. </w:t>
      </w:r>
      <w:r w:rsidR="005F5D01">
        <w:t xml:space="preserve">Inputs </w:t>
      </w:r>
      <w:r>
        <w:t>within a set (e.g.</w:t>
      </w:r>
      <w:r w:rsidR="001D09E3">
        <w:t>,</w:t>
      </w:r>
      <w:r>
        <w:t xml:space="preserve"> all the values for the ‘fraction of total weight’ parameter) were </w:t>
      </w:r>
      <w:r w:rsidR="005F5D01">
        <w:t xml:space="preserve">constrained </w:t>
      </w:r>
      <w:r>
        <w:t xml:space="preserve">to sum to 100% and to be individually bounded between 0-100%. All </w:t>
      </w:r>
      <w:r w:rsidR="005F5D01">
        <w:t xml:space="preserve">inputs were constrained consistently with </w:t>
      </w:r>
      <w:r>
        <w:t>ICF</w:t>
      </w:r>
      <w:r w:rsidR="001A4568">
        <w:t xml:space="preserve"> expert estimates (2007) as provided to U.S. EPA</w:t>
      </w:r>
      <w:r>
        <w:t xml:space="preserve"> except for the decay rates, which are consistent with values in </w:t>
      </w:r>
      <w:r w:rsidRPr="00394C71">
        <w:t>Cruz and Barlaz</w:t>
      </w:r>
      <w:r w:rsidR="001D09E3">
        <w:t xml:space="preserve"> (</w:t>
      </w:r>
      <w:r w:rsidRPr="00394C71">
        <w:t>2010</w:t>
      </w:r>
      <w:r w:rsidR="001D09E3">
        <w:t>)</w:t>
      </w:r>
      <w:r>
        <w:t xml:space="preserve">. </w:t>
      </w:r>
      <w:r w:rsidR="00DB13CF">
        <w:t xml:space="preserve">The assumed standard </w:t>
      </w:r>
      <w:r w:rsidR="004C0B7C">
        <w:t>error</w:t>
      </w:r>
      <w:r w:rsidR="0014775A">
        <w:t xml:space="preserve"> </w:t>
      </w:r>
      <w:r w:rsidR="00DB13CF">
        <w:t xml:space="preserve">for each </w:t>
      </w:r>
      <w:r w:rsidR="005F5D01">
        <w:t xml:space="preserve">input </w:t>
      </w:r>
      <w:r w:rsidR="00DB13CF">
        <w:t xml:space="preserve">can be found in the </w:t>
      </w:r>
      <w:r w:rsidR="005F6840">
        <w:t>Spreadsheet A</w:t>
      </w:r>
      <w:r w:rsidR="00DB13CF">
        <w:t>ppendix.</w:t>
      </w:r>
      <w:r w:rsidR="001C3337">
        <w:t xml:space="preserve"> </w:t>
      </w:r>
    </w:p>
    <w:p w14:paraId="7C0FB12F" w14:textId="7A963CA0" w:rsidR="00210381" w:rsidRPr="001A3B5B" w:rsidRDefault="00ED4794" w:rsidP="005F6840">
      <w:pPr>
        <w:pStyle w:val="2-Header"/>
        <w:numPr>
          <w:ilvl w:val="0"/>
          <w:numId w:val="0"/>
        </w:numPr>
        <w:rPr>
          <w:rStyle w:val="Strong"/>
          <w:b w:val="0"/>
        </w:rPr>
      </w:pPr>
      <w:r w:rsidRPr="001A3B5B">
        <w:rPr>
          <w:rStyle w:val="Strong"/>
          <w:b w:val="0"/>
        </w:rPr>
        <w:t>Results</w:t>
      </w:r>
    </w:p>
    <w:p w14:paraId="56858D5F" w14:textId="76EF8AD6" w:rsidR="001D09E3" w:rsidRDefault="00ED4794" w:rsidP="00ED4794">
      <w:r>
        <w:t>Mean values and variance were calculated using the output of the Monte Carlo simulation</w:t>
      </w:r>
      <w:r w:rsidR="00F02222">
        <w:t>s</w:t>
      </w:r>
      <w:r>
        <w:t xml:space="preserve"> and the fluxes were summed to include all four components of yard trimmings and food scraps. The results summarized in </w:t>
      </w:r>
      <w:r w:rsidR="00A8074A" w:rsidRPr="001A3B5B">
        <w:fldChar w:fldCharType="begin"/>
      </w:r>
      <w:r w:rsidR="00A8074A" w:rsidRPr="001A3B5B">
        <w:instrText xml:space="preserve"> REF _Ref5105603 \h  \* MERGEFORMAT </w:instrText>
      </w:r>
      <w:r w:rsidR="00A8074A" w:rsidRPr="001A3B5B">
        <w:fldChar w:fldCharType="separate"/>
      </w:r>
      <w:r w:rsidR="00FB4CFE" w:rsidRPr="00FB4CFE">
        <w:t xml:space="preserve">Table </w:t>
      </w:r>
      <w:r w:rsidR="00A8074A" w:rsidRPr="001A3B5B">
        <w:fldChar w:fldCharType="end"/>
      </w:r>
      <w:r w:rsidR="007D6D6E">
        <w:t>2</w:t>
      </w:r>
      <w:r w:rsidR="005F5D01">
        <w:t>-34</w:t>
      </w:r>
      <w:r w:rsidR="00A8074A">
        <w:t xml:space="preserve"> </w:t>
      </w:r>
      <w:r>
        <w:t xml:space="preserve">show that the largest contributors to Yard Trimmings and Food Scraps uncertainty are the </w:t>
      </w:r>
      <w:r w:rsidR="001D09E3">
        <w:t>food scraps multiplier (</w:t>
      </w:r>
      <w:r w:rsidR="00E718F8">
        <w:t>44</w:t>
      </w:r>
      <w:r w:rsidR="001D09E3">
        <w:t>.</w:t>
      </w:r>
      <w:r w:rsidR="00E718F8">
        <w:t>0</w:t>
      </w:r>
      <w:r w:rsidR="001D09E3">
        <w:t>%)</w:t>
      </w:r>
      <w:r w:rsidR="00F02222">
        <w:t xml:space="preserve"> and the</w:t>
      </w:r>
      <w:r w:rsidR="00E718F8">
        <w:t xml:space="preserve"> percentage of carbon stored (26.8</w:t>
      </w:r>
      <w:r w:rsidR="00F02222">
        <w:t>%).</w:t>
      </w:r>
    </w:p>
    <w:p w14:paraId="04CB403B" w14:textId="77777777" w:rsidR="00E718F8" w:rsidRDefault="00E718F8" w:rsidP="00ED4794"/>
    <w:p w14:paraId="3545EA79" w14:textId="77777777" w:rsidR="00E718F8" w:rsidRDefault="00E718F8" w:rsidP="00ED4794"/>
    <w:p w14:paraId="75D42E4F" w14:textId="5EAE39A3" w:rsidR="001D09E3" w:rsidRDefault="001D09E3" w:rsidP="001D09E3">
      <w:pPr>
        <w:pStyle w:val="Caption"/>
        <w:keepNext/>
        <w:rPr>
          <w:b/>
          <w:sz w:val="22"/>
          <w:szCs w:val="22"/>
        </w:rPr>
      </w:pPr>
      <w:bookmarkStart w:id="263" w:name="_Ref5105603"/>
      <w:bookmarkStart w:id="264" w:name="_Ref5105598"/>
      <w:r w:rsidRPr="001D09E3">
        <w:rPr>
          <w:b/>
          <w:sz w:val="22"/>
          <w:szCs w:val="22"/>
        </w:rPr>
        <w:lastRenderedPageBreak/>
        <w:t xml:space="preserve">Table </w:t>
      </w:r>
      <w:bookmarkEnd w:id="263"/>
      <w:r w:rsidR="007D6D6E">
        <w:rPr>
          <w:b/>
          <w:sz w:val="22"/>
          <w:szCs w:val="22"/>
        </w:rPr>
        <w:t>2</w:t>
      </w:r>
      <w:r w:rsidR="005F6840">
        <w:rPr>
          <w:b/>
          <w:sz w:val="22"/>
          <w:szCs w:val="22"/>
        </w:rPr>
        <w:t>-</w:t>
      </w:r>
      <w:r w:rsidR="005F5D01">
        <w:rPr>
          <w:b/>
          <w:sz w:val="22"/>
          <w:szCs w:val="22"/>
        </w:rPr>
        <w:t>34</w:t>
      </w:r>
      <w:r w:rsidRPr="001D09E3">
        <w:rPr>
          <w:b/>
          <w:sz w:val="22"/>
          <w:szCs w:val="22"/>
        </w:rPr>
        <w:t xml:space="preserve">: </w:t>
      </w:r>
      <w:r w:rsidR="00A9645A">
        <w:rPr>
          <w:b/>
          <w:sz w:val="22"/>
          <w:szCs w:val="22"/>
        </w:rPr>
        <w:t>RESULTS – Contribution to u</w:t>
      </w:r>
      <w:r w:rsidR="00C521CC">
        <w:rPr>
          <w:b/>
          <w:sz w:val="22"/>
          <w:szCs w:val="22"/>
        </w:rPr>
        <w:t>ncertainty of y</w:t>
      </w:r>
      <w:r w:rsidRPr="001D09E3">
        <w:rPr>
          <w:b/>
          <w:sz w:val="22"/>
          <w:szCs w:val="22"/>
        </w:rPr>
        <w:t xml:space="preserve">ard </w:t>
      </w:r>
      <w:r w:rsidR="00C521CC">
        <w:rPr>
          <w:b/>
          <w:sz w:val="22"/>
          <w:szCs w:val="22"/>
        </w:rPr>
        <w:t>t</w:t>
      </w:r>
      <w:r w:rsidRPr="001D09E3">
        <w:rPr>
          <w:b/>
          <w:sz w:val="22"/>
          <w:szCs w:val="22"/>
        </w:rPr>
        <w:t xml:space="preserve">rimmings and </w:t>
      </w:r>
      <w:r w:rsidR="00C521CC">
        <w:rPr>
          <w:b/>
          <w:sz w:val="22"/>
          <w:szCs w:val="22"/>
        </w:rPr>
        <w:t>f</w:t>
      </w:r>
      <w:r w:rsidRPr="001D09E3">
        <w:rPr>
          <w:b/>
          <w:sz w:val="22"/>
          <w:szCs w:val="22"/>
        </w:rPr>
        <w:t xml:space="preserve">ood </w:t>
      </w:r>
      <w:r w:rsidR="00C521CC">
        <w:rPr>
          <w:b/>
          <w:sz w:val="22"/>
          <w:szCs w:val="22"/>
        </w:rPr>
        <w:t>s</w:t>
      </w:r>
      <w:r w:rsidRPr="001D09E3">
        <w:rPr>
          <w:b/>
          <w:sz w:val="22"/>
          <w:szCs w:val="22"/>
        </w:rPr>
        <w:t xml:space="preserve">craps </w:t>
      </w:r>
      <w:bookmarkEnd w:id="264"/>
    </w:p>
    <w:tbl>
      <w:tblPr>
        <w:tblStyle w:val="TableGrid"/>
        <w:tblW w:w="0" w:type="auto"/>
        <w:tblLook w:val="04A0" w:firstRow="1" w:lastRow="0" w:firstColumn="1" w:lastColumn="0" w:noHBand="0" w:noVBand="1"/>
      </w:tblPr>
      <w:tblGrid>
        <w:gridCol w:w="2278"/>
        <w:gridCol w:w="2278"/>
        <w:gridCol w:w="2278"/>
        <w:gridCol w:w="2279"/>
      </w:tblGrid>
      <w:tr w:rsidR="00A9645A" w:rsidRPr="001D09E3" w14:paraId="1245109F" w14:textId="77777777" w:rsidTr="00A9645A">
        <w:trPr>
          <w:trHeight w:val="737"/>
          <w:tblHeader/>
        </w:trPr>
        <w:tc>
          <w:tcPr>
            <w:tcW w:w="2278" w:type="dxa"/>
            <w:shd w:val="clear" w:color="auto" w:fill="FFC000" w:themeFill="accent4"/>
            <w:noWrap/>
            <w:vAlign w:val="center"/>
            <w:hideMark/>
          </w:tcPr>
          <w:p w14:paraId="46A8065A" w14:textId="77777777" w:rsidR="00A9645A" w:rsidRPr="001A3B5B" w:rsidRDefault="00A9645A" w:rsidP="001A3B5B">
            <w:pPr>
              <w:jc w:val="center"/>
              <w:rPr>
                <w:rFonts w:ascii="Calibri" w:eastAsia="Times New Roman" w:hAnsi="Calibri" w:cs="Calibri"/>
                <w:b/>
                <w:color w:val="000000"/>
                <w:sz w:val="18"/>
                <w:szCs w:val="18"/>
              </w:rPr>
            </w:pPr>
            <w:r w:rsidRPr="001A3B5B">
              <w:rPr>
                <w:rFonts w:ascii="Calibri" w:eastAsia="Times New Roman" w:hAnsi="Calibri" w:cs="Calibri"/>
                <w:b/>
                <w:color w:val="000000"/>
                <w:sz w:val="18"/>
                <w:szCs w:val="18"/>
              </w:rPr>
              <w:t>Variable held constant</w:t>
            </w:r>
          </w:p>
        </w:tc>
        <w:tc>
          <w:tcPr>
            <w:tcW w:w="2278" w:type="dxa"/>
            <w:shd w:val="clear" w:color="auto" w:fill="FFC000"/>
            <w:vAlign w:val="center"/>
          </w:tcPr>
          <w:p w14:paraId="7088584D" w14:textId="4B04856B" w:rsidR="00A9645A" w:rsidRPr="001A3B5B" w:rsidRDefault="00A9645A" w:rsidP="00A9645A">
            <w:pPr>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 xml:space="preserve">Range of 95% confidence interval (MMT </w:t>
            </w:r>
            <w:r w:rsidRPr="001A3B5B">
              <w:rPr>
                <w:rFonts w:ascii="Calibri" w:eastAsia="Times New Roman" w:hAnsi="Calibri" w:cs="Calibri"/>
                <w:b/>
                <w:color w:val="000000"/>
                <w:sz w:val="18"/>
                <w:szCs w:val="18"/>
              </w:rPr>
              <w:t>CO</w:t>
            </w:r>
            <w:r w:rsidRPr="001A3B5B">
              <w:rPr>
                <w:rFonts w:ascii="Calibri" w:eastAsia="Times New Roman" w:hAnsi="Calibri" w:cs="Calibri"/>
                <w:b/>
                <w:color w:val="000000"/>
                <w:sz w:val="18"/>
                <w:szCs w:val="18"/>
                <w:vertAlign w:val="subscript"/>
              </w:rPr>
              <w:t>2</w:t>
            </w:r>
            <w:r w:rsidRPr="001A3B5B">
              <w:rPr>
                <w:rFonts w:ascii="Calibri" w:eastAsia="Times New Roman" w:hAnsi="Calibri" w:cs="Calibri"/>
                <w:b/>
                <w:color w:val="000000"/>
                <w:sz w:val="18"/>
                <w:szCs w:val="18"/>
              </w:rPr>
              <w:t>e</w:t>
            </w:r>
            <w:r>
              <w:rPr>
                <w:rFonts w:ascii="Calibri" w:eastAsia="Times New Roman" w:hAnsi="Calibri" w:cs="Calibri"/>
                <w:b/>
                <w:color w:val="000000"/>
                <w:sz w:val="18"/>
                <w:szCs w:val="18"/>
              </w:rPr>
              <w:t>)</w:t>
            </w:r>
          </w:p>
        </w:tc>
        <w:tc>
          <w:tcPr>
            <w:tcW w:w="2278" w:type="dxa"/>
            <w:shd w:val="clear" w:color="auto" w:fill="FFC000"/>
            <w:vAlign w:val="center"/>
            <w:hideMark/>
          </w:tcPr>
          <w:p w14:paraId="370874A7" w14:textId="4F8BA7B8" w:rsidR="00A9645A" w:rsidRPr="001A3B5B" w:rsidRDefault="00A9645A" w:rsidP="001A3B5B">
            <w:pPr>
              <w:jc w:val="center"/>
              <w:rPr>
                <w:rFonts w:ascii="Calibri" w:eastAsia="Times New Roman" w:hAnsi="Calibri" w:cs="Calibri"/>
                <w:b/>
                <w:color w:val="000000"/>
                <w:sz w:val="18"/>
                <w:szCs w:val="18"/>
              </w:rPr>
            </w:pPr>
            <w:r w:rsidRPr="001A3B5B">
              <w:rPr>
                <w:rFonts w:ascii="Calibri" w:eastAsia="Times New Roman" w:hAnsi="Calibri" w:cs="Calibri"/>
                <w:b/>
                <w:color w:val="000000"/>
                <w:sz w:val="18"/>
                <w:szCs w:val="18"/>
              </w:rPr>
              <w:t>Contribution to Uncertainty (</w:t>
            </w:r>
            <w:r w:rsidR="00327C41">
              <w:rPr>
                <w:rFonts w:ascii="Calibri" w:eastAsia="Times New Roman" w:hAnsi="Calibri" w:cs="Calibri"/>
                <w:b/>
                <w:color w:val="000000"/>
                <w:sz w:val="18"/>
                <w:szCs w:val="18"/>
              </w:rPr>
              <w:t xml:space="preserve">scaled, </w:t>
            </w:r>
            <w:r w:rsidRPr="001A3B5B">
              <w:rPr>
                <w:rFonts w:ascii="Calibri" w:eastAsia="Times New Roman" w:hAnsi="Calibri" w:cs="Calibri"/>
                <w:b/>
                <w:color w:val="000000"/>
                <w:sz w:val="18"/>
                <w:szCs w:val="18"/>
              </w:rPr>
              <w:t>%)</w:t>
            </w:r>
          </w:p>
        </w:tc>
        <w:tc>
          <w:tcPr>
            <w:tcW w:w="2279" w:type="dxa"/>
            <w:shd w:val="clear" w:color="auto" w:fill="FFC000"/>
            <w:vAlign w:val="center"/>
          </w:tcPr>
          <w:p w14:paraId="5A6FE8DB" w14:textId="777D4ACF" w:rsidR="00A9645A" w:rsidRPr="001A3B5B" w:rsidRDefault="00A9645A" w:rsidP="001A3B5B">
            <w:pPr>
              <w:jc w:val="center"/>
              <w:rPr>
                <w:rFonts w:ascii="Calibri" w:eastAsia="Times New Roman" w:hAnsi="Calibri" w:cs="Calibri"/>
                <w:b/>
                <w:color w:val="000000"/>
                <w:sz w:val="18"/>
                <w:szCs w:val="18"/>
              </w:rPr>
            </w:pPr>
            <w:r w:rsidRPr="001A3B5B">
              <w:rPr>
                <w:rFonts w:ascii="Calibri" w:eastAsia="Times New Roman" w:hAnsi="Calibri" w:cs="Calibri"/>
                <w:b/>
                <w:color w:val="000000"/>
                <w:sz w:val="18"/>
                <w:szCs w:val="18"/>
              </w:rPr>
              <w:t xml:space="preserve">Contribution to </w:t>
            </w:r>
            <w:r w:rsidR="00D131B5">
              <w:rPr>
                <w:rFonts w:ascii="Calibri" w:eastAsia="Times New Roman" w:hAnsi="Calibri" w:cs="Calibri"/>
                <w:b/>
                <w:color w:val="000000"/>
                <w:sz w:val="18"/>
                <w:szCs w:val="18"/>
              </w:rPr>
              <w:t>u</w:t>
            </w:r>
            <w:r w:rsidRPr="001A3B5B">
              <w:rPr>
                <w:rFonts w:ascii="Calibri" w:eastAsia="Times New Roman" w:hAnsi="Calibri" w:cs="Calibri"/>
                <w:b/>
                <w:color w:val="000000"/>
                <w:sz w:val="18"/>
                <w:szCs w:val="18"/>
              </w:rPr>
              <w:t>ncertainty (</w:t>
            </w:r>
            <w:r>
              <w:rPr>
                <w:rFonts w:ascii="Calibri" w:eastAsia="Times New Roman" w:hAnsi="Calibri" w:cs="Calibri"/>
                <w:b/>
                <w:color w:val="000000"/>
                <w:sz w:val="18"/>
                <w:szCs w:val="18"/>
              </w:rPr>
              <w:t>M</w:t>
            </w:r>
            <w:r w:rsidRPr="001A3B5B">
              <w:rPr>
                <w:rFonts w:ascii="Calibri" w:eastAsia="Times New Roman" w:hAnsi="Calibri" w:cs="Calibri"/>
                <w:b/>
                <w:color w:val="000000"/>
                <w:sz w:val="18"/>
                <w:szCs w:val="18"/>
              </w:rPr>
              <w:t>MT CO</w:t>
            </w:r>
            <w:r w:rsidRPr="001A3B5B">
              <w:rPr>
                <w:rFonts w:ascii="Calibri" w:eastAsia="Times New Roman" w:hAnsi="Calibri" w:cs="Calibri"/>
                <w:b/>
                <w:color w:val="000000"/>
                <w:sz w:val="18"/>
                <w:szCs w:val="18"/>
                <w:vertAlign w:val="subscript"/>
              </w:rPr>
              <w:t>2</w:t>
            </w:r>
            <w:r w:rsidRPr="001A3B5B">
              <w:rPr>
                <w:rFonts w:ascii="Calibri" w:eastAsia="Times New Roman" w:hAnsi="Calibri" w:cs="Calibri"/>
                <w:b/>
                <w:color w:val="000000"/>
                <w:sz w:val="18"/>
                <w:szCs w:val="18"/>
              </w:rPr>
              <w:t>e)</w:t>
            </w:r>
          </w:p>
        </w:tc>
      </w:tr>
      <w:tr w:rsidR="00A9645A" w:rsidRPr="005774F2" w14:paraId="21002777" w14:textId="77777777" w:rsidTr="00B428DB">
        <w:trPr>
          <w:trHeight w:val="300"/>
        </w:trPr>
        <w:tc>
          <w:tcPr>
            <w:tcW w:w="2278" w:type="dxa"/>
            <w:noWrap/>
          </w:tcPr>
          <w:p w14:paraId="4A8A10B0" w14:textId="52E7D93A" w:rsidR="00A9645A" w:rsidRPr="00CB37A2" w:rsidRDefault="00396D51" w:rsidP="00DF0924">
            <w:pPr>
              <w:rPr>
                <w:rFonts w:ascii="Calibri" w:eastAsia="Times New Roman" w:hAnsi="Calibri" w:cs="Calibri"/>
                <w:b/>
                <w:color w:val="000000"/>
                <w:sz w:val="18"/>
                <w:szCs w:val="18"/>
              </w:rPr>
            </w:pPr>
            <w:r>
              <w:rPr>
                <w:rFonts w:ascii="Calibri" w:eastAsia="Times New Roman" w:hAnsi="Calibri" w:cs="Calibri"/>
                <w:b/>
                <w:color w:val="000000"/>
                <w:sz w:val="18"/>
                <w:szCs w:val="18"/>
              </w:rPr>
              <w:t>None</w:t>
            </w:r>
            <w:r w:rsidR="001E048A">
              <w:rPr>
                <w:rFonts w:ascii="Calibri" w:eastAsia="Times New Roman" w:hAnsi="Calibri" w:cs="Calibri"/>
                <w:b/>
                <w:color w:val="000000"/>
                <w:sz w:val="18"/>
                <w:szCs w:val="18"/>
              </w:rPr>
              <w:t xml:space="preserve"> (all vary)</w:t>
            </w:r>
          </w:p>
        </w:tc>
        <w:tc>
          <w:tcPr>
            <w:tcW w:w="2278" w:type="dxa"/>
          </w:tcPr>
          <w:p w14:paraId="42BB52E4" w14:textId="080A4F2A" w:rsidR="00A9645A" w:rsidRPr="001A3B5B" w:rsidRDefault="00C521CC" w:rsidP="001A3B5B">
            <w:pPr>
              <w:jc w:val="center"/>
              <w:rPr>
                <w:sz w:val="18"/>
                <w:szCs w:val="18"/>
              </w:rPr>
            </w:pPr>
            <w:r>
              <w:rPr>
                <w:sz w:val="18"/>
                <w:szCs w:val="18"/>
              </w:rPr>
              <w:t>14.3</w:t>
            </w:r>
          </w:p>
        </w:tc>
        <w:tc>
          <w:tcPr>
            <w:tcW w:w="2278" w:type="dxa"/>
            <w:noWrap/>
            <w:vAlign w:val="center"/>
          </w:tcPr>
          <w:p w14:paraId="2DAF056F" w14:textId="58162EF1" w:rsidR="00A9645A" w:rsidRPr="001A3B5B" w:rsidRDefault="004835A2" w:rsidP="001A3B5B">
            <w:pPr>
              <w:jc w:val="center"/>
              <w:rPr>
                <w:sz w:val="18"/>
                <w:szCs w:val="18"/>
              </w:rPr>
            </w:pPr>
            <w:r>
              <w:rPr>
                <w:sz w:val="18"/>
                <w:szCs w:val="18"/>
              </w:rPr>
              <w:t>-</w:t>
            </w:r>
          </w:p>
        </w:tc>
        <w:tc>
          <w:tcPr>
            <w:tcW w:w="2279" w:type="dxa"/>
            <w:vAlign w:val="center"/>
          </w:tcPr>
          <w:p w14:paraId="2E703078" w14:textId="77777777" w:rsidR="00A9645A" w:rsidRPr="001A3B5B" w:rsidRDefault="00A9645A" w:rsidP="001A3B5B">
            <w:pPr>
              <w:jc w:val="center"/>
              <w:rPr>
                <w:sz w:val="18"/>
                <w:szCs w:val="18"/>
              </w:rPr>
            </w:pPr>
          </w:p>
        </w:tc>
      </w:tr>
      <w:tr w:rsidR="00A9645A" w:rsidRPr="005774F2" w14:paraId="115808C1" w14:textId="77777777" w:rsidTr="00B428DB">
        <w:trPr>
          <w:trHeight w:val="300"/>
        </w:trPr>
        <w:tc>
          <w:tcPr>
            <w:tcW w:w="2278" w:type="dxa"/>
            <w:noWrap/>
            <w:hideMark/>
          </w:tcPr>
          <w:p w14:paraId="7E9B6F49" w14:textId="77777777" w:rsidR="00A9645A" w:rsidRPr="005774F2" w:rsidRDefault="00A9645A" w:rsidP="00DF0924">
            <w:pPr>
              <w:rPr>
                <w:rFonts w:ascii="Calibri" w:eastAsia="Times New Roman" w:hAnsi="Calibri" w:cs="Calibri"/>
                <w:b/>
                <w:color w:val="000000"/>
                <w:sz w:val="18"/>
                <w:szCs w:val="18"/>
              </w:rPr>
            </w:pPr>
            <w:r w:rsidRPr="00CB37A2">
              <w:rPr>
                <w:rFonts w:ascii="Calibri" w:eastAsia="Times New Roman" w:hAnsi="Calibri" w:cs="Calibri"/>
                <w:b/>
                <w:color w:val="000000"/>
                <w:sz w:val="18"/>
                <w:szCs w:val="18"/>
              </w:rPr>
              <w:t>Food Scraps Multiplier</w:t>
            </w:r>
          </w:p>
        </w:tc>
        <w:tc>
          <w:tcPr>
            <w:tcW w:w="2278" w:type="dxa"/>
          </w:tcPr>
          <w:p w14:paraId="516B0A95" w14:textId="21AF79A4" w:rsidR="00A9645A" w:rsidRPr="001A3B5B" w:rsidRDefault="00C521CC" w:rsidP="001A3B5B">
            <w:pPr>
              <w:jc w:val="center"/>
              <w:rPr>
                <w:sz w:val="18"/>
                <w:szCs w:val="18"/>
              </w:rPr>
            </w:pPr>
            <w:r>
              <w:rPr>
                <w:sz w:val="18"/>
                <w:szCs w:val="18"/>
              </w:rPr>
              <w:t>11.0</w:t>
            </w:r>
          </w:p>
        </w:tc>
        <w:tc>
          <w:tcPr>
            <w:tcW w:w="2278" w:type="dxa"/>
            <w:noWrap/>
            <w:vAlign w:val="center"/>
            <w:hideMark/>
          </w:tcPr>
          <w:p w14:paraId="2C094752" w14:textId="1A987813" w:rsidR="00A9645A" w:rsidRPr="001A3B5B" w:rsidRDefault="00E718F8" w:rsidP="004835A2">
            <w:pPr>
              <w:jc w:val="center"/>
              <w:rPr>
                <w:sz w:val="18"/>
                <w:szCs w:val="18"/>
              </w:rPr>
            </w:pPr>
            <w:r>
              <w:rPr>
                <w:sz w:val="18"/>
                <w:szCs w:val="18"/>
              </w:rPr>
              <w:t>44.0</w:t>
            </w:r>
          </w:p>
        </w:tc>
        <w:tc>
          <w:tcPr>
            <w:tcW w:w="2279" w:type="dxa"/>
            <w:vAlign w:val="center"/>
          </w:tcPr>
          <w:p w14:paraId="7B01DBBE" w14:textId="428F409E" w:rsidR="00A9645A" w:rsidRPr="001A3B5B" w:rsidRDefault="00E718F8" w:rsidP="00E718F8">
            <w:pPr>
              <w:jc w:val="center"/>
              <w:rPr>
                <w:sz w:val="18"/>
                <w:szCs w:val="18"/>
              </w:rPr>
            </w:pPr>
            <w:r>
              <w:rPr>
                <w:sz w:val="18"/>
                <w:szCs w:val="18"/>
              </w:rPr>
              <w:t>6</w:t>
            </w:r>
            <w:r w:rsidR="00B92935">
              <w:rPr>
                <w:sz w:val="18"/>
                <w:szCs w:val="18"/>
              </w:rPr>
              <w:t>.</w:t>
            </w:r>
            <w:r>
              <w:rPr>
                <w:sz w:val="18"/>
                <w:szCs w:val="18"/>
              </w:rPr>
              <w:t>3</w:t>
            </w:r>
          </w:p>
        </w:tc>
      </w:tr>
      <w:tr w:rsidR="00A9645A" w:rsidRPr="005774F2" w14:paraId="7DC69FC7" w14:textId="77777777" w:rsidTr="004835A2">
        <w:trPr>
          <w:trHeight w:val="300"/>
        </w:trPr>
        <w:tc>
          <w:tcPr>
            <w:tcW w:w="2278" w:type="dxa"/>
            <w:noWrap/>
            <w:hideMark/>
          </w:tcPr>
          <w:p w14:paraId="795489FC" w14:textId="77777777" w:rsidR="00A9645A" w:rsidRPr="005774F2" w:rsidRDefault="00A9645A" w:rsidP="00DF0924">
            <w:pPr>
              <w:rPr>
                <w:rFonts w:ascii="Calibri" w:eastAsia="Times New Roman" w:hAnsi="Calibri" w:cs="Calibri"/>
                <w:b/>
                <w:color w:val="000000"/>
                <w:sz w:val="18"/>
                <w:szCs w:val="18"/>
              </w:rPr>
            </w:pPr>
            <w:r w:rsidRPr="00CB37A2">
              <w:rPr>
                <w:rFonts w:ascii="Calibri" w:eastAsia="Times New Roman" w:hAnsi="Calibri" w:cs="Calibri"/>
                <w:b/>
                <w:color w:val="000000"/>
                <w:sz w:val="18"/>
                <w:szCs w:val="18"/>
              </w:rPr>
              <w:t>Percent Carbon Stored</w:t>
            </w:r>
          </w:p>
        </w:tc>
        <w:tc>
          <w:tcPr>
            <w:tcW w:w="2278" w:type="dxa"/>
          </w:tcPr>
          <w:p w14:paraId="186A9666" w14:textId="49A88F71" w:rsidR="00A9645A" w:rsidRPr="001A3B5B" w:rsidRDefault="00C521CC" w:rsidP="001A3B5B">
            <w:pPr>
              <w:jc w:val="center"/>
              <w:rPr>
                <w:sz w:val="18"/>
                <w:szCs w:val="18"/>
              </w:rPr>
            </w:pPr>
            <w:r>
              <w:rPr>
                <w:sz w:val="18"/>
                <w:szCs w:val="18"/>
              </w:rPr>
              <w:t>12.3</w:t>
            </w:r>
          </w:p>
        </w:tc>
        <w:tc>
          <w:tcPr>
            <w:tcW w:w="2278" w:type="dxa"/>
            <w:noWrap/>
            <w:vAlign w:val="center"/>
            <w:hideMark/>
          </w:tcPr>
          <w:p w14:paraId="3B3E7964" w14:textId="70CAFB22" w:rsidR="00A9645A" w:rsidRPr="001A3B5B" w:rsidRDefault="00E718F8" w:rsidP="00E718F8">
            <w:pPr>
              <w:jc w:val="center"/>
              <w:rPr>
                <w:sz w:val="18"/>
                <w:szCs w:val="18"/>
              </w:rPr>
            </w:pPr>
            <w:r>
              <w:rPr>
                <w:sz w:val="18"/>
                <w:szCs w:val="18"/>
              </w:rPr>
              <w:t>26</w:t>
            </w:r>
            <w:r w:rsidR="001C3337">
              <w:rPr>
                <w:sz w:val="18"/>
                <w:szCs w:val="18"/>
              </w:rPr>
              <w:t>.</w:t>
            </w:r>
            <w:r>
              <w:rPr>
                <w:sz w:val="18"/>
                <w:szCs w:val="18"/>
              </w:rPr>
              <w:t>8</w:t>
            </w:r>
          </w:p>
        </w:tc>
        <w:tc>
          <w:tcPr>
            <w:tcW w:w="2279" w:type="dxa"/>
            <w:vAlign w:val="center"/>
          </w:tcPr>
          <w:p w14:paraId="66C3BA15" w14:textId="28D078D1" w:rsidR="00A9645A" w:rsidRPr="001A3B5B" w:rsidRDefault="004835A2" w:rsidP="004835A2">
            <w:pPr>
              <w:jc w:val="center"/>
              <w:rPr>
                <w:sz w:val="18"/>
                <w:szCs w:val="18"/>
              </w:rPr>
            </w:pPr>
            <w:r>
              <w:rPr>
                <w:sz w:val="18"/>
                <w:szCs w:val="18"/>
              </w:rPr>
              <w:t>3.</w:t>
            </w:r>
            <w:r w:rsidR="00E718F8">
              <w:rPr>
                <w:sz w:val="18"/>
                <w:szCs w:val="18"/>
              </w:rPr>
              <w:t>8</w:t>
            </w:r>
          </w:p>
        </w:tc>
      </w:tr>
      <w:tr w:rsidR="00A9645A" w:rsidRPr="005774F2" w14:paraId="3F3F7309" w14:textId="77777777" w:rsidTr="00B428DB">
        <w:trPr>
          <w:trHeight w:val="300"/>
        </w:trPr>
        <w:tc>
          <w:tcPr>
            <w:tcW w:w="2278" w:type="dxa"/>
            <w:noWrap/>
            <w:hideMark/>
          </w:tcPr>
          <w:p w14:paraId="47EC8190" w14:textId="77777777" w:rsidR="00A9645A" w:rsidRPr="005774F2" w:rsidRDefault="00A9645A" w:rsidP="00DF0924">
            <w:pPr>
              <w:rPr>
                <w:rFonts w:ascii="Calibri" w:eastAsia="Times New Roman" w:hAnsi="Calibri" w:cs="Calibri"/>
                <w:b/>
                <w:color w:val="000000"/>
                <w:sz w:val="18"/>
                <w:szCs w:val="18"/>
              </w:rPr>
            </w:pPr>
            <w:r w:rsidRPr="00CB37A2">
              <w:rPr>
                <w:rFonts w:ascii="Calibri" w:eastAsia="Times New Roman" w:hAnsi="Calibri" w:cs="Calibri"/>
                <w:b/>
                <w:color w:val="000000"/>
                <w:sz w:val="18"/>
                <w:szCs w:val="18"/>
              </w:rPr>
              <w:t>Moisture Content</w:t>
            </w:r>
          </w:p>
        </w:tc>
        <w:tc>
          <w:tcPr>
            <w:tcW w:w="2278" w:type="dxa"/>
          </w:tcPr>
          <w:p w14:paraId="64018F7B" w14:textId="5A849583" w:rsidR="00A9645A" w:rsidRPr="001A3B5B" w:rsidRDefault="00C521CC" w:rsidP="001A3B5B">
            <w:pPr>
              <w:jc w:val="center"/>
              <w:rPr>
                <w:sz w:val="18"/>
                <w:szCs w:val="18"/>
              </w:rPr>
            </w:pPr>
            <w:r>
              <w:rPr>
                <w:sz w:val="18"/>
                <w:szCs w:val="18"/>
              </w:rPr>
              <w:t>13.4</w:t>
            </w:r>
          </w:p>
        </w:tc>
        <w:tc>
          <w:tcPr>
            <w:tcW w:w="2278" w:type="dxa"/>
            <w:noWrap/>
            <w:vAlign w:val="center"/>
            <w:hideMark/>
          </w:tcPr>
          <w:p w14:paraId="57335D48" w14:textId="0E0CB075" w:rsidR="00A9645A" w:rsidRPr="001A3B5B" w:rsidRDefault="004835A2" w:rsidP="004835A2">
            <w:pPr>
              <w:jc w:val="center"/>
              <w:rPr>
                <w:sz w:val="18"/>
                <w:szCs w:val="18"/>
              </w:rPr>
            </w:pPr>
            <w:r>
              <w:rPr>
                <w:sz w:val="18"/>
                <w:szCs w:val="18"/>
              </w:rPr>
              <w:t>1</w:t>
            </w:r>
            <w:r w:rsidR="00E718F8">
              <w:rPr>
                <w:sz w:val="18"/>
                <w:szCs w:val="18"/>
              </w:rPr>
              <w:t>2.3</w:t>
            </w:r>
          </w:p>
        </w:tc>
        <w:tc>
          <w:tcPr>
            <w:tcW w:w="2279" w:type="dxa"/>
            <w:vAlign w:val="center"/>
          </w:tcPr>
          <w:p w14:paraId="688E898A" w14:textId="0101345E" w:rsidR="00A9645A" w:rsidRPr="001A3B5B" w:rsidRDefault="004835A2" w:rsidP="001A3B5B">
            <w:pPr>
              <w:jc w:val="center"/>
              <w:rPr>
                <w:sz w:val="18"/>
                <w:szCs w:val="18"/>
              </w:rPr>
            </w:pPr>
            <w:r>
              <w:rPr>
                <w:sz w:val="18"/>
                <w:szCs w:val="18"/>
              </w:rPr>
              <w:t>1.</w:t>
            </w:r>
            <w:r w:rsidR="00E718F8">
              <w:rPr>
                <w:sz w:val="18"/>
                <w:szCs w:val="18"/>
              </w:rPr>
              <w:t>8</w:t>
            </w:r>
          </w:p>
        </w:tc>
      </w:tr>
      <w:tr w:rsidR="00A9645A" w:rsidRPr="005774F2" w14:paraId="55C5C2D1" w14:textId="77777777" w:rsidTr="00B428DB">
        <w:trPr>
          <w:trHeight w:val="300"/>
        </w:trPr>
        <w:tc>
          <w:tcPr>
            <w:tcW w:w="2278" w:type="dxa"/>
            <w:noWrap/>
            <w:hideMark/>
          </w:tcPr>
          <w:p w14:paraId="002CFC70" w14:textId="77777777" w:rsidR="00A9645A" w:rsidRPr="005774F2" w:rsidRDefault="00A9645A" w:rsidP="00DF0924">
            <w:pPr>
              <w:rPr>
                <w:rFonts w:ascii="Calibri" w:eastAsia="Times New Roman" w:hAnsi="Calibri" w:cs="Calibri"/>
                <w:b/>
                <w:color w:val="000000"/>
                <w:sz w:val="18"/>
                <w:szCs w:val="18"/>
              </w:rPr>
            </w:pPr>
            <w:r w:rsidRPr="00CB37A2">
              <w:rPr>
                <w:rFonts w:ascii="Calibri" w:eastAsia="Times New Roman" w:hAnsi="Calibri" w:cs="Calibri"/>
                <w:b/>
                <w:color w:val="000000"/>
                <w:sz w:val="18"/>
                <w:szCs w:val="18"/>
              </w:rPr>
              <w:t>Yard Trimmings Multiplier</w:t>
            </w:r>
          </w:p>
        </w:tc>
        <w:tc>
          <w:tcPr>
            <w:tcW w:w="2278" w:type="dxa"/>
          </w:tcPr>
          <w:p w14:paraId="7742321E" w14:textId="6B734985" w:rsidR="00A9645A" w:rsidRPr="001A3B5B" w:rsidRDefault="00C521CC" w:rsidP="001A3B5B">
            <w:pPr>
              <w:jc w:val="center"/>
              <w:rPr>
                <w:sz w:val="18"/>
                <w:szCs w:val="18"/>
              </w:rPr>
            </w:pPr>
            <w:r>
              <w:rPr>
                <w:sz w:val="18"/>
                <w:szCs w:val="18"/>
              </w:rPr>
              <w:t>13.5</w:t>
            </w:r>
          </w:p>
        </w:tc>
        <w:tc>
          <w:tcPr>
            <w:tcW w:w="2278" w:type="dxa"/>
            <w:noWrap/>
            <w:vAlign w:val="center"/>
            <w:hideMark/>
          </w:tcPr>
          <w:p w14:paraId="58DCF1D5" w14:textId="07841B49" w:rsidR="00A9645A" w:rsidRPr="001A3B5B" w:rsidRDefault="004835A2" w:rsidP="004835A2">
            <w:pPr>
              <w:jc w:val="center"/>
              <w:rPr>
                <w:sz w:val="18"/>
                <w:szCs w:val="18"/>
              </w:rPr>
            </w:pPr>
            <w:r>
              <w:rPr>
                <w:sz w:val="18"/>
                <w:szCs w:val="18"/>
              </w:rPr>
              <w:t>1</w:t>
            </w:r>
            <w:r w:rsidR="00E718F8">
              <w:rPr>
                <w:sz w:val="18"/>
                <w:szCs w:val="18"/>
              </w:rPr>
              <w:t>1.0</w:t>
            </w:r>
          </w:p>
        </w:tc>
        <w:tc>
          <w:tcPr>
            <w:tcW w:w="2279" w:type="dxa"/>
            <w:vAlign w:val="center"/>
          </w:tcPr>
          <w:p w14:paraId="2F366B79" w14:textId="66B568AD" w:rsidR="00A9645A" w:rsidRPr="001A3B5B" w:rsidRDefault="00E718F8" w:rsidP="001A3B5B">
            <w:pPr>
              <w:jc w:val="center"/>
              <w:rPr>
                <w:sz w:val="18"/>
                <w:szCs w:val="18"/>
              </w:rPr>
            </w:pPr>
            <w:r>
              <w:rPr>
                <w:sz w:val="18"/>
                <w:szCs w:val="18"/>
              </w:rPr>
              <w:t>1.6</w:t>
            </w:r>
          </w:p>
        </w:tc>
      </w:tr>
      <w:tr w:rsidR="00A9645A" w:rsidRPr="005774F2" w14:paraId="5856CD2A" w14:textId="77777777" w:rsidTr="00B428DB">
        <w:trPr>
          <w:trHeight w:val="300"/>
        </w:trPr>
        <w:tc>
          <w:tcPr>
            <w:tcW w:w="2278" w:type="dxa"/>
            <w:noWrap/>
            <w:hideMark/>
          </w:tcPr>
          <w:p w14:paraId="1ECFBF2B" w14:textId="77777777" w:rsidR="00A9645A" w:rsidRPr="005774F2" w:rsidRDefault="00A9645A" w:rsidP="00DF0924">
            <w:pPr>
              <w:rPr>
                <w:rFonts w:ascii="Calibri" w:eastAsia="Times New Roman" w:hAnsi="Calibri" w:cs="Calibri"/>
                <w:b/>
                <w:color w:val="000000"/>
                <w:sz w:val="18"/>
                <w:szCs w:val="18"/>
              </w:rPr>
            </w:pPr>
            <w:r w:rsidRPr="00CB37A2">
              <w:rPr>
                <w:rFonts w:ascii="Calibri" w:eastAsia="Times New Roman" w:hAnsi="Calibri" w:cs="Calibri"/>
                <w:b/>
                <w:color w:val="000000"/>
                <w:sz w:val="18"/>
                <w:szCs w:val="18"/>
              </w:rPr>
              <w:t>Initial Carbon Content</w:t>
            </w:r>
          </w:p>
        </w:tc>
        <w:tc>
          <w:tcPr>
            <w:tcW w:w="2278" w:type="dxa"/>
          </w:tcPr>
          <w:p w14:paraId="5526EA6F" w14:textId="4AFCC541" w:rsidR="00A9645A" w:rsidRPr="001A3B5B" w:rsidRDefault="00C521CC" w:rsidP="001A3B5B">
            <w:pPr>
              <w:jc w:val="center"/>
              <w:rPr>
                <w:sz w:val="18"/>
                <w:szCs w:val="18"/>
              </w:rPr>
            </w:pPr>
            <w:r>
              <w:rPr>
                <w:sz w:val="18"/>
                <w:szCs w:val="18"/>
              </w:rPr>
              <w:t>13.9</w:t>
            </w:r>
          </w:p>
        </w:tc>
        <w:tc>
          <w:tcPr>
            <w:tcW w:w="2278" w:type="dxa"/>
            <w:noWrap/>
            <w:vAlign w:val="center"/>
            <w:hideMark/>
          </w:tcPr>
          <w:p w14:paraId="22E59609" w14:textId="08F6CE90" w:rsidR="00A9645A" w:rsidRPr="001A3B5B" w:rsidRDefault="004835A2" w:rsidP="001A3B5B">
            <w:pPr>
              <w:jc w:val="center"/>
              <w:rPr>
                <w:sz w:val="18"/>
                <w:szCs w:val="18"/>
              </w:rPr>
            </w:pPr>
            <w:r>
              <w:rPr>
                <w:sz w:val="18"/>
                <w:szCs w:val="18"/>
              </w:rPr>
              <w:t>5.</w:t>
            </w:r>
            <w:r w:rsidR="00E718F8">
              <w:rPr>
                <w:sz w:val="18"/>
                <w:szCs w:val="18"/>
              </w:rPr>
              <w:t>5</w:t>
            </w:r>
          </w:p>
        </w:tc>
        <w:tc>
          <w:tcPr>
            <w:tcW w:w="2279" w:type="dxa"/>
            <w:vAlign w:val="center"/>
          </w:tcPr>
          <w:p w14:paraId="5CB9A0B3" w14:textId="66C775D3" w:rsidR="00A9645A" w:rsidRPr="001A3B5B" w:rsidRDefault="00E718F8" w:rsidP="001A3B5B">
            <w:pPr>
              <w:jc w:val="center"/>
              <w:rPr>
                <w:sz w:val="18"/>
                <w:szCs w:val="18"/>
              </w:rPr>
            </w:pPr>
            <w:r>
              <w:rPr>
                <w:sz w:val="18"/>
                <w:szCs w:val="18"/>
              </w:rPr>
              <w:t>0.8</w:t>
            </w:r>
          </w:p>
        </w:tc>
      </w:tr>
      <w:tr w:rsidR="00A9645A" w:rsidRPr="005774F2" w14:paraId="20E23F6B" w14:textId="77777777" w:rsidTr="00B428DB">
        <w:trPr>
          <w:trHeight w:val="300"/>
        </w:trPr>
        <w:tc>
          <w:tcPr>
            <w:tcW w:w="2278" w:type="dxa"/>
            <w:noWrap/>
            <w:hideMark/>
          </w:tcPr>
          <w:p w14:paraId="1509B1CE" w14:textId="77777777" w:rsidR="00A9645A" w:rsidRPr="005774F2" w:rsidRDefault="00A9645A" w:rsidP="00DF0924">
            <w:pPr>
              <w:rPr>
                <w:rFonts w:ascii="Calibri" w:eastAsia="Times New Roman" w:hAnsi="Calibri" w:cs="Calibri"/>
                <w:b/>
                <w:color w:val="000000"/>
                <w:sz w:val="18"/>
                <w:szCs w:val="18"/>
              </w:rPr>
            </w:pPr>
            <w:r w:rsidRPr="00CB37A2">
              <w:rPr>
                <w:rFonts w:ascii="Calibri" w:eastAsia="Times New Roman" w:hAnsi="Calibri" w:cs="Calibri"/>
                <w:b/>
                <w:color w:val="000000"/>
                <w:sz w:val="18"/>
                <w:szCs w:val="18"/>
              </w:rPr>
              <w:t>Fraction of Total Weight</w:t>
            </w:r>
          </w:p>
        </w:tc>
        <w:tc>
          <w:tcPr>
            <w:tcW w:w="2278" w:type="dxa"/>
          </w:tcPr>
          <w:p w14:paraId="0588D481" w14:textId="43B931ED" w:rsidR="00A9645A" w:rsidRPr="001A3B5B" w:rsidRDefault="00C521CC" w:rsidP="001A3B5B">
            <w:pPr>
              <w:jc w:val="center"/>
              <w:rPr>
                <w:sz w:val="18"/>
                <w:szCs w:val="18"/>
              </w:rPr>
            </w:pPr>
            <w:r>
              <w:rPr>
                <w:sz w:val="18"/>
                <w:szCs w:val="18"/>
              </w:rPr>
              <w:t>14.0</w:t>
            </w:r>
          </w:p>
        </w:tc>
        <w:tc>
          <w:tcPr>
            <w:tcW w:w="2278" w:type="dxa"/>
            <w:noWrap/>
            <w:vAlign w:val="center"/>
            <w:hideMark/>
          </w:tcPr>
          <w:p w14:paraId="2FF6F4BE" w14:textId="7E4EA854" w:rsidR="00A9645A" w:rsidRPr="001A3B5B" w:rsidRDefault="004835A2" w:rsidP="001A3B5B">
            <w:pPr>
              <w:jc w:val="center"/>
              <w:rPr>
                <w:sz w:val="18"/>
                <w:szCs w:val="18"/>
              </w:rPr>
            </w:pPr>
            <w:r>
              <w:rPr>
                <w:sz w:val="18"/>
                <w:szCs w:val="18"/>
              </w:rPr>
              <w:t>4.</w:t>
            </w:r>
            <w:r w:rsidR="00E718F8">
              <w:rPr>
                <w:sz w:val="18"/>
                <w:szCs w:val="18"/>
              </w:rPr>
              <w:t>3</w:t>
            </w:r>
          </w:p>
        </w:tc>
        <w:tc>
          <w:tcPr>
            <w:tcW w:w="2279" w:type="dxa"/>
            <w:vAlign w:val="center"/>
          </w:tcPr>
          <w:p w14:paraId="3017ECC0" w14:textId="4FE74DF3" w:rsidR="00A9645A" w:rsidRPr="001A3B5B" w:rsidRDefault="004835A2" w:rsidP="001A3B5B">
            <w:pPr>
              <w:jc w:val="center"/>
              <w:rPr>
                <w:sz w:val="18"/>
                <w:szCs w:val="18"/>
              </w:rPr>
            </w:pPr>
            <w:r>
              <w:rPr>
                <w:sz w:val="18"/>
                <w:szCs w:val="18"/>
              </w:rPr>
              <w:t>0.6</w:t>
            </w:r>
          </w:p>
        </w:tc>
      </w:tr>
      <w:tr w:rsidR="00A9645A" w:rsidRPr="00381323" w14:paraId="361E833C" w14:textId="77777777" w:rsidTr="00B428DB">
        <w:trPr>
          <w:trHeight w:val="300"/>
        </w:trPr>
        <w:tc>
          <w:tcPr>
            <w:tcW w:w="2278" w:type="dxa"/>
            <w:noWrap/>
            <w:hideMark/>
          </w:tcPr>
          <w:p w14:paraId="22A7B228" w14:textId="77777777" w:rsidR="00A9645A" w:rsidRPr="00381323" w:rsidRDefault="00A9645A" w:rsidP="00DF0924">
            <w:pPr>
              <w:rPr>
                <w:rFonts w:ascii="Calibri" w:eastAsia="Times New Roman" w:hAnsi="Calibri" w:cs="Calibri"/>
                <w:b/>
                <w:color w:val="000000"/>
                <w:sz w:val="18"/>
                <w:szCs w:val="18"/>
              </w:rPr>
            </w:pPr>
            <w:r w:rsidRPr="00CB37A2">
              <w:rPr>
                <w:rFonts w:ascii="Calibri" w:eastAsia="Times New Roman" w:hAnsi="Calibri" w:cs="Calibri"/>
                <w:b/>
                <w:color w:val="000000"/>
                <w:sz w:val="18"/>
                <w:szCs w:val="18"/>
              </w:rPr>
              <w:t>Decay Rates</w:t>
            </w:r>
          </w:p>
        </w:tc>
        <w:tc>
          <w:tcPr>
            <w:tcW w:w="2278" w:type="dxa"/>
          </w:tcPr>
          <w:p w14:paraId="424EFB37" w14:textId="20331332" w:rsidR="00A9645A" w:rsidRPr="001A3B5B" w:rsidRDefault="00C521CC" w:rsidP="001A3B5B">
            <w:pPr>
              <w:jc w:val="center"/>
              <w:rPr>
                <w:sz w:val="18"/>
                <w:szCs w:val="18"/>
              </w:rPr>
            </w:pPr>
            <w:r>
              <w:rPr>
                <w:sz w:val="18"/>
                <w:szCs w:val="18"/>
              </w:rPr>
              <w:t>14.6</w:t>
            </w:r>
          </w:p>
        </w:tc>
        <w:tc>
          <w:tcPr>
            <w:tcW w:w="2278" w:type="dxa"/>
            <w:noWrap/>
            <w:vAlign w:val="center"/>
            <w:hideMark/>
          </w:tcPr>
          <w:p w14:paraId="166A6A8C" w14:textId="2491C2A6" w:rsidR="00A9645A" w:rsidRPr="001A3B5B" w:rsidRDefault="00E718F8" w:rsidP="001A3B5B">
            <w:pPr>
              <w:jc w:val="center"/>
              <w:rPr>
                <w:sz w:val="18"/>
                <w:szCs w:val="18"/>
              </w:rPr>
            </w:pPr>
            <w:r>
              <w:rPr>
                <w:sz w:val="18"/>
                <w:szCs w:val="18"/>
              </w:rPr>
              <w:t>-3.8</w:t>
            </w:r>
          </w:p>
        </w:tc>
        <w:tc>
          <w:tcPr>
            <w:tcW w:w="2279" w:type="dxa"/>
            <w:vAlign w:val="center"/>
          </w:tcPr>
          <w:p w14:paraId="0B863150" w14:textId="0D001F69" w:rsidR="00A9645A" w:rsidRPr="001A3B5B" w:rsidRDefault="00E718F8" w:rsidP="001A3B5B">
            <w:pPr>
              <w:jc w:val="center"/>
              <w:rPr>
                <w:sz w:val="18"/>
                <w:szCs w:val="18"/>
              </w:rPr>
            </w:pPr>
            <w:r>
              <w:rPr>
                <w:sz w:val="18"/>
                <w:szCs w:val="18"/>
              </w:rPr>
              <w:t>-</w:t>
            </w:r>
            <w:r w:rsidR="001C3337">
              <w:rPr>
                <w:sz w:val="18"/>
                <w:szCs w:val="18"/>
              </w:rPr>
              <w:t>0.5</w:t>
            </w:r>
          </w:p>
        </w:tc>
      </w:tr>
    </w:tbl>
    <w:p w14:paraId="342DAFEC" w14:textId="77777777" w:rsidR="00ED4794" w:rsidRDefault="00ED4794" w:rsidP="00ED4794"/>
    <w:p w14:paraId="7E73732C" w14:textId="4E416C86" w:rsidR="00B92935" w:rsidRPr="0041091C" w:rsidRDefault="00A8074A" w:rsidP="00B92935">
      <w:pPr>
        <w:pStyle w:val="2-Header"/>
        <w:numPr>
          <w:ilvl w:val="0"/>
          <w:numId w:val="0"/>
        </w:numPr>
        <w:ind w:left="576" w:hanging="576"/>
        <w:rPr>
          <w:rStyle w:val="Strong"/>
          <w:b w:val="0"/>
        </w:rPr>
      </w:pPr>
      <w:r>
        <w:rPr>
          <w:rStyle w:val="Strong"/>
          <w:b w:val="0"/>
        </w:rPr>
        <w:t>Discussion</w:t>
      </w:r>
    </w:p>
    <w:p w14:paraId="28F8A116" w14:textId="28A0F4E9" w:rsidR="00B92935" w:rsidRDefault="00B92935" w:rsidP="00B92935">
      <w:r>
        <w:t>Our methods generally reproduce the mean flux value reported in the NGHGI (2018) for yard trimmings and food scraps, with our methods estimating -10.8 MMT CO</w:t>
      </w:r>
      <w:r w:rsidRPr="00B92935">
        <w:rPr>
          <w:vertAlign w:val="subscript"/>
        </w:rPr>
        <w:t>2</w:t>
      </w:r>
      <w:r>
        <w:t xml:space="preserve"> and the NGHGI (2018) reporting -12.1 MMT CO</w:t>
      </w:r>
      <w:r w:rsidRPr="00B92935">
        <w:rPr>
          <w:vertAlign w:val="subscript"/>
        </w:rPr>
        <w:t>2</w:t>
      </w:r>
      <w:r>
        <w:t>. Our Monte Carlo methods also capture a similar 95% confidence interval, with our methods estimating -17.9 to -3.6 MMT CO</w:t>
      </w:r>
      <w:r w:rsidRPr="00B92935">
        <w:rPr>
          <w:vertAlign w:val="subscript"/>
        </w:rPr>
        <w:t>2</w:t>
      </w:r>
      <w:r>
        <w:t xml:space="preserve"> and the NGHGI (2018) reporting -19.0 to -4.8 MMT CO</w:t>
      </w:r>
      <w:r w:rsidRPr="00B92935">
        <w:rPr>
          <w:vertAlign w:val="subscript"/>
        </w:rPr>
        <w:t>2</w:t>
      </w:r>
      <w:r>
        <w:t>, with all negative values representing CO</w:t>
      </w:r>
      <w:r w:rsidRPr="00B92935">
        <w:rPr>
          <w:vertAlign w:val="subscript"/>
        </w:rPr>
        <w:t>2</w:t>
      </w:r>
      <w:r>
        <w:t xml:space="preserve"> sequestration.</w:t>
      </w:r>
    </w:p>
    <w:p w14:paraId="7F84BB11" w14:textId="0A485745" w:rsidR="00467758" w:rsidRDefault="001A3B5B" w:rsidP="00B92935">
      <w:pPr>
        <w:spacing w:after="0"/>
      </w:pPr>
      <w:r>
        <w:t xml:space="preserve">The </w:t>
      </w:r>
      <w:r w:rsidR="005F5D01">
        <w:t xml:space="preserve">factors </w:t>
      </w:r>
      <w:r>
        <w:t xml:space="preserve">used </w:t>
      </w:r>
      <w:r w:rsidR="00B92935">
        <w:t xml:space="preserve">to disaggregate </w:t>
      </w:r>
      <w:r>
        <w:t xml:space="preserve">yard trimmings and food scraps </w:t>
      </w:r>
      <w:r w:rsidR="00B92935">
        <w:t xml:space="preserve">volume into different categories of biological waste (food scraps, grasses, leaves, branches) </w:t>
      </w:r>
      <w:r>
        <w:t xml:space="preserve">account for combined more than half of the uncertainty in </w:t>
      </w:r>
      <w:r w:rsidR="004644D9">
        <w:t xml:space="preserve">this </w:t>
      </w:r>
      <w:r w:rsidR="005F5D01">
        <w:t>inventory category</w:t>
      </w:r>
      <w:r>
        <w:t xml:space="preserve">. These values </w:t>
      </w:r>
      <w:r w:rsidR="00B92935">
        <w:t xml:space="preserve">are not </w:t>
      </w:r>
      <w:r>
        <w:t xml:space="preserve">currently </w:t>
      </w:r>
      <w:r w:rsidR="00B92935">
        <w:t xml:space="preserve">updated </w:t>
      </w:r>
      <w:r>
        <w:t xml:space="preserve">over time, despite </w:t>
      </w:r>
      <w:r w:rsidR="005F5D01">
        <w:t xml:space="preserve">the potential for dynamic </w:t>
      </w:r>
      <w:r>
        <w:t xml:space="preserve">changes. </w:t>
      </w:r>
    </w:p>
    <w:p w14:paraId="47EC1B23" w14:textId="77777777" w:rsidR="001A3B5B" w:rsidRDefault="001A3B5B" w:rsidP="00ED4794">
      <w:pPr>
        <w:spacing w:after="0" w:line="276" w:lineRule="auto"/>
      </w:pPr>
    </w:p>
    <w:p w14:paraId="5631651D" w14:textId="6F8FACBF" w:rsidR="00210381" w:rsidRDefault="00210381" w:rsidP="000B2554">
      <w:pPr>
        <w:pStyle w:val="Heading2"/>
        <w:numPr>
          <w:ilvl w:val="1"/>
          <w:numId w:val="10"/>
        </w:numPr>
      </w:pPr>
      <w:r w:rsidRPr="00E648E8">
        <w:t>N</w:t>
      </w:r>
      <w:r w:rsidRPr="00E648E8">
        <w:rPr>
          <w:vertAlign w:val="subscript"/>
        </w:rPr>
        <w:t>2</w:t>
      </w:r>
      <w:r w:rsidRPr="00E648E8">
        <w:t>O from settlement soils</w:t>
      </w:r>
    </w:p>
    <w:p w14:paraId="176B0C49" w14:textId="0A6C131F" w:rsidR="004644D9" w:rsidRDefault="004644D9" w:rsidP="00B92935">
      <w:pPr>
        <w:spacing w:before="240"/>
      </w:pPr>
      <w:r>
        <w:t>Direct and indirect emissions from N additions</w:t>
      </w:r>
      <w:r w:rsidR="00540E7C">
        <w:t xml:space="preserve"> to settlement soils</w:t>
      </w:r>
      <w:r>
        <w:t xml:space="preserve"> comprised 7 MMT CO</w:t>
      </w:r>
      <w:r w:rsidRPr="007B6F40">
        <w:rPr>
          <w:vertAlign w:val="subscript"/>
        </w:rPr>
        <w:t>2</w:t>
      </w:r>
      <w:r>
        <w:t>e in 2016 and were calculated using Tier 1 method</w:t>
      </w:r>
      <w:r w:rsidR="0014775A">
        <w:t>s</w:t>
      </w:r>
      <w:r w:rsidR="00B92935">
        <w:t xml:space="preserve"> (NGHGI, 2018)</w:t>
      </w:r>
      <w:r>
        <w:t>. Direct</w:t>
      </w:r>
      <w:r w:rsidR="00B92935">
        <w:t xml:space="preserve"> N</w:t>
      </w:r>
      <w:r w:rsidR="00B92935" w:rsidRPr="00B92935">
        <w:rPr>
          <w:vertAlign w:val="subscript"/>
        </w:rPr>
        <w:t>2</w:t>
      </w:r>
      <w:r w:rsidR="00B92935">
        <w:t>O</w:t>
      </w:r>
      <w:r>
        <w:t xml:space="preserve"> emissions from settlement soils stem from biosolids (e.g., sewage sludge), synthetic N fertilizers applied to lawns, golf courses, and other landscaping; and enhanced mineralization of N in drained organic soils. </w:t>
      </w:r>
    </w:p>
    <w:p w14:paraId="00C31AF9" w14:textId="2951085E" w:rsidR="004644D9" w:rsidRDefault="004644D9" w:rsidP="004644D9">
      <w:r>
        <w:t>For direct N</w:t>
      </w:r>
      <w:r w:rsidRPr="00E648E8">
        <w:rPr>
          <w:vertAlign w:val="subscript"/>
        </w:rPr>
        <w:t>2</w:t>
      </w:r>
      <w:r>
        <w:t xml:space="preserve">O emissions from synthetic fertilizers, N additions are estimated using 1990-2012 USGS on-farm and non-farm fertilizer use </w:t>
      </w:r>
      <w:r w:rsidR="00B92935">
        <w:t>estimates</w:t>
      </w:r>
      <w:r>
        <w:t xml:space="preserve">, which </w:t>
      </w:r>
      <w:r w:rsidR="0014775A">
        <w:t>are</w:t>
      </w:r>
      <w:r>
        <w:t xml:space="preserve"> based on fertilizer sale data. </w:t>
      </w:r>
      <w:r w:rsidR="0014775A">
        <w:t xml:space="preserve">N additions are </w:t>
      </w:r>
      <w:r>
        <w:t xml:space="preserve">then multiplied by the IPCC default emission factor of </w:t>
      </w:r>
      <w:r w:rsidR="005C2442">
        <w:t>1%</w:t>
      </w:r>
      <w:r>
        <w:t xml:space="preserve"> for </w:t>
      </w:r>
      <w:r w:rsidR="00B92935">
        <w:t xml:space="preserve">converting </w:t>
      </w:r>
      <w:r>
        <w:t>applied N</w:t>
      </w:r>
      <w:r w:rsidR="00B92935">
        <w:t xml:space="preserve"> to N resulting in direct N</w:t>
      </w:r>
      <w:r w:rsidR="00B92935" w:rsidRPr="00B92935">
        <w:rPr>
          <w:vertAlign w:val="subscript"/>
        </w:rPr>
        <w:t>2</w:t>
      </w:r>
      <w:r w:rsidR="00B92935">
        <w:t>O emissions</w:t>
      </w:r>
      <w:r>
        <w:t>. For direct N</w:t>
      </w:r>
      <w:r w:rsidRPr="00E648E8">
        <w:rPr>
          <w:vertAlign w:val="subscript"/>
        </w:rPr>
        <w:t>2</w:t>
      </w:r>
      <w:r>
        <w:t xml:space="preserve">O emissions from biosolids, biosolid application </w:t>
      </w:r>
      <w:r w:rsidR="00B92935">
        <w:t>estimates are calculated</w:t>
      </w:r>
      <w:r>
        <w:t xml:space="preserve"> from national data on biosolid generation, disposition, and N content, and then multiplied by the same IPCC factor. For drained organic soil, the total area of drained organic soils is calculated using the 2012 NRI and SSURGO, then multiplied by the IPCC default emission factor for temperate regions. This estimate does not currently include Alaska or federal lands (see the discussion on</w:t>
      </w:r>
      <w:r w:rsidRPr="00540E7C">
        <w:t xml:space="preserve"> </w:t>
      </w:r>
      <w:r w:rsidRPr="00540E7C">
        <w:fldChar w:fldCharType="begin"/>
      </w:r>
      <w:r w:rsidRPr="00540E7C">
        <w:instrText xml:space="preserve"> REF _Ref5090357 \h  \* MERGEFORMAT </w:instrText>
      </w:r>
      <w:r w:rsidRPr="00540E7C">
        <w:fldChar w:fldCharType="separate"/>
      </w:r>
      <w:r w:rsidR="00FB4CFE" w:rsidRPr="00627E59">
        <w:t>Federal cropland and grassland</w:t>
      </w:r>
      <w:r w:rsidRPr="00540E7C">
        <w:fldChar w:fldCharType="end"/>
      </w:r>
      <w:r>
        <w:t xml:space="preserve"> </w:t>
      </w:r>
      <w:r w:rsidR="00B92935">
        <w:t>omitted GHG flux</w:t>
      </w:r>
      <w:r>
        <w:t xml:space="preserve"> above).</w:t>
      </w:r>
    </w:p>
    <w:p w14:paraId="57EE7CC0" w14:textId="24BAD24B" w:rsidR="004644D9" w:rsidRDefault="004644D9" w:rsidP="004644D9">
      <w:r>
        <w:t>To estimate indirect emissions, the IPCC default factors for volatilization (10</w:t>
      </w:r>
      <w:r w:rsidR="00540E7C">
        <w:t>%</w:t>
      </w:r>
      <w:r w:rsidR="00B92935">
        <w:t xml:space="preserve">) and leaching and </w:t>
      </w:r>
      <w:r>
        <w:t xml:space="preserve">runoff (30%) </w:t>
      </w:r>
      <w:r w:rsidR="0014775A">
        <w:t xml:space="preserve">are </w:t>
      </w:r>
      <w:r>
        <w:t xml:space="preserve">multiplied by the total N applied from fertilizer and sludge, respectively. These numbers are </w:t>
      </w:r>
      <w:r>
        <w:lastRenderedPageBreak/>
        <w:t xml:space="preserve">then multiplied by the IPCC default factor of </w:t>
      </w:r>
      <w:r w:rsidR="005C2442">
        <w:t>1%</w:t>
      </w:r>
      <w:r>
        <w:t xml:space="preserve"> for portion of volatilized N converted to N</w:t>
      </w:r>
      <w:r w:rsidRPr="00E648E8">
        <w:rPr>
          <w:vertAlign w:val="subscript"/>
        </w:rPr>
        <w:t>2</w:t>
      </w:r>
      <w:r>
        <w:t>O off-site, or the IPCC default factor of 0.75</w:t>
      </w:r>
      <w:r w:rsidR="005C2442">
        <w:t>%</w:t>
      </w:r>
      <w:r w:rsidR="00B92935">
        <w:t xml:space="preserve"> for the portion of leached and </w:t>
      </w:r>
      <w:r>
        <w:t>runoff N that is converted to N</w:t>
      </w:r>
      <w:r w:rsidRPr="00E648E8">
        <w:rPr>
          <w:vertAlign w:val="subscript"/>
        </w:rPr>
        <w:t>2</w:t>
      </w:r>
      <w:r>
        <w:t>O off-site. For both direct and indirect N</w:t>
      </w:r>
      <w:r w:rsidRPr="00E648E8">
        <w:rPr>
          <w:vertAlign w:val="subscript"/>
        </w:rPr>
        <w:t>2</w:t>
      </w:r>
      <w:r>
        <w:t xml:space="preserve">O emissions, a surrogate data method is used to calculate estimates </w:t>
      </w:r>
      <w:r w:rsidR="00B92935">
        <w:t xml:space="preserve">from 2013 to </w:t>
      </w:r>
      <w:r>
        <w:t>2016.</w:t>
      </w:r>
    </w:p>
    <w:p w14:paraId="7334B7BA" w14:textId="59DA8415" w:rsidR="004644D9" w:rsidRDefault="004644D9" w:rsidP="004644D9">
      <w:r>
        <w:t xml:space="preserve">Uncertainty is </w:t>
      </w:r>
      <w:r w:rsidR="00B92935">
        <w:t>estimated</w:t>
      </w:r>
      <w:r>
        <w:t xml:space="preserve"> through Monte Carlo </w:t>
      </w:r>
      <w:r w:rsidR="0014775A">
        <w:t>simulation</w:t>
      </w:r>
      <w:r>
        <w:t xml:space="preserve">, and combined with the uncertainty from biosolids application using error propagation. Uncertainty stems from several sources: N inputs, variables that influence rate of nitrification and denitrification, fertilizer N and biosolid application rates, variance in the NRI data, and IPCC default factors. </w:t>
      </w:r>
      <w:r w:rsidR="0014775A">
        <w:t>T</w:t>
      </w:r>
      <w:r>
        <w:t xml:space="preserve">he surrogate data method used to estimate </w:t>
      </w:r>
      <w:r w:rsidR="0014775A">
        <w:t xml:space="preserve">fluxes </w:t>
      </w:r>
      <w:r w:rsidR="00540E7C">
        <w:t>from</w:t>
      </w:r>
      <w:r>
        <w:t xml:space="preserve"> to 2013-2016</w:t>
      </w:r>
      <w:r w:rsidR="0014775A">
        <w:t xml:space="preserve"> also contributes uncertainty</w:t>
      </w:r>
      <w:r>
        <w:t xml:space="preserve">. </w:t>
      </w:r>
    </w:p>
    <w:p w14:paraId="6FCD9001" w14:textId="1D0DFDAC" w:rsidR="004644D9" w:rsidRDefault="00B92935" w:rsidP="004644D9">
      <w:r>
        <w:t xml:space="preserve">Due to </w:t>
      </w:r>
      <w:r w:rsidR="004644D9">
        <w:t>the small contribution of N</w:t>
      </w:r>
      <w:r w:rsidR="004644D9" w:rsidRPr="00B46585">
        <w:rPr>
          <w:vertAlign w:val="subscript"/>
        </w:rPr>
        <w:t>2</w:t>
      </w:r>
      <w:r w:rsidR="004644D9">
        <w:t xml:space="preserve">O </w:t>
      </w:r>
      <w:r w:rsidR="004644D9" w:rsidRPr="00455E92">
        <w:t xml:space="preserve">fluxes from </w:t>
      </w:r>
      <w:r w:rsidR="004644D9">
        <w:t xml:space="preserve">N additions to settlement soils </w:t>
      </w:r>
      <w:r w:rsidR="004644D9" w:rsidRPr="00540E7C">
        <w:t xml:space="preserve">(Table </w:t>
      </w:r>
      <w:r w:rsidR="007D6D6E">
        <w:t>2</w:t>
      </w:r>
      <w:r w:rsidR="005F6840">
        <w:t>-3</w:t>
      </w:r>
      <w:r w:rsidR="0014775A">
        <w:t>5</w:t>
      </w:r>
      <w:r w:rsidR="004644D9" w:rsidRPr="00540E7C">
        <w:t>),</w:t>
      </w:r>
      <w:r w:rsidR="004644D9">
        <w:t xml:space="preserve"> </w:t>
      </w:r>
      <w:r>
        <w:t xml:space="preserve">we did not perform uncertainty attribution analysis beyond what is reported in the NGHGI (2018). </w:t>
      </w:r>
    </w:p>
    <w:p w14:paraId="4C34C1A9" w14:textId="77777777" w:rsidR="00A76A00" w:rsidRDefault="00A76A00" w:rsidP="004644D9"/>
    <w:p w14:paraId="3C1A778A" w14:textId="3CC96150" w:rsidR="004644D9" w:rsidRPr="00540E7C" w:rsidRDefault="004644D9" w:rsidP="004644D9">
      <w:pPr>
        <w:spacing w:after="0" w:line="276" w:lineRule="auto"/>
        <w:rPr>
          <w:b/>
          <w:i/>
          <w:iCs/>
          <w:color w:val="44546A" w:themeColor="text2"/>
        </w:rPr>
      </w:pPr>
      <w:r w:rsidRPr="00540E7C">
        <w:rPr>
          <w:b/>
          <w:i/>
          <w:iCs/>
          <w:color w:val="44546A" w:themeColor="text2"/>
        </w:rPr>
        <w:t xml:space="preserve">Table </w:t>
      </w:r>
      <w:r w:rsidR="007D6D6E">
        <w:rPr>
          <w:b/>
          <w:i/>
          <w:iCs/>
          <w:color w:val="44546A" w:themeColor="text2"/>
        </w:rPr>
        <w:t>2</w:t>
      </w:r>
      <w:r w:rsidR="005F6840">
        <w:rPr>
          <w:b/>
          <w:i/>
          <w:iCs/>
          <w:color w:val="44546A" w:themeColor="text2"/>
        </w:rPr>
        <w:t>-3</w:t>
      </w:r>
      <w:r w:rsidR="0014775A">
        <w:rPr>
          <w:b/>
          <w:i/>
          <w:iCs/>
          <w:color w:val="44546A" w:themeColor="text2"/>
        </w:rPr>
        <w:t>5</w:t>
      </w:r>
      <w:r w:rsidRPr="00540E7C">
        <w:rPr>
          <w:b/>
          <w:i/>
          <w:iCs/>
          <w:color w:val="44546A" w:themeColor="text2"/>
        </w:rPr>
        <w:t xml:space="preserve">: </w:t>
      </w:r>
      <w:r w:rsidR="004835A2">
        <w:rPr>
          <w:b/>
          <w:i/>
          <w:iCs/>
          <w:color w:val="44546A" w:themeColor="text2"/>
        </w:rPr>
        <w:t>RESULTS – Contributions to u</w:t>
      </w:r>
      <w:r w:rsidRPr="00540E7C">
        <w:rPr>
          <w:b/>
          <w:i/>
          <w:iCs/>
          <w:color w:val="44546A" w:themeColor="text2"/>
        </w:rPr>
        <w:t>ncertainty of N</w:t>
      </w:r>
      <w:r w:rsidRPr="00A76A00">
        <w:rPr>
          <w:b/>
          <w:i/>
          <w:iCs/>
          <w:color w:val="44546A" w:themeColor="text2"/>
          <w:vertAlign w:val="subscript"/>
        </w:rPr>
        <w:t>2</w:t>
      </w:r>
      <w:r w:rsidRPr="00540E7C">
        <w:rPr>
          <w:b/>
          <w:i/>
          <w:iCs/>
          <w:color w:val="44546A" w:themeColor="text2"/>
        </w:rPr>
        <w:t xml:space="preserve">O emissions from settlement soils </w:t>
      </w:r>
    </w:p>
    <w:tbl>
      <w:tblPr>
        <w:tblW w:w="8910" w:type="dxa"/>
        <w:tblInd w:w="-5" w:type="dxa"/>
        <w:tblLook w:val="04A0" w:firstRow="1" w:lastRow="0" w:firstColumn="1" w:lastColumn="0" w:noHBand="0" w:noVBand="1"/>
      </w:tblPr>
      <w:tblGrid>
        <w:gridCol w:w="2227"/>
        <w:gridCol w:w="2228"/>
        <w:gridCol w:w="2227"/>
        <w:gridCol w:w="2228"/>
      </w:tblGrid>
      <w:tr w:rsidR="004644D9" w:rsidRPr="00A40ED4" w14:paraId="05B07AE7" w14:textId="77777777" w:rsidTr="00540E7C">
        <w:trPr>
          <w:trHeight w:val="1008"/>
        </w:trPr>
        <w:tc>
          <w:tcPr>
            <w:tcW w:w="2227"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E68C8AA" w14:textId="77777777" w:rsidR="004644D9" w:rsidRPr="00A40ED4" w:rsidRDefault="004644D9" w:rsidP="00540E7C">
            <w:pPr>
              <w:spacing w:after="0" w:line="240" w:lineRule="auto"/>
              <w:jc w:val="center"/>
              <w:rPr>
                <w:rFonts w:ascii="Calibri" w:eastAsia="Times New Roman" w:hAnsi="Calibri" w:cs="Calibri"/>
                <w:b/>
                <w:bCs/>
                <w:color w:val="000000"/>
                <w:sz w:val="18"/>
                <w:szCs w:val="18"/>
              </w:rPr>
            </w:pPr>
            <w:r w:rsidRPr="00A40ED4">
              <w:rPr>
                <w:rFonts w:ascii="Calibri" w:eastAsia="Times New Roman" w:hAnsi="Calibri" w:cs="Calibri"/>
                <w:b/>
                <w:bCs/>
                <w:color w:val="000000"/>
                <w:sz w:val="18"/>
                <w:szCs w:val="18"/>
              </w:rPr>
              <w:t>Variable held constant</w:t>
            </w:r>
          </w:p>
        </w:tc>
        <w:tc>
          <w:tcPr>
            <w:tcW w:w="2228" w:type="dxa"/>
            <w:tcBorders>
              <w:top w:val="single" w:sz="4" w:space="0" w:color="auto"/>
              <w:left w:val="nil"/>
              <w:bottom w:val="single" w:sz="4" w:space="0" w:color="auto"/>
              <w:right w:val="single" w:sz="4" w:space="0" w:color="auto"/>
            </w:tcBorders>
            <w:shd w:val="clear" w:color="auto" w:fill="FFC000" w:themeFill="accent4"/>
            <w:vAlign w:val="center"/>
            <w:hideMark/>
          </w:tcPr>
          <w:p w14:paraId="74E7124C" w14:textId="77777777" w:rsidR="004644D9" w:rsidRPr="00A40ED4" w:rsidRDefault="004644D9" w:rsidP="00540E7C">
            <w:pPr>
              <w:spacing w:after="0" w:line="240" w:lineRule="auto"/>
              <w:jc w:val="center"/>
              <w:rPr>
                <w:rFonts w:ascii="Calibri" w:eastAsia="Times New Roman" w:hAnsi="Calibri" w:cs="Calibri"/>
                <w:b/>
                <w:bCs/>
                <w:color w:val="000000"/>
                <w:sz w:val="18"/>
                <w:szCs w:val="18"/>
              </w:rPr>
            </w:pPr>
            <w:r w:rsidRPr="00A40ED4">
              <w:rPr>
                <w:rFonts w:ascii="Calibri" w:eastAsia="Times New Roman" w:hAnsi="Calibri" w:cs="Calibri"/>
                <w:b/>
                <w:bCs/>
                <w:color w:val="000000"/>
                <w:sz w:val="18"/>
                <w:szCs w:val="18"/>
              </w:rPr>
              <w:t>Range of 95% confidence interval (MMT CO</w:t>
            </w:r>
            <w:r w:rsidRPr="00A40ED4">
              <w:rPr>
                <w:rFonts w:ascii="Calibri" w:eastAsia="Times New Roman" w:hAnsi="Calibri" w:cs="Calibri"/>
                <w:b/>
                <w:bCs/>
                <w:color w:val="000000"/>
                <w:sz w:val="18"/>
                <w:szCs w:val="18"/>
                <w:vertAlign w:val="subscript"/>
              </w:rPr>
              <w:t>2</w:t>
            </w:r>
            <w:r w:rsidRPr="00A40ED4">
              <w:rPr>
                <w:rFonts w:ascii="Calibri" w:eastAsia="Times New Roman" w:hAnsi="Calibri" w:cs="Calibri"/>
                <w:b/>
                <w:bCs/>
                <w:color w:val="000000"/>
                <w:sz w:val="18"/>
                <w:szCs w:val="18"/>
              </w:rPr>
              <w:t>e)</w:t>
            </w:r>
          </w:p>
        </w:tc>
        <w:tc>
          <w:tcPr>
            <w:tcW w:w="2227" w:type="dxa"/>
            <w:tcBorders>
              <w:top w:val="single" w:sz="4" w:space="0" w:color="auto"/>
              <w:left w:val="nil"/>
              <w:bottom w:val="single" w:sz="4" w:space="0" w:color="auto"/>
              <w:right w:val="single" w:sz="4" w:space="0" w:color="auto"/>
            </w:tcBorders>
            <w:shd w:val="clear" w:color="auto" w:fill="FFC000" w:themeFill="accent4"/>
            <w:vAlign w:val="center"/>
            <w:hideMark/>
          </w:tcPr>
          <w:p w14:paraId="5FB5E711" w14:textId="77777777" w:rsidR="004644D9" w:rsidRPr="00A40ED4" w:rsidRDefault="004644D9" w:rsidP="00540E7C">
            <w:pPr>
              <w:spacing w:after="0" w:line="240" w:lineRule="auto"/>
              <w:jc w:val="center"/>
              <w:rPr>
                <w:rFonts w:ascii="Calibri" w:eastAsia="Times New Roman" w:hAnsi="Calibri" w:cs="Calibri"/>
                <w:b/>
                <w:bCs/>
                <w:color w:val="000000"/>
                <w:sz w:val="18"/>
                <w:szCs w:val="18"/>
              </w:rPr>
            </w:pPr>
            <w:r w:rsidRPr="00A40ED4">
              <w:rPr>
                <w:rFonts w:ascii="Calibri" w:eastAsia="Times New Roman" w:hAnsi="Calibri" w:cs="Calibri"/>
                <w:b/>
                <w:bCs/>
                <w:color w:val="000000"/>
                <w:sz w:val="18"/>
                <w:szCs w:val="18"/>
              </w:rPr>
              <w:t>Contribution to uncertainty (%)</w:t>
            </w:r>
          </w:p>
        </w:tc>
        <w:tc>
          <w:tcPr>
            <w:tcW w:w="2228" w:type="dxa"/>
            <w:tcBorders>
              <w:top w:val="single" w:sz="4" w:space="0" w:color="auto"/>
              <w:left w:val="nil"/>
              <w:bottom w:val="single" w:sz="4" w:space="0" w:color="auto"/>
              <w:right w:val="single" w:sz="4" w:space="0" w:color="auto"/>
            </w:tcBorders>
            <w:shd w:val="clear" w:color="auto" w:fill="FFC000" w:themeFill="accent4"/>
            <w:vAlign w:val="center"/>
            <w:hideMark/>
          </w:tcPr>
          <w:p w14:paraId="606E61F2" w14:textId="77777777" w:rsidR="004644D9" w:rsidRPr="00A40ED4" w:rsidRDefault="004644D9" w:rsidP="00540E7C">
            <w:pPr>
              <w:spacing w:after="0" w:line="240" w:lineRule="auto"/>
              <w:jc w:val="center"/>
              <w:rPr>
                <w:rFonts w:ascii="Calibri" w:eastAsia="Times New Roman" w:hAnsi="Calibri" w:cs="Calibri"/>
                <w:b/>
                <w:bCs/>
                <w:color w:val="000000"/>
                <w:sz w:val="18"/>
                <w:szCs w:val="18"/>
              </w:rPr>
            </w:pPr>
            <w:r w:rsidRPr="00A40ED4">
              <w:rPr>
                <w:rFonts w:ascii="Calibri" w:eastAsia="Times New Roman" w:hAnsi="Calibri" w:cs="Calibri"/>
                <w:b/>
                <w:bCs/>
                <w:color w:val="000000"/>
                <w:sz w:val="18"/>
                <w:szCs w:val="18"/>
              </w:rPr>
              <w:t>Contribution to uncertainty (MMT CO2e)</w:t>
            </w:r>
          </w:p>
        </w:tc>
      </w:tr>
      <w:tr w:rsidR="004644D9" w:rsidRPr="00A40ED4" w14:paraId="27D1D48C" w14:textId="77777777" w:rsidTr="00A40ED4">
        <w:trPr>
          <w:trHeight w:val="352"/>
        </w:trPr>
        <w:tc>
          <w:tcPr>
            <w:tcW w:w="2227" w:type="dxa"/>
            <w:tcBorders>
              <w:top w:val="nil"/>
              <w:left w:val="single" w:sz="4" w:space="0" w:color="auto"/>
              <w:bottom w:val="single" w:sz="4" w:space="0" w:color="auto"/>
              <w:right w:val="single" w:sz="4" w:space="0" w:color="auto"/>
            </w:tcBorders>
            <w:shd w:val="clear" w:color="auto" w:fill="auto"/>
            <w:vAlign w:val="center"/>
            <w:hideMark/>
          </w:tcPr>
          <w:p w14:paraId="5E67984E" w14:textId="528E9358" w:rsidR="004644D9" w:rsidRPr="00A40ED4" w:rsidRDefault="001E048A" w:rsidP="00540E7C">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None (all vary)</w:t>
            </w:r>
          </w:p>
        </w:tc>
        <w:tc>
          <w:tcPr>
            <w:tcW w:w="2228" w:type="dxa"/>
            <w:tcBorders>
              <w:top w:val="nil"/>
              <w:left w:val="nil"/>
              <w:bottom w:val="single" w:sz="4" w:space="0" w:color="auto"/>
              <w:right w:val="single" w:sz="4" w:space="0" w:color="auto"/>
            </w:tcBorders>
            <w:shd w:val="clear" w:color="auto" w:fill="auto"/>
            <w:vAlign w:val="center"/>
            <w:hideMark/>
          </w:tcPr>
          <w:p w14:paraId="474ABE81" w14:textId="7C5C9437" w:rsidR="004644D9" w:rsidRPr="004835A2" w:rsidRDefault="008D55D5" w:rsidP="00540E7C">
            <w:pPr>
              <w:spacing w:after="0" w:line="240" w:lineRule="auto"/>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1.3</w:t>
            </w:r>
          </w:p>
        </w:tc>
        <w:tc>
          <w:tcPr>
            <w:tcW w:w="2227" w:type="dxa"/>
            <w:tcBorders>
              <w:top w:val="nil"/>
              <w:left w:val="nil"/>
              <w:bottom w:val="single" w:sz="4" w:space="0" w:color="auto"/>
              <w:right w:val="single" w:sz="4" w:space="0" w:color="auto"/>
            </w:tcBorders>
            <w:shd w:val="clear" w:color="auto" w:fill="auto"/>
            <w:vAlign w:val="center"/>
            <w:hideMark/>
          </w:tcPr>
          <w:p w14:paraId="197B305C" w14:textId="0B4A4B81" w:rsidR="004644D9" w:rsidRPr="004835A2" w:rsidRDefault="00540E7C" w:rsidP="00540E7C">
            <w:pPr>
              <w:spacing w:after="0" w:line="240" w:lineRule="auto"/>
              <w:jc w:val="center"/>
              <w:rPr>
                <w:rFonts w:ascii="Calibri" w:eastAsia="Times New Roman" w:hAnsi="Calibri" w:cs="Calibri"/>
                <w:bCs/>
                <w:color w:val="000000"/>
                <w:sz w:val="18"/>
                <w:szCs w:val="18"/>
              </w:rPr>
            </w:pPr>
            <w:r w:rsidRPr="004835A2">
              <w:rPr>
                <w:rFonts w:ascii="Calibri" w:eastAsia="Times New Roman" w:hAnsi="Calibri" w:cs="Calibri"/>
                <w:bCs/>
                <w:color w:val="000000"/>
                <w:sz w:val="18"/>
                <w:szCs w:val="18"/>
              </w:rPr>
              <w:t>-</w:t>
            </w:r>
          </w:p>
        </w:tc>
        <w:tc>
          <w:tcPr>
            <w:tcW w:w="2228" w:type="dxa"/>
            <w:tcBorders>
              <w:top w:val="nil"/>
              <w:left w:val="nil"/>
              <w:bottom w:val="single" w:sz="4" w:space="0" w:color="auto"/>
              <w:right w:val="single" w:sz="4" w:space="0" w:color="auto"/>
            </w:tcBorders>
            <w:shd w:val="clear" w:color="auto" w:fill="auto"/>
            <w:vAlign w:val="center"/>
            <w:hideMark/>
          </w:tcPr>
          <w:p w14:paraId="25FAF691" w14:textId="61B21102" w:rsidR="004644D9" w:rsidRPr="004835A2" w:rsidRDefault="00540E7C" w:rsidP="00540E7C">
            <w:pPr>
              <w:spacing w:after="0" w:line="240" w:lineRule="auto"/>
              <w:jc w:val="center"/>
              <w:rPr>
                <w:rFonts w:ascii="Calibri" w:eastAsia="Times New Roman" w:hAnsi="Calibri" w:cs="Calibri"/>
                <w:bCs/>
                <w:color w:val="000000"/>
                <w:sz w:val="18"/>
                <w:szCs w:val="18"/>
              </w:rPr>
            </w:pPr>
            <w:r w:rsidRPr="004835A2">
              <w:rPr>
                <w:rFonts w:ascii="Calibri" w:eastAsia="Times New Roman" w:hAnsi="Calibri" w:cs="Calibri"/>
                <w:bCs/>
                <w:color w:val="000000"/>
                <w:sz w:val="18"/>
                <w:szCs w:val="18"/>
              </w:rPr>
              <w:t>-</w:t>
            </w:r>
          </w:p>
        </w:tc>
      </w:tr>
      <w:tr w:rsidR="004644D9" w:rsidRPr="00A40ED4" w14:paraId="22C1DEA2" w14:textId="77777777" w:rsidTr="00A40ED4">
        <w:trPr>
          <w:trHeight w:val="352"/>
        </w:trPr>
        <w:tc>
          <w:tcPr>
            <w:tcW w:w="2227" w:type="dxa"/>
            <w:tcBorders>
              <w:top w:val="nil"/>
              <w:left w:val="single" w:sz="4" w:space="0" w:color="auto"/>
              <w:bottom w:val="single" w:sz="4" w:space="0" w:color="auto"/>
              <w:right w:val="single" w:sz="4" w:space="0" w:color="auto"/>
            </w:tcBorders>
            <w:shd w:val="clear" w:color="auto" w:fill="auto"/>
            <w:vAlign w:val="center"/>
            <w:hideMark/>
          </w:tcPr>
          <w:p w14:paraId="37D3B75B" w14:textId="77777777" w:rsidR="004644D9" w:rsidRPr="00A40ED4" w:rsidRDefault="004644D9" w:rsidP="00540E7C">
            <w:pPr>
              <w:spacing w:after="0" w:line="240" w:lineRule="auto"/>
              <w:rPr>
                <w:rFonts w:ascii="Calibri" w:eastAsia="Times New Roman" w:hAnsi="Calibri" w:cs="Calibri"/>
                <w:b/>
                <w:bCs/>
                <w:color w:val="000000"/>
                <w:sz w:val="18"/>
                <w:szCs w:val="18"/>
              </w:rPr>
            </w:pPr>
            <w:r w:rsidRPr="00A40ED4">
              <w:rPr>
                <w:rFonts w:ascii="Calibri" w:eastAsia="Times New Roman" w:hAnsi="Calibri" w:cs="Calibri"/>
                <w:b/>
                <w:bCs/>
                <w:color w:val="000000"/>
                <w:sz w:val="18"/>
                <w:szCs w:val="18"/>
              </w:rPr>
              <w:t>Direct N</w:t>
            </w:r>
            <w:r w:rsidRPr="00A40ED4">
              <w:rPr>
                <w:rFonts w:ascii="Calibri" w:eastAsia="Times New Roman" w:hAnsi="Calibri" w:cs="Calibri"/>
                <w:b/>
                <w:bCs/>
                <w:color w:val="000000"/>
                <w:sz w:val="18"/>
                <w:szCs w:val="18"/>
                <w:vertAlign w:val="subscript"/>
              </w:rPr>
              <w:t>2</w:t>
            </w:r>
            <w:r w:rsidRPr="00A40ED4">
              <w:rPr>
                <w:rFonts w:ascii="Calibri" w:eastAsia="Times New Roman" w:hAnsi="Calibri" w:cs="Calibri"/>
                <w:b/>
                <w:bCs/>
                <w:color w:val="000000"/>
                <w:sz w:val="18"/>
                <w:szCs w:val="18"/>
              </w:rPr>
              <w:t>O Fluxes</w:t>
            </w:r>
          </w:p>
        </w:tc>
        <w:tc>
          <w:tcPr>
            <w:tcW w:w="2228" w:type="dxa"/>
            <w:tcBorders>
              <w:top w:val="nil"/>
              <w:left w:val="nil"/>
              <w:bottom w:val="single" w:sz="4" w:space="0" w:color="auto"/>
              <w:right w:val="single" w:sz="4" w:space="0" w:color="auto"/>
            </w:tcBorders>
            <w:shd w:val="clear" w:color="auto" w:fill="auto"/>
            <w:vAlign w:val="center"/>
            <w:hideMark/>
          </w:tcPr>
          <w:p w14:paraId="502DF640" w14:textId="06AEF24D" w:rsidR="004644D9" w:rsidRPr="00A40ED4" w:rsidRDefault="004644D9" w:rsidP="00540E7C">
            <w:pPr>
              <w:spacing w:after="0" w:line="240" w:lineRule="auto"/>
              <w:jc w:val="center"/>
              <w:rPr>
                <w:rFonts w:ascii="Calibri" w:eastAsia="Times New Roman" w:hAnsi="Calibri" w:cs="Calibri"/>
                <w:color w:val="000000"/>
                <w:sz w:val="18"/>
                <w:szCs w:val="18"/>
              </w:rPr>
            </w:pPr>
            <w:r w:rsidRPr="00A40ED4">
              <w:rPr>
                <w:rFonts w:ascii="Calibri" w:eastAsia="Times New Roman" w:hAnsi="Calibri" w:cs="Calibri"/>
                <w:color w:val="000000"/>
                <w:sz w:val="18"/>
                <w:szCs w:val="18"/>
              </w:rPr>
              <w:t>0.3</w:t>
            </w:r>
          </w:p>
        </w:tc>
        <w:tc>
          <w:tcPr>
            <w:tcW w:w="2227" w:type="dxa"/>
            <w:tcBorders>
              <w:top w:val="nil"/>
              <w:left w:val="nil"/>
              <w:bottom w:val="single" w:sz="4" w:space="0" w:color="auto"/>
              <w:right w:val="single" w:sz="4" w:space="0" w:color="auto"/>
            </w:tcBorders>
            <w:shd w:val="clear" w:color="auto" w:fill="auto"/>
            <w:vAlign w:val="center"/>
            <w:hideMark/>
          </w:tcPr>
          <w:p w14:paraId="0E4CC713" w14:textId="451A8BB7" w:rsidR="004644D9" w:rsidRPr="00A40ED4" w:rsidRDefault="008C675D" w:rsidP="00540E7C">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97</w:t>
            </w:r>
            <w:r w:rsidR="00540E7C" w:rsidRPr="00A40ED4">
              <w:rPr>
                <w:rFonts w:ascii="Calibri" w:eastAsia="Times New Roman" w:hAnsi="Calibri" w:cs="Calibri"/>
                <w:color w:val="000000"/>
                <w:sz w:val="18"/>
                <w:szCs w:val="18"/>
              </w:rPr>
              <w:t>.0</w:t>
            </w:r>
          </w:p>
        </w:tc>
        <w:tc>
          <w:tcPr>
            <w:tcW w:w="2228" w:type="dxa"/>
            <w:tcBorders>
              <w:top w:val="nil"/>
              <w:left w:val="nil"/>
              <w:bottom w:val="single" w:sz="4" w:space="0" w:color="auto"/>
              <w:right w:val="single" w:sz="4" w:space="0" w:color="auto"/>
            </w:tcBorders>
            <w:shd w:val="clear" w:color="auto" w:fill="auto"/>
            <w:vAlign w:val="center"/>
            <w:hideMark/>
          </w:tcPr>
          <w:p w14:paraId="327DE4DE" w14:textId="4A90018B" w:rsidR="004644D9" w:rsidRPr="00A40ED4" w:rsidRDefault="008D55D5" w:rsidP="00540E7C">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1.3</w:t>
            </w:r>
          </w:p>
        </w:tc>
      </w:tr>
      <w:tr w:rsidR="004644D9" w:rsidRPr="00A40ED4" w14:paraId="188A18CF" w14:textId="77777777" w:rsidTr="00A40ED4">
        <w:trPr>
          <w:trHeight w:val="352"/>
        </w:trPr>
        <w:tc>
          <w:tcPr>
            <w:tcW w:w="2227" w:type="dxa"/>
            <w:tcBorders>
              <w:top w:val="nil"/>
              <w:left w:val="single" w:sz="4" w:space="0" w:color="auto"/>
              <w:bottom w:val="single" w:sz="4" w:space="0" w:color="auto"/>
              <w:right w:val="single" w:sz="4" w:space="0" w:color="auto"/>
            </w:tcBorders>
            <w:shd w:val="clear" w:color="auto" w:fill="auto"/>
            <w:vAlign w:val="center"/>
            <w:hideMark/>
          </w:tcPr>
          <w:p w14:paraId="0286B95C" w14:textId="77777777" w:rsidR="004644D9" w:rsidRPr="00A40ED4" w:rsidRDefault="004644D9" w:rsidP="00540E7C">
            <w:pPr>
              <w:spacing w:after="0" w:line="240" w:lineRule="auto"/>
              <w:rPr>
                <w:rFonts w:ascii="Calibri" w:eastAsia="Times New Roman" w:hAnsi="Calibri" w:cs="Calibri"/>
                <w:b/>
                <w:bCs/>
                <w:color w:val="000000"/>
                <w:sz w:val="18"/>
                <w:szCs w:val="18"/>
              </w:rPr>
            </w:pPr>
            <w:r w:rsidRPr="00A40ED4">
              <w:rPr>
                <w:rFonts w:ascii="Calibri" w:eastAsia="Times New Roman" w:hAnsi="Calibri" w:cs="Calibri"/>
                <w:b/>
                <w:bCs/>
                <w:color w:val="000000"/>
                <w:sz w:val="18"/>
                <w:szCs w:val="18"/>
              </w:rPr>
              <w:t>Indirect N</w:t>
            </w:r>
            <w:r w:rsidRPr="00A40ED4">
              <w:rPr>
                <w:rFonts w:ascii="Calibri" w:eastAsia="Times New Roman" w:hAnsi="Calibri" w:cs="Calibri"/>
                <w:b/>
                <w:bCs/>
                <w:color w:val="000000"/>
                <w:sz w:val="18"/>
                <w:szCs w:val="18"/>
                <w:vertAlign w:val="subscript"/>
              </w:rPr>
              <w:t>2</w:t>
            </w:r>
            <w:r w:rsidRPr="00A40ED4">
              <w:rPr>
                <w:rFonts w:ascii="Calibri" w:eastAsia="Times New Roman" w:hAnsi="Calibri" w:cs="Calibri"/>
                <w:b/>
                <w:bCs/>
                <w:color w:val="000000"/>
                <w:sz w:val="18"/>
                <w:szCs w:val="18"/>
              </w:rPr>
              <w:t>O Fluxes</w:t>
            </w:r>
          </w:p>
        </w:tc>
        <w:tc>
          <w:tcPr>
            <w:tcW w:w="2228" w:type="dxa"/>
            <w:tcBorders>
              <w:top w:val="nil"/>
              <w:left w:val="nil"/>
              <w:bottom w:val="single" w:sz="4" w:space="0" w:color="auto"/>
              <w:right w:val="single" w:sz="4" w:space="0" w:color="auto"/>
            </w:tcBorders>
            <w:shd w:val="clear" w:color="auto" w:fill="auto"/>
            <w:vAlign w:val="center"/>
            <w:hideMark/>
          </w:tcPr>
          <w:p w14:paraId="05819CFF" w14:textId="0092323E" w:rsidR="004644D9" w:rsidRPr="00A40ED4" w:rsidRDefault="008C675D" w:rsidP="00540E7C">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r w:rsidR="004644D9" w:rsidRPr="00A40ED4">
              <w:rPr>
                <w:rFonts w:ascii="Calibri" w:eastAsia="Times New Roman" w:hAnsi="Calibri" w:cs="Calibri"/>
                <w:color w:val="000000"/>
                <w:sz w:val="18"/>
                <w:szCs w:val="18"/>
              </w:rPr>
              <w:t>.3</w:t>
            </w:r>
          </w:p>
        </w:tc>
        <w:tc>
          <w:tcPr>
            <w:tcW w:w="2227" w:type="dxa"/>
            <w:tcBorders>
              <w:top w:val="nil"/>
              <w:left w:val="nil"/>
              <w:bottom w:val="single" w:sz="4" w:space="0" w:color="auto"/>
              <w:right w:val="single" w:sz="4" w:space="0" w:color="auto"/>
            </w:tcBorders>
            <w:shd w:val="clear" w:color="auto" w:fill="auto"/>
            <w:vAlign w:val="center"/>
            <w:hideMark/>
          </w:tcPr>
          <w:p w14:paraId="58709A4F" w14:textId="7FF9CA76" w:rsidR="004644D9" w:rsidRPr="00A40ED4" w:rsidRDefault="008C675D" w:rsidP="00540E7C">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3.0</w:t>
            </w:r>
          </w:p>
        </w:tc>
        <w:tc>
          <w:tcPr>
            <w:tcW w:w="2228" w:type="dxa"/>
            <w:tcBorders>
              <w:top w:val="nil"/>
              <w:left w:val="nil"/>
              <w:bottom w:val="single" w:sz="4" w:space="0" w:color="auto"/>
              <w:right w:val="single" w:sz="4" w:space="0" w:color="auto"/>
            </w:tcBorders>
            <w:shd w:val="clear" w:color="auto" w:fill="auto"/>
            <w:vAlign w:val="center"/>
            <w:hideMark/>
          </w:tcPr>
          <w:p w14:paraId="72DCB7F5" w14:textId="0EA78E8F" w:rsidR="004644D9" w:rsidRPr="00A40ED4" w:rsidRDefault="004644D9" w:rsidP="008C675D">
            <w:pPr>
              <w:spacing w:after="0" w:line="240" w:lineRule="auto"/>
              <w:jc w:val="center"/>
              <w:rPr>
                <w:rFonts w:ascii="Calibri" w:eastAsia="Times New Roman" w:hAnsi="Calibri" w:cs="Calibri"/>
                <w:color w:val="000000"/>
                <w:sz w:val="18"/>
                <w:szCs w:val="18"/>
              </w:rPr>
            </w:pPr>
            <w:r w:rsidRPr="00A40ED4">
              <w:rPr>
                <w:rFonts w:ascii="Calibri" w:eastAsia="Times New Roman" w:hAnsi="Calibri" w:cs="Calibri"/>
                <w:color w:val="000000"/>
                <w:sz w:val="18"/>
                <w:szCs w:val="18"/>
              </w:rPr>
              <w:t>0.</w:t>
            </w:r>
            <w:r w:rsidR="008D55D5">
              <w:rPr>
                <w:rFonts w:ascii="Calibri" w:eastAsia="Times New Roman" w:hAnsi="Calibri" w:cs="Calibri"/>
                <w:color w:val="000000"/>
                <w:sz w:val="18"/>
                <w:szCs w:val="18"/>
              </w:rPr>
              <w:t>0</w:t>
            </w:r>
          </w:p>
        </w:tc>
      </w:tr>
    </w:tbl>
    <w:p w14:paraId="04E678C5" w14:textId="77777777" w:rsidR="004644D9" w:rsidRDefault="004644D9" w:rsidP="00A40ED4">
      <w:pPr>
        <w:pStyle w:val="2-Header"/>
        <w:numPr>
          <w:ilvl w:val="0"/>
          <w:numId w:val="0"/>
        </w:numPr>
        <w:ind w:left="576" w:hanging="576"/>
      </w:pPr>
    </w:p>
    <w:p w14:paraId="323F80F8" w14:textId="77777777" w:rsidR="0014775A" w:rsidRDefault="0014775A" w:rsidP="00A40ED4">
      <w:pPr>
        <w:pStyle w:val="2-Header"/>
        <w:numPr>
          <w:ilvl w:val="0"/>
          <w:numId w:val="0"/>
        </w:numPr>
        <w:ind w:left="576" w:hanging="576"/>
      </w:pPr>
    </w:p>
    <w:p w14:paraId="18B3E08E" w14:textId="0C5BED27" w:rsidR="004644D9" w:rsidRPr="00A40ED4" w:rsidRDefault="00195F4D" w:rsidP="000B2554">
      <w:pPr>
        <w:pStyle w:val="2-Header"/>
        <w:numPr>
          <w:ilvl w:val="1"/>
          <w:numId w:val="10"/>
        </w:numPr>
        <w:spacing w:after="160"/>
        <w:rPr>
          <w:rFonts w:asciiTheme="majorHAnsi" w:hAnsiTheme="majorHAnsi"/>
        </w:rPr>
      </w:pPr>
      <w:r>
        <w:rPr>
          <w:rFonts w:asciiTheme="majorHAnsi" w:hAnsiTheme="majorHAnsi"/>
        </w:rPr>
        <w:t xml:space="preserve"> Carbon stock change in d</w:t>
      </w:r>
      <w:r w:rsidR="004644D9" w:rsidRPr="00A40ED4">
        <w:rPr>
          <w:rFonts w:asciiTheme="majorHAnsi" w:hAnsiTheme="majorHAnsi"/>
        </w:rPr>
        <w:t xml:space="preserve">rained organic </w:t>
      </w:r>
      <w:r w:rsidR="006C7DDE">
        <w:rPr>
          <w:rFonts w:asciiTheme="majorHAnsi" w:hAnsiTheme="majorHAnsi"/>
        </w:rPr>
        <w:t xml:space="preserve">settlement </w:t>
      </w:r>
      <w:r w:rsidR="004644D9" w:rsidRPr="00A40ED4">
        <w:rPr>
          <w:rFonts w:asciiTheme="majorHAnsi" w:hAnsiTheme="majorHAnsi"/>
        </w:rPr>
        <w:t xml:space="preserve">soils </w:t>
      </w:r>
    </w:p>
    <w:p w14:paraId="47BA69E6" w14:textId="5E27AE99" w:rsidR="004644D9" w:rsidRDefault="004644D9" w:rsidP="00A40ED4">
      <w:pPr>
        <w:spacing w:line="276" w:lineRule="auto"/>
      </w:pPr>
      <w:r>
        <w:t>Similar to drained organic soil emissions from croplands, estimates of C</w:t>
      </w:r>
      <w:r w:rsidR="008D55D5">
        <w:t>O</w:t>
      </w:r>
      <w:r w:rsidR="008D55D5" w:rsidRPr="008D55D5">
        <w:rPr>
          <w:vertAlign w:val="subscript"/>
        </w:rPr>
        <w:t>2</w:t>
      </w:r>
      <w:r>
        <w:t xml:space="preserve"> emissions from drained organic soils in settlements (1.3 MMT CO</w:t>
      </w:r>
      <w:r w:rsidRPr="00E648E8">
        <w:rPr>
          <w:vertAlign w:val="subscript"/>
        </w:rPr>
        <w:t>2</w:t>
      </w:r>
      <w:r>
        <w:t>e) follow a Tier 2 methodology and use the U.S.-specific emissions factors for cropland because settlement organic soils are assumed to have similar C</w:t>
      </w:r>
      <w:r w:rsidR="008D55D5">
        <w:t>O</w:t>
      </w:r>
      <w:r w:rsidR="008D55D5" w:rsidRPr="008D55D5">
        <w:rPr>
          <w:vertAlign w:val="subscript"/>
        </w:rPr>
        <w:t>2</w:t>
      </w:r>
      <w:r>
        <w:t xml:space="preserve"> emissions rates as croplands</w:t>
      </w:r>
      <w:r w:rsidR="008D55D5">
        <w:t xml:space="preserve"> (NGHGI, 2018)</w:t>
      </w:r>
      <w:r>
        <w:t xml:space="preserve">. Settlement organic soil area, calculated from the NLCD and the 2012 NRI, is multiplied by IPCC default emission factors to estimate net carbon stock change. Uncertainty is </w:t>
      </w:r>
      <w:r w:rsidR="008D55D5">
        <w:t>estimated</w:t>
      </w:r>
      <w:r>
        <w:t xml:space="preserve"> through Monte Carlo analysis. Emissions from 2013 to 2016 are estimated using linear extrapolation </w:t>
      </w:r>
      <w:r w:rsidR="0014775A">
        <w:t xml:space="preserve">due to lack of </w:t>
      </w:r>
      <w:r>
        <w:t xml:space="preserve">NRI activity data </w:t>
      </w:r>
      <w:r w:rsidR="0014775A">
        <w:t>(NGHGI, 2018)</w:t>
      </w:r>
      <w:r>
        <w:t xml:space="preserve">. </w:t>
      </w:r>
    </w:p>
    <w:p w14:paraId="2F2B8B10" w14:textId="14A70BE3" w:rsidR="004644D9" w:rsidRDefault="008D55D5" w:rsidP="004644D9">
      <w:r>
        <w:t xml:space="preserve">Due to the small </w:t>
      </w:r>
      <w:r w:rsidR="004644D9">
        <w:t>contribution of C</w:t>
      </w:r>
      <w:r>
        <w:t>O</w:t>
      </w:r>
      <w:r w:rsidRPr="008D55D5">
        <w:rPr>
          <w:vertAlign w:val="subscript"/>
        </w:rPr>
        <w:t>2</w:t>
      </w:r>
      <w:r w:rsidR="004644D9" w:rsidRPr="00455E92">
        <w:t xml:space="preserve"> fluxes from </w:t>
      </w:r>
      <w:r w:rsidR="004644D9">
        <w:t xml:space="preserve">drained organic soils </w:t>
      </w:r>
      <w:r w:rsidR="004644D9" w:rsidRPr="00A40ED4">
        <w:t xml:space="preserve">(Table </w:t>
      </w:r>
      <w:r w:rsidR="007D6D6E">
        <w:t>2</w:t>
      </w:r>
      <w:r w:rsidR="005F6840">
        <w:t>-3</w:t>
      </w:r>
      <w:r w:rsidR="0014775A">
        <w:t>6</w:t>
      </w:r>
      <w:r w:rsidR="004644D9" w:rsidRPr="00A40ED4">
        <w:t>)</w:t>
      </w:r>
      <w:r w:rsidRPr="00540E7C">
        <w:t>,</w:t>
      </w:r>
      <w:r>
        <w:t xml:space="preserve"> we did not perform uncertainty attribution analysis beyond what is reported in the NGHGI (2018).</w:t>
      </w:r>
    </w:p>
    <w:p w14:paraId="13B9C24C" w14:textId="677FC46D" w:rsidR="004644D9" w:rsidRDefault="004644D9" w:rsidP="004644D9">
      <w:pPr>
        <w:spacing w:after="0" w:line="276" w:lineRule="auto"/>
        <w:rPr>
          <w:b/>
        </w:rPr>
      </w:pPr>
      <w:r w:rsidRPr="00A40ED4">
        <w:rPr>
          <w:b/>
          <w:i/>
          <w:iCs/>
          <w:color w:val="44546A" w:themeColor="text2"/>
        </w:rPr>
        <w:t xml:space="preserve">Table </w:t>
      </w:r>
      <w:r w:rsidR="007D6D6E">
        <w:rPr>
          <w:b/>
          <w:i/>
          <w:iCs/>
          <w:color w:val="44546A" w:themeColor="text2"/>
        </w:rPr>
        <w:t>2</w:t>
      </w:r>
      <w:r w:rsidR="005F6840">
        <w:rPr>
          <w:b/>
          <w:i/>
          <w:iCs/>
          <w:color w:val="44546A" w:themeColor="text2"/>
        </w:rPr>
        <w:t>-</w:t>
      </w:r>
      <w:r w:rsidR="00A40ED4" w:rsidRPr="00A40ED4">
        <w:rPr>
          <w:b/>
          <w:i/>
          <w:iCs/>
          <w:color w:val="44546A" w:themeColor="text2"/>
        </w:rPr>
        <w:t>3</w:t>
      </w:r>
      <w:r w:rsidR="0014775A">
        <w:rPr>
          <w:b/>
          <w:i/>
          <w:iCs/>
          <w:color w:val="44546A" w:themeColor="text2"/>
        </w:rPr>
        <w:t>6</w:t>
      </w:r>
      <w:r w:rsidRPr="00A40ED4">
        <w:rPr>
          <w:b/>
          <w:i/>
          <w:iCs/>
          <w:color w:val="44546A" w:themeColor="text2"/>
        </w:rPr>
        <w:t>:</w:t>
      </w:r>
      <w:r w:rsidR="004835A2">
        <w:rPr>
          <w:b/>
          <w:i/>
          <w:iCs/>
          <w:color w:val="44546A" w:themeColor="text2"/>
        </w:rPr>
        <w:t xml:space="preserve"> RESULTS – Contribution to</w:t>
      </w:r>
      <w:r w:rsidRPr="00A40ED4">
        <w:rPr>
          <w:b/>
          <w:i/>
          <w:iCs/>
          <w:color w:val="44546A" w:themeColor="text2"/>
        </w:rPr>
        <w:t xml:space="preserve"> </w:t>
      </w:r>
      <w:r w:rsidR="004835A2">
        <w:rPr>
          <w:b/>
          <w:i/>
          <w:iCs/>
          <w:color w:val="44546A" w:themeColor="text2"/>
        </w:rPr>
        <w:t>u</w:t>
      </w:r>
      <w:r w:rsidRPr="00A40ED4">
        <w:rPr>
          <w:b/>
          <w:i/>
          <w:iCs/>
          <w:color w:val="44546A" w:themeColor="text2"/>
        </w:rPr>
        <w:t>ncertainty for drained organic soil in settlements</w:t>
      </w:r>
    </w:p>
    <w:tbl>
      <w:tblPr>
        <w:tblW w:w="9180" w:type="dxa"/>
        <w:tblInd w:w="-5" w:type="dxa"/>
        <w:tblLook w:val="04A0" w:firstRow="1" w:lastRow="0" w:firstColumn="1" w:lastColumn="0" w:noHBand="0" w:noVBand="1"/>
      </w:tblPr>
      <w:tblGrid>
        <w:gridCol w:w="2700"/>
        <w:gridCol w:w="1890"/>
        <w:gridCol w:w="2295"/>
        <w:gridCol w:w="2295"/>
      </w:tblGrid>
      <w:tr w:rsidR="00A40ED4" w:rsidRPr="00A40ED4" w14:paraId="7FB9AB9D" w14:textId="77777777" w:rsidTr="00A40ED4">
        <w:trPr>
          <w:trHeight w:val="957"/>
        </w:trPr>
        <w:tc>
          <w:tcPr>
            <w:tcW w:w="2700"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85F8B64" w14:textId="77777777" w:rsidR="00A40ED4" w:rsidRPr="00A40ED4" w:rsidRDefault="00A40ED4" w:rsidP="00A40ED4">
            <w:pPr>
              <w:spacing w:after="0" w:line="240" w:lineRule="auto"/>
              <w:jc w:val="center"/>
              <w:rPr>
                <w:rFonts w:ascii="Calibri" w:eastAsia="Times New Roman" w:hAnsi="Calibri" w:cs="Calibri"/>
                <w:b/>
                <w:bCs/>
                <w:color w:val="000000"/>
                <w:sz w:val="18"/>
                <w:szCs w:val="18"/>
              </w:rPr>
            </w:pPr>
            <w:r w:rsidRPr="00A40ED4">
              <w:rPr>
                <w:rFonts w:ascii="Calibri" w:eastAsia="Times New Roman" w:hAnsi="Calibri" w:cs="Calibri"/>
                <w:b/>
                <w:bCs/>
                <w:color w:val="000000"/>
                <w:sz w:val="18"/>
                <w:szCs w:val="18"/>
              </w:rPr>
              <w:t>Variable held constant</w:t>
            </w:r>
          </w:p>
        </w:tc>
        <w:tc>
          <w:tcPr>
            <w:tcW w:w="1890"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6473547E" w14:textId="77777777" w:rsidR="00A40ED4" w:rsidRPr="00A40ED4" w:rsidRDefault="00A40ED4" w:rsidP="00A40ED4">
            <w:pPr>
              <w:spacing w:after="0" w:line="240" w:lineRule="auto"/>
              <w:jc w:val="center"/>
              <w:rPr>
                <w:rFonts w:ascii="Calibri" w:eastAsia="Times New Roman" w:hAnsi="Calibri" w:cs="Calibri"/>
                <w:b/>
                <w:bCs/>
                <w:color w:val="000000"/>
                <w:sz w:val="18"/>
                <w:szCs w:val="18"/>
              </w:rPr>
            </w:pPr>
            <w:r w:rsidRPr="00A40ED4">
              <w:rPr>
                <w:rFonts w:ascii="Calibri" w:eastAsia="Times New Roman" w:hAnsi="Calibri" w:cs="Calibri"/>
                <w:b/>
                <w:bCs/>
                <w:color w:val="000000"/>
                <w:sz w:val="18"/>
                <w:szCs w:val="18"/>
              </w:rPr>
              <w:t>Range of 95% confidence interval (MMT CO</w:t>
            </w:r>
            <w:r w:rsidRPr="00A40ED4">
              <w:rPr>
                <w:rFonts w:ascii="Calibri" w:eastAsia="Times New Roman" w:hAnsi="Calibri" w:cs="Calibri"/>
                <w:b/>
                <w:bCs/>
                <w:color w:val="000000"/>
                <w:sz w:val="18"/>
                <w:szCs w:val="18"/>
                <w:vertAlign w:val="subscript"/>
              </w:rPr>
              <w:t>2</w:t>
            </w:r>
            <w:r w:rsidRPr="00A40ED4">
              <w:rPr>
                <w:rFonts w:ascii="Calibri" w:eastAsia="Times New Roman" w:hAnsi="Calibri" w:cs="Calibri"/>
                <w:b/>
                <w:bCs/>
                <w:color w:val="000000"/>
                <w:sz w:val="18"/>
                <w:szCs w:val="18"/>
              </w:rPr>
              <w:t>e)</w:t>
            </w:r>
          </w:p>
        </w:tc>
        <w:tc>
          <w:tcPr>
            <w:tcW w:w="2295"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77D4575" w14:textId="77777777" w:rsidR="00A40ED4" w:rsidRPr="00A40ED4" w:rsidRDefault="00A40ED4" w:rsidP="00A40ED4">
            <w:pPr>
              <w:spacing w:after="0" w:line="240" w:lineRule="auto"/>
              <w:jc w:val="center"/>
              <w:rPr>
                <w:rFonts w:ascii="Calibri" w:eastAsia="Times New Roman" w:hAnsi="Calibri" w:cs="Calibri"/>
                <w:b/>
                <w:bCs/>
                <w:color w:val="000000"/>
                <w:sz w:val="18"/>
                <w:szCs w:val="18"/>
              </w:rPr>
            </w:pPr>
            <w:r w:rsidRPr="00A40ED4">
              <w:rPr>
                <w:rFonts w:ascii="Calibri" w:eastAsia="Times New Roman" w:hAnsi="Calibri" w:cs="Calibri"/>
                <w:b/>
                <w:bCs/>
                <w:color w:val="000000"/>
                <w:sz w:val="18"/>
                <w:szCs w:val="18"/>
              </w:rPr>
              <w:t>Contribution to uncertainty (%)</w:t>
            </w:r>
          </w:p>
        </w:tc>
        <w:tc>
          <w:tcPr>
            <w:tcW w:w="2295" w:type="dxa"/>
            <w:tcBorders>
              <w:top w:val="single" w:sz="4" w:space="0" w:color="auto"/>
              <w:left w:val="nil"/>
              <w:bottom w:val="single" w:sz="4" w:space="0" w:color="auto"/>
              <w:right w:val="single" w:sz="4" w:space="0" w:color="auto"/>
            </w:tcBorders>
            <w:shd w:val="clear" w:color="auto" w:fill="FFC000" w:themeFill="accent4"/>
            <w:vAlign w:val="center"/>
            <w:hideMark/>
          </w:tcPr>
          <w:p w14:paraId="5BDE719E" w14:textId="10E6258F" w:rsidR="00A40ED4" w:rsidRPr="00A40ED4" w:rsidRDefault="00A40ED4" w:rsidP="00A40ED4">
            <w:pPr>
              <w:spacing w:after="0" w:line="240" w:lineRule="auto"/>
              <w:jc w:val="center"/>
              <w:rPr>
                <w:rFonts w:ascii="Calibri" w:eastAsia="Times New Roman" w:hAnsi="Calibri" w:cs="Calibri"/>
                <w:b/>
                <w:bCs/>
                <w:color w:val="000000"/>
                <w:sz w:val="18"/>
                <w:szCs w:val="18"/>
              </w:rPr>
            </w:pPr>
            <w:r w:rsidRPr="00A40ED4">
              <w:rPr>
                <w:rFonts w:ascii="Calibri" w:eastAsia="Times New Roman" w:hAnsi="Calibri" w:cs="Calibri"/>
                <w:b/>
                <w:bCs/>
                <w:color w:val="000000"/>
                <w:sz w:val="18"/>
                <w:szCs w:val="18"/>
              </w:rPr>
              <w:t>Contribution to uncertainty (MMT CO</w:t>
            </w:r>
            <w:r w:rsidRPr="00A40ED4">
              <w:rPr>
                <w:rFonts w:ascii="Calibri" w:eastAsia="Times New Roman" w:hAnsi="Calibri" w:cs="Calibri"/>
                <w:b/>
                <w:bCs/>
                <w:color w:val="000000"/>
                <w:sz w:val="18"/>
                <w:szCs w:val="18"/>
                <w:vertAlign w:val="subscript"/>
              </w:rPr>
              <w:t>2</w:t>
            </w:r>
            <w:r w:rsidRPr="00A40ED4">
              <w:rPr>
                <w:rFonts w:ascii="Calibri" w:eastAsia="Times New Roman" w:hAnsi="Calibri" w:cs="Calibri"/>
                <w:b/>
                <w:bCs/>
                <w:color w:val="000000"/>
                <w:sz w:val="18"/>
                <w:szCs w:val="18"/>
              </w:rPr>
              <w:t>e)</w:t>
            </w:r>
          </w:p>
        </w:tc>
      </w:tr>
      <w:tr w:rsidR="004644D9" w:rsidRPr="00A40ED4" w14:paraId="7DFD445D" w14:textId="77777777" w:rsidTr="00A40ED4">
        <w:trPr>
          <w:trHeight w:val="288"/>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1BA0F122" w14:textId="4CAA1A82" w:rsidR="004644D9" w:rsidRPr="00A40ED4" w:rsidRDefault="00A40ED4" w:rsidP="00A40ED4">
            <w:pPr>
              <w:spacing w:after="0" w:line="240" w:lineRule="auto"/>
              <w:rPr>
                <w:rFonts w:ascii="Calibri" w:eastAsia="Times New Roman" w:hAnsi="Calibri" w:cs="Calibri"/>
                <w:b/>
                <w:bCs/>
                <w:color w:val="000000"/>
                <w:sz w:val="18"/>
                <w:szCs w:val="18"/>
              </w:rPr>
            </w:pPr>
            <w:r>
              <w:rPr>
                <w:rFonts w:ascii="Calibri" w:eastAsia="Times New Roman" w:hAnsi="Calibri" w:cs="Calibri"/>
                <w:b/>
                <w:bCs/>
                <w:color w:val="000000"/>
                <w:sz w:val="18"/>
                <w:szCs w:val="18"/>
              </w:rPr>
              <w:t>Drained o</w:t>
            </w:r>
            <w:r w:rsidR="004644D9" w:rsidRPr="00A40ED4">
              <w:rPr>
                <w:rFonts w:ascii="Calibri" w:eastAsia="Times New Roman" w:hAnsi="Calibri" w:cs="Calibri"/>
                <w:b/>
                <w:bCs/>
                <w:color w:val="000000"/>
                <w:sz w:val="18"/>
                <w:szCs w:val="18"/>
              </w:rPr>
              <w:t>rganic settlement soil</w:t>
            </w:r>
          </w:p>
        </w:tc>
        <w:tc>
          <w:tcPr>
            <w:tcW w:w="1890" w:type="dxa"/>
            <w:tcBorders>
              <w:top w:val="nil"/>
              <w:left w:val="nil"/>
              <w:bottom w:val="single" w:sz="4" w:space="0" w:color="auto"/>
              <w:right w:val="single" w:sz="4" w:space="0" w:color="auto"/>
            </w:tcBorders>
            <w:shd w:val="clear" w:color="auto" w:fill="auto"/>
            <w:vAlign w:val="center"/>
            <w:hideMark/>
          </w:tcPr>
          <w:p w14:paraId="084F6F3C" w14:textId="5E1A6F24" w:rsidR="004644D9" w:rsidRPr="00A40ED4" w:rsidRDefault="004644D9" w:rsidP="00A40ED4">
            <w:pPr>
              <w:spacing w:after="0" w:line="240" w:lineRule="auto"/>
              <w:jc w:val="center"/>
              <w:rPr>
                <w:rFonts w:ascii="Calibri" w:eastAsia="Times New Roman" w:hAnsi="Calibri" w:cs="Calibri"/>
                <w:color w:val="000000"/>
                <w:sz w:val="18"/>
                <w:szCs w:val="18"/>
              </w:rPr>
            </w:pPr>
            <w:r w:rsidRPr="00A40ED4">
              <w:rPr>
                <w:rFonts w:ascii="Calibri" w:eastAsia="Times New Roman" w:hAnsi="Calibri" w:cs="Calibri"/>
                <w:color w:val="000000"/>
                <w:sz w:val="18"/>
                <w:szCs w:val="18"/>
              </w:rPr>
              <w:t>1</w:t>
            </w:r>
            <w:r w:rsidR="008D55D5">
              <w:rPr>
                <w:rFonts w:ascii="Calibri" w:eastAsia="Times New Roman" w:hAnsi="Calibri" w:cs="Calibri"/>
                <w:color w:val="000000"/>
                <w:sz w:val="18"/>
                <w:szCs w:val="18"/>
              </w:rPr>
              <w:t>.0</w:t>
            </w:r>
          </w:p>
        </w:tc>
        <w:tc>
          <w:tcPr>
            <w:tcW w:w="2295" w:type="dxa"/>
            <w:tcBorders>
              <w:top w:val="nil"/>
              <w:left w:val="nil"/>
              <w:bottom w:val="single" w:sz="4" w:space="0" w:color="auto"/>
              <w:right w:val="single" w:sz="4" w:space="0" w:color="auto"/>
            </w:tcBorders>
            <w:shd w:val="clear" w:color="auto" w:fill="auto"/>
            <w:vAlign w:val="center"/>
            <w:hideMark/>
          </w:tcPr>
          <w:p w14:paraId="6A6B0804" w14:textId="77777777" w:rsidR="004644D9" w:rsidRPr="00A40ED4" w:rsidRDefault="004644D9" w:rsidP="00A40ED4">
            <w:pPr>
              <w:spacing w:after="0" w:line="240" w:lineRule="auto"/>
              <w:jc w:val="center"/>
              <w:rPr>
                <w:rFonts w:ascii="Calibri" w:eastAsia="Times New Roman" w:hAnsi="Calibri" w:cs="Calibri"/>
                <w:color w:val="000000"/>
                <w:sz w:val="18"/>
                <w:szCs w:val="18"/>
              </w:rPr>
            </w:pPr>
            <w:r w:rsidRPr="00A40ED4">
              <w:rPr>
                <w:rFonts w:ascii="Calibri" w:eastAsia="Times New Roman" w:hAnsi="Calibri" w:cs="Calibri"/>
                <w:color w:val="000000"/>
                <w:sz w:val="18"/>
                <w:szCs w:val="18"/>
              </w:rPr>
              <w:t>--</w:t>
            </w:r>
          </w:p>
        </w:tc>
        <w:tc>
          <w:tcPr>
            <w:tcW w:w="2295" w:type="dxa"/>
            <w:tcBorders>
              <w:top w:val="single" w:sz="4" w:space="0" w:color="auto"/>
              <w:left w:val="nil"/>
              <w:bottom w:val="single" w:sz="4" w:space="0" w:color="auto"/>
              <w:right w:val="single" w:sz="4" w:space="0" w:color="auto"/>
            </w:tcBorders>
            <w:shd w:val="clear" w:color="auto" w:fill="auto"/>
            <w:vAlign w:val="center"/>
            <w:hideMark/>
          </w:tcPr>
          <w:p w14:paraId="271F7CA3" w14:textId="6119EF1D" w:rsidR="004644D9" w:rsidRPr="00A40ED4" w:rsidRDefault="00A40ED4" w:rsidP="00A40ED4">
            <w:pPr>
              <w:spacing w:after="0" w:line="240" w:lineRule="auto"/>
              <w:jc w:val="center"/>
              <w:rPr>
                <w:rFonts w:ascii="Calibri" w:eastAsia="Times New Roman" w:hAnsi="Calibri" w:cs="Calibri"/>
                <w:color w:val="000000"/>
                <w:sz w:val="18"/>
                <w:szCs w:val="18"/>
              </w:rPr>
            </w:pPr>
            <w:r w:rsidRPr="00A40ED4">
              <w:rPr>
                <w:rFonts w:ascii="Calibri" w:eastAsia="Times New Roman" w:hAnsi="Calibri" w:cs="Calibri"/>
                <w:color w:val="000000"/>
                <w:sz w:val="18"/>
                <w:szCs w:val="18"/>
              </w:rPr>
              <w:t>1</w:t>
            </w:r>
            <w:r w:rsidR="008D55D5">
              <w:rPr>
                <w:rFonts w:ascii="Calibri" w:eastAsia="Times New Roman" w:hAnsi="Calibri" w:cs="Calibri"/>
                <w:color w:val="000000"/>
                <w:sz w:val="18"/>
                <w:szCs w:val="18"/>
              </w:rPr>
              <w:t>.0</w:t>
            </w:r>
          </w:p>
        </w:tc>
      </w:tr>
    </w:tbl>
    <w:p w14:paraId="4C08AE0D" w14:textId="1EF72188" w:rsidR="007D6037" w:rsidRDefault="008D55D5" w:rsidP="000B2554">
      <w:pPr>
        <w:pStyle w:val="Heading2"/>
        <w:numPr>
          <w:ilvl w:val="1"/>
          <w:numId w:val="10"/>
        </w:numPr>
      </w:pPr>
      <w:bookmarkStart w:id="265" w:name="_Toc67835583"/>
      <w:bookmarkStart w:id="266" w:name="_Toc67835687"/>
      <w:bookmarkStart w:id="267" w:name="_Toc67835584"/>
      <w:bookmarkStart w:id="268" w:name="_Toc67835688"/>
      <w:bookmarkEnd w:id="265"/>
      <w:bookmarkEnd w:id="266"/>
      <w:bookmarkEnd w:id="267"/>
      <w:bookmarkEnd w:id="268"/>
      <w:r>
        <w:lastRenderedPageBreak/>
        <w:t>Omitted GHG flux</w:t>
      </w:r>
      <w:r w:rsidR="00210381">
        <w:t xml:space="preserve"> –</w:t>
      </w:r>
      <w:r w:rsidR="00195F4D">
        <w:t xml:space="preserve"> Carbon stock change in settlement </w:t>
      </w:r>
      <w:r w:rsidR="00A40ED4">
        <w:t>m</w:t>
      </w:r>
      <w:r w:rsidR="00D16FD2">
        <w:t xml:space="preserve">ineral </w:t>
      </w:r>
      <w:r w:rsidR="00210381">
        <w:t>soils</w:t>
      </w:r>
    </w:p>
    <w:p w14:paraId="61E86A4E" w14:textId="5C495521" w:rsidR="008A692F" w:rsidRPr="00A40ED4" w:rsidRDefault="007D6037" w:rsidP="00A40ED4">
      <w:pPr>
        <w:pStyle w:val="2-Header"/>
        <w:numPr>
          <w:ilvl w:val="0"/>
          <w:numId w:val="0"/>
        </w:numPr>
        <w:spacing w:before="240"/>
        <w:rPr>
          <w:rStyle w:val="Strong"/>
          <w:b w:val="0"/>
        </w:rPr>
      </w:pPr>
      <w:r w:rsidRPr="00A40ED4">
        <w:rPr>
          <w:rStyle w:val="Strong"/>
          <w:b w:val="0"/>
        </w:rPr>
        <w:t>NGHGI Methods</w:t>
      </w:r>
    </w:p>
    <w:p w14:paraId="6F866F05" w14:textId="08E37ACF" w:rsidR="00A40ED4" w:rsidRDefault="00A40ED4" w:rsidP="00A40ED4">
      <w:r>
        <w:t xml:space="preserve">The NGHGI does not include an estimation of </w:t>
      </w:r>
      <w:r w:rsidR="008D55D5">
        <w:t xml:space="preserve">GHG </w:t>
      </w:r>
      <w:r>
        <w:t xml:space="preserve">fluxes from mineral soils in </w:t>
      </w:r>
      <w:r>
        <w:rPr>
          <w:i/>
        </w:rPr>
        <w:t>Settlements Remaining Settlements,</w:t>
      </w:r>
      <w:r>
        <w:t xml:space="preserve"> </w:t>
      </w:r>
      <w:r w:rsidR="0014775A">
        <w:t xml:space="preserve">citing a lack of activity data and emissions factors, </w:t>
      </w:r>
      <w:r>
        <w:t xml:space="preserve">despite the fact that mineral soils in the </w:t>
      </w:r>
      <w:r w:rsidR="007D6D6E">
        <w:t xml:space="preserve">United States </w:t>
      </w:r>
      <w:r>
        <w:t xml:space="preserve">account for more than 99.75% of land area. Omitting carbon stock changes in settlement mineral soils is consistent with IPCC (2006) guidance. </w:t>
      </w:r>
      <w:r w:rsidR="0014775A">
        <w:t>T</w:t>
      </w:r>
      <w:r>
        <w:t xml:space="preserve">he </w:t>
      </w:r>
      <w:r w:rsidR="008D55D5">
        <w:t xml:space="preserve">NGHGI (2018) </w:t>
      </w:r>
      <w:r w:rsidR="0014775A">
        <w:t xml:space="preserve">does </w:t>
      </w:r>
      <w:r>
        <w:t xml:space="preserve">estimate mineral soil fluxes for </w:t>
      </w:r>
      <w:r>
        <w:rPr>
          <w:i/>
        </w:rPr>
        <w:t>Land Converted to Settlements</w:t>
      </w:r>
      <w:r>
        <w:t xml:space="preserve">.  </w:t>
      </w:r>
    </w:p>
    <w:p w14:paraId="5CDC22AB" w14:textId="3388462B" w:rsidR="008A692F" w:rsidRPr="00A40ED4" w:rsidRDefault="002223BB" w:rsidP="00A40ED4">
      <w:pPr>
        <w:pStyle w:val="2-Header"/>
        <w:numPr>
          <w:ilvl w:val="0"/>
          <w:numId w:val="0"/>
        </w:numPr>
        <w:rPr>
          <w:rStyle w:val="Strong"/>
          <w:b w:val="0"/>
        </w:rPr>
      </w:pPr>
      <w:r w:rsidRPr="00A40ED4">
        <w:rPr>
          <w:rStyle w:val="Strong"/>
          <w:b w:val="0"/>
        </w:rPr>
        <w:t>Project Methods</w:t>
      </w:r>
    </w:p>
    <w:p w14:paraId="77D10D16" w14:textId="19642456" w:rsidR="00A40ED4" w:rsidRDefault="00A40ED4" w:rsidP="00A40ED4">
      <w:r>
        <w:t xml:space="preserve">IPCC </w:t>
      </w:r>
      <w:r w:rsidR="0014775A">
        <w:t xml:space="preserve">(2006) </w:t>
      </w:r>
      <w:r>
        <w:t xml:space="preserve">guidance indicates there is insufficient data for developing emissions factors for settlement mineral soil Tier 1 or 2 estimation. We use methods consistent with IPCC </w:t>
      </w:r>
      <w:r w:rsidR="00896232">
        <w:t xml:space="preserve">(2006) </w:t>
      </w:r>
      <w:r>
        <w:t xml:space="preserve">guidance </w:t>
      </w:r>
      <w:r w:rsidR="00896232">
        <w:t xml:space="preserve">and Tier 2 </w:t>
      </w:r>
      <w:r w:rsidR="0014775A">
        <w:t xml:space="preserve">parameters </w:t>
      </w:r>
      <w:r w:rsidR="00896232">
        <w:t xml:space="preserve">(NGHGI 2018, Table A-215) </w:t>
      </w:r>
      <w:r>
        <w:t xml:space="preserve">for </w:t>
      </w:r>
      <w:r w:rsidR="002548BA">
        <w:t xml:space="preserve">low input </w:t>
      </w:r>
      <w:r>
        <w:t>cropland mineral soils</w:t>
      </w:r>
      <w:r w:rsidR="0014775A">
        <w:t>.</w:t>
      </w:r>
      <w:r>
        <w:t xml:space="preserve"> </w:t>
      </w:r>
      <w:r w:rsidR="002548BA">
        <w:t xml:space="preserve">Our assumptions </w:t>
      </w:r>
      <w:r w:rsidR="0014775A">
        <w:t xml:space="preserve">are </w:t>
      </w:r>
      <w:r>
        <w:t xml:space="preserve">summarized in Table </w:t>
      </w:r>
      <w:r w:rsidR="007D6D6E">
        <w:t>2</w:t>
      </w:r>
      <w:r w:rsidR="005F6840">
        <w:t>-</w:t>
      </w:r>
      <w:r>
        <w:t>3</w:t>
      </w:r>
      <w:r w:rsidR="0014775A">
        <w:t>7</w:t>
      </w:r>
      <w:r>
        <w:t xml:space="preserve">. Reference carbon stocks </w:t>
      </w:r>
      <w:r w:rsidR="0014775A">
        <w:t>are based on</w:t>
      </w:r>
      <w:r>
        <w:t xml:space="preserve"> low clay activity mineral soils in cold temperate, dry climates</w:t>
      </w:r>
      <w:r w:rsidR="0014775A">
        <w:t>.</w:t>
      </w:r>
      <w:r>
        <w:t xml:space="preserve"> </w:t>
      </w:r>
      <w:r w:rsidR="0014775A">
        <w:t>A m</w:t>
      </w:r>
      <w:r>
        <w:t xml:space="preserve">anagement stock change factor of 0.9 was used, consistent with low input cropland. </w:t>
      </w:r>
      <w:r w:rsidR="00687516">
        <w:t>Settlement land area</w:t>
      </w:r>
      <w:r w:rsidR="0014775A">
        <w:t>, consistent with</w:t>
      </w:r>
      <w:r w:rsidR="008D55D5">
        <w:t xml:space="preserve"> the u</w:t>
      </w:r>
      <w:r>
        <w:t xml:space="preserve">rban </w:t>
      </w:r>
      <w:r w:rsidR="008D55D5">
        <w:t>t</w:t>
      </w:r>
      <w:r>
        <w:t xml:space="preserve">rees </w:t>
      </w:r>
      <w:r w:rsidR="0014775A">
        <w:t xml:space="preserve">inventory category, </w:t>
      </w:r>
      <w:r>
        <w:t>was multiplied by th</w:t>
      </w:r>
      <w:r w:rsidR="0014775A">
        <w:t>e resulting</w:t>
      </w:r>
      <w:r>
        <w:t xml:space="preserve"> emissions factor to estimate </w:t>
      </w:r>
      <w:r w:rsidR="0014775A">
        <w:t>the CO</w:t>
      </w:r>
      <w:r w:rsidR="0014775A" w:rsidRPr="003B4036">
        <w:rPr>
          <w:vertAlign w:val="subscript"/>
        </w:rPr>
        <w:t>2</w:t>
      </w:r>
      <w:r w:rsidR="0014775A">
        <w:t xml:space="preserve"> flux from settlement mineral soils. </w:t>
      </w:r>
    </w:p>
    <w:p w14:paraId="29F0044C" w14:textId="31D2BD9A" w:rsidR="00A40ED4" w:rsidRPr="00A40ED4" w:rsidRDefault="00A40ED4" w:rsidP="00A40ED4">
      <w:pPr>
        <w:pStyle w:val="Caption"/>
        <w:keepNext/>
        <w:rPr>
          <w:b/>
          <w:sz w:val="22"/>
          <w:szCs w:val="22"/>
        </w:rPr>
      </w:pPr>
      <w:r w:rsidRPr="00A40ED4">
        <w:rPr>
          <w:b/>
          <w:sz w:val="22"/>
          <w:szCs w:val="22"/>
        </w:rPr>
        <w:t xml:space="preserve">Table </w:t>
      </w:r>
      <w:r w:rsidR="007D6D6E">
        <w:rPr>
          <w:b/>
          <w:sz w:val="22"/>
          <w:szCs w:val="22"/>
        </w:rPr>
        <w:t>2</w:t>
      </w:r>
      <w:r w:rsidR="005F6840">
        <w:rPr>
          <w:b/>
          <w:sz w:val="22"/>
          <w:szCs w:val="22"/>
        </w:rPr>
        <w:t>-</w:t>
      </w:r>
      <w:r w:rsidR="0014775A" w:rsidRPr="00A40ED4">
        <w:rPr>
          <w:b/>
          <w:sz w:val="22"/>
          <w:szCs w:val="22"/>
        </w:rPr>
        <w:t>3</w:t>
      </w:r>
      <w:r w:rsidR="0014775A">
        <w:rPr>
          <w:b/>
          <w:sz w:val="22"/>
          <w:szCs w:val="22"/>
        </w:rPr>
        <w:t>7</w:t>
      </w:r>
      <w:r w:rsidRPr="00A40ED4">
        <w:rPr>
          <w:b/>
          <w:sz w:val="22"/>
          <w:szCs w:val="22"/>
        </w:rPr>
        <w:t>: Input</w:t>
      </w:r>
      <w:r w:rsidR="0014775A">
        <w:rPr>
          <w:b/>
          <w:sz w:val="22"/>
          <w:szCs w:val="22"/>
        </w:rPr>
        <w:t>s</w:t>
      </w:r>
      <w:r w:rsidRPr="00A40ED4">
        <w:rPr>
          <w:b/>
          <w:sz w:val="22"/>
          <w:szCs w:val="22"/>
        </w:rPr>
        <w:t xml:space="preserve"> for </w:t>
      </w:r>
      <w:r w:rsidR="0014775A">
        <w:rPr>
          <w:b/>
          <w:sz w:val="22"/>
          <w:szCs w:val="22"/>
        </w:rPr>
        <w:t>carbon stock change in settlement mineral soils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5"/>
        <w:gridCol w:w="1890"/>
        <w:gridCol w:w="1170"/>
        <w:gridCol w:w="2785"/>
      </w:tblGrid>
      <w:tr w:rsidR="00A40ED4" w:rsidRPr="00A40ED4" w14:paraId="2CC00491" w14:textId="77777777" w:rsidTr="002548BA">
        <w:trPr>
          <w:cantSplit/>
          <w:trHeight w:val="350"/>
          <w:tblHeader/>
        </w:trPr>
        <w:tc>
          <w:tcPr>
            <w:tcW w:w="350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7E1A276" w14:textId="7BFE4D9F" w:rsidR="00A40ED4" w:rsidRPr="00A40ED4" w:rsidRDefault="002548BA" w:rsidP="00415970">
            <w:pPr>
              <w:spacing w:after="0" w:line="240" w:lineRule="auto"/>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Input</w:t>
            </w:r>
          </w:p>
        </w:tc>
        <w:tc>
          <w:tcPr>
            <w:tcW w:w="1890"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26227451" w14:textId="77777777" w:rsidR="00A40ED4" w:rsidRPr="00A40ED4" w:rsidRDefault="00A40ED4" w:rsidP="00415970">
            <w:pPr>
              <w:spacing w:after="0" w:line="240" w:lineRule="auto"/>
              <w:jc w:val="center"/>
              <w:rPr>
                <w:rFonts w:ascii="Calibri" w:eastAsia="Times New Roman" w:hAnsi="Calibri" w:cs="Calibri"/>
                <w:b/>
                <w:color w:val="000000"/>
                <w:sz w:val="18"/>
                <w:szCs w:val="18"/>
              </w:rPr>
            </w:pPr>
            <w:r w:rsidRPr="00A40ED4">
              <w:rPr>
                <w:rFonts w:ascii="Calibri" w:eastAsia="Times New Roman" w:hAnsi="Calibri" w:cs="Calibri"/>
                <w:b/>
                <w:color w:val="000000"/>
                <w:sz w:val="18"/>
                <w:szCs w:val="18"/>
              </w:rPr>
              <w:t>Units</w:t>
            </w:r>
          </w:p>
        </w:tc>
        <w:tc>
          <w:tcPr>
            <w:tcW w:w="1170" w:type="dxa"/>
            <w:tcBorders>
              <w:top w:val="single" w:sz="4" w:space="0" w:color="auto"/>
              <w:left w:val="single" w:sz="4" w:space="0" w:color="auto"/>
              <w:bottom w:val="single" w:sz="4" w:space="0" w:color="auto"/>
              <w:right w:val="single" w:sz="4" w:space="0" w:color="auto"/>
            </w:tcBorders>
            <w:shd w:val="clear" w:color="auto" w:fill="FFC000"/>
            <w:vAlign w:val="center"/>
          </w:tcPr>
          <w:p w14:paraId="12D50D30" w14:textId="77777777" w:rsidR="00A40ED4" w:rsidRPr="00A40ED4" w:rsidRDefault="00A40ED4" w:rsidP="00415970">
            <w:pPr>
              <w:spacing w:after="0" w:line="240" w:lineRule="auto"/>
              <w:jc w:val="center"/>
              <w:rPr>
                <w:rFonts w:ascii="Calibri" w:eastAsia="Times New Roman" w:hAnsi="Calibri" w:cs="Calibri"/>
                <w:b/>
                <w:color w:val="000000"/>
                <w:sz w:val="18"/>
                <w:szCs w:val="18"/>
              </w:rPr>
            </w:pPr>
            <w:r w:rsidRPr="00A40ED4">
              <w:rPr>
                <w:rFonts w:ascii="Calibri" w:eastAsia="Times New Roman" w:hAnsi="Calibri" w:cs="Calibri"/>
                <w:b/>
                <w:color w:val="000000"/>
                <w:sz w:val="18"/>
                <w:szCs w:val="18"/>
              </w:rPr>
              <w:t>Value</w:t>
            </w:r>
          </w:p>
        </w:tc>
        <w:tc>
          <w:tcPr>
            <w:tcW w:w="2785" w:type="dxa"/>
            <w:tcBorders>
              <w:top w:val="single" w:sz="4" w:space="0" w:color="auto"/>
              <w:left w:val="single" w:sz="4" w:space="0" w:color="auto"/>
              <w:bottom w:val="single" w:sz="4" w:space="0" w:color="auto"/>
              <w:right w:val="single" w:sz="4" w:space="0" w:color="auto"/>
            </w:tcBorders>
            <w:shd w:val="clear" w:color="auto" w:fill="FFC000"/>
            <w:vAlign w:val="center"/>
          </w:tcPr>
          <w:p w14:paraId="1267A20A" w14:textId="44BD0E97" w:rsidR="00A40ED4" w:rsidRPr="00A40ED4" w:rsidRDefault="0014775A" w:rsidP="00415970">
            <w:pPr>
              <w:spacing w:after="0" w:line="240" w:lineRule="auto"/>
              <w:jc w:val="center"/>
              <w:rPr>
                <w:rFonts w:ascii="Calibri" w:eastAsia="Times New Roman" w:hAnsi="Calibri" w:cs="Calibri"/>
                <w:b/>
                <w:color w:val="000000"/>
                <w:sz w:val="18"/>
                <w:szCs w:val="18"/>
              </w:rPr>
            </w:pPr>
            <w:r>
              <w:rPr>
                <w:rFonts w:ascii="Calibri" w:eastAsia="Times New Roman" w:hAnsi="Calibri" w:cs="Calibri"/>
                <w:b/>
                <w:color w:val="000000"/>
                <w:sz w:val="18"/>
                <w:szCs w:val="18"/>
              </w:rPr>
              <w:t>Assumption</w:t>
            </w:r>
          </w:p>
        </w:tc>
      </w:tr>
      <w:tr w:rsidR="00A40ED4" w:rsidRPr="00A40ED4" w14:paraId="1C4C9C56" w14:textId="77777777" w:rsidTr="002548BA">
        <w:trPr>
          <w:cantSplit/>
          <w:trHeight w:val="170"/>
          <w:tblHeader/>
        </w:trPr>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C0B96" w14:textId="77777777" w:rsidR="00A40ED4" w:rsidRPr="00A40ED4" w:rsidRDefault="00A40ED4" w:rsidP="002548BA">
            <w:pPr>
              <w:spacing w:after="0" w:line="240" w:lineRule="auto"/>
              <w:rPr>
                <w:rFonts w:ascii="Calibri" w:eastAsia="Times New Roman" w:hAnsi="Calibri" w:cs="Calibri"/>
                <w:b/>
                <w:color w:val="000000"/>
                <w:sz w:val="18"/>
                <w:szCs w:val="18"/>
              </w:rPr>
            </w:pPr>
            <w:r w:rsidRPr="00A40ED4">
              <w:rPr>
                <w:b/>
                <w:sz w:val="18"/>
                <w:szCs w:val="18"/>
              </w:rPr>
              <w:t>Reference carbon stock</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D55C52" w14:textId="77777777" w:rsidR="00A40ED4" w:rsidRPr="00A40ED4" w:rsidRDefault="00A40ED4" w:rsidP="002548BA">
            <w:pPr>
              <w:spacing w:after="0" w:line="240" w:lineRule="auto"/>
              <w:jc w:val="center"/>
              <w:rPr>
                <w:sz w:val="18"/>
                <w:szCs w:val="18"/>
              </w:rPr>
            </w:pPr>
            <w:r w:rsidRPr="00A40ED4">
              <w:rPr>
                <w:sz w:val="18"/>
                <w:szCs w:val="18"/>
              </w:rPr>
              <w:t>Tons C ha</w:t>
            </w:r>
            <w:r w:rsidRPr="00A40ED4">
              <w:rPr>
                <w:sz w:val="18"/>
                <w:szCs w:val="18"/>
                <w:vertAlign w:val="superscript"/>
              </w:rPr>
              <w:t>-1</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43A608" w14:textId="77777777" w:rsidR="00A40ED4" w:rsidRPr="00A40ED4" w:rsidRDefault="00A40ED4" w:rsidP="002548BA">
            <w:pPr>
              <w:spacing w:after="0" w:line="240" w:lineRule="auto"/>
              <w:jc w:val="center"/>
              <w:rPr>
                <w:sz w:val="18"/>
                <w:szCs w:val="18"/>
              </w:rPr>
            </w:pPr>
            <w:r w:rsidRPr="00A40ED4">
              <w:rPr>
                <w:sz w:val="18"/>
                <w:szCs w:val="18"/>
              </w:rPr>
              <w:t>45</w:t>
            </w:r>
          </w:p>
        </w:tc>
        <w:tc>
          <w:tcPr>
            <w:tcW w:w="27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455EA4" w14:textId="77777777" w:rsidR="00A40ED4" w:rsidRPr="00A40ED4" w:rsidRDefault="00A40ED4" w:rsidP="002548BA">
            <w:pPr>
              <w:spacing w:after="0" w:line="240" w:lineRule="auto"/>
              <w:jc w:val="center"/>
              <w:rPr>
                <w:sz w:val="18"/>
                <w:szCs w:val="18"/>
              </w:rPr>
            </w:pPr>
            <w:r w:rsidRPr="00A40ED4">
              <w:rPr>
                <w:sz w:val="18"/>
                <w:szCs w:val="18"/>
              </w:rPr>
              <w:t>Low clay activity mineral soils</w:t>
            </w:r>
          </w:p>
        </w:tc>
      </w:tr>
      <w:tr w:rsidR="00A40ED4" w:rsidRPr="00A40ED4" w14:paraId="51C8FCCD" w14:textId="77777777" w:rsidTr="002548BA">
        <w:trPr>
          <w:cantSplit/>
          <w:trHeight w:val="404"/>
        </w:trPr>
        <w:tc>
          <w:tcPr>
            <w:tcW w:w="3505" w:type="dxa"/>
            <w:tcBorders>
              <w:top w:val="single" w:sz="4" w:space="0" w:color="auto"/>
              <w:left w:val="single" w:sz="4" w:space="0" w:color="auto"/>
              <w:bottom w:val="single" w:sz="4" w:space="0" w:color="auto"/>
              <w:right w:val="single" w:sz="4" w:space="0" w:color="auto"/>
            </w:tcBorders>
            <w:vAlign w:val="center"/>
          </w:tcPr>
          <w:p w14:paraId="42165227" w14:textId="77777777" w:rsidR="00A40ED4" w:rsidRPr="00A40ED4" w:rsidRDefault="00A40ED4" w:rsidP="002548BA">
            <w:pPr>
              <w:spacing w:after="0" w:line="240" w:lineRule="auto"/>
              <w:rPr>
                <w:rFonts w:ascii="Calibri" w:eastAsia="Times New Roman" w:hAnsi="Calibri" w:cs="Calibri"/>
                <w:b/>
                <w:color w:val="000000"/>
                <w:sz w:val="18"/>
                <w:szCs w:val="18"/>
              </w:rPr>
            </w:pPr>
            <w:r w:rsidRPr="00A40ED4">
              <w:rPr>
                <w:rFonts w:ascii="Calibri" w:eastAsia="Times New Roman" w:hAnsi="Calibri" w:cs="Calibri"/>
                <w:b/>
                <w:color w:val="000000"/>
                <w:sz w:val="18"/>
                <w:szCs w:val="18"/>
              </w:rPr>
              <w:t>Stock change value for land-use system</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A83DF" w14:textId="77777777" w:rsidR="00A40ED4" w:rsidRPr="00A40ED4" w:rsidRDefault="00A40ED4" w:rsidP="002548BA">
            <w:pPr>
              <w:spacing w:after="0" w:line="240" w:lineRule="auto"/>
              <w:jc w:val="center"/>
              <w:rPr>
                <w:sz w:val="18"/>
                <w:szCs w:val="18"/>
              </w:rPr>
            </w:pPr>
            <w:r w:rsidRPr="00A40ED4">
              <w:rPr>
                <w:sz w:val="18"/>
                <w:szCs w:val="18"/>
              </w:rPr>
              <w:t>Dimensionless</w:t>
            </w:r>
          </w:p>
        </w:tc>
        <w:tc>
          <w:tcPr>
            <w:tcW w:w="1170" w:type="dxa"/>
            <w:tcBorders>
              <w:top w:val="single" w:sz="4" w:space="0" w:color="auto"/>
              <w:left w:val="single" w:sz="4" w:space="0" w:color="auto"/>
              <w:bottom w:val="single" w:sz="4" w:space="0" w:color="auto"/>
              <w:right w:val="single" w:sz="4" w:space="0" w:color="auto"/>
            </w:tcBorders>
            <w:vAlign w:val="center"/>
          </w:tcPr>
          <w:p w14:paraId="4481FCD2" w14:textId="77777777" w:rsidR="00A40ED4" w:rsidRPr="00A40ED4" w:rsidRDefault="00A40ED4" w:rsidP="002548BA">
            <w:pPr>
              <w:spacing w:after="0" w:line="240" w:lineRule="auto"/>
              <w:jc w:val="center"/>
              <w:rPr>
                <w:sz w:val="18"/>
                <w:szCs w:val="18"/>
              </w:rPr>
            </w:pPr>
            <w:r w:rsidRPr="00A40ED4">
              <w:rPr>
                <w:sz w:val="18"/>
                <w:szCs w:val="18"/>
              </w:rPr>
              <w:t>1</w:t>
            </w:r>
          </w:p>
        </w:tc>
        <w:tc>
          <w:tcPr>
            <w:tcW w:w="2785" w:type="dxa"/>
            <w:tcBorders>
              <w:top w:val="single" w:sz="4" w:space="0" w:color="auto"/>
              <w:left w:val="single" w:sz="4" w:space="0" w:color="auto"/>
              <w:bottom w:val="single" w:sz="4" w:space="0" w:color="auto"/>
              <w:right w:val="single" w:sz="4" w:space="0" w:color="auto"/>
            </w:tcBorders>
            <w:vAlign w:val="center"/>
          </w:tcPr>
          <w:p w14:paraId="49CCD30A" w14:textId="23E59305" w:rsidR="00A40ED4" w:rsidRPr="00A40ED4" w:rsidRDefault="00896232" w:rsidP="002548BA">
            <w:pPr>
              <w:spacing w:after="0" w:line="240" w:lineRule="auto"/>
              <w:jc w:val="center"/>
              <w:rPr>
                <w:sz w:val="18"/>
                <w:szCs w:val="18"/>
              </w:rPr>
            </w:pPr>
            <w:r>
              <w:rPr>
                <w:sz w:val="18"/>
                <w:szCs w:val="18"/>
              </w:rPr>
              <w:t>Assum</w:t>
            </w:r>
            <w:r w:rsidR="0014775A">
              <w:rPr>
                <w:sz w:val="18"/>
                <w:szCs w:val="18"/>
              </w:rPr>
              <w:t>es</w:t>
            </w:r>
            <w:r>
              <w:rPr>
                <w:sz w:val="18"/>
                <w:szCs w:val="18"/>
              </w:rPr>
              <w:t xml:space="preserve"> settlement remaining settlement</w:t>
            </w:r>
          </w:p>
        </w:tc>
      </w:tr>
      <w:tr w:rsidR="00A40ED4" w:rsidRPr="00A40ED4" w14:paraId="6075729B" w14:textId="77777777" w:rsidTr="002548BA">
        <w:trPr>
          <w:cantSplit/>
          <w:trHeight w:val="451"/>
        </w:trPr>
        <w:tc>
          <w:tcPr>
            <w:tcW w:w="3505" w:type="dxa"/>
            <w:tcBorders>
              <w:top w:val="single" w:sz="4" w:space="0" w:color="auto"/>
              <w:left w:val="single" w:sz="4" w:space="0" w:color="auto"/>
              <w:bottom w:val="single" w:sz="4" w:space="0" w:color="auto"/>
              <w:right w:val="single" w:sz="4" w:space="0" w:color="auto"/>
            </w:tcBorders>
            <w:vAlign w:val="center"/>
          </w:tcPr>
          <w:p w14:paraId="269719F8" w14:textId="77777777" w:rsidR="00A40ED4" w:rsidRPr="00A40ED4" w:rsidRDefault="00A40ED4" w:rsidP="002548BA">
            <w:pPr>
              <w:spacing w:after="0" w:line="240" w:lineRule="auto"/>
              <w:rPr>
                <w:rFonts w:ascii="Calibri" w:eastAsia="Times New Roman" w:hAnsi="Calibri" w:cs="Calibri"/>
                <w:b/>
                <w:color w:val="000000"/>
                <w:sz w:val="18"/>
                <w:szCs w:val="18"/>
              </w:rPr>
            </w:pPr>
            <w:r w:rsidRPr="00A40ED4">
              <w:rPr>
                <w:rFonts w:ascii="Calibri" w:eastAsia="Times New Roman" w:hAnsi="Calibri" w:cs="Calibri"/>
                <w:b/>
                <w:color w:val="000000"/>
                <w:sz w:val="18"/>
                <w:szCs w:val="18"/>
              </w:rPr>
              <w:t>Stock change factor for management regime</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BFC3D" w14:textId="77777777" w:rsidR="00A40ED4" w:rsidRPr="00A40ED4" w:rsidRDefault="00A40ED4" w:rsidP="002548BA">
            <w:pPr>
              <w:spacing w:after="0" w:line="240" w:lineRule="auto"/>
              <w:jc w:val="center"/>
              <w:rPr>
                <w:sz w:val="18"/>
                <w:szCs w:val="18"/>
              </w:rPr>
            </w:pPr>
            <w:r w:rsidRPr="00A40ED4">
              <w:rPr>
                <w:sz w:val="18"/>
                <w:szCs w:val="18"/>
              </w:rPr>
              <w:t>Dimensionless</w:t>
            </w:r>
          </w:p>
        </w:tc>
        <w:tc>
          <w:tcPr>
            <w:tcW w:w="1170" w:type="dxa"/>
            <w:tcBorders>
              <w:top w:val="single" w:sz="4" w:space="0" w:color="auto"/>
              <w:left w:val="single" w:sz="4" w:space="0" w:color="auto"/>
              <w:bottom w:val="single" w:sz="4" w:space="0" w:color="auto"/>
              <w:right w:val="single" w:sz="4" w:space="0" w:color="auto"/>
            </w:tcBorders>
            <w:vAlign w:val="center"/>
          </w:tcPr>
          <w:p w14:paraId="65986C07" w14:textId="77777777" w:rsidR="00A40ED4" w:rsidRPr="00A40ED4" w:rsidRDefault="00A40ED4" w:rsidP="002548BA">
            <w:pPr>
              <w:spacing w:after="0" w:line="240" w:lineRule="auto"/>
              <w:jc w:val="center"/>
              <w:rPr>
                <w:sz w:val="18"/>
                <w:szCs w:val="18"/>
              </w:rPr>
            </w:pPr>
            <w:r w:rsidRPr="00A40ED4">
              <w:rPr>
                <w:sz w:val="18"/>
                <w:szCs w:val="18"/>
              </w:rPr>
              <w:t>0.9</w:t>
            </w:r>
          </w:p>
        </w:tc>
        <w:tc>
          <w:tcPr>
            <w:tcW w:w="2785" w:type="dxa"/>
            <w:tcBorders>
              <w:top w:val="single" w:sz="4" w:space="0" w:color="auto"/>
              <w:left w:val="single" w:sz="4" w:space="0" w:color="auto"/>
              <w:bottom w:val="single" w:sz="4" w:space="0" w:color="auto"/>
              <w:right w:val="single" w:sz="4" w:space="0" w:color="auto"/>
            </w:tcBorders>
            <w:vAlign w:val="center"/>
          </w:tcPr>
          <w:p w14:paraId="23752767" w14:textId="77777777" w:rsidR="00A40ED4" w:rsidRPr="00A40ED4" w:rsidRDefault="00A40ED4" w:rsidP="002548BA">
            <w:pPr>
              <w:spacing w:after="0" w:line="240" w:lineRule="auto"/>
              <w:jc w:val="center"/>
              <w:rPr>
                <w:sz w:val="18"/>
                <w:szCs w:val="18"/>
              </w:rPr>
            </w:pPr>
            <w:r w:rsidRPr="00A40ED4">
              <w:rPr>
                <w:sz w:val="18"/>
                <w:szCs w:val="18"/>
              </w:rPr>
              <w:t>Low input cropland</w:t>
            </w:r>
          </w:p>
        </w:tc>
      </w:tr>
      <w:tr w:rsidR="00A40ED4" w:rsidRPr="00A40ED4" w14:paraId="798B4E29" w14:textId="77777777" w:rsidTr="002548BA">
        <w:trPr>
          <w:cantSplit/>
          <w:trHeight w:val="451"/>
        </w:trPr>
        <w:tc>
          <w:tcPr>
            <w:tcW w:w="3505" w:type="dxa"/>
            <w:tcBorders>
              <w:top w:val="single" w:sz="4" w:space="0" w:color="auto"/>
              <w:left w:val="single" w:sz="4" w:space="0" w:color="auto"/>
              <w:bottom w:val="single" w:sz="4" w:space="0" w:color="auto"/>
              <w:right w:val="single" w:sz="4" w:space="0" w:color="auto"/>
            </w:tcBorders>
            <w:vAlign w:val="center"/>
          </w:tcPr>
          <w:p w14:paraId="14BA9C7F" w14:textId="77777777" w:rsidR="00A40ED4" w:rsidRPr="00A40ED4" w:rsidRDefault="00A40ED4" w:rsidP="002548BA">
            <w:pPr>
              <w:spacing w:after="0" w:line="240" w:lineRule="auto"/>
              <w:rPr>
                <w:rFonts w:ascii="Calibri" w:eastAsia="Times New Roman" w:hAnsi="Calibri" w:cs="Calibri"/>
                <w:b/>
                <w:color w:val="000000"/>
                <w:sz w:val="18"/>
                <w:szCs w:val="18"/>
              </w:rPr>
            </w:pPr>
            <w:r w:rsidRPr="00A40ED4">
              <w:rPr>
                <w:rFonts w:ascii="Calibri" w:eastAsia="Times New Roman" w:hAnsi="Calibri" w:cs="Calibri"/>
                <w:b/>
                <w:color w:val="000000"/>
                <w:sz w:val="18"/>
                <w:szCs w:val="18"/>
              </w:rPr>
              <w:t>Stock change factor for input of organic matter</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27519" w14:textId="77777777" w:rsidR="00A40ED4" w:rsidRPr="00A40ED4" w:rsidRDefault="00A40ED4" w:rsidP="002548BA">
            <w:pPr>
              <w:spacing w:after="0" w:line="240" w:lineRule="auto"/>
              <w:jc w:val="center"/>
              <w:rPr>
                <w:sz w:val="18"/>
                <w:szCs w:val="18"/>
              </w:rPr>
            </w:pPr>
            <w:r w:rsidRPr="00A40ED4">
              <w:rPr>
                <w:sz w:val="18"/>
                <w:szCs w:val="18"/>
              </w:rPr>
              <w:t>Dimensionless</w:t>
            </w:r>
          </w:p>
        </w:tc>
        <w:tc>
          <w:tcPr>
            <w:tcW w:w="1170" w:type="dxa"/>
            <w:tcBorders>
              <w:top w:val="single" w:sz="4" w:space="0" w:color="auto"/>
              <w:left w:val="single" w:sz="4" w:space="0" w:color="auto"/>
              <w:bottom w:val="single" w:sz="4" w:space="0" w:color="auto"/>
              <w:right w:val="single" w:sz="4" w:space="0" w:color="auto"/>
            </w:tcBorders>
            <w:vAlign w:val="center"/>
          </w:tcPr>
          <w:p w14:paraId="1D232C6E" w14:textId="77777777" w:rsidR="00A40ED4" w:rsidRPr="00A40ED4" w:rsidRDefault="00A40ED4" w:rsidP="002548BA">
            <w:pPr>
              <w:spacing w:after="0" w:line="240" w:lineRule="auto"/>
              <w:jc w:val="center"/>
              <w:rPr>
                <w:sz w:val="18"/>
                <w:szCs w:val="18"/>
              </w:rPr>
            </w:pPr>
            <w:r w:rsidRPr="00A40ED4">
              <w:rPr>
                <w:sz w:val="18"/>
                <w:szCs w:val="18"/>
              </w:rPr>
              <w:t>1</w:t>
            </w:r>
          </w:p>
        </w:tc>
        <w:tc>
          <w:tcPr>
            <w:tcW w:w="2785" w:type="dxa"/>
            <w:tcBorders>
              <w:top w:val="single" w:sz="4" w:space="0" w:color="auto"/>
              <w:left w:val="single" w:sz="4" w:space="0" w:color="auto"/>
              <w:bottom w:val="single" w:sz="4" w:space="0" w:color="auto"/>
              <w:right w:val="single" w:sz="4" w:space="0" w:color="auto"/>
            </w:tcBorders>
            <w:vAlign w:val="center"/>
          </w:tcPr>
          <w:p w14:paraId="696C4476" w14:textId="3945EA54" w:rsidR="00A40ED4" w:rsidRPr="00A40ED4" w:rsidRDefault="00896232" w:rsidP="002548BA">
            <w:pPr>
              <w:spacing w:after="0" w:line="240" w:lineRule="auto"/>
              <w:jc w:val="center"/>
              <w:rPr>
                <w:sz w:val="18"/>
                <w:szCs w:val="18"/>
              </w:rPr>
            </w:pPr>
            <w:r>
              <w:rPr>
                <w:sz w:val="18"/>
                <w:szCs w:val="18"/>
              </w:rPr>
              <w:t>Assum</w:t>
            </w:r>
            <w:r w:rsidR="0014775A">
              <w:rPr>
                <w:sz w:val="18"/>
                <w:szCs w:val="18"/>
              </w:rPr>
              <w:t>es</w:t>
            </w:r>
            <w:r>
              <w:rPr>
                <w:sz w:val="18"/>
                <w:szCs w:val="18"/>
              </w:rPr>
              <w:t xml:space="preserve"> no change in organic matter inputs</w:t>
            </w:r>
          </w:p>
        </w:tc>
      </w:tr>
      <w:tr w:rsidR="00A40ED4" w:rsidRPr="00A40ED4" w14:paraId="3283B3DE" w14:textId="77777777" w:rsidTr="002548BA">
        <w:trPr>
          <w:cantSplit/>
          <w:trHeight w:val="451"/>
        </w:trPr>
        <w:tc>
          <w:tcPr>
            <w:tcW w:w="3505" w:type="dxa"/>
            <w:tcBorders>
              <w:top w:val="single" w:sz="4" w:space="0" w:color="auto"/>
              <w:left w:val="single" w:sz="4" w:space="0" w:color="auto"/>
              <w:bottom w:val="single" w:sz="4" w:space="0" w:color="auto"/>
              <w:right w:val="single" w:sz="4" w:space="0" w:color="auto"/>
            </w:tcBorders>
            <w:vAlign w:val="center"/>
          </w:tcPr>
          <w:p w14:paraId="70427F4A" w14:textId="77777777" w:rsidR="00A40ED4" w:rsidRPr="00A40ED4" w:rsidRDefault="00A40ED4" w:rsidP="002548BA">
            <w:pPr>
              <w:spacing w:after="0" w:line="240" w:lineRule="auto"/>
              <w:rPr>
                <w:rFonts w:ascii="Calibri" w:eastAsia="Times New Roman" w:hAnsi="Calibri" w:cs="Calibri"/>
                <w:b/>
                <w:color w:val="000000"/>
                <w:sz w:val="18"/>
                <w:szCs w:val="18"/>
              </w:rPr>
            </w:pPr>
            <w:r w:rsidRPr="00A40ED4">
              <w:rPr>
                <w:rFonts w:ascii="Calibri" w:eastAsia="Times New Roman" w:hAnsi="Calibri" w:cs="Calibri"/>
                <w:b/>
                <w:color w:val="000000"/>
                <w:sz w:val="18"/>
                <w:szCs w:val="18"/>
              </w:rPr>
              <w:t>Time change factor for stock change</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1A3896" w14:textId="77777777" w:rsidR="00A40ED4" w:rsidRPr="00A40ED4" w:rsidRDefault="00A40ED4" w:rsidP="002548BA">
            <w:pPr>
              <w:spacing w:after="0" w:line="240" w:lineRule="auto"/>
              <w:jc w:val="center"/>
              <w:rPr>
                <w:sz w:val="18"/>
                <w:szCs w:val="18"/>
              </w:rPr>
            </w:pPr>
            <w:r w:rsidRPr="00A40ED4">
              <w:rPr>
                <w:sz w:val="18"/>
                <w:szCs w:val="18"/>
              </w:rPr>
              <w:t>Years</w:t>
            </w:r>
          </w:p>
        </w:tc>
        <w:tc>
          <w:tcPr>
            <w:tcW w:w="1170" w:type="dxa"/>
            <w:tcBorders>
              <w:top w:val="single" w:sz="4" w:space="0" w:color="auto"/>
              <w:left w:val="single" w:sz="4" w:space="0" w:color="auto"/>
              <w:bottom w:val="single" w:sz="4" w:space="0" w:color="auto"/>
              <w:right w:val="single" w:sz="4" w:space="0" w:color="auto"/>
            </w:tcBorders>
            <w:vAlign w:val="center"/>
          </w:tcPr>
          <w:p w14:paraId="02F9B254" w14:textId="77777777" w:rsidR="00A40ED4" w:rsidRPr="00A40ED4" w:rsidRDefault="00A40ED4" w:rsidP="002548BA">
            <w:pPr>
              <w:spacing w:after="0" w:line="240" w:lineRule="auto"/>
              <w:jc w:val="center"/>
              <w:rPr>
                <w:sz w:val="18"/>
                <w:szCs w:val="18"/>
              </w:rPr>
            </w:pPr>
            <w:r w:rsidRPr="00A40ED4">
              <w:rPr>
                <w:sz w:val="18"/>
                <w:szCs w:val="18"/>
              </w:rPr>
              <w:t>20</w:t>
            </w:r>
          </w:p>
        </w:tc>
        <w:tc>
          <w:tcPr>
            <w:tcW w:w="2785" w:type="dxa"/>
            <w:tcBorders>
              <w:top w:val="single" w:sz="4" w:space="0" w:color="auto"/>
              <w:left w:val="single" w:sz="4" w:space="0" w:color="auto"/>
              <w:bottom w:val="single" w:sz="4" w:space="0" w:color="auto"/>
              <w:right w:val="single" w:sz="4" w:space="0" w:color="auto"/>
            </w:tcBorders>
            <w:vAlign w:val="center"/>
          </w:tcPr>
          <w:p w14:paraId="403B0034" w14:textId="4A3B653E" w:rsidR="00A40ED4" w:rsidRPr="00A40ED4" w:rsidRDefault="00A40ED4" w:rsidP="002548BA">
            <w:pPr>
              <w:spacing w:after="0" w:line="240" w:lineRule="auto"/>
              <w:jc w:val="center"/>
              <w:rPr>
                <w:sz w:val="18"/>
                <w:szCs w:val="18"/>
              </w:rPr>
            </w:pPr>
            <w:r w:rsidRPr="00A40ED4">
              <w:rPr>
                <w:sz w:val="18"/>
                <w:szCs w:val="18"/>
              </w:rPr>
              <w:t xml:space="preserve">Default value in Tier </w:t>
            </w:r>
            <w:r w:rsidR="00896232">
              <w:rPr>
                <w:sz w:val="18"/>
                <w:szCs w:val="18"/>
              </w:rPr>
              <w:t>1</w:t>
            </w:r>
            <w:r w:rsidR="0014775A">
              <w:rPr>
                <w:sz w:val="18"/>
                <w:szCs w:val="18"/>
              </w:rPr>
              <w:t xml:space="preserve">, </w:t>
            </w:r>
            <w:r w:rsidRPr="00A40ED4">
              <w:rPr>
                <w:sz w:val="18"/>
                <w:szCs w:val="18"/>
              </w:rPr>
              <w:t>2 calculations</w:t>
            </w:r>
          </w:p>
        </w:tc>
      </w:tr>
      <w:tr w:rsidR="00A40ED4" w:rsidRPr="00A40ED4" w14:paraId="5599A7B8" w14:textId="77777777" w:rsidTr="002548BA">
        <w:trPr>
          <w:cantSplit/>
          <w:trHeight w:val="451"/>
        </w:trPr>
        <w:tc>
          <w:tcPr>
            <w:tcW w:w="3505" w:type="dxa"/>
            <w:tcBorders>
              <w:top w:val="single" w:sz="4" w:space="0" w:color="auto"/>
              <w:left w:val="single" w:sz="4" w:space="0" w:color="auto"/>
              <w:bottom w:val="single" w:sz="4" w:space="0" w:color="auto"/>
              <w:right w:val="single" w:sz="4" w:space="0" w:color="auto"/>
            </w:tcBorders>
            <w:vAlign w:val="center"/>
          </w:tcPr>
          <w:p w14:paraId="0198287D" w14:textId="218E0741" w:rsidR="00A40ED4" w:rsidRPr="00A40ED4" w:rsidRDefault="004D4A9E" w:rsidP="002548BA">
            <w:pPr>
              <w:spacing w:after="0" w:line="240" w:lineRule="auto"/>
              <w:rPr>
                <w:rFonts w:ascii="Calibri" w:eastAsia="Times New Roman" w:hAnsi="Calibri" w:cs="Calibri"/>
                <w:b/>
                <w:color w:val="000000"/>
                <w:sz w:val="18"/>
                <w:szCs w:val="18"/>
              </w:rPr>
            </w:pPr>
            <w:r>
              <w:rPr>
                <w:rFonts w:ascii="Calibri" w:eastAsia="Times New Roman" w:hAnsi="Calibri" w:cs="Calibri"/>
                <w:b/>
                <w:color w:val="000000"/>
                <w:sz w:val="18"/>
                <w:szCs w:val="18"/>
              </w:rPr>
              <w:t>Settlement</w:t>
            </w:r>
            <w:r w:rsidR="00A40ED4" w:rsidRPr="00A40ED4">
              <w:rPr>
                <w:rFonts w:ascii="Calibri" w:eastAsia="Times New Roman" w:hAnsi="Calibri" w:cs="Calibri"/>
                <w:b/>
                <w:color w:val="000000"/>
                <w:sz w:val="18"/>
                <w:szCs w:val="18"/>
              </w:rPr>
              <w:t xml:space="preserve"> land area</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5F8E9" w14:textId="109251DC" w:rsidR="00A40ED4" w:rsidRPr="00A40ED4" w:rsidRDefault="004D4A9E" w:rsidP="002548BA">
            <w:pPr>
              <w:spacing w:after="0" w:line="240" w:lineRule="auto"/>
              <w:jc w:val="center"/>
              <w:rPr>
                <w:sz w:val="18"/>
                <w:szCs w:val="18"/>
              </w:rPr>
            </w:pPr>
            <w:r>
              <w:rPr>
                <w:sz w:val="18"/>
                <w:szCs w:val="18"/>
              </w:rPr>
              <w:t>Million h</w:t>
            </w:r>
            <w:r w:rsidR="00A40ED4" w:rsidRPr="00A40ED4">
              <w:rPr>
                <w:sz w:val="18"/>
                <w:szCs w:val="18"/>
              </w:rPr>
              <w:t>ectares</w:t>
            </w:r>
          </w:p>
        </w:tc>
        <w:tc>
          <w:tcPr>
            <w:tcW w:w="1170" w:type="dxa"/>
            <w:tcBorders>
              <w:top w:val="single" w:sz="4" w:space="0" w:color="auto"/>
              <w:left w:val="single" w:sz="4" w:space="0" w:color="auto"/>
              <w:bottom w:val="single" w:sz="4" w:space="0" w:color="auto"/>
              <w:right w:val="single" w:sz="4" w:space="0" w:color="auto"/>
            </w:tcBorders>
            <w:vAlign w:val="center"/>
          </w:tcPr>
          <w:p w14:paraId="0E3AD0A6" w14:textId="0C5F5E7D" w:rsidR="00A40ED4" w:rsidRPr="00A40ED4" w:rsidRDefault="00896232" w:rsidP="002548BA">
            <w:pPr>
              <w:spacing w:after="0" w:line="240" w:lineRule="auto"/>
              <w:jc w:val="center"/>
              <w:rPr>
                <w:sz w:val="18"/>
                <w:szCs w:val="18"/>
              </w:rPr>
            </w:pPr>
            <w:r>
              <w:rPr>
                <w:sz w:val="18"/>
                <w:szCs w:val="18"/>
              </w:rPr>
              <w:t>43</w:t>
            </w:r>
          </w:p>
        </w:tc>
        <w:tc>
          <w:tcPr>
            <w:tcW w:w="2785" w:type="dxa"/>
            <w:tcBorders>
              <w:top w:val="single" w:sz="4" w:space="0" w:color="auto"/>
              <w:left w:val="single" w:sz="4" w:space="0" w:color="auto"/>
              <w:bottom w:val="single" w:sz="4" w:space="0" w:color="auto"/>
              <w:right w:val="single" w:sz="4" w:space="0" w:color="auto"/>
            </w:tcBorders>
            <w:vAlign w:val="center"/>
          </w:tcPr>
          <w:p w14:paraId="0163329F" w14:textId="644556D4" w:rsidR="00A40ED4" w:rsidRPr="00A40ED4" w:rsidRDefault="00896232" w:rsidP="002548BA">
            <w:pPr>
              <w:spacing w:after="0" w:line="240" w:lineRule="auto"/>
              <w:jc w:val="center"/>
              <w:rPr>
                <w:sz w:val="18"/>
                <w:szCs w:val="18"/>
              </w:rPr>
            </w:pPr>
            <w:r>
              <w:rPr>
                <w:sz w:val="18"/>
                <w:szCs w:val="18"/>
              </w:rPr>
              <w:t>Total Settlement area</w:t>
            </w:r>
            <w:r w:rsidR="00A40ED4">
              <w:rPr>
                <w:sz w:val="18"/>
                <w:szCs w:val="18"/>
              </w:rPr>
              <w:t xml:space="preserve"> (</w:t>
            </w:r>
            <w:r>
              <w:rPr>
                <w:sz w:val="18"/>
                <w:szCs w:val="18"/>
              </w:rPr>
              <w:t>NGHGI 2018, Table 6-6</w:t>
            </w:r>
            <w:r w:rsidR="00A40ED4">
              <w:rPr>
                <w:sz w:val="18"/>
                <w:szCs w:val="18"/>
              </w:rPr>
              <w:t>)</w:t>
            </w:r>
          </w:p>
        </w:tc>
      </w:tr>
    </w:tbl>
    <w:p w14:paraId="02C43343" w14:textId="77777777" w:rsidR="00A40ED4" w:rsidRDefault="00A40ED4" w:rsidP="00A40ED4"/>
    <w:p w14:paraId="3BEF421E" w14:textId="57D7983D" w:rsidR="00A40ED4" w:rsidRDefault="00A40ED4" w:rsidP="00A40ED4">
      <w:pPr>
        <w:pStyle w:val="2-Header"/>
        <w:numPr>
          <w:ilvl w:val="0"/>
          <w:numId w:val="0"/>
        </w:numPr>
        <w:ind w:left="576" w:hanging="576"/>
        <w:rPr>
          <w:rStyle w:val="Strong"/>
          <w:b w:val="0"/>
        </w:rPr>
      </w:pPr>
      <w:r>
        <w:rPr>
          <w:rStyle w:val="Strong"/>
          <w:b w:val="0"/>
        </w:rPr>
        <w:t>Results</w:t>
      </w:r>
    </w:p>
    <w:p w14:paraId="64C85C41" w14:textId="7CC085EC" w:rsidR="00A40ED4" w:rsidRPr="00384D9A" w:rsidRDefault="00A40ED4" w:rsidP="00A40ED4">
      <w:r>
        <w:t xml:space="preserve">Using equation 2.25 from IPCC (2006) guidance and input parameters from Table </w:t>
      </w:r>
      <w:r w:rsidR="007D6D6E">
        <w:t>2</w:t>
      </w:r>
      <w:r w:rsidR="005F6840">
        <w:t>-</w:t>
      </w:r>
      <w:r>
        <w:t>3</w:t>
      </w:r>
      <w:r w:rsidR="0014775A">
        <w:t>7</w:t>
      </w:r>
      <w:r>
        <w:t>, we esti</w:t>
      </w:r>
      <w:r w:rsidR="008D55D5">
        <w:t>mate annual emission</w:t>
      </w:r>
      <w:r w:rsidR="0014775A">
        <w:t>s</w:t>
      </w:r>
      <w:r w:rsidR="008D55D5">
        <w:t xml:space="preserve"> of 34.7</w:t>
      </w:r>
      <w:r>
        <w:t xml:space="preserve"> MMT CO</w:t>
      </w:r>
      <w:r w:rsidRPr="00B46585">
        <w:rPr>
          <w:vertAlign w:val="subscript"/>
        </w:rPr>
        <w:t>2</w:t>
      </w:r>
      <w:r>
        <w:t>.</w:t>
      </w:r>
    </w:p>
    <w:p w14:paraId="758814E8" w14:textId="52E13755" w:rsidR="00A40ED4" w:rsidRDefault="00A40ED4" w:rsidP="00A40ED4">
      <w:pPr>
        <w:pStyle w:val="2-Header"/>
        <w:numPr>
          <w:ilvl w:val="0"/>
          <w:numId w:val="0"/>
        </w:numPr>
        <w:ind w:left="576" w:hanging="576"/>
        <w:rPr>
          <w:rStyle w:val="Strong"/>
          <w:b w:val="0"/>
        </w:rPr>
      </w:pPr>
      <w:r>
        <w:rPr>
          <w:rStyle w:val="Strong"/>
          <w:b w:val="0"/>
        </w:rPr>
        <w:t>Discussion</w:t>
      </w:r>
    </w:p>
    <w:p w14:paraId="2149CAD5" w14:textId="6D69B76A" w:rsidR="00B77624" w:rsidRDefault="00896232" w:rsidP="00A40ED4">
      <w:r>
        <w:rPr>
          <w:rStyle w:val="Strong"/>
          <w:b w:val="0"/>
        </w:rPr>
        <w:t>T</w:t>
      </w:r>
      <w:r w:rsidR="00A40ED4">
        <w:rPr>
          <w:rStyle w:val="Strong"/>
          <w:b w:val="0"/>
        </w:rPr>
        <w:t>his estimate is relatively high,</w:t>
      </w:r>
      <w:r>
        <w:rPr>
          <w:rStyle w:val="Strong"/>
          <w:b w:val="0"/>
        </w:rPr>
        <w:t xml:space="preserve"> and not especially satisfying given that </w:t>
      </w:r>
      <w:r w:rsidR="00434F5C">
        <w:rPr>
          <w:rStyle w:val="Strong"/>
          <w:b w:val="0"/>
        </w:rPr>
        <w:t>the “</w:t>
      </w:r>
      <w:r>
        <w:rPr>
          <w:rStyle w:val="Strong"/>
          <w:b w:val="0"/>
        </w:rPr>
        <w:t>low input cropland</w:t>
      </w:r>
      <w:r w:rsidR="00434F5C">
        <w:rPr>
          <w:rStyle w:val="Strong"/>
          <w:b w:val="0"/>
        </w:rPr>
        <w:t>”</w:t>
      </w:r>
      <w:r>
        <w:rPr>
          <w:rStyle w:val="Strong"/>
          <w:b w:val="0"/>
        </w:rPr>
        <w:t xml:space="preserve"> </w:t>
      </w:r>
      <w:r w:rsidR="00434F5C">
        <w:rPr>
          <w:rStyle w:val="Strong"/>
          <w:b w:val="0"/>
        </w:rPr>
        <w:t xml:space="preserve">assumption </w:t>
      </w:r>
      <w:r>
        <w:rPr>
          <w:rStyle w:val="Strong"/>
          <w:b w:val="0"/>
        </w:rPr>
        <w:t>is not well-aligned with settlement soil</w:t>
      </w:r>
      <w:r w:rsidR="00434F5C">
        <w:rPr>
          <w:rStyle w:val="Strong"/>
          <w:b w:val="0"/>
        </w:rPr>
        <w:t xml:space="preserve"> management practices</w:t>
      </w:r>
      <w:r>
        <w:rPr>
          <w:rStyle w:val="Strong"/>
          <w:b w:val="0"/>
        </w:rPr>
        <w:t>.</w:t>
      </w:r>
      <w:r w:rsidR="00A40ED4">
        <w:rPr>
          <w:rStyle w:val="Strong"/>
          <w:b w:val="0"/>
        </w:rPr>
        <w:t xml:space="preserve"> </w:t>
      </w:r>
      <w:r>
        <w:rPr>
          <w:rStyle w:val="Strong"/>
          <w:b w:val="0"/>
        </w:rPr>
        <w:t>However, a</w:t>
      </w:r>
      <w:r w:rsidR="00A40ED4">
        <w:rPr>
          <w:rStyle w:val="Strong"/>
          <w:b w:val="0"/>
        </w:rPr>
        <w:t xml:space="preserve"> recent study by Decina et al. (2016) estimates that fluxes from urban soils in Boston are as much as 2.62 times higher than nearby </w:t>
      </w:r>
      <w:r w:rsidR="00434F5C">
        <w:rPr>
          <w:rStyle w:val="Strong"/>
          <w:b w:val="0"/>
        </w:rPr>
        <w:t>alternative land uses</w:t>
      </w:r>
      <w:r w:rsidR="00A40ED4">
        <w:rPr>
          <w:rStyle w:val="Strong"/>
          <w:b w:val="0"/>
        </w:rPr>
        <w:t>.</w:t>
      </w:r>
      <w:r w:rsidR="00434F5C">
        <w:rPr>
          <w:rStyle w:val="Strong"/>
          <w:b w:val="0"/>
        </w:rPr>
        <w:t xml:space="preserve"> National</w:t>
      </w:r>
      <w:r w:rsidR="00A40ED4">
        <w:rPr>
          <w:rStyle w:val="Strong"/>
          <w:b w:val="0"/>
        </w:rPr>
        <w:t xml:space="preserve"> </w:t>
      </w:r>
      <w:r w:rsidR="00434F5C">
        <w:rPr>
          <w:rStyle w:val="Strong"/>
          <w:b w:val="0"/>
        </w:rPr>
        <w:t xml:space="preserve">settlement mineral soil emissions </w:t>
      </w:r>
      <w:r w:rsidR="00A40ED4">
        <w:rPr>
          <w:rStyle w:val="Strong"/>
          <w:b w:val="0"/>
        </w:rPr>
        <w:t xml:space="preserve">estimates </w:t>
      </w:r>
      <w:r w:rsidR="00434F5C">
        <w:rPr>
          <w:rStyle w:val="Strong"/>
          <w:b w:val="0"/>
        </w:rPr>
        <w:t>based on Decina et al. (2016) emissions factors are</w:t>
      </w:r>
      <w:r w:rsidR="00A40ED4">
        <w:t xml:space="preserve"> </w:t>
      </w:r>
      <w:r w:rsidR="00434F5C">
        <w:t xml:space="preserve">much </w:t>
      </w:r>
      <w:r w:rsidR="00A40ED4">
        <w:t xml:space="preserve">higher than </w:t>
      </w:r>
      <w:r w:rsidR="00434F5C">
        <w:t>35 MMT CO</w:t>
      </w:r>
      <w:r w:rsidR="00434F5C" w:rsidRPr="003B4036">
        <w:rPr>
          <w:vertAlign w:val="subscript"/>
        </w:rPr>
        <w:t>2</w:t>
      </w:r>
      <w:r w:rsidR="00A40ED4">
        <w:t xml:space="preserve">, suggesting that urban soils may indeed be a significant source of </w:t>
      </w:r>
      <w:r w:rsidR="0014775A">
        <w:t>CO</w:t>
      </w:r>
      <w:r w:rsidR="0014775A" w:rsidRPr="003B4036">
        <w:rPr>
          <w:vertAlign w:val="subscript"/>
        </w:rPr>
        <w:t>2</w:t>
      </w:r>
      <w:r w:rsidR="0014775A">
        <w:t xml:space="preserve"> </w:t>
      </w:r>
      <w:r w:rsidR="00A40ED4">
        <w:t xml:space="preserve">emissions. Further research and data are needed to estimate emissions from urban mineral soils across the country, such as additional </w:t>
      </w:r>
      <w:r w:rsidR="0014775A">
        <w:t xml:space="preserve">urban soil </w:t>
      </w:r>
      <w:r w:rsidR="00A40ED4">
        <w:t>measurements.</w:t>
      </w:r>
    </w:p>
    <w:p w14:paraId="0D31871B" w14:textId="77777777" w:rsidR="0006624E" w:rsidRDefault="0006624E" w:rsidP="00DE4909">
      <w:pPr>
        <w:sectPr w:rsidR="0006624E">
          <w:pgSz w:w="12240" w:h="15840"/>
          <w:pgMar w:top="1440" w:right="1440" w:bottom="1440" w:left="1440" w:header="720" w:footer="720" w:gutter="0"/>
          <w:cols w:space="720"/>
          <w:docGrid w:linePitch="360"/>
        </w:sectPr>
      </w:pPr>
    </w:p>
    <w:p w14:paraId="01A198D7" w14:textId="10DA1AAB" w:rsidR="00C51BA7" w:rsidRDefault="0006624E" w:rsidP="000B2554">
      <w:pPr>
        <w:pStyle w:val="Heading1"/>
        <w:numPr>
          <w:ilvl w:val="0"/>
          <w:numId w:val="10"/>
        </w:numPr>
      </w:pPr>
      <w:bookmarkStart w:id="269" w:name="_Toc84784387"/>
      <w:r>
        <w:lastRenderedPageBreak/>
        <w:t>Wetlands</w:t>
      </w:r>
      <w:bookmarkEnd w:id="269"/>
    </w:p>
    <w:p w14:paraId="69092E37" w14:textId="03BF8F7F" w:rsidR="00C51BA7" w:rsidRDefault="00C51BA7" w:rsidP="008C71B4">
      <w:pPr>
        <w:spacing w:before="240" w:after="0"/>
      </w:pPr>
      <w:r>
        <w:t xml:space="preserve">The NGHGI </w:t>
      </w:r>
      <w:r w:rsidR="008D55D5">
        <w:t xml:space="preserve">(2018) </w:t>
      </w:r>
      <w:r>
        <w:t xml:space="preserve">defines wetlands </w:t>
      </w:r>
      <w:r w:rsidR="00AD4B80">
        <w:t xml:space="preserve">as managed if they are directly created by human activity or if </w:t>
      </w:r>
      <w:r>
        <w:t xml:space="preserve">the water </w:t>
      </w:r>
      <w:r w:rsidR="00AD4B80">
        <w:t>level ha</w:t>
      </w:r>
      <w:r>
        <w:t>s</w:t>
      </w:r>
      <w:r w:rsidR="00AD4B80">
        <w:t xml:space="preserve"> been</w:t>
      </w:r>
      <w:r>
        <w:t xml:space="preserve"> artificially </w:t>
      </w:r>
      <w:r w:rsidR="00AD4B80">
        <w:t xml:space="preserve">altered </w:t>
      </w:r>
      <w:r w:rsidR="000558C0">
        <w:t>by human activity</w:t>
      </w:r>
      <w:r>
        <w:t>, consistent with IPCC guidance (IPCC</w:t>
      </w:r>
      <w:r w:rsidR="008D55D5">
        <w:t>,</w:t>
      </w:r>
      <w:r>
        <w:t xml:space="preserve"> 2014). </w:t>
      </w:r>
      <w:r w:rsidR="005E3C1B">
        <w:t>T</w:t>
      </w:r>
      <w:r>
        <w:t>he NGHGI</w:t>
      </w:r>
      <w:r w:rsidR="008D55D5">
        <w:t xml:space="preserve"> (2018)</w:t>
      </w:r>
      <w:r>
        <w:t xml:space="preserve"> focuses exclusively on</w:t>
      </w:r>
      <w:r w:rsidR="005E3C1B">
        <w:t xml:space="preserve"> managed peatlands and</w:t>
      </w:r>
      <w:r>
        <w:t xml:space="preserve"> coastal wetlands,</w:t>
      </w:r>
      <w:r w:rsidR="00914DED">
        <w:t xml:space="preserve"> </w:t>
      </w:r>
      <w:r w:rsidR="005E3C1B">
        <w:t xml:space="preserve">posited as </w:t>
      </w:r>
      <w:r w:rsidR="00914DED">
        <w:t>the only wetlands categor</w:t>
      </w:r>
      <w:r w:rsidR="005E3C1B">
        <w:t>ies</w:t>
      </w:r>
      <w:r w:rsidR="00914DED">
        <w:t xml:space="preserve"> unlikely to overlap with other land use categories</w:t>
      </w:r>
      <w:r>
        <w:t>.</w:t>
      </w:r>
      <w:r w:rsidR="00914DED">
        <w:t xml:space="preserve"> All coastal wetlands are included in the NGHGI, without regard for managed vs. unmanaged designation due to lack of data.</w:t>
      </w:r>
      <w:r w:rsidR="008754EF">
        <w:t xml:space="preserve"> By focusing on coastal wetlands (comprising approximately 2.9 million hectares), there are over 40 million hectares of</w:t>
      </w:r>
      <w:r w:rsidR="005E3C1B">
        <w:t xml:space="preserve"> continuous</w:t>
      </w:r>
      <w:r w:rsidR="008754EF">
        <w:t xml:space="preserve"> </w:t>
      </w:r>
      <w:r w:rsidR="005E3C1B">
        <w:t xml:space="preserve">U.S. inland </w:t>
      </w:r>
      <w:r w:rsidR="008754EF">
        <w:t>wetlands</w:t>
      </w:r>
      <w:r w:rsidR="005E3C1B">
        <w:t xml:space="preserve"> and inland and coastal wetlands in Alaska and Hawai’i </w:t>
      </w:r>
      <w:r w:rsidR="008754EF">
        <w:t xml:space="preserve">not accounted for in the NGHGI. </w:t>
      </w:r>
    </w:p>
    <w:p w14:paraId="6660E9DA" w14:textId="081AAED8" w:rsidR="008754EF" w:rsidRDefault="008754EF" w:rsidP="008C71B4">
      <w:pPr>
        <w:spacing w:before="240" w:after="0"/>
      </w:pPr>
      <w:r>
        <w:t>No datasets currently allow for determin</w:t>
      </w:r>
      <w:r w:rsidR="005E3C1B">
        <w:t>ing which wetlands are managed and unmanaged</w:t>
      </w:r>
      <w:r>
        <w:t xml:space="preserve"> in the United States. Due to the lack of data, we do not attempt to quantify this omission in the NGHGI.</w:t>
      </w:r>
    </w:p>
    <w:p w14:paraId="5648D5AC" w14:textId="77777777" w:rsidR="00C51BA7" w:rsidRPr="00C51BA7" w:rsidRDefault="00C51BA7" w:rsidP="000B2554">
      <w:pPr>
        <w:pStyle w:val="ListParagraph"/>
        <w:keepNext/>
        <w:keepLines/>
        <w:numPr>
          <w:ilvl w:val="0"/>
          <w:numId w:val="11"/>
        </w:numPr>
        <w:spacing w:before="240" w:after="0"/>
        <w:contextualSpacing w:val="0"/>
        <w:outlineLvl w:val="0"/>
        <w:rPr>
          <w:rFonts w:asciiTheme="majorHAnsi" w:eastAsiaTheme="majorEastAsia" w:hAnsiTheme="majorHAnsi" w:cstheme="majorBidi"/>
          <w:vanish/>
          <w:color w:val="2E74B5" w:themeColor="accent1" w:themeShade="BF"/>
          <w:sz w:val="32"/>
          <w:szCs w:val="32"/>
        </w:rPr>
      </w:pPr>
      <w:bookmarkStart w:id="270" w:name="_Toc14186109"/>
      <w:bookmarkStart w:id="271" w:name="_Toc14188346"/>
      <w:bookmarkStart w:id="272" w:name="_Toc15908791"/>
      <w:bookmarkStart w:id="273" w:name="_Toc15908804"/>
      <w:bookmarkStart w:id="274" w:name="_Toc17461621"/>
      <w:bookmarkStart w:id="275" w:name="_Toc17462151"/>
      <w:bookmarkStart w:id="276" w:name="_Toc17462447"/>
      <w:bookmarkStart w:id="277" w:name="_Toc17462481"/>
      <w:bookmarkStart w:id="278" w:name="_Toc17462494"/>
      <w:bookmarkStart w:id="279" w:name="_Toc28703421"/>
      <w:bookmarkStart w:id="280" w:name="_Toc67835472"/>
      <w:bookmarkStart w:id="281" w:name="_Toc67835591"/>
      <w:bookmarkStart w:id="282" w:name="_Toc67835695"/>
      <w:bookmarkStart w:id="283" w:name="_Toc67835740"/>
      <w:bookmarkStart w:id="284" w:name="_Toc82430806"/>
      <w:bookmarkStart w:id="285" w:name="_Toc82446767"/>
      <w:bookmarkStart w:id="286" w:name="_Toc82892403"/>
      <w:bookmarkStart w:id="287" w:name="_Toc84605779"/>
      <w:bookmarkStart w:id="288" w:name="_Toc84784388"/>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203EDCE2" w14:textId="00133C3B" w:rsidR="00C51BA7" w:rsidRPr="00C51BA7" w:rsidRDefault="00195F4D" w:rsidP="008C71B4">
      <w:pPr>
        <w:pStyle w:val="Heading2"/>
        <w:spacing w:before="240"/>
      </w:pPr>
      <w:r>
        <w:t>CO</w:t>
      </w:r>
      <w:r w:rsidRPr="00195F4D">
        <w:rPr>
          <w:vertAlign w:val="subscript"/>
        </w:rPr>
        <w:t>2</w:t>
      </w:r>
      <w:r>
        <w:t>, N</w:t>
      </w:r>
      <w:r w:rsidRPr="00195F4D">
        <w:rPr>
          <w:vertAlign w:val="subscript"/>
        </w:rPr>
        <w:t>2</w:t>
      </w:r>
      <w:r>
        <w:t>O, and CH</w:t>
      </w:r>
      <w:r w:rsidRPr="00195F4D">
        <w:rPr>
          <w:vertAlign w:val="subscript"/>
        </w:rPr>
        <w:t>4</w:t>
      </w:r>
      <w:r>
        <w:t xml:space="preserve"> </w:t>
      </w:r>
      <w:r w:rsidR="00C51BA7" w:rsidRPr="00C51BA7">
        <w:t>from managed peatlands</w:t>
      </w:r>
    </w:p>
    <w:p w14:paraId="440F54C8" w14:textId="001275AA" w:rsidR="00C51BA7" w:rsidRDefault="00C51BA7" w:rsidP="00C51BA7">
      <w:r>
        <w:t xml:space="preserve">Managed peatland </w:t>
      </w:r>
      <w:r w:rsidR="00863968">
        <w:t>generates</w:t>
      </w:r>
      <w:r>
        <w:t xml:space="preserve"> off-site CO</w:t>
      </w:r>
      <w:r w:rsidRPr="009A601E">
        <w:rPr>
          <w:vertAlign w:val="subscript"/>
        </w:rPr>
        <w:t>2</w:t>
      </w:r>
      <w:r>
        <w:t xml:space="preserve"> emissions and on-site CO</w:t>
      </w:r>
      <w:r w:rsidRPr="009A601E">
        <w:rPr>
          <w:vertAlign w:val="subscript"/>
        </w:rPr>
        <w:t>2</w:t>
      </w:r>
      <w:r>
        <w:t>, N</w:t>
      </w:r>
      <w:r w:rsidRPr="009A601E">
        <w:rPr>
          <w:vertAlign w:val="subscript"/>
        </w:rPr>
        <w:t>2</w:t>
      </w:r>
      <w:r>
        <w:t>O, and CH</w:t>
      </w:r>
      <w:r w:rsidRPr="009A601E">
        <w:rPr>
          <w:vertAlign w:val="subscript"/>
        </w:rPr>
        <w:t>4</w:t>
      </w:r>
      <w:r>
        <w:t xml:space="preserve"> emissions</w:t>
      </w:r>
      <w:r w:rsidR="00863968">
        <w:t xml:space="preserve">, driven by land clearing, peat oxidization, and peatland drainage. </w:t>
      </w:r>
      <w:r w:rsidR="008D55D5">
        <w:t>Most (94%</w:t>
      </w:r>
      <w:r>
        <w:t>) managed peatland emissions occur offsite.</w:t>
      </w:r>
    </w:p>
    <w:p w14:paraId="1B344976" w14:textId="1E7AEEB6" w:rsidR="00C51BA7" w:rsidRDefault="00C51BA7" w:rsidP="008C71B4">
      <w:r>
        <w:t>Offsite CO</w:t>
      </w:r>
      <w:r w:rsidRPr="001F2ADD">
        <w:rPr>
          <w:vertAlign w:val="subscript"/>
        </w:rPr>
        <w:t>2</w:t>
      </w:r>
      <w:r>
        <w:t xml:space="preserve"> emissions are calculated by converting annual weight of U.S. peat production, both in the lower 48 states and Alaska, into estimates of managed peatland area using an average per hectare peat production rate derived from U.S. and Canadian data. These estimates are stratified by nutrient-rich vs. nutrient poor peat deposits. Peat production area estimates and then multiplied by IPCC default C conversion factors (IPCC</w:t>
      </w:r>
      <w:r w:rsidR="008D55D5">
        <w:t>,</w:t>
      </w:r>
      <w:r>
        <w:t xml:space="preserve"> 2006). Peat production statistics come from USGS and Alaska Department of Natural Resources official reports (USGS</w:t>
      </w:r>
      <w:r w:rsidR="008D55D5">
        <w:t>,</w:t>
      </w:r>
      <w:r>
        <w:t xml:space="preserve"> 1991-2016, 2018; DGGS</w:t>
      </w:r>
      <w:r w:rsidR="008D55D5">
        <w:t>,</w:t>
      </w:r>
      <w:r>
        <w:t xml:space="preserve"> 1993-2015). The NGHGI does not include off-site CO</w:t>
      </w:r>
      <w:r w:rsidRPr="00E211AC">
        <w:rPr>
          <w:vertAlign w:val="subscript"/>
        </w:rPr>
        <w:t>2</w:t>
      </w:r>
      <w:r>
        <w:t xml:space="preserve"> emissions from peat produced outside the United States. </w:t>
      </w:r>
    </w:p>
    <w:p w14:paraId="3FF2EE50" w14:textId="524CE011" w:rsidR="00C51BA7" w:rsidRDefault="00C51BA7" w:rsidP="00C51BA7">
      <w:r>
        <w:t>Onsite emissions include CO</w:t>
      </w:r>
      <w:r w:rsidRPr="00E211AC">
        <w:rPr>
          <w:vertAlign w:val="subscript"/>
        </w:rPr>
        <w:t>2</w:t>
      </w:r>
      <w:r>
        <w:t>, N</w:t>
      </w:r>
      <w:r w:rsidRPr="00E211AC">
        <w:rPr>
          <w:vertAlign w:val="subscript"/>
        </w:rPr>
        <w:t>2</w:t>
      </w:r>
      <w:r>
        <w:t>O, and CH</w:t>
      </w:r>
      <w:r w:rsidRPr="00E211AC">
        <w:rPr>
          <w:vertAlign w:val="subscript"/>
        </w:rPr>
        <w:t>4</w:t>
      </w:r>
      <w:r>
        <w:t xml:space="preserve"> estimates. Peat production area estimates, as derived above, are multiplied by IPCC default emissions factors for CO</w:t>
      </w:r>
      <w:r w:rsidRPr="00A0432A">
        <w:rPr>
          <w:vertAlign w:val="subscript"/>
        </w:rPr>
        <w:t>2</w:t>
      </w:r>
      <w:r>
        <w:t xml:space="preserve"> and CH</w:t>
      </w:r>
      <w:r w:rsidRPr="00A0432A">
        <w:rPr>
          <w:vertAlign w:val="subscript"/>
        </w:rPr>
        <w:t>4</w:t>
      </w:r>
      <w:r>
        <w:t xml:space="preserve"> (IPCC</w:t>
      </w:r>
      <w:r w:rsidR="008D55D5">
        <w:t>,</w:t>
      </w:r>
      <w:r>
        <w:t xml:space="preserve"> 2006, 2014). Additional CH4 is also emitted from drainage ditches, the area of which are estimated using the IPCC default fraction of peatland area containing drainage ditches and then multiplied by the IPCC default emissions factor (IPCC</w:t>
      </w:r>
      <w:r w:rsidR="008D55D5">
        <w:t>,</w:t>
      </w:r>
      <w:r>
        <w:t xml:space="preserve"> 2014).</w:t>
      </w:r>
    </w:p>
    <w:p w14:paraId="65AD409C" w14:textId="6C2616BA" w:rsidR="00C51BA7" w:rsidRDefault="00C51BA7" w:rsidP="00C51BA7">
      <w:r>
        <w:t xml:space="preserve">The NGHGI estimates uncertainty using Monte Carlo </w:t>
      </w:r>
      <w:r w:rsidR="00863968">
        <w:t xml:space="preserve">simulation </w:t>
      </w:r>
      <w:r>
        <w:t>that accounts for uncertainty related to</w:t>
      </w:r>
      <w:r w:rsidR="008D55D5">
        <w:t xml:space="preserve"> (with standard </w:t>
      </w:r>
      <w:r w:rsidR="006A6C58">
        <w:t xml:space="preserve">error </w:t>
      </w:r>
      <w:r w:rsidR="008D55D5">
        <w:t>as a percentage of mean listed)</w:t>
      </w:r>
      <w:r>
        <w:t>:</w:t>
      </w:r>
    </w:p>
    <w:p w14:paraId="4294A0CD" w14:textId="77777777" w:rsidR="00C51BA7" w:rsidRDefault="00C51BA7" w:rsidP="000B2554">
      <w:pPr>
        <w:pStyle w:val="ListParagraph"/>
        <w:numPr>
          <w:ilvl w:val="0"/>
          <w:numId w:val="13"/>
        </w:numPr>
      </w:pPr>
      <w:r>
        <w:t xml:space="preserve">Peat production data, </w:t>
      </w:r>
      <w:r>
        <w:rPr>
          <w:rFonts w:cstheme="minorHAnsi"/>
        </w:rPr>
        <w:t>±</w:t>
      </w:r>
      <w:r>
        <w:t>25%</w:t>
      </w:r>
    </w:p>
    <w:p w14:paraId="5AE9A32D" w14:textId="77777777" w:rsidR="00C51BA7" w:rsidRDefault="00C51BA7" w:rsidP="000B2554">
      <w:pPr>
        <w:pStyle w:val="ListParagraph"/>
        <w:numPr>
          <w:ilvl w:val="0"/>
          <w:numId w:val="13"/>
        </w:numPr>
      </w:pPr>
      <w:r>
        <w:t xml:space="preserve">Percent type of peat production (nutrient-rich vs. nutrient poor), </w:t>
      </w:r>
      <w:r>
        <w:rPr>
          <w:rFonts w:cstheme="minorHAnsi"/>
        </w:rPr>
        <w:t>±</w:t>
      </w:r>
      <w:r>
        <w:t>25%</w:t>
      </w:r>
    </w:p>
    <w:p w14:paraId="5025D2DC" w14:textId="77777777" w:rsidR="00C51BA7" w:rsidRDefault="00C51BA7" w:rsidP="000B2554">
      <w:pPr>
        <w:pStyle w:val="ListParagraph"/>
        <w:numPr>
          <w:ilvl w:val="0"/>
          <w:numId w:val="13"/>
        </w:numPr>
      </w:pPr>
      <w:r>
        <w:t xml:space="preserve">Bulk density of lower 48 and Alaska peat, </w:t>
      </w:r>
      <w:r>
        <w:rPr>
          <w:rFonts w:cstheme="minorHAnsi"/>
        </w:rPr>
        <w:t>±</w:t>
      </w:r>
      <w:r>
        <w:t>25%</w:t>
      </w:r>
    </w:p>
    <w:p w14:paraId="56170FC5" w14:textId="77777777" w:rsidR="00C51BA7" w:rsidRDefault="00C51BA7" w:rsidP="000B2554">
      <w:pPr>
        <w:pStyle w:val="ListParagraph"/>
        <w:numPr>
          <w:ilvl w:val="0"/>
          <w:numId w:val="13"/>
        </w:numPr>
      </w:pPr>
      <w:r>
        <w:t>IPCC default emissions factors, C fraction factor, fraction of peatland covered by ditches, IPCC default uncertainty (2006, 2014)</w:t>
      </w:r>
    </w:p>
    <w:p w14:paraId="4DC4EE34" w14:textId="0C42D83B" w:rsidR="00C51BA7" w:rsidRDefault="00C51BA7" w:rsidP="00C51BA7">
      <w:r>
        <w:t>Note that uncertainty due to conversion of production tonnage to area of managed peatland is not accounted for. Identifying more data to calculate this factor or derive peatland area directly is noted as an NGHGI planned improvement. The current source for Alaska peat production data may be discontinued and only includes responses from half of Alaskan peat producers.</w:t>
      </w:r>
    </w:p>
    <w:p w14:paraId="0857FDF8" w14:textId="00DEABCB" w:rsidR="00C51BA7" w:rsidRDefault="00C51BA7" w:rsidP="00C51BA7">
      <w:r>
        <w:lastRenderedPageBreak/>
        <w:t>Due to the small contribution of GHG</w:t>
      </w:r>
      <w:r w:rsidRPr="00245D8A">
        <w:t xml:space="preserve"> fluxes from </w:t>
      </w:r>
      <w:r>
        <w:t xml:space="preserve">peatlands </w:t>
      </w:r>
      <w:r w:rsidRPr="003C05A0">
        <w:t xml:space="preserve">(Table </w:t>
      </w:r>
      <w:r w:rsidR="007D6D6E">
        <w:t>2</w:t>
      </w:r>
      <w:r w:rsidR="005F6840">
        <w:t>-</w:t>
      </w:r>
      <w:r>
        <w:t>3</w:t>
      </w:r>
      <w:r w:rsidR="00863968">
        <w:t>8</w:t>
      </w:r>
      <w:r w:rsidRPr="003C05A0">
        <w:t>),</w:t>
      </w:r>
      <w:r>
        <w:t xml:space="preserve"> </w:t>
      </w:r>
      <w:r w:rsidR="008D55D5">
        <w:t xml:space="preserve">we did not perform uncertainty attribution analysis beyond what is reported in the NGHGI (2018). </w:t>
      </w:r>
    </w:p>
    <w:p w14:paraId="32B6D2DC" w14:textId="7971445D" w:rsidR="00C51BA7" w:rsidRPr="00C51BA7" w:rsidRDefault="00C51BA7" w:rsidP="00C51BA7">
      <w:pPr>
        <w:rPr>
          <w:b/>
          <w:i/>
          <w:iCs/>
          <w:color w:val="44546A" w:themeColor="text2"/>
        </w:rPr>
      </w:pPr>
      <w:r w:rsidRPr="00C51BA7">
        <w:rPr>
          <w:b/>
          <w:i/>
          <w:iCs/>
          <w:color w:val="44546A" w:themeColor="text2"/>
        </w:rPr>
        <w:t xml:space="preserve">Table </w:t>
      </w:r>
      <w:r w:rsidR="007D6D6E">
        <w:rPr>
          <w:b/>
          <w:i/>
          <w:iCs/>
          <w:color w:val="44546A" w:themeColor="text2"/>
        </w:rPr>
        <w:t>2</w:t>
      </w:r>
      <w:r w:rsidR="005F6840">
        <w:rPr>
          <w:b/>
          <w:i/>
          <w:iCs/>
          <w:color w:val="44546A" w:themeColor="text2"/>
        </w:rPr>
        <w:t>-</w:t>
      </w:r>
      <w:r w:rsidRPr="00C51BA7">
        <w:rPr>
          <w:b/>
          <w:i/>
          <w:iCs/>
          <w:color w:val="44546A" w:themeColor="text2"/>
        </w:rPr>
        <w:t>3</w:t>
      </w:r>
      <w:r w:rsidR="00863968">
        <w:rPr>
          <w:b/>
          <w:i/>
          <w:iCs/>
          <w:color w:val="44546A" w:themeColor="text2"/>
        </w:rPr>
        <w:t>8</w:t>
      </w:r>
      <w:r w:rsidRPr="00C51BA7">
        <w:rPr>
          <w:b/>
          <w:i/>
          <w:iCs/>
          <w:color w:val="44546A" w:themeColor="text2"/>
        </w:rPr>
        <w:t>: RESULTS – Contributions to uncertainty of managed peatland CO</w:t>
      </w:r>
      <w:r w:rsidRPr="00DC3904">
        <w:rPr>
          <w:b/>
          <w:i/>
          <w:iCs/>
          <w:color w:val="44546A" w:themeColor="text2"/>
          <w:vertAlign w:val="subscript"/>
        </w:rPr>
        <w:t>2</w:t>
      </w:r>
      <w:r w:rsidRPr="00C51BA7">
        <w:rPr>
          <w:b/>
          <w:i/>
          <w:iCs/>
          <w:color w:val="44546A" w:themeColor="text2"/>
        </w:rPr>
        <w:t>, N</w:t>
      </w:r>
      <w:r w:rsidRPr="00DC3904">
        <w:rPr>
          <w:b/>
          <w:i/>
          <w:iCs/>
          <w:color w:val="44546A" w:themeColor="text2"/>
          <w:vertAlign w:val="subscript"/>
        </w:rPr>
        <w:t>2</w:t>
      </w:r>
      <w:r w:rsidRPr="00C51BA7">
        <w:rPr>
          <w:b/>
          <w:i/>
          <w:iCs/>
          <w:color w:val="44546A" w:themeColor="text2"/>
        </w:rPr>
        <w:t>O, CH</w:t>
      </w:r>
      <w:r w:rsidRPr="00DC3904">
        <w:rPr>
          <w:b/>
          <w:i/>
          <w:iCs/>
          <w:color w:val="44546A" w:themeColor="text2"/>
          <w:vertAlign w:val="subscript"/>
        </w:rPr>
        <w:t>4</w:t>
      </w:r>
      <w:r w:rsidRPr="00C51BA7">
        <w:rPr>
          <w:b/>
          <w:i/>
          <w:iCs/>
          <w:color w:val="44546A" w:themeColor="text2"/>
        </w:rPr>
        <w:t xml:space="preserve"> emissions</w:t>
      </w:r>
    </w:p>
    <w:tbl>
      <w:tblPr>
        <w:tblW w:w="8820" w:type="dxa"/>
        <w:tblInd w:w="-5" w:type="dxa"/>
        <w:tblLayout w:type="fixed"/>
        <w:tblLook w:val="04A0" w:firstRow="1" w:lastRow="0" w:firstColumn="1" w:lastColumn="0" w:noHBand="0" w:noVBand="1"/>
      </w:tblPr>
      <w:tblGrid>
        <w:gridCol w:w="2205"/>
        <w:gridCol w:w="2205"/>
        <w:gridCol w:w="2205"/>
        <w:gridCol w:w="2205"/>
      </w:tblGrid>
      <w:tr w:rsidR="00C51BA7" w:rsidRPr="003C05A0" w14:paraId="7523DED2" w14:textId="77777777" w:rsidTr="00F56FE9">
        <w:trPr>
          <w:trHeight w:val="439"/>
        </w:trPr>
        <w:tc>
          <w:tcPr>
            <w:tcW w:w="2205"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2AC40B81" w14:textId="77777777" w:rsidR="00C51BA7" w:rsidRPr="003C05A0" w:rsidRDefault="00C51BA7" w:rsidP="00F56FE9">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Variable held constant</w:t>
            </w:r>
          </w:p>
        </w:tc>
        <w:tc>
          <w:tcPr>
            <w:tcW w:w="2205" w:type="dxa"/>
            <w:tcBorders>
              <w:top w:val="single" w:sz="4" w:space="0" w:color="auto"/>
              <w:left w:val="nil"/>
              <w:bottom w:val="single" w:sz="4" w:space="0" w:color="auto"/>
              <w:right w:val="single" w:sz="4" w:space="0" w:color="auto"/>
            </w:tcBorders>
            <w:shd w:val="clear" w:color="auto" w:fill="FFC000"/>
            <w:vAlign w:val="center"/>
            <w:hideMark/>
          </w:tcPr>
          <w:p w14:paraId="3DFA1593" w14:textId="77777777" w:rsidR="00C51BA7" w:rsidRPr="003C05A0" w:rsidRDefault="00C51BA7" w:rsidP="00F56FE9">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Range of 95% confidence interval (MMT CO</w:t>
            </w:r>
            <w:r w:rsidRPr="003C05A0">
              <w:rPr>
                <w:rFonts w:ascii="Calibri" w:eastAsia="Times New Roman" w:hAnsi="Calibri" w:cs="Calibri"/>
                <w:b/>
                <w:bCs/>
                <w:color w:val="000000"/>
                <w:sz w:val="18"/>
                <w:szCs w:val="18"/>
                <w:vertAlign w:val="subscript"/>
              </w:rPr>
              <w:t>2</w:t>
            </w:r>
            <w:r w:rsidRPr="003C05A0">
              <w:rPr>
                <w:rFonts w:ascii="Calibri" w:eastAsia="Times New Roman" w:hAnsi="Calibri" w:cs="Calibri"/>
                <w:b/>
                <w:bCs/>
                <w:color w:val="000000"/>
                <w:sz w:val="18"/>
                <w:szCs w:val="18"/>
              </w:rPr>
              <w:t>e)</w:t>
            </w:r>
          </w:p>
        </w:tc>
        <w:tc>
          <w:tcPr>
            <w:tcW w:w="2205" w:type="dxa"/>
            <w:tcBorders>
              <w:top w:val="single" w:sz="4" w:space="0" w:color="auto"/>
              <w:left w:val="nil"/>
              <w:bottom w:val="single" w:sz="4" w:space="0" w:color="auto"/>
              <w:right w:val="single" w:sz="4" w:space="0" w:color="auto"/>
            </w:tcBorders>
            <w:shd w:val="clear" w:color="auto" w:fill="FFC000"/>
            <w:vAlign w:val="center"/>
            <w:hideMark/>
          </w:tcPr>
          <w:p w14:paraId="3E1A8DB5" w14:textId="77777777" w:rsidR="00C51BA7" w:rsidRPr="003C05A0" w:rsidRDefault="00C51BA7" w:rsidP="00F56FE9">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Contribution to uncertainty (%)</w:t>
            </w:r>
          </w:p>
        </w:tc>
        <w:tc>
          <w:tcPr>
            <w:tcW w:w="2205" w:type="dxa"/>
            <w:tcBorders>
              <w:top w:val="single" w:sz="4" w:space="0" w:color="auto"/>
              <w:left w:val="nil"/>
              <w:bottom w:val="single" w:sz="4" w:space="0" w:color="auto"/>
              <w:right w:val="single" w:sz="4" w:space="0" w:color="auto"/>
            </w:tcBorders>
            <w:shd w:val="clear" w:color="auto" w:fill="FFC000"/>
            <w:vAlign w:val="center"/>
            <w:hideMark/>
          </w:tcPr>
          <w:p w14:paraId="1BBB2269" w14:textId="77777777" w:rsidR="00C51BA7" w:rsidRPr="003C05A0" w:rsidRDefault="00C51BA7" w:rsidP="00F56FE9">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Contribution to uncertainty (MMT CO</w:t>
            </w:r>
            <w:r w:rsidRPr="00081E93">
              <w:rPr>
                <w:rFonts w:ascii="Calibri" w:eastAsia="Times New Roman" w:hAnsi="Calibri" w:cs="Calibri"/>
                <w:b/>
                <w:bCs/>
                <w:color w:val="000000"/>
                <w:sz w:val="18"/>
                <w:szCs w:val="18"/>
                <w:vertAlign w:val="subscript"/>
              </w:rPr>
              <w:t>2</w:t>
            </w:r>
            <w:r w:rsidRPr="003C05A0">
              <w:rPr>
                <w:rFonts w:ascii="Calibri" w:eastAsia="Times New Roman" w:hAnsi="Calibri" w:cs="Calibri"/>
                <w:b/>
                <w:bCs/>
                <w:color w:val="000000"/>
                <w:sz w:val="18"/>
                <w:szCs w:val="18"/>
              </w:rPr>
              <w:t>e)</w:t>
            </w:r>
          </w:p>
        </w:tc>
      </w:tr>
      <w:tr w:rsidR="00C51BA7" w:rsidRPr="003C05A0" w14:paraId="7B3F11D1" w14:textId="77777777" w:rsidTr="00F56FE9">
        <w:trPr>
          <w:trHeight w:val="439"/>
        </w:trPr>
        <w:tc>
          <w:tcPr>
            <w:tcW w:w="2205" w:type="dxa"/>
            <w:tcBorders>
              <w:top w:val="nil"/>
              <w:left w:val="single" w:sz="4" w:space="0" w:color="auto"/>
              <w:bottom w:val="single" w:sz="4" w:space="0" w:color="auto"/>
              <w:right w:val="single" w:sz="4" w:space="0" w:color="auto"/>
            </w:tcBorders>
            <w:shd w:val="clear" w:color="auto" w:fill="auto"/>
            <w:vAlign w:val="center"/>
            <w:hideMark/>
          </w:tcPr>
          <w:p w14:paraId="7C2825D5" w14:textId="151BA818" w:rsidR="00C51BA7" w:rsidRPr="003C05A0" w:rsidRDefault="001E048A" w:rsidP="00F56FE9">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None (all vary)</w:t>
            </w:r>
          </w:p>
        </w:tc>
        <w:tc>
          <w:tcPr>
            <w:tcW w:w="2205" w:type="dxa"/>
            <w:tcBorders>
              <w:top w:val="nil"/>
              <w:left w:val="nil"/>
              <w:bottom w:val="single" w:sz="4" w:space="0" w:color="auto"/>
              <w:right w:val="single" w:sz="4" w:space="0" w:color="auto"/>
            </w:tcBorders>
            <w:shd w:val="clear" w:color="auto" w:fill="auto"/>
            <w:vAlign w:val="center"/>
            <w:hideMark/>
          </w:tcPr>
          <w:p w14:paraId="2B404CD9" w14:textId="77777777" w:rsidR="00C51BA7" w:rsidRPr="004326E8" w:rsidRDefault="00C51BA7" w:rsidP="00F56FE9">
            <w:pPr>
              <w:spacing w:after="0" w:line="240" w:lineRule="auto"/>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0.2</w:t>
            </w:r>
          </w:p>
        </w:tc>
        <w:tc>
          <w:tcPr>
            <w:tcW w:w="2205" w:type="dxa"/>
            <w:tcBorders>
              <w:top w:val="nil"/>
              <w:left w:val="nil"/>
              <w:bottom w:val="single" w:sz="4" w:space="0" w:color="auto"/>
              <w:right w:val="single" w:sz="4" w:space="0" w:color="auto"/>
            </w:tcBorders>
            <w:shd w:val="clear" w:color="auto" w:fill="auto"/>
            <w:vAlign w:val="center"/>
            <w:hideMark/>
          </w:tcPr>
          <w:p w14:paraId="5CD0ED08" w14:textId="77777777" w:rsidR="00C51BA7" w:rsidRPr="003C05A0" w:rsidRDefault="00C51BA7" w:rsidP="00F56FE9">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w:t>
            </w:r>
          </w:p>
        </w:tc>
        <w:tc>
          <w:tcPr>
            <w:tcW w:w="2205" w:type="dxa"/>
            <w:tcBorders>
              <w:top w:val="nil"/>
              <w:left w:val="nil"/>
              <w:bottom w:val="single" w:sz="4" w:space="0" w:color="auto"/>
              <w:right w:val="single" w:sz="4" w:space="0" w:color="auto"/>
            </w:tcBorders>
            <w:shd w:val="clear" w:color="auto" w:fill="auto"/>
            <w:vAlign w:val="center"/>
            <w:hideMark/>
          </w:tcPr>
          <w:p w14:paraId="562241B1" w14:textId="77777777" w:rsidR="00C51BA7" w:rsidRPr="003C05A0" w:rsidRDefault="00C51BA7" w:rsidP="00F56FE9">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w:t>
            </w:r>
          </w:p>
        </w:tc>
      </w:tr>
      <w:tr w:rsidR="00C51BA7" w:rsidRPr="003C05A0" w14:paraId="7FE381EA" w14:textId="77777777" w:rsidTr="00F56FE9">
        <w:trPr>
          <w:trHeight w:val="439"/>
        </w:trPr>
        <w:tc>
          <w:tcPr>
            <w:tcW w:w="2205" w:type="dxa"/>
            <w:tcBorders>
              <w:top w:val="nil"/>
              <w:left w:val="single" w:sz="4" w:space="0" w:color="auto"/>
              <w:bottom w:val="single" w:sz="4" w:space="0" w:color="auto"/>
              <w:right w:val="single" w:sz="4" w:space="0" w:color="auto"/>
            </w:tcBorders>
            <w:shd w:val="clear" w:color="auto" w:fill="auto"/>
            <w:vAlign w:val="center"/>
            <w:hideMark/>
          </w:tcPr>
          <w:p w14:paraId="3D9B7C0E" w14:textId="77777777" w:rsidR="00C51BA7" w:rsidRPr="003C05A0" w:rsidRDefault="00C51BA7" w:rsidP="00F56FE9">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Offsite, Onsite –</w:t>
            </w:r>
            <w:r w:rsidRPr="003C05A0">
              <w:rPr>
                <w:rFonts w:ascii="Calibri" w:eastAsia="Times New Roman" w:hAnsi="Calibri" w:cs="Calibri"/>
                <w:b/>
                <w:bCs/>
                <w:color w:val="000000"/>
                <w:sz w:val="18"/>
                <w:szCs w:val="18"/>
              </w:rPr>
              <w:t xml:space="preserve"> </w:t>
            </w:r>
            <w:r>
              <w:rPr>
                <w:rFonts w:ascii="Calibri" w:eastAsia="Times New Roman" w:hAnsi="Calibri" w:cs="Calibri"/>
                <w:b/>
                <w:bCs/>
                <w:color w:val="000000"/>
                <w:sz w:val="18"/>
                <w:szCs w:val="18"/>
              </w:rPr>
              <w:t>CO</w:t>
            </w:r>
            <w:r w:rsidRPr="003C05A0">
              <w:rPr>
                <w:rFonts w:ascii="Calibri" w:eastAsia="Times New Roman" w:hAnsi="Calibri" w:cs="Calibri"/>
                <w:b/>
                <w:bCs/>
                <w:color w:val="000000"/>
                <w:sz w:val="18"/>
                <w:szCs w:val="18"/>
                <w:vertAlign w:val="subscript"/>
              </w:rPr>
              <w:t>2</w:t>
            </w:r>
            <w:r w:rsidRPr="003C05A0">
              <w:rPr>
                <w:rFonts w:ascii="Calibri" w:eastAsia="Times New Roman" w:hAnsi="Calibri" w:cs="Calibri"/>
                <w:b/>
                <w:bCs/>
                <w:color w:val="000000"/>
                <w:sz w:val="18"/>
                <w:szCs w:val="18"/>
              </w:rPr>
              <w:t xml:space="preserve"> </w:t>
            </w:r>
          </w:p>
        </w:tc>
        <w:tc>
          <w:tcPr>
            <w:tcW w:w="2205" w:type="dxa"/>
            <w:tcBorders>
              <w:top w:val="nil"/>
              <w:left w:val="nil"/>
              <w:bottom w:val="single" w:sz="4" w:space="0" w:color="auto"/>
              <w:right w:val="single" w:sz="4" w:space="0" w:color="auto"/>
            </w:tcBorders>
            <w:shd w:val="clear" w:color="auto" w:fill="auto"/>
            <w:vAlign w:val="center"/>
            <w:hideMark/>
          </w:tcPr>
          <w:p w14:paraId="10F30C1E" w14:textId="77777777" w:rsidR="00C51BA7" w:rsidRPr="003C05A0" w:rsidRDefault="00C51BA7"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0.2</w:t>
            </w:r>
          </w:p>
        </w:tc>
        <w:tc>
          <w:tcPr>
            <w:tcW w:w="2205" w:type="dxa"/>
            <w:tcBorders>
              <w:top w:val="nil"/>
              <w:left w:val="nil"/>
              <w:bottom w:val="single" w:sz="4" w:space="0" w:color="auto"/>
              <w:right w:val="single" w:sz="4" w:space="0" w:color="auto"/>
            </w:tcBorders>
            <w:shd w:val="clear" w:color="auto" w:fill="auto"/>
            <w:vAlign w:val="center"/>
            <w:hideMark/>
          </w:tcPr>
          <w:p w14:paraId="57248502" w14:textId="77777777" w:rsidR="00C51BA7" w:rsidRPr="003C05A0" w:rsidRDefault="00C51BA7"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100</w:t>
            </w:r>
          </w:p>
        </w:tc>
        <w:tc>
          <w:tcPr>
            <w:tcW w:w="2205" w:type="dxa"/>
            <w:tcBorders>
              <w:top w:val="nil"/>
              <w:left w:val="nil"/>
              <w:bottom w:val="single" w:sz="4" w:space="0" w:color="auto"/>
              <w:right w:val="single" w:sz="4" w:space="0" w:color="auto"/>
            </w:tcBorders>
            <w:shd w:val="clear" w:color="auto" w:fill="auto"/>
            <w:vAlign w:val="center"/>
            <w:hideMark/>
          </w:tcPr>
          <w:p w14:paraId="2F0F7AB7" w14:textId="77777777" w:rsidR="00C51BA7" w:rsidRPr="003C05A0" w:rsidRDefault="00C51BA7"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0.2</w:t>
            </w:r>
          </w:p>
        </w:tc>
      </w:tr>
      <w:tr w:rsidR="00C51BA7" w:rsidRPr="003C05A0" w14:paraId="34845C19" w14:textId="77777777" w:rsidTr="00F56FE9">
        <w:trPr>
          <w:trHeight w:val="439"/>
        </w:trPr>
        <w:tc>
          <w:tcPr>
            <w:tcW w:w="2205" w:type="dxa"/>
            <w:tcBorders>
              <w:top w:val="nil"/>
              <w:left w:val="single" w:sz="4" w:space="0" w:color="auto"/>
              <w:bottom w:val="single" w:sz="4" w:space="0" w:color="auto"/>
              <w:right w:val="single" w:sz="4" w:space="0" w:color="auto"/>
            </w:tcBorders>
            <w:shd w:val="clear" w:color="auto" w:fill="auto"/>
            <w:vAlign w:val="center"/>
            <w:hideMark/>
          </w:tcPr>
          <w:p w14:paraId="55FBDA21" w14:textId="77777777" w:rsidR="00C51BA7" w:rsidRPr="003C05A0" w:rsidRDefault="00C51BA7" w:rsidP="00F56FE9">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Onsite – N</w:t>
            </w:r>
            <w:r w:rsidRPr="003C05A0">
              <w:rPr>
                <w:rFonts w:ascii="Calibri" w:eastAsia="Times New Roman" w:hAnsi="Calibri" w:cs="Calibri"/>
                <w:b/>
                <w:bCs/>
                <w:color w:val="000000"/>
                <w:sz w:val="18"/>
                <w:szCs w:val="18"/>
                <w:vertAlign w:val="subscript"/>
              </w:rPr>
              <w:t>2</w:t>
            </w:r>
            <w:r w:rsidRPr="006B36B2">
              <w:rPr>
                <w:rFonts w:ascii="Calibri" w:eastAsia="Times New Roman" w:hAnsi="Calibri" w:cs="Calibri"/>
                <w:b/>
                <w:bCs/>
                <w:color w:val="000000"/>
                <w:sz w:val="18"/>
                <w:szCs w:val="18"/>
              </w:rPr>
              <w:t>O</w:t>
            </w:r>
          </w:p>
        </w:tc>
        <w:tc>
          <w:tcPr>
            <w:tcW w:w="2205" w:type="dxa"/>
            <w:tcBorders>
              <w:top w:val="nil"/>
              <w:left w:val="nil"/>
              <w:bottom w:val="single" w:sz="4" w:space="0" w:color="auto"/>
              <w:right w:val="single" w:sz="4" w:space="0" w:color="auto"/>
            </w:tcBorders>
            <w:shd w:val="clear" w:color="auto" w:fill="auto"/>
            <w:vAlign w:val="center"/>
            <w:hideMark/>
          </w:tcPr>
          <w:p w14:paraId="39EC0206" w14:textId="77777777" w:rsidR="00C51BA7" w:rsidRPr="003C05A0" w:rsidRDefault="00C51BA7"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2205" w:type="dxa"/>
            <w:tcBorders>
              <w:top w:val="nil"/>
              <w:left w:val="nil"/>
              <w:bottom w:val="single" w:sz="4" w:space="0" w:color="auto"/>
              <w:right w:val="single" w:sz="4" w:space="0" w:color="auto"/>
            </w:tcBorders>
            <w:shd w:val="clear" w:color="auto" w:fill="auto"/>
            <w:vAlign w:val="center"/>
            <w:hideMark/>
          </w:tcPr>
          <w:p w14:paraId="2E167872" w14:textId="77777777" w:rsidR="00C51BA7" w:rsidRPr="003C05A0" w:rsidRDefault="00C51BA7"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2205" w:type="dxa"/>
            <w:tcBorders>
              <w:top w:val="nil"/>
              <w:left w:val="nil"/>
              <w:bottom w:val="single" w:sz="4" w:space="0" w:color="auto"/>
              <w:right w:val="single" w:sz="4" w:space="0" w:color="auto"/>
            </w:tcBorders>
            <w:shd w:val="clear" w:color="auto" w:fill="auto"/>
            <w:vAlign w:val="center"/>
            <w:hideMark/>
          </w:tcPr>
          <w:p w14:paraId="2F178635" w14:textId="77777777" w:rsidR="00C51BA7" w:rsidRPr="003C05A0" w:rsidRDefault="00C51BA7"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r>
      <w:tr w:rsidR="00C51BA7" w:rsidRPr="003C05A0" w14:paraId="38A96B4D" w14:textId="77777777" w:rsidTr="00F56FE9">
        <w:trPr>
          <w:trHeight w:val="439"/>
        </w:trPr>
        <w:tc>
          <w:tcPr>
            <w:tcW w:w="2205" w:type="dxa"/>
            <w:tcBorders>
              <w:top w:val="single" w:sz="4" w:space="0" w:color="auto"/>
              <w:left w:val="single" w:sz="4" w:space="0" w:color="auto"/>
              <w:bottom w:val="single" w:sz="4" w:space="0" w:color="auto"/>
              <w:right w:val="single" w:sz="4" w:space="0" w:color="auto"/>
            </w:tcBorders>
            <w:shd w:val="clear" w:color="auto" w:fill="auto"/>
            <w:vAlign w:val="center"/>
          </w:tcPr>
          <w:p w14:paraId="54CDF170" w14:textId="77777777" w:rsidR="00C51BA7" w:rsidRDefault="00C51BA7" w:rsidP="00F56FE9">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Onsite – CH</w:t>
            </w:r>
            <w:r w:rsidRPr="006B36B2">
              <w:rPr>
                <w:rFonts w:ascii="Calibri" w:eastAsia="Times New Roman" w:hAnsi="Calibri" w:cs="Calibri"/>
                <w:b/>
                <w:bCs/>
                <w:color w:val="000000"/>
                <w:sz w:val="18"/>
                <w:szCs w:val="18"/>
                <w:vertAlign w:val="subscript"/>
              </w:rPr>
              <w:t>4</w:t>
            </w:r>
          </w:p>
        </w:tc>
        <w:tc>
          <w:tcPr>
            <w:tcW w:w="2205" w:type="dxa"/>
            <w:tcBorders>
              <w:top w:val="single" w:sz="4" w:space="0" w:color="auto"/>
              <w:left w:val="nil"/>
              <w:bottom w:val="single" w:sz="4" w:space="0" w:color="auto"/>
              <w:right w:val="single" w:sz="4" w:space="0" w:color="auto"/>
            </w:tcBorders>
            <w:shd w:val="clear" w:color="auto" w:fill="auto"/>
            <w:vAlign w:val="center"/>
          </w:tcPr>
          <w:p w14:paraId="7BB44507" w14:textId="77777777" w:rsidR="00C51BA7" w:rsidRPr="003C05A0" w:rsidRDefault="00C51BA7"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2205" w:type="dxa"/>
            <w:tcBorders>
              <w:top w:val="single" w:sz="4" w:space="0" w:color="auto"/>
              <w:left w:val="nil"/>
              <w:bottom w:val="single" w:sz="4" w:space="0" w:color="auto"/>
              <w:right w:val="single" w:sz="4" w:space="0" w:color="auto"/>
            </w:tcBorders>
            <w:shd w:val="clear" w:color="auto" w:fill="auto"/>
            <w:vAlign w:val="center"/>
          </w:tcPr>
          <w:p w14:paraId="4DC91A99" w14:textId="77777777" w:rsidR="00C51BA7" w:rsidRPr="003C05A0" w:rsidRDefault="00C51BA7"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c>
          <w:tcPr>
            <w:tcW w:w="2205" w:type="dxa"/>
            <w:tcBorders>
              <w:top w:val="single" w:sz="4" w:space="0" w:color="auto"/>
              <w:left w:val="nil"/>
              <w:bottom w:val="single" w:sz="4" w:space="0" w:color="auto"/>
              <w:right w:val="single" w:sz="4" w:space="0" w:color="auto"/>
            </w:tcBorders>
            <w:shd w:val="clear" w:color="auto" w:fill="auto"/>
            <w:vAlign w:val="center"/>
          </w:tcPr>
          <w:p w14:paraId="370E3F91" w14:textId="77777777" w:rsidR="00C51BA7" w:rsidRPr="003C05A0" w:rsidRDefault="00C51BA7"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w:t>
            </w:r>
          </w:p>
        </w:tc>
      </w:tr>
    </w:tbl>
    <w:p w14:paraId="568649B4" w14:textId="77777777" w:rsidR="00C51BA7" w:rsidRDefault="00C51BA7" w:rsidP="00C51BA7"/>
    <w:p w14:paraId="78C66B55" w14:textId="6DC62D99" w:rsidR="00C51BA7" w:rsidRDefault="00863968" w:rsidP="00C51BA7">
      <w:r>
        <w:t>O</w:t>
      </w:r>
      <w:r w:rsidR="00C51BA7">
        <w:t>nsite N</w:t>
      </w:r>
      <w:r w:rsidR="00C51BA7" w:rsidRPr="006B36B2">
        <w:rPr>
          <w:vertAlign w:val="subscript"/>
        </w:rPr>
        <w:t>2</w:t>
      </w:r>
      <w:r w:rsidR="00C51BA7">
        <w:t>O and CH</w:t>
      </w:r>
      <w:r w:rsidR="00C51BA7" w:rsidRPr="006B36B2">
        <w:rPr>
          <w:vertAlign w:val="subscript"/>
        </w:rPr>
        <w:t>4</w:t>
      </w:r>
      <w:r w:rsidR="00C51BA7">
        <w:t xml:space="preserve"> fluxes and uncertainty ranges do not exceed 0.05 MMT CO</w:t>
      </w:r>
      <w:r w:rsidR="00C51BA7" w:rsidRPr="006B36B2">
        <w:rPr>
          <w:vertAlign w:val="subscript"/>
        </w:rPr>
        <w:t>2</w:t>
      </w:r>
      <w:r w:rsidR="00C51BA7">
        <w:t xml:space="preserve">e. </w:t>
      </w:r>
    </w:p>
    <w:p w14:paraId="6F10A020" w14:textId="66D0480E" w:rsidR="00C51BA7" w:rsidRDefault="00C51BA7" w:rsidP="00C51BA7">
      <w:r>
        <w:t>We do not attempt to quantify potential omitted fluxes from peatland, such as new land clear</w:t>
      </w:r>
      <w:r w:rsidR="008D55D5">
        <w:t>ed</w:t>
      </w:r>
      <w:r>
        <w:t xml:space="preserve"> for peat extraction or offsite non-CO</w:t>
      </w:r>
      <w:r w:rsidRPr="008D55D5">
        <w:rPr>
          <w:vertAlign w:val="subscript"/>
        </w:rPr>
        <w:t>2</w:t>
      </w:r>
      <w:r>
        <w:t xml:space="preserve"> emissions, because U.S. peatland emissions have been declining steadily since 1990 and any omissions would likely be </w:t>
      </w:r>
      <w:r w:rsidR="00A751E5">
        <w:t>small</w:t>
      </w:r>
      <w:r>
        <w:t>.</w:t>
      </w:r>
    </w:p>
    <w:p w14:paraId="6BDBDC64" w14:textId="3EE7460B" w:rsidR="00C51BA7" w:rsidRDefault="00195F4D" w:rsidP="00C51BA7">
      <w:pPr>
        <w:pStyle w:val="Heading2"/>
      </w:pPr>
      <w:r>
        <w:t>Carbon stock change and CH</w:t>
      </w:r>
      <w:r w:rsidRPr="00195F4D">
        <w:rPr>
          <w:vertAlign w:val="subscript"/>
        </w:rPr>
        <w:t>4</w:t>
      </w:r>
      <w:r>
        <w:t xml:space="preserve"> in c</w:t>
      </w:r>
      <w:r w:rsidR="00C51BA7" w:rsidRPr="00AB1858">
        <w:t xml:space="preserve">oastal </w:t>
      </w:r>
      <w:r>
        <w:t>w</w:t>
      </w:r>
      <w:r w:rsidR="00C51BA7" w:rsidRPr="00AB1858">
        <w:t xml:space="preserve">etlands </w:t>
      </w:r>
    </w:p>
    <w:p w14:paraId="3D21E4CC" w14:textId="5F693C7E" w:rsidR="00C51BA7" w:rsidRDefault="00C51BA7" w:rsidP="00C51BA7">
      <w:pPr>
        <w:spacing w:before="240" w:after="0"/>
      </w:pPr>
      <w:r>
        <w:t xml:space="preserve">Coastal wetlands are defined as </w:t>
      </w:r>
      <w:r w:rsidR="007448D1">
        <w:t xml:space="preserve">land areas </w:t>
      </w:r>
      <w:r>
        <w:t>found below the elevation of high tides and extending as far seaward as intertidal vascular plants can be found, including both federal and non-federal lands.</w:t>
      </w:r>
    </w:p>
    <w:p w14:paraId="585336CE" w14:textId="77777777" w:rsidR="00C51BA7" w:rsidRDefault="00C51BA7" w:rsidP="00C51BA7">
      <w:r>
        <w:t>The NGHGI coastal wetlands section includes:</w:t>
      </w:r>
    </w:p>
    <w:p w14:paraId="0B6A6EBB" w14:textId="77777777" w:rsidR="00C51BA7" w:rsidRDefault="00C51BA7" w:rsidP="000B2554">
      <w:pPr>
        <w:pStyle w:val="ListParagraph"/>
        <w:numPr>
          <w:ilvl w:val="0"/>
          <w:numId w:val="14"/>
        </w:numPr>
      </w:pPr>
      <w:r>
        <w:t>Carbon stock changes and CH</w:t>
      </w:r>
      <w:r w:rsidRPr="009E72FD">
        <w:rPr>
          <w:vertAlign w:val="subscript"/>
        </w:rPr>
        <w:t>4</w:t>
      </w:r>
      <w:r>
        <w:t xml:space="preserve"> emissions from vegetated coastal wetlands remaining vegetated coastal wetlands;</w:t>
      </w:r>
    </w:p>
    <w:p w14:paraId="0D26B302" w14:textId="77777777" w:rsidR="00C51BA7" w:rsidRDefault="00C51BA7" w:rsidP="000B2554">
      <w:pPr>
        <w:pStyle w:val="ListParagraph"/>
        <w:numPr>
          <w:ilvl w:val="0"/>
          <w:numId w:val="14"/>
        </w:numPr>
      </w:pPr>
      <w:r>
        <w:t>Carbon stock changes on vegetated coastal wetlands converted to unvegetated open water coastal wetlands and vice versa; and</w:t>
      </w:r>
    </w:p>
    <w:p w14:paraId="20AE1A9C" w14:textId="77777777" w:rsidR="00C51BA7" w:rsidRDefault="00C51BA7" w:rsidP="000B2554">
      <w:pPr>
        <w:pStyle w:val="ListParagraph"/>
        <w:numPr>
          <w:ilvl w:val="0"/>
          <w:numId w:val="14"/>
        </w:numPr>
      </w:pPr>
      <w:r>
        <w:t>N</w:t>
      </w:r>
      <w:r w:rsidRPr="009E72FD">
        <w:rPr>
          <w:vertAlign w:val="subscript"/>
        </w:rPr>
        <w:t>2</w:t>
      </w:r>
      <w:r>
        <w:t>O emissions from aquaculture in coastal wetlands.</w:t>
      </w:r>
    </w:p>
    <w:p w14:paraId="523FA611" w14:textId="0B47F8FA" w:rsidR="00C51BA7" w:rsidRDefault="00C51BA7" w:rsidP="00C51BA7">
      <w:r>
        <w:t>Coastal wetland area is estimated and stratified using the National Oceanographic and Atmospheric Administration (NOAA) Coastal Change Analysis Program (C-CAP), which is not harmonized with other land area representation datasets used in the NGHGI</w:t>
      </w:r>
      <w:r w:rsidR="008D55D5">
        <w:t xml:space="preserve"> (2018),</w:t>
      </w:r>
      <w:r>
        <w:t xml:space="preserve"> incl</w:t>
      </w:r>
      <w:r w:rsidR="008D55D5">
        <w:t>uding National Resources Inventory (NRI), Forest Inventory and Analysis (FIA), and National Land Cover Database (NLCD)</w:t>
      </w:r>
      <w:r>
        <w:t xml:space="preserve">. C-CAP is updated every four to five years, with the most recent dataset updated in 2010. Coastal wetland areas and land use change is extrapolated from 2010 to the latest NGHGI inventory year using </w:t>
      </w:r>
      <w:r w:rsidR="007448D1">
        <w:t xml:space="preserve">historical </w:t>
      </w:r>
      <w:r>
        <w:t xml:space="preserve">C-CAP </w:t>
      </w:r>
      <w:r w:rsidR="007448D1">
        <w:t>observations</w:t>
      </w:r>
      <w:r>
        <w:t xml:space="preserve">.  </w:t>
      </w:r>
    </w:p>
    <w:p w14:paraId="6ED2BA62" w14:textId="77403FB4" w:rsidR="00C51BA7" w:rsidRDefault="00C51BA7" w:rsidP="00C51BA7">
      <w:r>
        <w:t xml:space="preserve">Carbon stock change estimates cover aboveground biomass and soil carbon, omitting estimates of belowground biomass, dead organic matter, and litter due to lack of data. Note that aboveground biomass was included for the first time </w:t>
      </w:r>
      <w:r w:rsidR="008D55D5">
        <w:t>in the 2019</w:t>
      </w:r>
      <w:r>
        <w:t xml:space="preserve"> NGHGI. </w:t>
      </w:r>
    </w:p>
    <w:p w14:paraId="25452422" w14:textId="4051528E" w:rsidR="00C51BA7" w:rsidRDefault="00C51BA7" w:rsidP="00C51BA7">
      <w:r>
        <w:t xml:space="preserve">Soil carbon stock changes are estimated for mineral and organic soils using U.S.-specific emissions factors derived from the literature, stratified by climate zone and wetland type (freshwater vs. saline, and further subdivided by emergent marsh, scrub shrub, and forested). For vegetated to unvegetated </w:t>
      </w:r>
      <w:r>
        <w:lastRenderedPageBreak/>
        <w:t xml:space="preserve">conversions and vice versa, soil disturbance of 1 meter is assumed. All emissions are assumed to occur in the year of conversion.  </w:t>
      </w:r>
    </w:p>
    <w:p w14:paraId="449360C9" w14:textId="3D56D715" w:rsidR="00C51BA7" w:rsidRDefault="00C51BA7" w:rsidP="00C51BA7">
      <w:r>
        <w:t>Aboveground biomass is estimated using a national assessment combining plot and remote sensing data (Byrd et al. 2017, Byrd et al. 2018).</w:t>
      </w:r>
      <w:r w:rsidR="007448D1">
        <w:t xml:space="preserve"> </w:t>
      </w:r>
      <w:r>
        <w:t>Soil CH</w:t>
      </w:r>
      <w:r w:rsidRPr="009E72FD">
        <w:rPr>
          <w:vertAlign w:val="subscript"/>
        </w:rPr>
        <w:t>4</w:t>
      </w:r>
      <w:r>
        <w:t xml:space="preserve"> emissions are estimated using Tier 1 methods, multiplying coastal wetland area by IPCC default CH</w:t>
      </w:r>
      <w:r w:rsidRPr="009E72FD">
        <w:rPr>
          <w:vertAlign w:val="subscript"/>
        </w:rPr>
        <w:t>4</w:t>
      </w:r>
      <w:r>
        <w:t xml:space="preserve"> factors, stratified by wetland type. For vegetated to unvegetated conversions and vice versa, methane emissions are </w:t>
      </w:r>
      <w:r w:rsidR="007448D1">
        <w:t xml:space="preserve">assumed to be </w:t>
      </w:r>
      <w:r>
        <w:t>zero due to unchanged salinity conditions.</w:t>
      </w:r>
    </w:p>
    <w:p w14:paraId="64F4CE38" w14:textId="5DBC55FF" w:rsidR="00C51BA7" w:rsidRDefault="00C51BA7" w:rsidP="00C51BA7">
      <w:r>
        <w:t>N</w:t>
      </w:r>
      <w:r w:rsidRPr="00984327">
        <w:rPr>
          <w:vertAlign w:val="subscript"/>
        </w:rPr>
        <w:t>2</w:t>
      </w:r>
      <w:r>
        <w:t>O from aquaculture in coastal wetlands is estimated using Tier 1 methods, multiplying U.S. seafood production by IPCC default emissions factors (IPCC</w:t>
      </w:r>
      <w:r w:rsidR="008D55D5">
        <w:t>,</w:t>
      </w:r>
      <w:r>
        <w:t xml:space="preserve"> 2014). All aquaculture production of catfish, striped bass, tilapia, trout, crawfish, salmon, and shrimp are included in these estimates.</w:t>
      </w:r>
    </w:p>
    <w:p w14:paraId="1E9813F6" w14:textId="4097FFB8" w:rsidR="00C51BA7" w:rsidRPr="009E72FD" w:rsidRDefault="00C51BA7" w:rsidP="00C51BA7">
      <w:r>
        <w:t>There is also a NGHGI</w:t>
      </w:r>
      <w:r w:rsidR="008D55D5">
        <w:t xml:space="preserve"> (2018)</w:t>
      </w:r>
      <w:r>
        <w:t xml:space="preserve"> section for </w:t>
      </w:r>
      <w:r w:rsidRPr="008D55D5">
        <w:rPr>
          <w:i/>
        </w:rPr>
        <w:t xml:space="preserve">Land </w:t>
      </w:r>
      <w:r w:rsidR="008D55D5" w:rsidRPr="008D55D5">
        <w:rPr>
          <w:i/>
        </w:rPr>
        <w:t>c</w:t>
      </w:r>
      <w:r w:rsidRPr="008D55D5">
        <w:rPr>
          <w:i/>
        </w:rPr>
        <w:t>onverted to Wetlands</w:t>
      </w:r>
      <w:r>
        <w:t xml:space="preserve">, referring to non-wetland conversions to wetland, but which only covers land converted to </w:t>
      </w:r>
      <w:proofErr w:type="gramStart"/>
      <w:r>
        <w:t>vegetated</w:t>
      </w:r>
      <w:proofErr w:type="gramEnd"/>
      <w:r>
        <w:t xml:space="preserve"> coastal wetland. This section covers soil carbon stock change, aboveground biomass carbon stock change, and soil CH</w:t>
      </w:r>
      <w:r w:rsidRPr="00984327">
        <w:rPr>
          <w:vertAlign w:val="subscript"/>
        </w:rPr>
        <w:t>4</w:t>
      </w:r>
      <w:r>
        <w:t xml:space="preserve"> emissions. It does not appear that this section accounts for carbon stocks on the original land use type, though land conversion to wetland occurs across all land use types, including forests. </w:t>
      </w:r>
    </w:p>
    <w:p w14:paraId="5160DB1A" w14:textId="26C37334" w:rsidR="00C51BA7" w:rsidRDefault="00C51BA7" w:rsidP="00C51BA7">
      <w:pPr>
        <w:spacing w:before="240" w:after="0"/>
      </w:pPr>
      <w:r>
        <w:t xml:space="preserve">Due to the small contribution of each category of coastal wetlands GHG fluxes </w:t>
      </w:r>
      <w:r w:rsidRPr="003C05A0">
        <w:t xml:space="preserve">(Table </w:t>
      </w:r>
      <w:r w:rsidR="007D6D6E">
        <w:t>2</w:t>
      </w:r>
      <w:r w:rsidR="005F6840">
        <w:t>-</w:t>
      </w:r>
      <w:r>
        <w:t>3</w:t>
      </w:r>
      <w:r w:rsidR="007448D1">
        <w:t>9</w:t>
      </w:r>
      <w:r w:rsidRPr="003C05A0">
        <w:t>),</w:t>
      </w:r>
      <w:r>
        <w:t xml:space="preserve"> </w:t>
      </w:r>
      <w:r w:rsidR="008D55D5">
        <w:t xml:space="preserve">we did not perform uncertainty attribution analysis beyond what is reported in the NGHGI (2018) for </w:t>
      </w:r>
      <w:r>
        <w:t>the four categories described above (aboveground biomass carbon stock change, soil carbon stock change, soil CH</w:t>
      </w:r>
      <w:r w:rsidRPr="00A1477A">
        <w:rPr>
          <w:vertAlign w:val="subscript"/>
        </w:rPr>
        <w:t>4</w:t>
      </w:r>
      <w:r>
        <w:t xml:space="preserve"> emissions, N</w:t>
      </w:r>
      <w:r w:rsidRPr="00A1477A">
        <w:rPr>
          <w:vertAlign w:val="subscript"/>
        </w:rPr>
        <w:t>2</w:t>
      </w:r>
      <w:r>
        <w:t xml:space="preserve">O from aquaculture). In Table </w:t>
      </w:r>
      <w:r w:rsidR="007D6D6E">
        <w:t>2</w:t>
      </w:r>
      <w:r w:rsidR="005F6840">
        <w:t>-</w:t>
      </w:r>
      <w:r>
        <w:t>3</w:t>
      </w:r>
      <w:r w:rsidR="007448D1">
        <w:t>9</w:t>
      </w:r>
      <w:r>
        <w:t xml:space="preserve"> we combine these four categories across </w:t>
      </w:r>
      <w:r w:rsidR="007448D1">
        <w:t>all coastal wetland land use categories</w:t>
      </w:r>
      <w:r>
        <w:t>.</w:t>
      </w:r>
    </w:p>
    <w:p w14:paraId="171AEE54" w14:textId="77777777" w:rsidR="005F6840" w:rsidRDefault="005F6840" w:rsidP="00C51BA7">
      <w:pPr>
        <w:rPr>
          <w:b/>
          <w:i/>
          <w:iCs/>
          <w:color w:val="44546A" w:themeColor="text2"/>
        </w:rPr>
      </w:pPr>
    </w:p>
    <w:p w14:paraId="0BC267EA" w14:textId="3327576D" w:rsidR="00C51BA7" w:rsidRPr="00C51BA7" w:rsidRDefault="00C51BA7" w:rsidP="00C51BA7">
      <w:pPr>
        <w:rPr>
          <w:b/>
          <w:i/>
          <w:iCs/>
          <w:color w:val="44546A" w:themeColor="text2"/>
        </w:rPr>
      </w:pPr>
      <w:r w:rsidRPr="00C51BA7">
        <w:rPr>
          <w:b/>
          <w:i/>
          <w:iCs/>
          <w:color w:val="44546A" w:themeColor="text2"/>
        </w:rPr>
        <w:t xml:space="preserve">Table </w:t>
      </w:r>
      <w:r w:rsidR="007D6D6E">
        <w:rPr>
          <w:b/>
          <w:i/>
          <w:iCs/>
          <w:color w:val="44546A" w:themeColor="text2"/>
        </w:rPr>
        <w:t>2</w:t>
      </w:r>
      <w:r w:rsidR="005F6840">
        <w:rPr>
          <w:b/>
          <w:i/>
          <w:iCs/>
          <w:color w:val="44546A" w:themeColor="text2"/>
        </w:rPr>
        <w:t>-</w:t>
      </w:r>
      <w:r w:rsidRPr="00C51BA7">
        <w:rPr>
          <w:b/>
          <w:i/>
          <w:iCs/>
          <w:color w:val="44546A" w:themeColor="text2"/>
        </w:rPr>
        <w:t>3</w:t>
      </w:r>
      <w:r w:rsidR="007448D1">
        <w:rPr>
          <w:b/>
          <w:i/>
          <w:iCs/>
          <w:color w:val="44546A" w:themeColor="text2"/>
        </w:rPr>
        <w:t>9</w:t>
      </w:r>
      <w:r w:rsidRPr="00C51BA7">
        <w:rPr>
          <w:b/>
          <w:i/>
          <w:iCs/>
          <w:color w:val="44546A" w:themeColor="text2"/>
        </w:rPr>
        <w:t xml:space="preserve">: RESULTS – Contributions to uncertainty of </w:t>
      </w:r>
      <w:r w:rsidR="00DC3904">
        <w:rPr>
          <w:b/>
          <w:i/>
          <w:iCs/>
          <w:color w:val="44546A" w:themeColor="text2"/>
        </w:rPr>
        <w:t>coastal wetlands</w:t>
      </w:r>
      <w:r w:rsidRPr="00C51BA7">
        <w:rPr>
          <w:b/>
          <w:i/>
          <w:iCs/>
          <w:color w:val="44546A" w:themeColor="text2"/>
        </w:rPr>
        <w:t xml:space="preserve"> CO</w:t>
      </w:r>
      <w:r w:rsidRPr="00F56FE9">
        <w:rPr>
          <w:b/>
          <w:i/>
          <w:iCs/>
          <w:color w:val="44546A" w:themeColor="text2"/>
          <w:vertAlign w:val="subscript"/>
        </w:rPr>
        <w:t>2</w:t>
      </w:r>
      <w:r w:rsidR="007448D1" w:rsidRPr="003B4036">
        <w:rPr>
          <w:b/>
          <w:i/>
          <w:iCs/>
          <w:color w:val="44546A" w:themeColor="text2"/>
        </w:rPr>
        <w:t>, N</w:t>
      </w:r>
      <w:r w:rsidR="007448D1" w:rsidRPr="00D35EC2">
        <w:rPr>
          <w:b/>
          <w:i/>
          <w:iCs/>
          <w:color w:val="44546A" w:themeColor="text2"/>
          <w:vertAlign w:val="subscript"/>
        </w:rPr>
        <w:t>2</w:t>
      </w:r>
      <w:r w:rsidR="007448D1" w:rsidRPr="003B4036">
        <w:rPr>
          <w:b/>
          <w:i/>
          <w:iCs/>
          <w:color w:val="44546A" w:themeColor="text2"/>
        </w:rPr>
        <w:t>O,</w:t>
      </w:r>
      <w:r w:rsidRPr="00C51BA7">
        <w:rPr>
          <w:b/>
          <w:i/>
          <w:iCs/>
          <w:color w:val="44546A" w:themeColor="text2"/>
        </w:rPr>
        <w:t xml:space="preserve"> </w:t>
      </w:r>
      <w:r w:rsidR="00415970">
        <w:rPr>
          <w:b/>
          <w:i/>
          <w:iCs/>
          <w:color w:val="44546A" w:themeColor="text2"/>
        </w:rPr>
        <w:t xml:space="preserve">and </w:t>
      </w:r>
      <w:r w:rsidRPr="00C51BA7">
        <w:rPr>
          <w:b/>
          <w:i/>
          <w:iCs/>
          <w:color w:val="44546A" w:themeColor="text2"/>
        </w:rPr>
        <w:t>CH</w:t>
      </w:r>
      <w:r w:rsidRPr="00F56FE9">
        <w:rPr>
          <w:b/>
          <w:i/>
          <w:iCs/>
          <w:color w:val="44546A" w:themeColor="text2"/>
          <w:vertAlign w:val="subscript"/>
        </w:rPr>
        <w:t>4</w:t>
      </w:r>
      <w:r w:rsidRPr="00C51BA7">
        <w:rPr>
          <w:b/>
          <w:i/>
          <w:iCs/>
          <w:color w:val="44546A" w:themeColor="text2"/>
        </w:rPr>
        <w:t xml:space="preserve"> emissions</w:t>
      </w:r>
    </w:p>
    <w:tbl>
      <w:tblPr>
        <w:tblW w:w="8820" w:type="dxa"/>
        <w:tblInd w:w="-5" w:type="dxa"/>
        <w:tblLayout w:type="fixed"/>
        <w:tblLook w:val="04A0" w:firstRow="1" w:lastRow="0" w:firstColumn="1" w:lastColumn="0" w:noHBand="0" w:noVBand="1"/>
      </w:tblPr>
      <w:tblGrid>
        <w:gridCol w:w="2205"/>
        <w:gridCol w:w="2205"/>
        <w:gridCol w:w="2205"/>
        <w:gridCol w:w="2205"/>
      </w:tblGrid>
      <w:tr w:rsidR="00C51BA7" w:rsidRPr="003C05A0" w14:paraId="68F76C96" w14:textId="77777777" w:rsidTr="00F56FE9">
        <w:trPr>
          <w:trHeight w:val="439"/>
        </w:trPr>
        <w:tc>
          <w:tcPr>
            <w:tcW w:w="2205"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3C192BF6" w14:textId="77777777" w:rsidR="00C51BA7" w:rsidRPr="003C05A0" w:rsidRDefault="00C51BA7" w:rsidP="00F56FE9">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Variable held constant</w:t>
            </w:r>
          </w:p>
        </w:tc>
        <w:tc>
          <w:tcPr>
            <w:tcW w:w="2205" w:type="dxa"/>
            <w:tcBorders>
              <w:top w:val="single" w:sz="4" w:space="0" w:color="auto"/>
              <w:left w:val="nil"/>
              <w:bottom w:val="single" w:sz="4" w:space="0" w:color="auto"/>
              <w:right w:val="single" w:sz="4" w:space="0" w:color="auto"/>
            </w:tcBorders>
            <w:shd w:val="clear" w:color="auto" w:fill="FFC000"/>
            <w:vAlign w:val="center"/>
            <w:hideMark/>
          </w:tcPr>
          <w:p w14:paraId="2CB85FCC" w14:textId="77777777" w:rsidR="00C51BA7" w:rsidRPr="003C05A0" w:rsidRDefault="00C51BA7" w:rsidP="00F56FE9">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Range of 95% confidence interval (MMT CO</w:t>
            </w:r>
            <w:r w:rsidRPr="003C05A0">
              <w:rPr>
                <w:rFonts w:ascii="Calibri" w:eastAsia="Times New Roman" w:hAnsi="Calibri" w:cs="Calibri"/>
                <w:b/>
                <w:bCs/>
                <w:color w:val="000000"/>
                <w:sz w:val="18"/>
                <w:szCs w:val="18"/>
                <w:vertAlign w:val="subscript"/>
              </w:rPr>
              <w:t>2</w:t>
            </w:r>
            <w:r w:rsidRPr="003C05A0">
              <w:rPr>
                <w:rFonts w:ascii="Calibri" w:eastAsia="Times New Roman" w:hAnsi="Calibri" w:cs="Calibri"/>
                <w:b/>
                <w:bCs/>
                <w:color w:val="000000"/>
                <w:sz w:val="18"/>
                <w:szCs w:val="18"/>
              </w:rPr>
              <w:t>e)</w:t>
            </w:r>
          </w:p>
        </w:tc>
        <w:tc>
          <w:tcPr>
            <w:tcW w:w="2205" w:type="dxa"/>
            <w:tcBorders>
              <w:top w:val="single" w:sz="4" w:space="0" w:color="auto"/>
              <w:left w:val="nil"/>
              <w:bottom w:val="single" w:sz="4" w:space="0" w:color="auto"/>
              <w:right w:val="single" w:sz="4" w:space="0" w:color="auto"/>
            </w:tcBorders>
            <w:shd w:val="clear" w:color="auto" w:fill="FFC000"/>
            <w:vAlign w:val="center"/>
            <w:hideMark/>
          </w:tcPr>
          <w:p w14:paraId="383FF05F" w14:textId="77777777" w:rsidR="00C51BA7" w:rsidRPr="003C05A0" w:rsidRDefault="00C51BA7" w:rsidP="00F56FE9">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Contribution to uncertainty (%)</w:t>
            </w:r>
          </w:p>
        </w:tc>
        <w:tc>
          <w:tcPr>
            <w:tcW w:w="2205" w:type="dxa"/>
            <w:tcBorders>
              <w:top w:val="single" w:sz="4" w:space="0" w:color="auto"/>
              <w:left w:val="nil"/>
              <w:bottom w:val="single" w:sz="4" w:space="0" w:color="auto"/>
              <w:right w:val="single" w:sz="4" w:space="0" w:color="auto"/>
            </w:tcBorders>
            <w:shd w:val="clear" w:color="auto" w:fill="FFC000"/>
            <w:vAlign w:val="center"/>
            <w:hideMark/>
          </w:tcPr>
          <w:p w14:paraId="07F54F7F" w14:textId="77777777" w:rsidR="00C51BA7" w:rsidRPr="003C05A0" w:rsidRDefault="00C51BA7" w:rsidP="00F56FE9">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Contribution to uncertainty (MMT CO</w:t>
            </w:r>
            <w:r w:rsidRPr="00081E93">
              <w:rPr>
                <w:rFonts w:ascii="Calibri" w:eastAsia="Times New Roman" w:hAnsi="Calibri" w:cs="Calibri"/>
                <w:b/>
                <w:bCs/>
                <w:color w:val="000000"/>
                <w:sz w:val="18"/>
                <w:szCs w:val="18"/>
                <w:vertAlign w:val="subscript"/>
              </w:rPr>
              <w:t>2</w:t>
            </w:r>
            <w:r w:rsidRPr="003C05A0">
              <w:rPr>
                <w:rFonts w:ascii="Calibri" w:eastAsia="Times New Roman" w:hAnsi="Calibri" w:cs="Calibri"/>
                <w:b/>
                <w:bCs/>
                <w:color w:val="000000"/>
                <w:sz w:val="18"/>
                <w:szCs w:val="18"/>
              </w:rPr>
              <w:t>e)</w:t>
            </w:r>
          </w:p>
        </w:tc>
      </w:tr>
      <w:tr w:rsidR="00C51BA7" w:rsidRPr="003C05A0" w14:paraId="05226DAA" w14:textId="77777777" w:rsidTr="00F56FE9">
        <w:trPr>
          <w:trHeight w:val="439"/>
        </w:trPr>
        <w:tc>
          <w:tcPr>
            <w:tcW w:w="2205" w:type="dxa"/>
            <w:tcBorders>
              <w:top w:val="nil"/>
              <w:left w:val="single" w:sz="4" w:space="0" w:color="auto"/>
              <w:bottom w:val="single" w:sz="4" w:space="0" w:color="auto"/>
              <w:right w:val="single" w:sz="4" w:space="0" w:color="auto"/>
            </w:tcBorders>
            <w:shd w:val="clear" w:color="auto" w:fill="auto"/>
            <w:vAlign w:val="center"/>
            <w:hideMark/>
          </w:tcPr>
          <w:p w14:paraId="770DB232" w14:textId="610C6461" w:rsidR="00C51BA7" w:rsidRPr="003C05A0" w:rsidRDefault="008D55D5" w:rsidP="00F56FE9">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None</w:t>
            </w:r>
            <w:r w:rsidR="001E048A">
              <w:rPr>
                <w:rFonts w:ascii="Calibri" w:eastAsia="Times New Roman" w:hAnsi="Calibri" w:cs="Calibri"/>
                <w:b/>
                <w:bCs/>
                <w:color w:val="000000"/>
                <w:sz w:val="18"/>
                <w:szCs w:val="18"/>
              </w:rPr>
              <w:t xml:space="preserve"> (all vary)</w:t>
            </w:r>
          </w:p>
        </w:tc>
        <w:tc>
          <w:tcPr>
            <w:tcW w:w="2205" w:type="dxa"/>
            <w:tcBorders>
              <w:top w:val="nil"/>
              <w:left w:val="nil"/>
              <w:bottom w:val="single" w:sz="4" w:space="0" w:color="auto"/>
              <w:right w:val="single" w:sz="4" w:space="0" w:color="auto"/>
            </w:tcBorders>
            <w:shd w:val="clear" w:color="auto" w:fill="auto"/>
            <w:vAlign w:val="center"/>
            <w:hideMark/>
          </w:tcPr>
          <w:p w14:paraId="637A2418" w14:textId="50C9A040" w:rsidR="00C51BA7" w:rsidRPr="004326E8" w:rsidRDefault="008D55D5" w:rsidP="00F56FE9">
            <w:pPr>
              <w:spacing w:after="0" w:line="240" w:lineRule="auto"/>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4.5</w:t>
            </w:r>
          </w:p>
        </w:tc>
        <w:tc>
          <w:tcPr>
            <w:tcW w:w="2205" w:type="dxa"/>
            <w:tcBorders>
              <w:top w:val="nil"/>
              <w:left w:val="nil"/>
              <w:bottom w:val="single" w:sz="4" w:space="0" w:color="auto"/>
              <w:right w:val="single" w:sz="4" w:space="0" w:color="auto"/>
            </w:tcBorders>
            <w:shd w:val="clear" w:color="auto" w:fill="auto"/>
            <w:vAlign w:val="center"/>
            <w:hideMark/>
          </w:tcPr>
          <w:p w14:paraId="5FC79757" w14:textId="77777777" w:rsidR="00C51BA7" w:rsidRPr="003C05A0" w:rsidRDefault="00C51BA7" w:rsidP="00F56FE9">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w:t>
            </w:r>
          </w:p>
        </w:tc>
        <w:tc>
          <w:tcPr>
            <w:tcW w:w="2205" w:type="dxa"/>
            <w:tcBorders>
              <w:top w:val="nil"/>
              <w:left w:val="nil"/>
              <w:bottom w:val="single" w:sz="4" w:space="0" w:color="auto"/>
              <w:right w:val="single" w:sz="4" w:space="0" w:color="auto"/>
            </w:tcBorders>
            <w:shd w:val="clear" w:color="auto" w:fill="auto"/>
            <w:vAlign w:val="center"/>
            <w:hideMark/>
          </w:tcPr>
          <w:p w14:paraId="0705D0A8" w14:textId="77777777" w:rsidR="00C51BA7" w:rsidRPr="003C05A0" w:rsidRDefault="00C51BA7" w:rsidP="00F56FE9">
            <w:pPr>
              <w:spacing w:after="0" w:line="240" w:lineRule="auto"/>
              <w:jc w:val="center"/>
              <w:rPr>
                <w:rFonts w:ascii="Calibri" w:eastAsia="Times New Roman" w:hAnsi="Calibri" w:cs="Calibri"/>
                <w:b/>
                <w:bCs/>
                <w:color w:val="000000"/>
                <w:sz w:val="18"/>
                <w:szCs w:val="18"/>
              </w:rPr>
            </w:pPr>
            <w:r w:rsidRPr="003C05A0">
              <w:rPr>
                <w:rFonts w:ascii="Calibri" w:eastAsia="Times New Roman" w:hAnsi="Calibri" w:cs="Calibri"/>
                <w:b/>
                <w:bCs/>
                <w:color w:val="000000"/>
                <w:sz w:val="18"/>
                <w:szCs w:val="18"/>
              </w:rPr>
              <w:t>-</w:t>
            </w:r>
          </w:p>
        </w:tc>
      </w:tr>
      <w:tr w:rsidR="00C51BA7" w:rsidRPr="003C05A0" w14:paraId="240BA6EA" w14:textId="77777777" w:rsidTr="00F56FE9">
        <w:trPr>
          <w:trHeight w:val="439"/>
        </w:trPr>
        <w:tc>
          <w:tcPr>
            <w:tcW w:w="2205" w:type="dxa"/>
            <w:tcBorders>
              <w:top w:val="nil"/>
              <w:left w:val="single" w:sz="4" w:space="0" w:color="auto"/>
              <w:bottom w:val="single" w:sz="4" w:space="0" w:color="auto"/>
              <w:right w:val="single" w:sz="4" w:space="0" w:color="auto"/>
            </w:tcBorders>
            <w:shd w:val="clear" w:color="auto" w:fill="auto"/>
            <w:vAlign w:val="center"/>
            <w:hideMark/>
          </w:tcPr>
          <w:p w14:paraId="14D5C1D1" w14:textId="77777777" w:rsidR="00C51BA7" w:rsidRPr="003C05A0" w:rsidRDefault="00C51BA7" w:rsidP="00F56FE9">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Soil C stock change</w:t>
            </w:r>
          </w:p>
        </w:tc>
        <w:tc>
          <w:tcPr>
            <w:tcW w:w="2205" w:type="dxa"/>
            <w:tcBorders>
              <w:top w:val="nil"/>
              <w:left w:val="nil"/>
              <w:bottom w:val="single" w:sz="4" w:space="0" w:color="auto"/>
              <w:right w:val="single" w:sz="4" w:space="0" w:color="auto"/>
            </w:tcBorders>
            <w:shd w:val="clear" w:color="auto" w:fill="auto"/>
            <w:vAlign w:val="center"/>
            <w:hideMark/>
          </w:tcPr>
          <w:p w14:paraId="67792519" w14:textId="70CACCC2" w:rsidR="00C51BA7" w:rsidRPr="003C05A0" w:rsidRDefault="008D55D5"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2.2</w:t>
            </w:r>
          </w:p>
        </w:tc>
        <w:tc>
          <w:tcPr>
            <w:tcW w:w="2205" w:type="dxa"/>
            <w:tcBorders>
              <w:top w:val="nil"/>
              <w:left w:val="nil"/>
              <w:bottom w:val="single" w:sz="4" w:space="0" w:color="auto"/>
              <w:right w:val="single" w:sz="4" w:space="0" w:color="auto"/>
            </w:tcBorders>
            <w:shd w:val="clear" w:color="auto" w:fill="auto"/>
            <w:vAlign w:val="center"/>
            <w:hideMark/>
          </w:tcPr>
          <w:p w14:paraId="2D91166F" w14:textId="4A9CF4CD" w:rsidR="00C51BA7" w:rsidRPr="003C05A0" w:rsidRDefault="00B2516C"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77.7</w:t>
            </w:r>
          </w:p>
        </w:tc>
        <w:tc>
          <w:tcPr>
            <w:tcW w:w="2205" w:type="dxa"/>
            <w:tcBorders>
              <w:top w:val="nil"/>
              <w:left w:val="nil"/>
              <w:bottom w:val="single" w:sz="4" w:space="0" w:color="auto"/>
              <w:right w:val="single" w:sz="4" w:space="0" w:color="auto"/>
            </w:tcBorders>
            <w:shd w:val="clear" w:color="auto" w:fill="auto"/>
            <w:vAlign w:val="center"/>
            <w:hideMark/>
          </w:tcPr>
          <w:p w14:paraId="32167ECF" w14:textId="2287B0E8" w:rsidR="00C51BA7" w:rsidRPr="003C05A0" w:rsidRDefault="008D55D5"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3.5</w:t>
            </w:r>
          </w:p>
        </w:tc>
      </w:tr>
      <w:tr w:rsidR="00C51BA7" w:rsidRPr="003C05A0" w14:paraId="6EAC73DA" w14:textId="77777777" w:rsidTr="00F56FE9">
        <w:trPr>
          <w:trHeight w:val="439"/>
        </w:trPr>
        <w:tc>
          <w:tcPr>
            <w:tcW w:w="2205" w:type="dxa"/>
            <w:tcBorders>
              <w:top w:val="nil"/>
              <w:left w:val="single" w:sz="4" w:space="0" w:color="auto"/>
              <w:bottom w:val="single" w:sz="4" w:space="0" w:color="auto"/>
              <w:right w:val="single" w:sz="4" w:space="0" w:color="auto"/>
            </w:tcBorders>
            <w:shd w:val="clear" w:color="auto" w:fill="auto"/>
            <w:vAlign w:val="center"/>
            <w:hideMark/>
          </w:tcPr>
          <w:p w14:paraId="6E0F1F12" w14:textId="77777777" w:rsidR="00C51BA7" w:rsidRPr="003C05A0" w:rsidRDefault="00C51BA7" w:rsidP="00F56FE9">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Aboveground biomass C stock change</w:t>
            </w:r>
          </w:p>
        </w:tc>
        <w:tc>
          <w:tcPr>
            <w:tcW w:w="2205" w:type="dxa"/>
            <w:tcBorders>
              <w:top w:val="nil"/>
              <w:left w:val="nil"/>
              <w:bottom w:val="single" w:sz="4" w:space="0" w:color="auto"/>
              <w:right w:val="single" w:sz="4" w:space="0" w:color="auto"/>
            </w:tcBorders>
            <w:shd w:val="clear" w:color="auto" w:fill="auto"/>
            <w:vAlign w:val="center"/>
            <w:hideMark/>
          </w:tcPr>
          <w:p w14:paraId="5527DAFE" w14:textId="30BE5FE4" w:rsidR="00C51BA7" w:rsidRPr="003C05A0" w:rsidRDefault="008D55D5"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4.5</w:t>
            </w:r>
          </w:p>
        </w:tc>
        <w:tc>
          <w:tcPr>
            <w:tcW w:w="2205" w:type="dxa"/>
            <w:tcBorders>
              <w:top w:val="nil"/>
              <w:left w:val="nil"/>
              <w:bottom w:val="single" w:sz="4" w:space="0" w:color="auto"/>
              <w:right w:val="single" w:sz="4" w:space="0" w:color="auto"/>
            </w:tcBorders>
            <w:shd w:val="clear" w:color="auto" w:fill="auto"/>
            <w:vAlign w:val="center"/>
            <w:hideMark/>
          </w:tcPr>
          <w:p w14:paraId="75091A03" w14:textId="02684C32" w:rsidR="00C51BA7" w:rsidRPr="003C05A0" w:rsidRDefault="00C51BA7"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0</w:t>
            </w:r>
            <w:r w:rsidR="00B2516C">
              <w:rPr>
                <w:rFonts w:ascii="Calibri" w:eastAsia="Times New Roman" w:hAnsi="Calibri" w:cs="Calibri"/>
                <w:color w:val="000000"/>
                <w:sz w:val="18"/>
                <w:szCs w:val="18"/>
              </w:rPr>
              <w:t>.0</w:t>
            </w:r>
          </w:p>
        </w:tc>
        <w:tc>
          <w:tcPr>
            <w:tcW w:w="2205" w:type="dxa"/>
            <w:tcBorders>
              <w:top w:val="nil"/>
              <w:left w:val="nil"/>
              <w:bottom w:val="single" w:sz="4" w:space="0" w:color="auto"/>
              <w:right w:val="single" w:sz="4" w:space="0" w:color="auto"/>
            </w:tcBorders>
            <w:shd w:val="clear" w:color="auto" w:fill="auto"/>
            <w:vAlign w:val="center"/>
            <w:hideMark/>
          </w:tcPr>
          <w:p w14:paraId="7937D9D3" w14:textId="2606100A" w:rsidR="00C51BA7" w:rsidRPr="003C05A0" w:rsidRDefault="008D55D5"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0.0</w:t>
            </w:r>
          </w:p>
        </w:tc>
      </w:tr>
      <w:tr w:rsidR="00C51BA7" w:rsidRPr="003C05A0" w14:paraId="5BDF3252" w14:textId="77777777" w:rsidTr="00F56FE9">
        <w:trPr>
          <w:trHeight w:val="439"/>
        </w:trPr>
        <w:tc>
          <w:tcPr>
            <w:tcW w:w="2205" w:type="dxa"/>
            <w:tcBorders>
              <w:top w:val="single" w:sz="4" w:space="0" w:color="auto"/>
              <w:left w:val="single" w:sz="4" w:space="0" w:color="auto"/>
              <w:bottom w:val="single" w:sz="4" w:space="0" w:color="auto"/>
              <w:right w:val="single" w:sz="4" w:space="0" w:color="auto"/>
            </w:tcBorders>
            <w:shd w:val="clear" w:color="auto" w:fill="auto"/>
            <w:vAlign w:val="center"/>
          </w:tcPr>
          <w:p w14:paraId="68E56A4E" w14:textId="77777777" w:rsidR="00C51BA7" w:rsidRDefault="00C51BA7" w:rsidP="00F56FE9">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Soil CH</w:t>
            </w:r>
            <w:r w:rsidRPr="006B36B2">
              <w:rPr>
                <w:rFonts w:ascii="Calibri" w:eastAsia="Times New Roman" w:hAnsi="Calibri" w:cs="Calibri"/>
                <w:b/>
                <w:bCs/>
                <w:color w:val="000000"/>
                <w:sz w:val="18"/>
                <w:szCs w:val="18"/>
                <w:vertAlign w:val="subscript"/>
              </w:rPr>
              <w:t>4</w:t>
            </w:r>
          </w:p>
        </w:tc>
        <w:tc>
          <w:tcPr>
            <w:tcW w:w="2205" w:type="dxa"/>
            <w:tcBorders>
              <w:top w:val="single" w:sz="4" w:space="0" w:color="auto"/>
              <w:left w:val="nil"/>
              <w:bottom w:val="single" w:sz="4" w:space="0" w:color="auto"/>
              <w:right w:val="single" w:sz="4" w:space="0" w:color="auto"/>
            </w:tcBorders>
            <w:shd w:val="clear" w:color="auto" w:fill="auto"/>
            <w:vAlign w:val="center"/>
          </w:tcPr>
          <w:p w14:paraId="442C12C5" w14:textId="283D9EFE" w:rsidR="00C51BA7" w:rsidRPr="003C05A0" w:rsidRDefault="008D55D5"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3.9</w:t>
            </w:r>
          </w:p>
        </w:tc>
        <w:tc>
          <w:tcPr>
            <w:tcW w:w="2205" w:type="dxa"/>
            <w:tcBorders>
              <w:top w:val="single" w:sz="4" w:space="0" w:color="auto"/>
              <w:left w:val="nil"/>
              <w:bottom w:val="single" w:sz="4" w:space="0" w:color="auto"/>
              <w:right w:val="single" w:sz="4" w:space="0" w:color="auto"/>
            </w:tcBorders>
            <w:shd w:val="clear" w:color="auto" w:fill="auto"/>
            <w:vAlign w:val="center"/>
          </w:tcPr>
          <w:p w14:paraId="69D8E0A3" w14:textId="07C109C4" w:rsidR="00C51BA7" w:rsidRPr="003C05A0" w:rsidRDefault="00B2516C"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21.9</w:t>
            </w:r>
          </w:p>
        </w:tc>
        <w:tc>
          <w:tcPr>
            <w:tcW w:w="2205" w:type="dxa"/>
            <w:tcBorders>
              <w:top w:val="single" w:sz="4" w:space="0" w:color="auto"/>
              <w:left w:val="nil"/>
              <w:bottom w:val="single" w:sz="4" w:space="0" w:color="auto"/>
              <w:right w:val="single" w:sz="4" w:space="0" w:color="auto"/>
            </w:tcBorders>
            <w:shd w:val="clear" w:color="auto" w:fill="auto"/>
            <w:vAlign w:val="center"/>
          </w:tcPr>
          <w:p w14:paraId="402EBB96" w14:textId="53FC9E26" w:rsidR="00C51BA7" w:rsidRPr="003C05A0" w:rsidRDefault="008D55D5"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1.0</w:t>
            </w:r>
          </w:p>
        </w:tc>
      </w:tr>
      <w:tr w:rsidR="00C51BA7" w:rsidRPr="003C05A0" w14:paraId="069862F0" w14:textId="77777777" w:rsidTr="00F56FE9">
        <w:trPr>
          <w:trHeight w:val="439"/>
        </w:trPr>
        <w:tc>
          <w:tcPr>
            <w:tcW w:w="2205" w:type="dxa"/>
            <w:tcBorders>
              <w:top w:val="single" w:sz="4" w:space="0" w:color="auto"/>
              <w:left w:val="single" w:sz="4" w:space="0" w:color="auto"/>
              <w:bottom w:val="single" w:sz="4" w:space="0" w:color="auto"/>
              <w:right w:val="single" w:sz="4" w:space="0" w:color="auto"/>
            </w:tcBorders>
            <w:shd w:val="clear" w:color="auto" w:fill="auto"/>
            <w:vAlign w:val="center"/>
          </w:tcPr>
          <w:p w14:paraId="1C9A62E9" w14:textId="77777777" w:rsidR="00C51BA7" w:rsidRDefault="00C51BA7" w:rsidP="00F56FE9">
            <w:pPr>
              <w:spacing w:after="0" w:line="240" w:lineRule="auto"/>
              <w:jc w:val="center"/>
              <w:rPr>
                <w:rFonts w:ascii="Calibri" w:eastAsia="Times New Roman" w:hAnsi="Calibri" w:cs="Calibri"/>
                <w:b/>
                <w:bCs/>
                <w:color w:val="000000"/>
                <w:sz w:val="18"/>
                <w:szCs w:val="18"/>
              </w:rPr>
            </w:pPr>
            <w:r>
              <w:rPr>
                <w:rFonts w:ascii="Calibri" w:eastAsia="Times New Roman" w:hAnsi="Calibri" w:cs="Calibri"/>
                <w:b/>
                <w:bCs/>
                <w:color w:val="000000"/>
                <w:sz w:val="18"/>
                <w:szCs w:val="18"/>
              </w:rPr>
              <w:t>N</w:t>
            </w:r>
            <w:r w:rsidRPr="002C3FEE">
              <w:rPr>
                <w:rFonts w:ascii="Calibri" w:eastAsia="Times New Roman" w:hAnsi="Calibri" w:cs="Calibri"/>
                <w:b/>
                <w:bCs/>
                <w:color w:val="000000"/>
                <w:sz w:val="18"/>
                <w:szCs w:val="18"/>
                <w:vertAlign w:val="subscript"/>
              </w:rPr>
              <w:t>2</w:t>
            </w:r>
            <w:r>
              <w:rPr>
                <w:rFonts w:ascii="Calibri" w:eastAsia="Times New Roman" w:hAnsi="Calibri" w:cs="Calibri"/>
                <w:b/>
                <w:bCs/>
                <w:color w:val="000000"/>
                <w:sz w:val="18"/>
                <w:szCs w:val="18"/>
              </w:rPr>
              <w:t>O from aquaculture on coastal wetlands</w:t>
            </w:r>
          </w:p>
        </w:tc>
        <w:tc>
          <w:tcPr>
            <w:tcW w:w="2205" w:type="dxa"/>
            <w:tcBorders>
              <w:top w:val="single" w:sz="4" w:space="0" w:color="auto"/>
              <w:left w:val="nil"/>
              <w:bottom w:val="single" w:sz="4" w:space="0" w:color="auto"/>
              <w:right w:val="single" w:sz="4" w:space="0" w:color="auto"/>
            </w:tcBorders>
            <w:shd w:val="clear" w:color="auto" w:fill="auto"/>
            <w:vAlign w:val="center"/>
          </w:tcPr>
          <w:p w14:paraId="69D1466E" w14:textId="0242267F" w:rsidR="00C51BA7" w:rsidRDefault="008D55D5"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4.5</w:t>
            </w:r>
          </w:p>
        </w:tc>
        <w:tc>
          <w:tcPr>
            <w:tcW w:w="2205" w:type="dxa"/>
            <w:tcBorders>
              <w:top w:val="single" w:sz="4" w:space="0" w:color="auto"/>
              <w:left w:val="nil"/>
              <w:bottom w:val="single" w:sz="4" w:space="0" w:color="auto"/>
              <w:right w:val="single" w:sz="4" w:space="0" w:color="auto"/>
            </w:tcBorders>
            <w:shd w:val="clear" w:color="auto" w:fill="auto"/>
            <w:vAlign w:val="center"/>
          </w:tcPr>
          <w:p w14:paraId="1C87D63C" w14:textId="77777777" w:rsidR="00C51BA7" w:rsidRDefault="00C51BA7"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0.4</w:t>
            </w:r>
          </w:p>
        </w:tc>
        <w:tc>
          <w:tcPr>
            <w:tcW w:w="2205" w:type="dxa"/>
            <w:tcBorders>
              <w:top w:val="single" w:sz="4" w:space="0" w:color="auto"/>
              <w:left w:val="nil"/>
              <w:bottom w:val="single" w:sz="4" w:space="0" w:color="auto"/>
              <w:right w:val="single" w:sz="4" w:space="0" w:color="auto"/>
            </w:tcBorders>
            <w:shd w:val="clear" w:color="auto" w:fill="auto"/>
            <w:vAlign w:val="center"/>
          </w:tcPr>
          <w:p w14:paraId="22328155" w14:textId="088D1592" w:rsidR="00C51BA7" w:rsidRDefault="008D55D5" w:rsidP="00F56FE9">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0.0</w:t>
            </w:r>
          </w:p>
        </w:tc>
      </w:tr>
    </w:tbl>
    <w:p w14:paraId="4039E069" w14:textId="1F18487D" w:rsidR="0006624E" w:rsidRDefault="0006624E" w:rsidP="00A40ED4">
      <w:pPr>
        <w:spacing w:before="240"/>
      </w:pPr>
    </w:p>
    <w:p w14:paraId="433535B1" w14:textId="77777777" w:rsidR="0006624E" w:rsidRDefault="0006624E" w:rsidP="0006624E">
      <w:pPr>
        <w:sectPr w:rsidR="0006624E">
          <w:pgSz w:w="12240" w:h="15840"/>
          <w:pgMar w:top="1440" w:right="1440" w:bottom="1440" w:left="1440" w:header="720" w:footer="720" w:gutter="0"/>
          <w:cols w:space="720"/>
          <w:docGrid w:linePitch="360"/>
        </w:sectPr>
      </w:pPr>
    </w:p>
    <w:p w14:paraId="4EECF284" w14:textId="67D02853" w:rsidR="0006624E" w:rsidRDefault="0006624E" w:rsidP="000B2554">
      <w:pPr>
        <w:pStyle w:val="Heading1"/>
        <w:numPr>
          <w:ilvl w:val="0"/>
          <w:numId w:val="10"/>
        </w:numPr>
      </w:pPr>
      <w:bookmarkStart w:id="289" w:name="_Toc84784389"/>
      <w:r>
        <w:lastRenderedPageBreak/>
        <w:t>Alaska, Hawaii, and Territories</w:t>
      </w:r>
      <w:bookmarkEnd w:id="289"/>
    </w:p>
    <w:p w14:paraId="40B5411B" w14:textId="0751B9A8" w:rsidR="008C71B4" w:rsidRDefault="00651EA8" w:rsidP="008C71B4">
      <w:pPr>
        <w:spacing w:before="240" w:after="0"/>
      </w:pPr>
      <w:r>
        <w:t>The NGHGI does not include fluxes from Alaska, Hawaii, and U.S. territories</w:t>
      </w:r>
      <w:r>
        <w:rPr>
          <w:rStyle w:val="FootnoteReference"/>
        </w:rPr>
        <w:footnoteReference w:id="2"/>
      </w:r>
      <w:r>
        <w:t xml:space="preserve"> in all LULUCF inventory categories</w:t>
      </w:r>
      <w:r w:rsidR="003E543C">
        <w:t xml:space="preserve"> (Table </w:t>
      </w:r>
      <w:r w:rsidR="007D6D6E">
        <w:t>2</w:t>
      </w:r>
      <w:r w:rsidR="003E543C">
        <w:t>-40)</w:t>
      </w:r>
      <w:r w:rsidR="008C71B4">
        <w:t xml:space="preserve">. Alaska is missing coverage for </w:t>
      </w:r>
      <w:r w:rsidR="003E543C">
        <w:t xml:space="preserve">all </w:t>
      </w:r>
      <w:r w:rsidR="008C71B4">
        <w:t xml:space="preserve">land use </w:t>
      </w:r>
      <w:r w:rsidR="00EB118C">
        <w:t>and agricultural categories</w:t>
      </w:r>
      <w:r w:rsidR="008C71B4">
        <w:t xml:space="preserve"> except forests. Hawaii’s forest carbon</w:t>
      </w:r>
      <w:r w:rsidR="00EB118C">
        <w:t xml:space="preserve"> and wetland</w:t>
      </w:r>
      <w:r w:rsidR="008C71B4">
        <w:t xml:space="preserve"> fluxes are not included, but cropland</w:t>
      </w:r>
      <w:r w:rsidR="00EB118C">
        <w:t>,</w:t>
      </w:r>
      <w:r w:rsidR="008C71B4">
        <w:t xml:space="preserve"> grassland</w:t>
      </w:r>
      <w:r w:rsidR="00EB118C">
        <w:t>, and settlement</w:t>
      </w:r>
      <w:r w:rsidR="008C71B4">
        <w:t xml:space="preserve"> </w:t>
      </w:r>
      <w:r w:rsidR="00B2516C">
        <w:t xml:space="preserve">GHG </w:t>
      </w:r>
      <w:r w:rsidR="008C71B4">
        <w:t xml:space="preserve">fluxes generally are. The NGHGI first started recording forest GHG fluxes in interior Alaska in the 2019 publication, now covering all managed Alaskan forest land (over 30 million hectares, or 11% of total managed U.S. forest area). The NGHGI notes in many sections of the report that expanding coverage outside the </w:t>
      </w:r>
      <w:r w:rsidR="00B2516C">
        <w:t>coterminous</w:t>
      </w:r>
      <w:r w:rsidR="008C71B4">
        <w:t xml:space="preserve"> United States</w:t>
      </w:r>
      <w:r w:rsidR="00B2516C">
        <w:t xml:space="preserve"> (CONUS)</w:t>
      </w:r>
      <w:r w:rsidR="008C71B4">
        <w:t xml:space="preserve"> is a planned improvement.</w:t>
      </w:r>
    </w:p>
    <w:p w14:paraId="38AD716C" w14:textId="654C1954" w:rsidR="008C71B4" w:rsidRPr="008C71B4" w:rsidRDefault="008C71B4" w:rsidP="008C71B4">
      <w:pPr>
        <w:spacing w:before="240" w:after="0"/>
        <w:rPr>
          <w:b/>
          <w:i/>
          <w:iCs/>
          <w:color w:val="44546A" w:themeColor="text2"/>
        </w:rPr>
      </w:pPr>
      <w:r w:rsidRPr="008C71B4">
        <w:rPr>
          <w:b/>
          <w:i/>
          <w:iCs/>
          <w:color w:val="44546A" w:themeColor="text2"/>
        </w:rPr>
        <w:t xml:space="preserve">Table </w:t>
      </w:r>
      <w:r w:rsidR="007D6D6E">
        <w:rPr>
          <w:b/>
          <w:i/>
          <w:iCs/>
          <w:color w:val="44546A" w:themeColor="text2"/>
        </w:rPr>
        <w:t>2</w:t>
      </w:r>
      <w:r w:rsidR="005F6840">
        <w:rPr>
          <w:b/>
          <w:i/>
          <w:iCs/>
          <w:color w:val="44546A" w:themeColor="text2"/>
        </w:rPr>
        <w:t>-</w:t>
      </w:r>
      <w:r w:rsidR="003E543C">
        <w:rPr>
          <w:b/>
          <w:i/>
          <w:iCs/>
          <w:color w:val="44546A" w:themeColor="text2"/>
        </w:rPr>
        <w:t>40</w:t>
      </w:r>
      <w:r w:rsidR="001E048A">
        <w:rPr>
          <w:b/>
          <w:i/>
          <w:iCs/>
          <w:color w:val="44546A" w:themeColor="text2"/>
        </w:rPr>
        <w:t xml:space="preserve">: </w:t>
      </w:r>
      <w:r w:rsidRPr="008C71B4">
        <w:rPr>
          <w:b/>
          <w:i/>
          <w:iCs/>
          <w:color w:val="44546A" w:themeColor="text2"/>
        </w:rPr>
        <w:t xml:space="preserve">NGHGI categories included for Alaska, Hawaii, and U.S. Territories for 2018 and 2019 </w:t>
      </w:r>
      <w:r>
        <w:rPr>
          <w:b/>
          <w:i/>
          <w:iCs/>
          <w:color w:val="44546A" w:themeColor="text2"/>
        </w:rPr>
        <w:t xml:space="preserve">NGHGI </w:t>
      </w:r>
      <w:r w:rsidRPr="008C71B4">
        <w:rPr>
          <w:b/>
          <w:i/>
          <w:iCs/>
          <w:color w:val="44546A" w:themeColor="text2"/>
        </w:rPr>
        <w:t>publication years</w:t>
      </w:r>
    </w:p>
    <w:tbl>
      <w:tblPr>
        <w:tblStyle w:val="TableGrid"/>
        <w:tblW w:w="9353" w:type="dxa"/>
        <w:tblLayout w:type="fixed"/>
        <w:tblLook w:val="04A0" w:firstRow="1" w:lastRow="0" w:firstColumn="1" w:lastColumn="0" w:noHBand="0" w:noVBand="1"/>
      </w:tblPr>
      <w:tblGrid>
        <w:gridCol w:w="1978"/>
        <w:gridCol w:w="20"/>
        <w:gridCol w:w="2500"/>
        <w:gridCol w:w="1167"/>
        <w:gridCol w:w="903"/>
        <w:gridCol w:w="720"/>
        <w:gridCol w:w="720"/>
        <w:gridCol w:w="682"/>
        <w:gridCol w:w="663"/>
      </w:tblGrid>
      <w:tr w:rsidR="00B7507F" w:rsidRPr="00EB118C" w14:paraId="1DE80F40" w14:textId="77777777" w:rsidTr="00CE32DB">
        <w:tc>
          <w:tcPr>
            <w:tcW w:w="1998" w:type="dxa"/>
            <w:gridSpan w:val="2"/>
            <w:vMerge w:val="restart"/>
            <w:shd w:val="clear" w:color="auto" w:fill="FFC000" w:themeFill="accent4"/>
            <w:vAlign w:val="center"/>
          </w:tcPr>
          <w:p w14:paraId="78CF825B" w14:textId="35DAB590" w:rsidR="00B7507F" w:rsidRPr="00EB118C" w:rsidRDefault="00B7507F" w:rsidP="00CE32DB">
            <w:pPr>
              <w:jc w:val="center"/>
              <w:rPr>
                <w:b/>
                <w:sz w:val="18"/>
                <w:szCs w:val="18"/>
              </w:rPr>
            </w:pPr>
            <w:r w:rsidRPr="00EB118C">
              <w:rPr>
                <w:b/>
                <w:sz w:val="18"/>
                <w:szCs w:val="18"/>
              </w:rPr>
              <w:t>NGHGI Category</w:t>
            </w:r>
          </w:p>
        </w:tc>
        <w:tc>
          <w:tcPr>
            <w:tcW w:w="2500" w:type="dxa"/>
            <w:vMerge w:val="restart"/>
            <w:shd w:val="clear" w:color="auto" w:fill="FFC000" w:themeFill="accent4"/>
            <w:vAlign w:val="center"/>
          </w:tcPr>
          <w:p w14:paraId="048F7F34" w14:textId="7471E123" w:rsidR="00B7507F" w:rsidRPr="00EB118C" w:rsidRDefault="00B7507F" w:rsidP="00CE32DB">
            <w:pPr>
              <w:jc w:val="center"/>
              <w:rPr>
                <w:b/>
                <w:sz w:val="18"/>
                <w:szCs w:val="18"/>
              </w:rPr>
            </w:pPr>
            <w:r w:rsidRPr="00EB118C">
              <w:rPr>
                <w:b/>
                <w:sz w:val="18"/>
                <w:szCs w:val="18"/>
              </w:rPr>
              <w:t>Sub-category</w:t>
            </w:r>
          </w:p>
        </w:tc>
        <w:tc>
          <w:tcPr>
            <w:tcW w:w="2070" w:type="dxa"/>
            <w:gridSpan w:val="2"/>
            <w:shd w:val="clear" w:color="auto" w:fill="FFC000" w:themeFill="accent4"/>
            <w:vAlign w:val="center"/>
          </w:tcPr>
          <w:p w14:paraId="100FB1EE" w14:textId="77777777" w:rsidR="00B7507F" w:rsidRPr="00EB118C" w:rsidRDefault="00B7507F" w:rsidP="00CE32DB">
            <w:pPr>
              <w:jc w:val="center"/>
              <w:rPr>
                <w:b/>
                <w:sz w:val="18"/>
                <w:szCs w:val="18"/>
              </w:rPr>
            </w:pPr>
            <w:r w:rsidRPr="00EB118C">
              <w:rPr>
                <w:b/>
                <w:sz w:val="18"/>
                <w:szCs w:val="18"/>
              </w:rPr>
              <w:t>Alaska</w:t>
            </w:r>
          </w:p>
        </w:tc>
        <w:tc>
          <w:tcPr>
            <w:tcW w:w="1440" w:type="dxa"/>
            <w:gridSpan w:val="2"/>
            <w:shd w:val="clear" w:color="auto" w:fill="FFC000" w:themeFill="accent4"/>
            <w:vAlign w:val="center"/>
          </w:tcPr>
          <w:p w14:paraId="4529A83D" w14:textId="77777777" w:rsidR="00B7507F" w:rsidRPr="00EB118C" w:rsidRDefault="00B7507F" w:rsidP="00CE32DB">
            <w:pPr>
              <w:jc w:val="center"/>
              <w:rPr>
                <w:b/>
                <w:sz w:val="18"/>
                <w:szCs w:val="18"/>
              </w:rPr>
            </w:pPr>
            <w:r w:rsidRPr="00EB118C">
              <w:rPr>
                <w:b/>
                <w:sz w:val="18"/>
                <w:szCs w:val="18"/>
              </w:rPr>
              <w:t>Hawaii</w:t>
            </w:r>
          </w:p>
        </w:tc>
        <w:tc>
          <w:tcPr>
            <w:tcW w:w="1345" w:type="dxa"/>
            <w:gridSpan w:val="2"/>
            <w:shd w:val="clear" w:color="auto" w:fill="FFC000" w:themeFill="accent4"/>
            <w:vAlign w:val="center"/>
          </w:tcPr>
          <w:p w14:paraId="6A280F83" w14:textId="77777777" w:rsidR="00B7507F" w:rsidRPr="00EB118C" w:rsidRDefault="00B7507F" w:rsidP="00CE32DB">
            <w:pPr>
              <w:jc w:val="center"/>
              <w:rPr>
                <w:b/>
                <w:sz w:val="18"/>
                <w:szCs w:val="18"/>
              </w:rPr>
            </w:pPr>
            <w:r w:rsidRPr="00EB118C">
              <w:rPr>
                <w:b/>
                <w:sz w:val="18"/>
                <w:szCs w:val="18"/>
              </w:rPr>
              <w:t>Territories</w:t>
            </w:r>
          </w:p>
        </w:tc>
      </w:tr>
      <w:tr w:rsidR="00B7507F" w:rsidRPr="00EB118C" w14:paraId="6F360C8F" w14:textId="77777777" w:rsidTr="00CE32DB">
        <w:tc>
          <w:tcPr>
            <w:tcW w:w="1998" w:type="dxa"/>
            <w:gridSpan w:val="2"/>
            <w:vMerge/>
            <w:shd w:val="clear" w:color="auto" w:fill="FFC000" w:themeFill="accent4"/>
            <w:vAlign w:val="center"/>
          </w:tcPr>
          <w:p w14:paraId="330AF0F9" w14:textId="2748FB3A" w:rsidR="00B7507F" w:rsidRPr="00EB118C" w:rsidRDefault="00B7507F" w:rsidP="00CE32DB">
            <w:pPr>
              <w:jc w:val="center"/>
              <w:rPr>
                <w:b/>
                <w:i/>
                <w:sz w:val="18"/>
                <w:szCs w:val="18"/>
              </w:rPr>
            </w:pPr>
          </w:p>
        </w:tc>
        <w:tc>
          <w:tcPr>
            <w:tcW w:w="2500" w:type="dxa"/>
            <w:vMerge/>
            <w:shd w:val="clear" w:color="auto" w:fill="FFC000" w:themeFill="accent4"/>
            <w:vAlign w:val="center"/>
          </w:tcPr>
          <w:p w14:paraId="6A9DCAFC" w14:textId="064DDF08" w:rsidR="00B7507F" w:rsidRPr="00EB118C" w:rsidRDefault="00B7507F" w:rsidP="00CE32DB">
            <w:pPr>
              <w:jc w:val="center"/>
              <w:rPr>
                <w:b/>
                <w:i/>
                <w:sz w:val="18"/>
                <w:szCs w:val="18"/>
              </w:rPr>
            </w:pPr>
          </w:p>
        </w:tc>
        <w:tc>
          <w:tcPr>
            <w:tcW w:w="4855" w:type="dxa"/>
            <w:gridSpan w:val="6"/>
            <w:shd w:val="clear" w:color="auto" w:fill="FFC000" w:themeFill="accent4"/>
            <w:vAlign w:val="center"/>
          </w:tcPr>
          <w:p w14:paraId="4281235A" w14:textId="77777777" w:rsidR="00B7507F" w:rsidRPr="00EB118C" w:rsidRDefault="00B7507F" w:rsidP="00CE32DB">
            <w:pPr>
              <w:jc w:val="center"/>
              <w:rPr>
                <w:sz w:val="18"/>
                <w:szCs w:val="18"/>
              </w:rPr>
            </w:pPr>
            <w:r w:rsidRPr="00EB118C">
              <w:rPr>
                <w:b/>
                <w:i/>
                <w:sz w:val="18"/>
                <w:szCs w:val="18"/>
              </w:rPr>
              <w:t>NGHGI Publication year</w:t>
            </w:r>
          </w:p>
        </w:tc>
      </w:tr>
      <w:tr w:rsidR="00B7507F" w:rsidRPr="00EB118C" w14:paraId="49159350" w14:textId="77777777" w:rsidTr="00CE32DB">
        <w:tc>
          <w:tcPr>
            <w:tcW w:w="1998" w:type="dxa"/>
            <w:gridSpan w:val="2"/>
            <w:vMerge/>
            <w:shd w:val="clear" w:color="auto" w:fill="FFC000" w:themeFill="accent4"/>
            <w:vAlign w:val="center"/>
          </w:tcPr>
          <w:p w14:paraId="078CB420" w14:textId="1FC10F7B" w:rsidR="00B7507F" w:rsidRPr="00EB118C" w:rsidRDefault="00B7507F" w:rsidP="00CE32DB">
            <w:pPr>
              <w:jc w:val="center"/>
              <w:rPr>
                <w:b/>
                <w:i/>
                <w:sz w:val="18"/>
                <w:szCs w:val="18"/>
              </w:rPr>
            </w:pPr>
          </w:p>
        </w:tc>
        <w:tc>
          <w:tcPr>
            <w:tcW w:w="2500" w:type="dxa"/>
            <w:vMerge/>
            <w:shd w:val="clear" w:color="auto" w:fill="FFC000" w:themeFill="accent4"/>
            <w:vAlign w:val="center"/>
          </w:tcPr>
          <w:p w14:paraId="3BE6F1F0" w14:textId="31ADA303" w:rsidR="00B7507F" w:rsidRPr="00EB118C" w:rsidRDefault="00B7507F" w:rsidP="00CE32DB">
            <w:pPr>
              <w:jc w:val="center"/>
              <w:rPr>
                <w:b/>
                <w:i/>
                <w:sz w:val="18"/>
                <w:szCs w:val="18"/>
              </w:rPr>
            </w:pPr>
          </w:p>
        </w:tc>
        <w:tc>
          <w:tcPr>
            <w:tcW w:w="1167" w:type="dxa"/>
            <w:shd w:val="clear" w:color="auto" w:fill="FFC000" w:themeFill="accent4"/>
            <w:vAlign w:val="center"/>
          </w:tcPr>
          <w:p w14:paraId="25DC5483" w14:textId="77777777" w:rsidR="00B7507F" w:rsidRPr="00EB118C" w:rsidRDefault="00B7507F" w:rsidP="00CE32DB">
            <w:pPr>
              <w:jc w:val="center"/>
              <w:rPr>
                <w:sz w:val="18"/>
                <w:szCs w:val="18"/>
              </w:rPr>
            </w:pPr>
            <w:r w:rsidRPr="00EB118C">
              <w:rPr>
                <w:sz w:val="18"/>
                <w:szCs w:val="18"/>
              </w:rPr>
              <w:t>2018</w:t>
            </w:r>
          </w:p>
        </w:tc>
        <w:tc>
          <w:tcPr>
            <w:tcW w:w="903" w:type="dxa"/>
            <w:shd w:val="clear" w:color="auto" w:fill="FFC000" w:themeFill="accent4"/>
            <w:vAlign w:val="center"/>
          </w:tcPr>
          <w:p w14:paraId="10A2F4A4" w14:textId="7D01DA24" w:rsidR="00B7507F" w:rsidRPr="00EB118C" w:rsidRDefault="003E543C" w:rsidP="00CE32DB">
            <w:pPr>
              <w:jc w:val="center"/>
              <w:rPr>
                <w:sz w:val="18"/>
                <w:szCs w:val="18"/>
              </w:rPr>
            </w:pPr>
            <w:r>
              <w:rPr>
                <w:sz w:val="18"/>
                <w:szCs w:val="18"/>
              </w:rPr>
              <w:t>2020</w:t>
            </w:r>
          </w:p>
        </w:tc>
        <w:tc>
          <w:tcPr>
            <w:tcW w:w="720" w:type="dxa"/>
            <w:shd w:val="clear" w:color="auto" w:fill="FFC000" w:themeFill="accent4"/>
            <w:vAlign w:val="center"/>
          </w:tcPr>
          <w:p w14:paraId="56900341" w14:textId="77777777" w:rsidR="00B7507F" w:rsidRPr="00EB118C" w:rsidRDefault="00B7507F" w:rsidP="00CE32DB">
            <w:pPr>
              <w:jc w:val="center"/>
              <w:rPr>
                <w:sz w:val="18"/>
                <w:szCs w:val="18"/>
              </w:rPr>
            </w:pPr>
            <w:r w:rsidRPr="00EB118C">
              <w:rPr>
                <w:sz w:val="18"/>
                <w:szCs w:val="18"/>
              </w:rPr>
              <w:t>2018</w:t>
            </w:r>
          </w:p>
        </w:tc>
        <w:tc>
          <w:tcPr>
            <w:tcW w:w="720" w:type="dxa"/>
            <w:shd w:val="clear" w:color="auto" w:fill="FFC000" w:themeFill="accent4"/>
            <w:vAlign w:val="center"/>
          </w:tcPr>
          <w:p w14:paraId="6DD9BFFC" w14:textId="4B1A7FE7" w:rsidR="00B7507F" w:rsidRPr="00EB118C" w:rsidRDefault="003E543C" w:rsidP="00CE32DB">
            <w:pPr>
              <w:jc w:val="center"/>
              <w:rPr>
                <w:sz w:val="18"/>
                <w:szCs w:val="18"/>
              </w:rPr>
            </w:pPr>
            <w:r>
              <w:rPr>
                <w:sz w:val="18"/>
                <w:szCs w:val="18"/>
              </w:rPr>
              <w:t>2020</w:t>
            </w:r>
          </w:p>
        </w:tc>
        <w:tc>
          <w:tcPr>
            <w:tcW w:w="682" w:type="dxa"/>
            <w:shd w:val="clear" w:color="auto" w:fill="FFC000" w:themeFill="accent4"/>
            <w:vAlign w:val="center"/>
          </w:tcPr>
          <w:p w14:paraId="55A70B8D" w14:textId="77777777" w:rsidR="00B7507F" w:rsidRPr="00EB118C" w:rsidRDefault="00B7507F" w:rsidP="00CE32DB">
            <w:pPr>
              <w:jc w:val="center"/>
              <w:rPr>
                <w:sz w:val="18"/>
                <w:szCs w:val="18"/>
              </w:rPr>
            </w:pPr>
            <w:r w:rsidRPr="00EB118C">
              <w:rPr>
                <w:sz w:val="18"/>
                <w:szCs w:val="18"/>
              </w:rPr>
              <w:t>2018</w:t>
            </w:r>
          </w:p>
        </w:tc>
        <w:tc>
          <w:tcPr>
            <w:tcW w:w="663" w:type="dxa"/>
            <w:shd w:val="clear" w:color="auto" w:fill="FFC000" w:themeFill="accent4"/>
            <w:vAlign w:val="center"/>
          </w:tcPr>
          <w:p w14:paraId="0472F45F" w14:textId="52A99F40" w:rsidR="00B7507F" w:rsidRPr="00EB118C" w:rsidRDefault="003E543C" w:rsidP="00CE32DB">
            <w:pPr>
              <w:jc w:val="center"/>
              <w:rPr>
                <w:sz w:val="18"/>
                <w:szCs w:val="18"/>
              </w:rPr>
            </w:pPr>
            <w:r>
              <w:rPr>
                <w:sz w:val="18"/>
                <w:szCs w:val="18"/>
              </w:rPr>
              <w:t>2020</w:t>
            </w:r>
          </w:p>
        </w:tc>
      </w:tr>
      <w:tr w:rsidR="008C71B4" w:rsidRPr="00EB118C" w14:paraId="1CB70624" w14:textId="77777777" w:rsidTr="00EB118C">
        <w:tc>
          <w:tcPr>
            <w:tcW w:w="1978" w:type="dxa"/>
            <w:vAlign w:val="center"/>
          </w:tcPr>
          <w:p w14:paraId="5BC143BF" w14:textId="77777777" w:rsidR="008C71B4" w:rsidRPr="00EB118C" w:rsidRDefault="008C71B4" w:rsidP="00CE32DB">
            <w:pPr>
              <w:jc w:val="center"/>
              <w:rPr>
                <w:sz w:val="18"/>
                <w:szCs w:val="18"/>
              </w:rPr>
            </w:pPr>
            <w:r w:rsidRPr="00EB118C">
              <w:rPr>
                <w:sz w:val="18"/>
                <w:szCs w:val="18"/>
              </w:rPr>
              <w:t xml:space="preserve">Ag. soil mgmt. </w:t>
            </w:r>
          </w:p>
        </w:tc>
        <w:tc>
          <w:tcPr>
            <w:tcW w:w="2520" w:type="dxa"/>
            <w:gridSpan w:val="2"/>
            <w:vAlign w:val="center"/>
          </w:tcPr>
          <w:p w14:paraId="2050CE81" w14:textId="504F4E63" w:rsidR="008C71B4" w:rsidRPr="00EB118C" w:rsidRDefault="008C71B4" w:rsidP="00D35EC2">
            <w:pPr>
              <w:jc w:val="center"/>
              <w:rPr>
                <w:sz w:val="18"/>
                <w:szCs w:val="18"/>
              </w:rPr>
            </w:pPr>
            <w:r w:rsidRPr="00EB118C">
              <w:rPr>
                <w:sz w:val="18"/>
                <w:szCs w:val="18"/>
              </w:rPr>
              <w:t>N</w:t>
            </w:r>
            <w:r w:rsidRPr="00EB118C">
              <w:rPr>
                <w:sz w:val="18"/>
                <w:szCs w:val="18"/>
                <w:vertAlign w:val="subscript"/>
              </w:rPr>
              <w:t>2</w:t>
            </w:r>
            <w:r w:rsidRPr="00EB118C">
              <w:rPr>
                <w:sz w:val="18"/>
                <w:szCs w:val="18"/>
              </w:rPr>
              <w:t xml:space="preserve">O, </w:t>
            </w:r>
            <w:r w:rsidR="007516B1">
              <w:rPr>
                <w:sz w:val="18"/>
                <w:szCs w:val="18"/>
              </w:rPr>
              <w:t>synthetic</w:t>
            </w:r>
            <w:r w:rsidR="007516B1" w:rsidRPr="00EB118C">
              <w:rPr>
                <w:sz w:val="18"/>
                <w:szCs w:val="18"/>
              </w:rPr>
              <w:t xml:space="preserve"> </w:t>
            </w:r>
            <w:r w:rsidRPr="00EB118C">
              <w:rPr>
                <w:sz w:val="18"/>
                <w:szCs w:val="18"/>
              </w:rPr>
              <w:t>and PRP N</w:t>
            </w:r>
          </w:p>
        </w:tc>
        <w:tc>
          <w:tcPr>
            <w:tcW w:w="1167" w:type="dxa"/>
            <w:vAlign w:val="center"/>
          </w:tcPr>
          <w:p w14:paraId="570EF5B7" w14:textId="77777777" w:rsidR="008C71B4" w:rsidRPr="00EB118C" w:rsidRDefault="008C71B4" w:rsidP="00CE32DB">
            <w:pPr>
              <w:jc w:val="center"/>
              <w:rPr>
                <w:sz w:val="18"/>
                <w:szCs w:val="18"/>
              </w:rPr>
            </w:pPr>
            <w:r w:rsidRPr="00EB118C">
              <w:rPr>
                <w:sz w:val="18"/>
                <w:szCs w:val="18"/>
              </w:rPr>
              <w:sym w:font="Wingdings" w:char="F0FC"/>
            </w:r>
          </w:p>
        </w:tc>
        <w:tc>
          <w:tcPr>
            <w:tcW w:w="903" w:type="dxa"/>
            <w:vAlign w:val="center"/>
          </w:tcPr>
          <w:p w14:paraId="73F558ED" w14:textId="77777777" w:rsidR="008C71B4" w:rsidRPr="00EB118C" w:rsidRDefault="008C71B4" w:rsidP="00CE32DB">
            <w:pPr>
              <w:jc w:val="center"/>
              <w:rPr>
                <w:sz w:val="18"/>
                <w:szCs w:val="18"/>
              </w:rPr>
            </w:pPr>
            <w:r w:rsidRPr="00EB118C">
              <w:rPr>
                <w:sz w:val="18"/>
                <w:szCs w:val="18"/>
              </w:rPr>
              <w:sym w:font="Wingdings" w:char="F0FC"/>
            </w:r>
          </w:p>
        </w:tc>
        <w:tc>
          <w:tcPr>
            <w:tcW w:w="720" w:type="dxa"/>
            <w:vAlign w:val="center"/>
          </w:tcPr>
          <w:p w14:paraId="26616812" w14:textId="77777777" w:rsidR="008C71B4" w:rsidRPr="00EB118C" w:rsidRDefault="008C71B4" w:rsidP="00CE32DB">
            <w:pPr>
              <w:jc w:val="center"/>
              <w:rPr>
                <w:sz w:val="18"/>
                <w:szCs w:val="18"/>
              </w:rPr>
            </w:pPr>
            <w:r w:rsidRPr="00EB118C">
              <w:rPr>
                <w:sz w:val="18"/>
                <w:szCs w:val="18"/>
              </w:rPr>
              <w:sym w:font="Wingdings" w:char="F0FC"/>
            </w:r>
          </w:p>
        </w:tc>
        <w:tc>
          <w:tcPr>
            <w:tcW w:w="720" w:type="dxa"/>
            <w:vAlign w:val="center"/>
          </w:tcPr>
          <w:p w14:paraId="01E24AA4" w14:textId="77777777" w:rsidR="008C71B4" w:rsidRPr="00EB118C" w:rsidRDefault="008C71B4" w:rsidP="00CE32DB">
            <w:pPr>
              <w:jc w:val="center"/>
              <w:rPr>
                <w:sz w:val="18"/>
                <w:szCs w:val="18"/>
              </w:rPr>
            </w:pPr>
            <w:r w:rsidRPr="00EB118C">
              <w:rPr>
                <w:sz w:val="18"/>
                <w:szCs w:val="18"/>
              </w:rPr>
              <w:sym w:font="Wingdings" w:char="F0FC"/>
            </w:r>
          </w:p>
        </w:tc>
        <w:tc>
          <w:tcPr>
            <w:tcW w:w="682" w:type="dxa"/>
            <w:shd w:val="clear" w:color="auto" w:fill="FF7979"/>
            <w:vAlign w:val="center"/>
          </w:tcPr>
          <w:p w14:paraId="61562FB9" w14:textId="77777777" w:rsidR="008C71B4" w:rsidRPr="00EB118C" w:rsidRDefault="008C71B4" w:rsidP="00CE32DB">
            <w:pPr>
              <w:jc w:val="center"/>
              <w:rPr>
                <w:sz w:val="18"/>
                <w:szCs w:val="18"/>
              </w:rPr>
            </w:pPr>
          </w:p>
        </w:tc>
        <w:tc>
          <w:tcPr>
            <w:tcW w:w="663" w:type="dxa"/>
            <w:shd w:val="clear" w:color="auto" w:fill="FF7979"/>
            <w:vAlign w:val="center"/>
          </w:tcPr>
          <w:p w14:paraId="4271A440" w14:textId="77777777" w:rsidR="008C71B4" w:rsidRPr="00EB118C" w:rsidRDefault="008C71B4" w:rsidP="00CE32DB">
            <w:pPr>
              <w:jc w:val="center"/>
              <w:rPr>
                <w:sz w:val="18"/>
                <w:szCs w:val="18"/>
              </w:rPr>
            </w:pPr>
          </w:p>
        </w:tc>
      </w:tr>
      <w:tr w:rsidR="008C71B4" w:rsidRPr="00EB118C" w14:paraId="7CC3A78F" w14:textId="77777777" w:rsidTr="00EB118C">
        <w:tc>
          <w:tcPr>
            <w:tcW w:w="1978" w:type="dxa"/>
            <w:vAlign w:val="center"/>
          </w:tcPr>
          <w:p w14:paraId="34735338" w14:textId="77777777" w:rsidR="008C71B4" w:rsidRPr="00EB118C" w:rsidRDefault="008C71B4" w:rsidP="00CE32DB">
            <w:pPr>
              <w:jc w:val="center"/>
              <w:rPr>
                <w:sz w:val="18"/>
                <w:szCs w:val="18"/>
              </w:rPr>
            </w:pPr>
            <w:r w:rsidRPr="00EB118C">
              <w:rPr>
                <w:sz w:val="18"/>
                <w:szCs w:val="18"/>
              </w:rPr>
              <w:t xml:space="preserve">Ag. soil mgmt. </w:t>
            </w:r>
          </w:p>
        </w:tc>
        <w:tc>
          <w:tcPr>
            <w:tcW w:w="2520" w:type="dxa"/>
            <w:gridSpan w:val="2"/>
            <w:vAlign w:val="center"/>
          </w:tcPr>
          <w:p w14:paraId="474C5167" w14:textId="77777777" w:rsidR="008C71B4" w:rsidRPr="00EB118C" w:rsidRDefault="008C71B4" w:rsidP="00CE32DB">
            <w:pPr>
              <w:jc w:val="center"/>
              <w:rPr>
                <w:sz w:val="18"/>
                <w:szCs w:val="18"/>
              </w:rPr>
            </w:pPr>
            <w:r w:rsidRPr="00EB118C">
              <w:rPr>
                <w:sz w:val="18"/>
                <w:szCs w:val="18"/>
              </w:rPr>
              <w:t>N</w:t>
            </w:r>
            <w:r w:rsidRPr="00EB118C">
              <w:rPr>
                <w:sz w:val="18"/>
                <w:szCs w:val="18"/>
                <w:vertAlign w:val="subscript"/>
              </w:rPr>
              <w:t>2</w:t>
            </w:r>
            <w:r w:rsidRPr="00EB118C">
              <w:rPr>
                <w:sz w:val="18"/>
                <w:szCs w:val="18"/>
              </w:rPr>
              <w:t>O, other N additions</w:t>
            </w:r>
            <w:r w:rsidRPr="00EB118C">
              <w:rPr>
                <w:sz w:val="18"/>
                <w:szCs w:val="18"/>
                <w:vertAlign w:val="superscript"/>
              </w:rPr>
              <w:t>a</w:t>
            </w:r>
            <w:r w:rsidRPr="00EB118C">
              <w:rPr>
                <w:sz w:val="18"/>
                <w:szCs w:val="18"/>
              </w:rPr>
              <w:t xml:space="preserve"> </w:t>
            </w:r>
          </w:p>
        </w:tc>
        <w:tc>
          <w:tcPr>
            <w:tcW w:w="1167" w:type="dxa"/>
            <w:shd w:val="clear" w:color="auto" w:fill="FF7979"/>
            <w:vAlign w:val="center"/>
          </w:tcPr>
          <w:p w14:paraId="55DBAFE3" w14:textId="77777777" w:rsidR="008C71B4" w:rsidRPr="00EB118C" w:rsidRDefault="008C71B4" w:rsidP="00CE32DB">
            <w:pPr>
              <w:jc w:val="center"/>
              <w:rPr>
                <w:sz w:val="18"/>
                <w:szCs w:val="18"/>
              </w:rPr>
            </w:pPr>
          </w:p>
        </w:tc>
        <w:tc>
          <w:tcPr>
            <w:tcW w:w="903" w:type="dxa"/>
            <w:shd w:val="clear" w:color="auto" w:fill="FF7979"/>
            <w:vAlign w:val="center"/>
          </w:tcPr>
          <w:p w14:paraId="67F77EA4" w14:textId="77777777" w:rsidR="008C71B4" w:rsidRPr="00EB118C" w:rsidRDefault="008C71B4" w:rsidP="00CE32DB">
            <w:pPr>
              <w:jc w:val="center"/>
              <w:rPr>
                <w:sz w:val="18"/>
                <w:szCs w:val="18"/>
              </w:rPr>
            </w:pPr>
          </w:p>
        </w:tc>
        <w:tc>
          <w:tcPr>
            <w:tcW w:w="720" w:type="dxa"/>
            <w:shd w:val="clear" w:color="auto" w:fill="FF7979"/>
            <w:vAlign w:val="center"/>
          </w:tcPr>
          <w:p w14:paraId="1CC237FE" w14:textId="77777777" w:rsidR="008C71B4" w:rsidRPr="00EB118C" w:rsidRDefault="008C71B4" w:rsidP="00CE32DB">
            <w:pPr>
              <w:jc w:val="center"/>
              <w:rPr>
                <w:sz w:val="18"/>
                <w:szCs w:val="18"/>
              </w:rPr>
            </w:pPr>
          </w:p>
        </w:tc>
        <w:tc>
          <w:tcPr>
            <w:tcW w:w="720" w:type="dxa"/>
            <w:shd w:val="clear" w:color="auto" w:fill="FF7979"/>
            <w:vAlign w:val="center"/>
          </w:tcPr>
          <w:p w14:paraId="61EAB9A7" w14:textId="77777777" w:rsidR="008C71B4" w:rsidRPr="00EB118C" w:rsidRDefault="008C71B4" w:rsidP="00CE32DB">
            <w:pPr>
              <w:jc w:val="center"/>
              <w:rPr>
                <w:sz w:val="18"/>
                <w:szCs w:val="18"/>
              </w:rPr>
            </w:pPr>
          </w:p>
        </w:tc>
        <w:tc>
          <w:tcPr>
            <w:tcW w:w="682" w:type="dxa"/>
            <w:shd w:val="clear" w:color="auto" w:fill="FF7979"/>
            <w:vAlign w:val="center"/>
          </w:tcPr>
          <w:p w14:paraId="04E12638" w14:textId="77777777" w:rsidR="008C71B4" w:rsidRPr="00EB118C" w:rsidRDefault="008C71B4" w:rsidP="00CE32DB">
            <w:pPr>
              <w:jc w:val="center"/>
              <w:rPr>
                <w:sz w:val="18"/>
                <w:szCs w:val="18"/>
              </w:rPr>
            </w:pPr>
          </w:p>
        </w:tc>
        <w:tc>
          <w:tcPr>
            <w:tcW w:w="663" w:type="dxa"/>
            <w:shd w:val="clear" w:color="auto" w:fill="FF7979"/>
            <w:vAlign w:val="center"/>
          </w:tcPr>
          <w:p w14:paraId="4C83F10F" w14:textId="77777777" w:rsidR="008C71B4" w:rsidRPr="00EB118C" w:rsidRDefault="008C71B4" w:rsidP="00CE32DB">
            <w:pPr>
              <w:jc w:val="center"/>
              <w:rPr>
                <w:sz w:val="18"/>
                <w:szCs w:val="18"/>
              </w:rPr>
            </w:pPr>
          </w:p>
        </w:tc>
      </w:tr>
      <w:tr w:rsidR="008C71B4" w:rsidRPr="00EB118C" w14:paraId="4619C82C" w14:textId="77777777" w:rsidTr="00EB118C">
        <w:tc>
          <w:tcPr>
            <w:tcW w:w="1978" w:type="dxa"/>
            <w:vAlign w:val="center"/>
          </w:tcPr>
          <w:p w14:paraId="7900145A" w14:textId="77777777" w:rsidR="008C71B4" w:rsidRPr="00EB118C" w:rsidRDefault="008C71B4" w:rsidP="00CE32DB">
            <w:pPr>
              <w:jc w:val="center"/>
              <w:rPr>
                <w:sz w:val="18"/>
                <w:szCs w:val="18"/>
              </w:rPr>
            </w:pPr>
            <w:r w:rsidRPr="00EB118C">
              <w:rPr>
                <w:sz w:val="18"/>
                <w:szCs w:val="18"/>
              </w:rPr>
              <w:t xml:space="preserve">Ag. soil mgmt. </w:t>
            </w:r>
          </w:p>
        </w:tc>
        <w:tc>
          <w:tcPr>
            <w:tcW w:w="2520" w:type="dxa"/>
            <w:gridSpan w:val="2"/>
            <w:vAlign w:val="center"/>
          </w:tcPr>
          <w:p w14:paraId="1319C732" w14:textId="77777777" w:rsidR="008C71B4" w:rsidRPr="00EB118C" w:rsidRDefault="008C71B4" w:rsidP="00CE32DB">
            <w:pPr>
              <w:jc w:val="center"/>
              <w:rPr>
                <w:sz w:val="18"/>
                <w:szCs w:val="18"/>
              </w:rPr>
            </w:pPr>
            <w:r w:rsidRPr="00EB118C">
              <w:rPr>
                <w:sz w:val="18"/>
                <w:szCs w:val="18"/>
              </w:rPr>
              <w:t>N</w:t>
            </w:r>
            <w:r w:rsidRPr="00EB118C">
              <w:rPr>
                <w:sz w:val="18"/>
                <w:szCs w:val="18"/>
                <w:vertAlign w:val="subscript"/>
              </w:rPr>
              <w:t>2</w:t>
            </w:r>
            <w:r w:rsidRPr="00EB118C">
              <w:rPr>
                <w:sz w:val="18"/>
                <w:szCs w:val="18"/>
              </w:rPr>
              <w:t>O, drained organic soils</w:t>
            </w:r>
          </w:p>
        </w:tc>
        <w:tc>
          <w:tcPr>
            <w:tcW w:w="1167" w:type="dxa"/>
            <w:shd w:val="clear" w:color="auto" w:fill="FF7979"/>
            <w:vAlign w:val="center"/>
          </w:tcPr>
          <w:p w14:paraId="5EFB7E70" w14:textId="77777777" w:rsidR="008C71B4" w:rsidRPr="00EB118C" w:rsidRDefault="008C71B4" w:rsidP="00CE32DB">
            <w:pPr>
              <w:jc w:val="center"/>
              <w:rPr>
                <w:sz w:val="18"/>
                <w:szCs w:val="18"/>
              </w:rPr>
            </w:pPr>
          </w:p>
        </w:tc>
        <w:tc>
          <w:tcPr>
            <w:tcW w:w="903" w:type="dxa"/>
            <w:shd w:val="clear" w:color="auto" w:fill="FF7979"/>
            <w:vAlign w:val="center"/>
          </w:tcPr>
          <w:p w14:paraId="712E6E25" w14:textId="77777777" w:rsidR="008C71B4" w:rsidRPr="00EB118C" w:rsidRDefault="008C71B4" w:rsidP="00CE32DB">
            <w:pPr>
              <w:jc w:val="center"/>
              <w:rPr>
                <w:sz w:val="18"/>
                <w:szCs w:val="18"/>
              </w:rPr>
            </w:pPr>
          </w:p>
        </w:tc>
        <w:tc>
          <w:tcPr>
            <w:tcW w:w="720" w:type="dxa"/>
            <w:vAlign w:val="center"/>
          </w:tcPr>
          <w:p w14:paraId="1D446B05" w14:textId="77777777" w:rsidR="008C71B4" w:rsidRPr="00EB118C" w:rsidRDefault="008C71B4" w:rsidP="00CE32DB">
            <w:pPr>
              <w:jc w:val="center"/>
              <w:rPr>
                <w:sz w:val="18"/>
                <w:szCs w:val="18"/>
              </w:rPr>
            </w:pPr>
            <w:r w:rsidRPr="00EB118C">
              <w:rPr>
                <w:sz w:val="18"/>
                <w:szCs w:val="18"/>
              </w:rPr>
              <w:sym w:font="Wingdings" w:char="F0FC"/>
            </w:r>
          </w:p>
        </w:tc>
        <w:tc>
          <w:tcPr>
            <w:tcW w:w="720" w:type="dxa"/>
            <w:vAlign w:val="center"/>
          </w:tcPr>
          <w:p w14:paraId="64CA4FBE" w14:textId="77777777" w:rsidR="008C71B4" w:rsidRPr="00EB118C" w:rsidRDefault="008C71B4" w:rsidP="00CE32DB">
            <w:pPr>
              <w:jc w:val="center"/>
              <w:rPr>
                <w:sz w:val="18"/>
                <w:szCs w:val="18"/>
              </w:rPr>
            </w:pPr>
            <w:r w:rsidRPr="00EB118C">
              <w:rPr>
                <w:sz w:val="18"/>
                <w:szCs w:val="18"/>
              </w:rPr>
              <w:sym w:font="Wingdings" w:char="F0FC"/>
            </w:r>
          </w:p>
        </w:tc>
        <w:tc>
          <w:tcPr>
            <w:tcW w:w="682" w:type="dxa"/>
            <w:shd w:val="clear" w:color="auto" w:fill="FF7979"/>
            <w:vAlign w:val="center"/>
          </w:tcPr>
          <w:p w14:paraId="40621D51" w14:textId="77777777" w:rsidR="008C71B4" w:rsidRPr="00EB118C" w:rsidRDefault="008C71B4" w:rsidP="00CE32DB">
            <w:pPr>
              <w:jc w:val="center"/>
              <w:rPr>
                <w:sz w:val="18"/>
                <w:szCs w:val="18"/>
              </w:rPr>
            </w:pPr>
          </w:p>
        </w:tc>
        <w:tc>
          <w:tcPr>
            <w:tcW w:w="663" w:type="dxa"/>
            <w:shd w:val="clear" w:color="auto" w:fill="FF7979"/>
            <w:vAlign w:val="center"/>
          </w:tcPr>
          <w:p w14:paraId="0F0B787B" w14:textId="77777777" w:rsidR="008C71B4" w:rsidRPr="00EB118C" w:rsidRDefault="008C71B4" w:rsidP="00CE32DB">
            <w:pPr>
              <w:jc w:val="center"/>
              <w:rPr>
                <w:sz w:val="18"/>
                <w:szCs w:val="18"/>
              </w:rPr>
            </w:pPr>
          </w:p>
        </w:tc>
      </w:tr>
      <w:tr w:rsidR="008C71B4" w:rsidRPr="00EB118C" w14:paraId="2047EF99" w14:textId="77777777" w:rsidTr="00EB118C">
        <w:tc>
          <w:tcPr>
            <w:tcW w:w="1978" w:type="dxa"/>
            <w:vAlign w:val="center"/>
          </w:tcPr>
          <w:p w14:paraId="66211061" w14:textId="77777777" w:rsidR="008C71B4" w:rsidRPr="00EB118C" w:rsidRDefault="008C71B4" w:rsidP="00CE32DB">
            <w:pPr>
              <w:jc w:val="center"/>
              <w:rPr>
                <w:sz w:val="18"/>
                <w:szCs w:val="18"/>
              </w:rPr>
            </w:pPr>
            <w:r w:rsidRPr="00EB118C">
              <w:rPr>
                <w:sz w:val="18"/>
                <w:szCs w:val="18"/>
              </w:rPr>
              <w:t>Rice methane</w:t>
            </w:r>
          </w:p>
        </w:tc>
        <w:tc>
          <w:tcPr>
            <w:tcW w:w="2520" w:type="dxa"/>
            <w:gridSpan w:val="2"/>
            <w:vAlign w:val="center"/>
          </w:tcPr>
          <w:p w14:paraId="1D7E559F" w14:textId="77777777" w:rsidR="008C71B4" w:rsidRPr="00EB118C" w:rsidRDefault="008C71B4" w:rsidP="00CE32DB">
            <w:pPr>
              <w:jc w:val="center"/>
              <w:rPr>
                <w:sz w:val="18"/>
                <w:szCs w:val="18"/>
              </w:rPr>
            </w:pPr>
          </w:p>
        </w:tc>
        <w:tc>
          <w:tcPr>
            <w:tcW w:w="1167" w:type="dxa"/>
            <w:vAlign w:val="center"/>
          </w:tcPr>
          <w:p w14:paraId="12A77C52" w14:textId="77777777" w:rsidR="008C71B4" w:rsidRPr="00EB118C" w:rsidRDefault="008C71B4" w:rsidP="00CE32DB">
            <w:pPr>
              <w:jc w:val="center"/>
              <w:rPr>
                <w:sz w:val="18"/>
                <w:szCs w:val="18"/>
              </w:rPr>
            </w:pPr>
            <w:r w:rsidRPr="00EB118C">
              <w:rPr>
                <w:sz w:val="18"/>
                <w:szCs w:val="18"/>
              </w:rPr>
              <w:t>N/A</w:t>
            </w:r>
          </w:p>
        </w:tc>
        <w:tc>
          <w:tcPr>
            <w:tcW w:w="903" w:type="dxa"/>
            <w:vAlign w:val="center"/>
          </w:tcPr>
          <w:p w14:paraId="3E591B2C" w14:textId="77777777" w:rsidR="008C71B4" w:rsidRPr="00EB118C" w:rsidRDefault="008C71B4" w:rsidP="00CE32DB">
            <w:pPr>
              <w:jc w:val="center"/>
              <w:rPr>
                <w:sz w:val="18"/>
                <w:szCs w:val="18"/>
              </w:rPr>
            </w:pPr>
            <w:r w:rsidRPr="00EB118C">
              <w:rPr>
                <w:sz w:val="18"/>
                <w:szCs w:val="18"/>
              </w:rPr>
              <w:t>N/A</w:t>
            </w:r>
          </w:p>
        </w:tc>
        <w:tc>
          <w:tcPr>
            <w:tcW w:w="720" w:type="dxa"/>
            <w:vAlign w:val="center"/>
          </w:tcPr>
          <w:p w14:paraId="7B744876" w14:textId="77777777" w:rsidR="008C71B4" w:rsidRPr="00EB118C" w:rsidRDefault="008C71B4" w:rsidP="00CE32DB">
            <w:pPr>
              <w:jc w:val="center"/>
              <w:rPr>
                <w:sz w:val="18"/>
                <w:szCs w:val="18"/>
              </w:rPr>
            </w:pPr>
            <w:r w:rsidRPr="00EB118C">
              <w:rPr>
                <w:sz w:val="18"/>
                <w:szCs w:val="18"/>
              </w:rPr>
              <w:t>N/A</w:t>
            </w:r>
          </w:p>
        </w:tc>
        <w:tc>
          <w:tcPr>
            <w:tcW w:w="720" w:type="dxa"/>
            <w:vAlign w:val="center"/>
          </w:tcPr>
          <w:p w14:paraId="370CE322" w14:textId="77777777" w:rsidR="008C71B4" w:rsidRPr="00EB118C" w:rsidRDefault="008C71B4" w:rsidP="00CE32DB">
            <w:pPr>
              <w:jc w:val="center"/>
              <w:rPr>
                <w:sz w:val="18"/>
                <w:szCs w:val="18"/>
              </w:rPr>
            </w:pPr>
            <w:r w:rsidRPr="00EB118C">
              <w:rPr>
                <w:sz w:val="18"/>
                <w:szCs w:val="18"/>
              </w:rPr>
              <w:t>N/A</w:t>
            </w:r>
          </w:p>
        </w:tc>
        <w:tc>
          <w:tcPr>
            <w:tcW w:w="682" w:type="dxa"/>
            <w:shd w:val="clear" w:color="auto" w:fill="FF7979"/>
            <w:vAlign w:val="center"/>
          </w:tcPr>
          <w:p w14:paraId="04726A65" w14:textId="77777777" w:rsidR="008C71B4" w:rsidRPr="00EB118C" w:rsidRDefault="008C71B4" w:rsidP="00CE32DB">
            <w:pPr>
              <w:jc w:val="center"/>
              <w:rPr>
                <w:sz w:val="18"/>
                <w:szCs w:val="18"/>
              </w:rPr>
            </w:pPr>
          </w:p>
        </w:tc>
        <w:tc>
          <w:tcPr>
            <w:tcW w:w="663" w:type="dxa"/>
            <w:shd w:val="clear" w:color="auto" w:fill="FF7979"/>
            <w:vAlign w:val="center"/>
          </w:tcPr>
          <w:p w14:paraId="34684C68" w14:textId="77777777" w:rsidR="008C71B4" w:rsidRPr="00EB118C" w:rsidRDefault="008C71B4" w:rsidP="00CE32DB">
            <w:pPr>
              <w:jc w:val="center"/>
              <w:rPr>
                <w:sz w:val="18"/>
                <w:szCs w:val="18"/>
              </w:rPr>
            </w:pPr>
          </w:p>
        </w:tc>
      </w:tr>
      <w:tr w:rsidR="008C71B4" w:rsidRPr="00EB118C" w14:paraId="0AD1D19B" w14:textId="77777777" w:rsidTr="00EB118C">
        <w:tc>
          <w:tcPr>
            <w:tcW w:w="1978" w:type="dxa"/>
            <w:vAlign w:val="center"/>
          </w:tcPr>
          <w:p w14:paraId="02BF94CE" w14:textId="77777777" w:rsidR="008C71B4" w:rsidRPr="00EB118C" w:rsidRDefault="008C71B4" w:rsidP="00CE32DB">
            <w:pPr>
              <w:jc w:val="center"/>
              <w:rPr>
                <w:sz w:val="18"/>
                <w:szCs w:val="18"/>
              </w:rPr>
            </w:pPr>
            <w:r w:rsidRPr="00EB118C">
              <w:rPr>
                <w:sz w:val="18"/>
                <w:szCs w:val="18"/>
              </w:rPr>
              <w:t>Forests</w:t>
            </w:r>
          </w:p>
        </w:tc>
        <w:tc>
          <w:tcPr>
            <w:tcW w:w="2520" w:type="dxa"/>
            <w:gridSpan w:val="2"/>
            <w:vAlign w:val="center"/>
          </w:tcPr>
          <w:p w14:paraId="0ABC5C9C" w14:textId="77777777" w:rsidR="008C71B4" w:rsidRPr="00EB118C" w:rsidRDefault="008C71B4" w:rsidP="00CE32DB">
            <w:pPr>
              <w:jc w:val="center"/>
              <w:rPr>
                <w:sz w:val="18"/>
                <w:szCs w:val="18"/>
              </w:rPr>
            </w:pPr>
            <w:r w:rsidRPr="00EB118C">
              <w:rPr>
                <w:sz w:val="18"/>
                <w:szCs w:val="18"/>
              </w:rPr>
              <w:t>C stock change</w:t>
            </w:r>
            <w:r w:rsidRPr="00EB118C">
              <w:rPr>
                <w:sz w:val="18"/>
                <w:szCs w:val="18"/>
                <w:vertAlign w:val="superscript"/>
              </w:rPr>
              <w:t>b</w:t>
            </w:r>
          </w:p>
        </w:tc>
        <w:tc>
          <w:tcPr>
            <w:tcW w:w="1167" w:type="dxa"/>
            <w:vAlign w:val="center"/>
          </w:tcPr>
          <w:p w14:paraId="773981DF" w14:textId="73570785" w:rsidR="008C71B4" w:rsidRPr="00EB118C" w:rsidRDefault="008C71B4" w:rsidP="00CE32DB">
            <w:pPr>
              <w:jc w:val="center"/>
              <w:rPr>
                <w:sz w:val="18"/>
                <w:szCs w:val="18"/>
              </w:rPr>
            </w:pPr>
            <w:r w:rsidRPr="00EB118C">
              <w:rPr>
                <w:sz w:val="18"/>
                <w:szCs w:val="18"/>
              </w:rPr>
              <w:t xml:space="preserve">Coastal </w:t>
            </w:r>
            <w:r w:rsidR="00EB118C">
              <w:rPr>
                <w:sz w:val="18"/>
                <w:szCs w:val="18"/>
              </w:rPr>
              <w:t>only</w:t>
            </w:r>
          </w:p>
        </w:tc>
        <w:tc>
          <w:tcPr>
            <w:tcW w:w="903" w:type="dxa"/>
            <w:vAlign w:val="center"/>
          </w:tcPr>
          <w:p w14:paraId="7438377E" w14:textId="77777777" w:rsidR="008C71B4" w:rsidRPr="00EB118C" w:rsidRDefault="008C71B4" w:rsidP="00CE32DB">
            <w:pPr>
              <w:jc w:val="center"/>
              <w:rPr>
                <w:sz w:val="18"/>
                <w:szCs w:val="18"/>
              </w:rPr>
            </w:pPr>
            <w:r w:rsidRPr="00EB118C">
              <w:rPr>
                <w:sz w:val="18"/>
                <w:szCs w:val="18"/>
              </w:rPr>
              <w:sym w:font="Wingdings" w:char="F0FC"/>
            </w:r>
          </w:p>
        </w:tc>
        <w:tc>
          <w:tcPr>
            <w:tcW w:w="720" w:type="dxa"/>
            <w:shd w:val="clear" w:color="auto" w:fill="FF7979"/>
            <w:vAlign w:val="center"/>
          </w:tcPr>
          <w:p w14:paraId="2BB5D8A2" w14:textId="77777777" w:rsidR="008C71B4" w:rsidRPr="00EB118C" w:rsidRDefault="008C71B4" w:rsidP="00CE32DB">
            <w:pPr>
              <w:jc w:val="center"/>
              <w:rPr>
                <w:sz w:val="18"/>
                <w:szCs w:val="18"/>
              </w:rPr>
            </w:pPr>
          </w:p>
        </w:tc>
        <w:tc>
          <w:tcPr>
            <w:tcW w:w="720" w:type="dxa"/>
            <w:shd w:val="clear" w:color="auto" w:fill="FF7979"/>
            <w:vAlign w:val="center"/>
          </w:tcPr>
          <w:p w14:paraId="7A447C11" w14:textId="77777777" w:rsidR="008C71B4" w:rsidRPr="00EB118C" w:rsidRDefault="008C71B4" w:rsidP="00CE32DB">
            <w:pPr>
              <w:jc w:val="center"/>
              <w:rPr>
                <w:sz w:val="18"/>
                <w:szCs w:val="18"/>
              </w:rPr>
            </w:pPr>
          </w:p>
        </w:tc>
        <w:tc>
          <w:tcPr>
            <w:tcW w:w="682" w:type="dxa"/>
            <w:shd w:val="clear" w:color="auto" w:fill="FF7979"/>
            <w:vAlign w:val="center"/>
          </w:tcPr>
          <w:p w14:paraId="30588160" w14:textId="77777777" w:rsidR="008C71B4" w:rsidRPr="00EB118C" w:rsidRDefault="008C71B4" w:rsidP="00CE32DB">
            <w:pPr>
              <w:jc w:val="center"/>
              <w:rPr>
                <w:sz w:val="18"/>
                <w:szCs w:val="18"/>
              </w:rPr>
            </w:pPr>
          </w:p>
        </w:tc>
        <w:tc>
          <w:tcPr>
            <w:tcW w:w="663" w:type="dxa"/>
            <w:shd w:val="clear" w:color="auto" w:fill="FF7979"/>
            <w:vAlign w:val="center"/>
          </w:tcPr>
          <w:p w14:paraId="4E681A9D" w14:textId="77777777" w:rsidR="008C71B4" w:rsidRPr="00EB118C" w:rsidRDefault="008C71B4" w:rsidP="00CE32DB">
            <w:pPr>
              <w:jc w:val="center"/>
              <w:rPr>
                <w:sz w:val="18"/>
                <w:szCs w:val="18"/>
              </w:rPr>
            </w:pPr>
          </w:p>
        </w:tc>
      </w:tr>
      <w:tr w:rsidR="008C71B4" w:rsidRPr="00EB118C" w14:paraId="41CEB7F8" w14:textId="77777777" w:rsidTr="00EB118C">
        <w:tc>
          <w:tcPr>
            <w:tcW w:w="1978" w:type="dxa"/>
            <w:vAlign w:val="center"/>
          </w:tcPr>
          <w:p w14:paraId="2E62CF3F" w14:textId="77777777" w:rsidR="008C71B4" w:rsidRPr="00EB118C" w:rsidRDefault="008C71B4" w:rsidP="00CE32DB">
            <w:pPr>
              <w:jc w:val="center"/>
              <w:rPr>
                <w:sz w:val="18"/>
                <w:szCs w:val="18"/>
              </w:rPr>
            </w:pPr>
            <w:r w:rsidRPr="00EB118C">
              <w:rPr>
                <w:sz w:val="18"/>
                <w:szCs w:val="18"/>
              </w:rPr>
              <w:t>Forests</w:t>
            </w:r>
          </w:p>
        </w:tc>
        <w:tc>
          <w:tcPr>
            <w:tcW w:w="2520" w:type="dxa"/>
            <w:gridSpan w:val="2"/>
            <w:vAlign w:val="center"/>
          </w:tcPr>
          <w:p w14:paraId="1FB5769C" w14:textId="77777777" w:rsidR="008C71B4" w:rsidRPr="00EB118C" w:rsidRDefault="008C71B4" w:rsidP="00CE32DB">
            <w:pPr>
              <w:jc w:val="center"/>
              <w:rPr>
                <w:sz w:val="18"/>
                <w:szCs w:val="18"/>
              </w:rPr>
            </w:pPr>
            <w:r w:rsidRPr="00EB118C">
              <w:rPr>
                <w:sz w:val="18"/>
                <w:szCs w:val="18"/>
              </w:rPr>
              <w:t>N</w:t>
            </w:r>
            <w:r w:rsidRPr="00EB118C">
              <w:rPr>
                <w:sz w:val="18"/>
                <w:szCs w:val="18"/>
                <w:vertAlign w:val="subscript"/>
              </w:rPr>
              <w:t>2</w:t>
            </w:r>
            <w:r w:rsidRPr="00EB118C">
              <w:rPr>
                <w:sz w:val="18"/>
                <w:szCs w:val="18"/>
              </w:rPr>
              <w:t>O, N additions</w:t>
            </w:r>
            <w:r w:rsidRPr="00EB118C">
              <w:rPr>
                <w:sz w:val="18"/>
                <w:szCs w:val="18"/>
                <w:vertAlign w:val="superscript"/>
              </w:rPr>
              <w:t>c</w:t>
            </w:r>
          </w:p>
        </w:tc>
        <w:tc>
          <w:tcPr>
            <w:tcW w:w="1167" w:type="dxa"/>
            <w:vAlign w:val="center"/>
          </w:tcPr>
          <w:p w14:paraId="0F940688" w14:textId="77777777" w:rsidR="008C71B4" w:rsidRPr="00EB118C" w:rsidRDefault="008C71B4" w:rsidP="00CE32DB">
            <w:pPr>
              <w:jc w:val="center"/>
              <w:rPr>
                <w:sz w:val="18"/>
                <w:szCs w:val="18"/>
              </w:rPr>
            </w:pPr>
            <w:r w:rsidRPr="00EB118C">
              <w:rPr>
                <w:sz w:val="18"/>
                <w:szCs w:val="18"/>
              </w:rPr>
              <w:t>N/A</w:t>
            </w:r>
          </w:p>
        </w:tc>
        <w:tc>
          <w:tcPr>
            <w:tcW w:w="903" w:type="dxa"/>
            <w:vAlign w:val="center"/>
          </w:tcPr>
          <w:p w14:paraId="3CCB4A4D" w14:textId="77777777" w:rsidR="008C71B4" w:rsidRPr="00EB118C" w:rsidRDefault="008C71B4" w:rsidP="00CE32DB">
            <w:pPr>
              <w:jc w:val="center"/>
              <w:rPr>
                <w:sz w:val="18"/>
                <w:szCs w:val="18"/>
              </w:rPr>
            </w:pPr>
            <w:r w:rsidRPr="00EB118C">
              <w:rPr>
                <w:sz w:val="18"/>
                <w:szCs w:val="18"/>
              </w:rPr>
              <w:t>N/A</w:t>
            </w:r>
          </w:p>
        </w:tc>
        <w:tc>
          <w:tcPr>
            <w:tcW w:w="720" w:type="dxa"/>
            <w:shd w:val="clear" w:color="auto" w:fill="FFFFFF" w:themeFill="background1"/>
            <w:vAlign w:val="center"/>
          </w:tcPr>
          <w:p w14:paraId="5DEE3CF8" w14:textId="77777777" w:rsidR="008C71B4" w:rsidRPr="00EB118C" w:rsidRDefault="008C71B4" w:rsidP="00CE32DB">
            <w:pPr>
              <w:jc w:val="center"/>
              <w:rPr>
                <w:sz w:val="18"/>
                <w:szCs w:val="18"/>
              </w:rPr>
            </w:pPr>
            <w:r w:rsidRPr="00EB118C">
              <w:rPr>
                <w:sz w:val="18"/>
                <w:szCs w:val="18"/>
              </w:rPr>
              <w:t>N/A</w:t>
            </w:r>
          </w:p>
        </w:tc>
        <w:tc>
          <w:tcPr>
            <w:tcW w:w="720" w:type="dxa"/>
            <w:shd w:val="clear" w:color="auto" w:fill="FFFFFF" w:themeFill="background1"/>
            <w:vAlign w:val="center"/>
          </w:tcPr>
          <w:p w14:paraId="17A5DD7F" w14:textId="77777777" w:rsidR="008C71B4" w:rsidRPr="00EB118C" w:rsidRDefault="008C71B4" w:rsidP="00CE32DB">
            <w:pPr>
              <w:jc w:val="center"/>
              <w:rPr>
                <w:sz w:val="18"/>
                <w:szCs w:val="18"/>
              </w:rPr>
            </w:pPr>
            <w:r w:rsidRPr="00EB118C">
              <w:rPr>
                <w:sz w:val="18"/>
                <w:szCs w:val="18"/>
              </w:rPr>
              <w:t>N/A</w:t>
            </w:r>
          </w:p>
        </w:tc>
        <w:tc>
          <w:tcPr>
            <w:tcW w:w="682" w:type="dxa"/>
            <w:shd w:val="clear" w:color="auto" w:fill="FF7979"/>
            <w:vAlign w:val="center"/>
          </w:tcPr>
          <w:p w14:paraId="512F1E16" w14:textId="77777777" w:rsidR="008C71B4" w:rsidRPr="00EB118C" w:rsidRDefault="008C71B4" w:rsidP="00CE32DB">
            <w:pPr>
              <w:jc w:val="center"/>
              <w:rPr>
                <w:sz w:val="18"/>
                <w:szCs w:val="18"/>
              </w:rPr>
            </w:pPr>
          </w:p>
        </w:tc>
        <w:tc>
          <w:tcPr>
            <w:tcW w:w="663" w:type="dxa"/>
            <w:shd w:val="clear" w:color="auto" w:fill="FF7979"/>
            <w:vAlign w:val="center"/>
          </w:tcPr>
          <w:p w14:paraId="17A220BD" w14:textId="77777777" w:rsidR="008C71B4" w:rsidRPr="00EB118C" w:rsidRDefault="008C71B4" w:rsidP="00CE32DB">
            <w:pPr>
              <w:jc w:val="center"/>
              <w:rPr>
                <w:sz w:val="18"/>
                <w:szCs w:val="18"/>
              </w:rPr>
            </w:pPr>
          </w:p>
        </w:tc>
      </w:tr>
      <w:tr w:rsidR="008C71B4" w:rsidRPr="00EB118C" w14:paraId="61C354FD" w14:textId="77777777" w:rsidTr="00EB118C">
        <w:tc>
          <w:tcPr>
            <w:tcW w:w="1978" w:type="dxa"/>
            <w:vAlign w:val="center"/>
          </w:tcPr>
          <w:p w14:paraId="32747F9C" w14:textId="77777777" w:rsidR="008C71B4" w:rsidRPr="00EB118C" w:rsidRDefault="008C71B4" w:rsidP="00CE32DB">
            <w:pPr>
              <w:jc w:val="center"/>
              <w:rPr>
                <w:sz w:val="18"/>
                <w:szCs w:val="18"/>
              </w:rPr>
            </w:pPr>
            <w:r w:rsidRPr="00EB118C">
              <w:rPr>
                <w:sz w:val="18"/>
                <w:szCs w:val="18"/>
              </w:rPr>
              <w:t>Forests</w:t>
            </w:r>
          </w:p>
        </w:tc>
        <w:tc>
          <w:tcPr>
            <w:tcW w:w="2520" w:type="dxa"/>
            <w:gridSpan w:val="2"/>
            <w:vAlign w:val="center"/>
          </w:tcPr>
          <w:p w14:paraId="3A504755" w14:textId="77777777" w:rsidR="008C71B4" w:rsidRPr="00EB118C" w:rsidRDefault="008C71B4" w:rsidP="00CE32DB">
            <w:pPr>
              <w:jc w:val="center"/>
              <w:rPr>
                <w:sz w:val="18"/>
                <w:szCs w:val="18"/>
              </w:rPr>
            </w:pPr>
            <w:r w:rsidRPr="00EB118C">
              <w:rPr>
                <w:sz w:val="18"/>
                <w:szCs w:val="18"/>
              </w:rPr>
              <w:t>N</w:t>
            </w:r>
            <w:r w:rsidRPr="00EB118C">
              <w:rPr>
                <w:sz w:val="18"/>
                <w:szCs w:val="18"/>
                <w:vertAlign w:val="subscript"/>
              </w:rPr>
              <w:t>2</w:t>
            </w:r>
            <w:r w:rsidRPr="00EB118C">
              <w:rPr>
                <w:sz w:val="18"/>
                <w:szCs w:val="18"/>
              </w:rPr>
              <w:t>O, drained organic soils</w:t>
            </w:r>
            <w:r w:rsidRPr="00EB118C">
              <w:rPr>
                <w:sz w:val="18"/>
                <w:szCs w:val="18"/>
                <w:vertAlign w:val="superscript"/>
              </w:rPr>
              <w:t>c</w:t>
            </w:r>
          </w:p>
        </w:tc>
        <w:tc>
          <w:tcPr>
            <w:tcW w:w="1167" w:type="dxa"/>
            <w:vAlign w:val="center"/>
          </w:tcPr>
          <w:p w14:paraId="34CD628B" w14:textId="77777777" w:rsidR="008C71B4" w:rsidRPr="00EB118C" w:rsidRDefault="008C71B4" w:rsidP="00CE32DB">
            <w:pPr>
              <w:jc w:val="center"/>
              <w:rPr>
                <w:sz w:val="18"/>
                <w:szCs w:val="18"/>
              </w:rPr>
            </w:pPr>
            <w:r w:rsidRPr="00EB118C">
              <w:rPr>
                <w:sz w:val="18"/>
                <w:szCs w:val="18"/>
              </w:rPr>
              <w:t>N/A</w:t>
            </w:r>
          </w:p>
        </w:tc>
        <w:tc>
          <w:tcPr>
            <w:tcW w:w="903" w:type="dxa"/>
            <w:vAlign w:val="center"/>
          </w:tcPr>
          <w:p w14:paraId="464A4018" w14:textId="77777777" w:rsidR="008C71B4" w:rsidRPr="00EB118C" w:rsidRDefault="008C71B4" w:rsidP="00CE32DB">
            <w:pPr>
              <w:jc w:val="center"/>
              <w:rPr>
                <w:sz w:val="18"/>
                <w:szCs w:val="18"/>
              </w:rPr>
            </w:pPr>
            <w:r w:rsidRPr="00EB118C">
              <w:rPr>
                <w:sz w:val="18"/>
                <w:szCs w:val="18"/>
              </w:rPr>
              <w:t>N/A</w:t>
            </w:r>
          </w:p>
        </w:tc>
        <w:tc>
          <w:tcPr>
            <w:tcW w:w="720" w:type="dxa"/>
            <w:shd w:val="clear" w:color="auto" w:fill="FFFFFF" w:themeFill="background1"/>
            <w:vAlign w:val="center"/>
          </w:tcPr>
          <w:p w14:paraId="2989AB24" w14:textId="77777777" w:rsidR="008C71B4" w:rsidRPr="00EB118C" w:rsidRDefault="008C71B4" w:rsidP="00CE32DB">
            <w:pPr>
              <w:jc w:val="center"/>
              <w:rPr>
                <w:sz w:val="18"/>
                <w:szCs w:val="18"/>
              </w:rPr>
            </w:pPr>
            <w:r w:rsidRPr="00EB118C">
              <w:rPr>
                <w:sz w:val="18"/>
                <w:szCs w:val="18"/>
              </w:rPr>
              <w:t>N/A</w:t>
            </w:r>
          </w:p>
        </w:tc>
        <w:tc>
          <w:tcPr>
            <w:tcW w:w="720" w:type="dxa"/>
            <w:shd w:val="clear" w:color="auto" w:fill="FFFFFF" w:themeFill="background1"/>
            <w:vAlign w:val="center"/>
          </w:tcPr>
          <w:p w14:paraId="2177566D" w14:textId="77777777" w:rsidR="008C71B4" w:rsidRPr="00EB118C" w:rsidRDefault="008C71B4" w:rsidP="00CE32DB">
            <w:pPr>
              <w:jc w:val="center"/>
              <w:rPr>
                <w:sz w:val="18"/>
                <w:szCs w:val="18"/>
              </w:rPr>
            </w:pPr>
            <w:r w:rsidRPr="00EB118C">
              <w:rPr>
                <w:sz w:val="18"/>
                <w:szCs w:val="18"/>
              </w:rPr>
              <w:t>N/A</w:t>
            </w:r>
          </w:p>
        </w:tc>
        <w:tc>
          <w:tcPr>
            <w:tcW w:w="682" w:type="dxa"/>
            <w:shd w:val="clear" w:color="auto" w:fill="FF7979"/>
            <w:vAlign w:val="center"/>
          </w:tcPr>
          <w:p w14:paraId="7A3B5EF9" w14:textId="77777777" w:rsidR="008C71B4" w:rsidRPr="00EB118C" w:rsidRDefault="008C71B4" w:rsidP="00CE32DB">
            <w:pPr>
              <w:jc w:val="center"/>
              <w:rPr>
                <w:sz w:val="18"/>
                <w:szCs w:val="18"/>
              </w:rPr>
            </w:pPr>
          </w:p>
        </w:tc>
        <w:tc>
          <w:tcPr>
            <w:tcW w:w="663" w:type="dxa"/>
            <w:shd w:val="clear" w:color="auto" w:fill="FF7979"/>
            <w:vAlign w:val="center"/>
          </w:tcPr>
          <w:p w14:paraId="52B76C52" w14:textId="77777777" w:rsidR="008C71B4" w:rsidRPr="00EB118C" w:rsidRDefault="008C71B4" w:rsidP="00CE32DB">
            <w:pPr>
              <w:jc w:val="center"/>
              <w:rPr>
                <w:sz w:val="18"/>
                <w:szCs w:val="18"/>
              </w:rPr>
            </w:pPr>
          </w:p>
        </w:tc>
      </w:tr>
      <w:tr w:rsidR="008C71B4" w:rsidRPr="00EB118C" w14:paraId="3BAC0A26" w14:textId="77777777" w:rsidTr="00EB118C">
        <w:tc>
          <w:tcPr>
            <w:tcW w:w="1978" w:type="dxa"/>
            <w:vAlign w:val="center"/>
          </w:tcPr>
          <w:p w14:paraId="1DA04787" w14:textId="77777777" w:rsidR="008C71B4" w:rsidRPr="00EB118C" w:rsidRDefault="008C71B4" w:rsidP="00CE32DB">
            <w:pPr>
              <w:jc w:val="center"/>
              <w:rPr>
                <w:sz w:val="18"/>
                <w:szCs w:val="18"/>
              </w:rPr>
            </w:pPr>
            <w:r w:rsidRPr="00EB118C">
              <w:rPr>
                <w:sz w:val="18"/>
                <w:szCs w:val="18"/>
              </w:rPr>
              <w:t>Forests</w:t>
            </w:r>
          </w:p>
        </w:tc>
        <w:tc>
          <w:tcPr>
            <w:tcW w:w="2520" w:type="dxa"/>
            <w:gridSpan w:val="2"/>
            <w:vAlign w:val="center"/>
          </w:tcPr>
          <w:p w14:paraId="28E4C2D0" w14:textId="77777777" w:rsidR="008C71B4" w:rsidRPr="00EB118C" w:rsidRDefault="008C71B4" w:rsidP="00CE32DB">
            <w:pPr>
              <w:jc w:val="center"/>
              <w:rPr>
                <w:sz w:val="18"/>
                <w:szCs w:val="18"/>
              </w:rPr>
            </w:pPr>
            <w:r w:rsidRPr="00EB118C">
              <w:rPr>
                <w:sz w:val="18"/>
                <w:szCs w:val="18"/>
              </w:rPr>
              <w:t>Non-CO</w:t>
            </w:r>
            <w:r w:rsidRPr="00EB118C">
              <w:rPr>
                <w:sz w:val="18"/>
                <w:szCs w:val="18"/>
                <w:vertAlign w:val="subscript"/>
              </w:rPr>
              <w:t>2</w:t>
            </w:r>
            <w:r w:rsidRPr="00EB118C">
              <w:rPr>
                <w:sz w:val="18"/>
                <w:szCs w:val="18"/>
              </w:rPr>
              <w:t>, forest fires</w:t>
            </w:r>
          </w:p>
        </w:tc>
        <w:tc>
          <w:tcPr>
            <w:tcW w:w="1167" w:type="dxa"/>
            <w:vAlign w:val="center"/>
          </w:tcPr>
          <w:p w14:paraId="6B1264F3" w14:textId="77777777" w:rsidR="008C71B4" w:rsidRPr="00EB118C" w:rsidRDefault="008C71B4" w:rsidP="00CE32DB">
            <w:pPr>
              <w:jc w:val="center"/>
              <w:rPr>
                <w:sz w:val="18"/>
                <w:szCs w:val="18"/>
              </w:rPr>
            </w:pPr>
            <w:r w:rsidRPr="00EB118C">
              <w:rPr>
                <w:sz w:val="18"/>
                <w:szCs w:val="18"/>
              </w:rPr>
              <w:sym w:font="Wingdings" w:char="F0FC"/>
            </w:r>
          </w:p>
        </w:tc>
        <w:tc>
          <w:tcPr>
            <w:tcW w:w="903" w:type="dxa"/>
            <w:vAlign w:val="center"/>
          </w:tcPr>
          <w:p w14:paraId="3BB7B1BE" w14:textId="77777777" w:rsidR="008C71B4" w:rsidRPr="00EB118C" w:rsidRDefault="008C71B4" w:rsidP="00CE32DB">
            <w:pPr>
              <w:jc w:val="center"/>
              <w:rPr>
                <w:sz w:val="18"/>
                <w:szCs w:val="18"/>
              </w:rPr>
            </w:pPr>
            <w:r w:rsidRPr="00EB118C">
              <w:rPr>
                <w:sz w:val="18"/>
                <w:szCs w:val="18"/>
              </w:rPr>
              <w:sym w:font="Wingdings" w:char="F0FC"/>
            </w:r>
          </w:p>
        </w:tc>
        <w:tc>
          <w:tcPr>
            <w:tcW w:w="720" w:type="dxa"/>
            <w:shd w:val="clear" w:color="auto" w:fill="FF7979"/>
            <w:vAlign w:val="center"/>
          </w:tcPr>
          <w:p w14:paraId="112A9C6B" w14:textId="77777777" w:rsidR="008C71B4" w:rsidRPr="00EB118C" w:rsidRDefault="008C71B4" w:rsidP="00CE32DB">
            <w:pPr>
              <w:jc w:val="center"/>
              <w:rPr>
                <w:sz w:val="18"/>
                <w:szCs w:val="18"/>
              </w:rPr>
            </w:pPr>
          </w:p>
        </w:tc>
        <w:tc>
          <w:tcPr>
            <w:tcW w:w="720" w:type="dxa"/>
            <w:shd w:val="clear" w:color="auto" w:fill="FF7979"/>
            <w:vAlign w:val="center"/>
          </w:tcPr>
          <w:p w14:paraId="2ABF78E8" w14:textId="77777777" w:rsidR="008C71B4" w:rsidRPr="00EB118C" w:rsidRDefault="008C71B4" w:rsidP="00CE32DB">
            <w:pPr>
              <w:jc w:val="center"/>
              <w:rPr>
                <w:sz w:val="18"/>
                <w:szCs w:val="18"/>
              </w:rPr>
            </w:pPr>
          </w:p>
        </w:tc>
        <w:tc>
          <w:tcPr>
            <w:tcW w:w="682" w:type="dxa"/>
            <w:shd w:val="clear" w:color="auto" w:fill="FF7979"/>
            <w:vAlign w:val="center"/>
          </w:tcPr>
          <w:p w14:paraId="0E8E336D" w14:textId="77777777" w:rsidR="008C71B4" w:rsidRPr="00EB118C" w:rsidRDefault="008C71B4" w:rsidP="00CE32DB">
            <w:pPr>
              <w:jc w:val="center"/>
              <w:rPr>
                <w:sz w:val="18"/>
                <w:szCs w:val="18"/>
              </w:rPr>
            </w:pPr>
          </w:p>
        </w:tc>
        <w:tc>
          <w:tcPr>
            <w:tcW w:w="663" w:type="dxa"/>
            <w:shd w:val="clear" w:color="auto" w:fill="FF7979"/>
            <w:vAlign w:val="center"/>
          </w:tcPr>
          <w:p w14:paraId="00579998" w14:textId="77777777" w:rsidR="008C71B4" w:rsidRPr="00EB118C" w:rsidRDefault="008C71B4" w:rsidP="00CE32DB">
            <w:pPr>
              <w:jc w:val="center"/>
              <w:rPr>
                <w:sz w:val="18"/>
                <w:szCs w:val="18"/>
              </w:rPr>
            </w:pPr>
          </w:p>
        </w:tc>
      </w:tr>
      <w:tr w:rsidR="008C71B4" w:rsidRPr="00EB118C" w14:paraId="7CD244A4" w14:textId="77777777" w:rsidTr="00EB118C">
        <w:tc>
          <w:tcPr>
            <w:tcW w:w="1978" w:type="dxa"/>
            <w:vAlign w:val="center"/>
          </w:tcPr>
          <w:p w14:paraId="520E3AE8" w14:textId="77777777" w:rsidR="008C71B4" w:rsidRPr="00EB118C" w:rsidRDefault="008C71B4" w:rsidP="00CE32DB">
            <w:pPr>
              <w:jc w:val="center"/>
              <w:rPr>
                <w:sz w:val="18"/>
                <w:szCs w:val="18"/>
              </w:rPr>
            </w:pPr>
            <w:r w:rsidRPr="00EB118C">
              <w:rPr>
                <w:sz w:val="18"/>
                <w:szCs w:val="18"/>
              </w:rPr>
              <w:t>Cropland</w:t>
            </w:r>
          </w:p>
        </w:tc>
        <w:tc>
          <w:tcPr>
            <w:tcW w:w="2520" w:type="dxa"/>
            <w:gridSpan w:val="2"/>
            <w:vAlign w:val="center"/>
          </w:tcPr>
          <w:p w14:paraId="06F6BC1D" w14:textId="77777777" w:rsidR="008C71B4" w:rsidRPr="00EB118C" w:rsidRDefault="008C71B4" w:rsidP="00CE32DB">
            <w:pPr>
              <w:jc w:val="center"/>
              <w:rPr>
                <w:sz w:val="18"/>
                <w:szCs w:val="18"/>
              </w:rPr>
            </w:pPr>
            <w:r w:rsidRPr="00EB118C">
              <w:rPr>
                <w:sz w:val="18"/>
                <w:szCs w:val="18"/>
              </w:rPr>
              <w:t>Soil C stock change</w:t>
            </w:r>
          </w:p>
        </w:tc>
        <w:tc>
          <w:tcPr>
            <w:tcW w:w="1167" w:type="dxa"/>
            <w:shd w:val="clear" w:color="auto" w:fill="FF7979"/>
            <w:vAlign w:val="center"/>
          </w:tcPr>
          <w:p w14:paraId="429B523E" w14:textId="77777777" w:rsidR="008C71B4" w:rsidRPr="00EB118C" w:rsidRDefault="008C71B4" w:rsidP="00CE32DB">
            <w:pPr>
              <w:jc w:val="center"/>
              <w:rPr>
                <w:sz w:val="18"/>
                <w:szCs w:val="18"/>
              </w:rPr>
            </w:pPr>
          </w:p>
        </w:tc>
        <w:tc>
          <w:tcPr>
            <w:tcW w:w="903" w:type="dxa"/>
            <w:shd w:val="clear" w:color="auto" w:fill="FF7979"/>
            <w:vAlign w:val="center"/>
          </w:tcPr>
          <w:p w14:paraId="5BAEE6B8" w14:textId="77777777" w:rsidR="008C71B4" w:rsidRPr="00EB118C" w:rsidRDefault="008C71B4" w:rsidP="00CE32DB">
            <w:pPr>
              <w:jc w:val="center"/>
              <w:rPr>
                <w:sz w:val="18"/>
                <w:szCs w:val="18"/>
              </w:rPr>
            </w:pPr>
          </w:p>
        </w:tc>
        <w:tc>
          <w:tcPr>
            <w:tcW w:w="720" w:type="dxa"/>
            <w:vAlign w:val="center"/>
          </w:tcPr>
          <w:p w14:paraId="5FD604A6" w14:textId="77777777" w:rsidR="008C71B4" w:rsidRPr="00EB118C" w:rsidRDefault="008C71B4" w:rsidP="00CE32DB">
            <w:pPr>
              <w:jc w:val="center"/>
              <w:rPr>
                <w:sz w:val="18"/>
                <w:szCs w:val="18"/>
              </w:rPr>
            </w:pPr>
            <w:r w:rsidRPr="00EB118C">
              <w:rPr>
                <w:sz w:val="18"/>
                <w:szCs w:val="18"/>
              </w:rPr>
              <w:sym w:font="Wingdings" w:char="F0FC"/>
            </w:r>
          </w:p>
        </w:tc>
        <w:tc>
          <w:tcPr>
            <w:tcW w:w="720" w:type="dxa"/>
            <w:vAlign w:val="center"/>
          </w:tcPr>
          <w:p w14:paraId="307D2C0C" w14:textId="77777777" w:rsidR="008C71B4" w:rsidRPr="00EB118C" w:rsidRDefault="008C71B4" w:rsidP="00CE32DB">
            <w:pPr>
              <w:jc w:val="center"/>
              <w:rPr>
                <w:sz w:val="18"/>
                <w:szCs w:val="18"/>
              </w:rPr>
            </w:pPr>
            <w:r w:rsidRPr="00EB118C">
              <w:rPr>
                <w:sz w:val="18"/>
                <w:szCs w:val="18"/>
              </w:rPr>
              <w:sym w:font="Wingdings" w:char="F0FC"/>
            </w:r>
          </w:p>
        </w:tc>
        <w:tc>
          <w:tcPr>
            <w:tcW w:w="682" w:type="dxa"/>
            <w:shd w:val="clear" w:color="auto" w:fill="FF7979"/>
            <w:vAlign w:val="center"/>
          </w:tcPr>
          <w:p w14:paraId="4D0F96BC" w14:textId="77777777" w:rsidR="008C71B4" w:rsidRPr="00EB118C" w:rsidRDefault="008C71B4" w:rsidP="00CE32DB">
            <w:pPr>
              <w:jc w:val="center"/>
              <w:rPr>
                <w:sz w:val="18"/>
                <w:szCs w:val="18"/>
              </w:rPr>
            </w:pPr>
          </w:p>
        </w:tc>
        <w:tc>
          <w:tcPr>
            <w:tcW w:w="663" w:type="dxa"/>
            <w:shd w:val="clear" w:color="auto" w:fill="FF7979"/>
            <w:vAlign w:val="center"/>
          </w:tcPr>
          <w:p w14:paraId="6A1683FC" w14:textId="77777777" w:rsidR="008C71B4" w:rsidRPr="00EB118C" w:rsidRDefault="008C71B4" w:rsidP="00CE32DB">
            <w:pPr>
              <w:jc w:val="center"/>
              <w:rPr>
                <w:sz w:val="18"/>
                <w:szCs w:val="18"/>
              </w:rPr>
            </w:pPr>
          </w:p>
        </w:tc>
      </w:tr>
      <w:tr w:rsidR="008C71B4" w:rsidRPr="00EB118C" w14:paraId="35BDB11B" w14:textId="77777777" w:rsidTr="00EB118C">
        <w:tc>
          <w:tcPr>
            <w:tcW w:w="1978" w:type="dxa"/>
            <w:vAlign w:val="center"/>
          </w:tcPr>
          <w:p w14:paraId="29A04F93" w14:textId="77777777" w:rsidR="008C71B4" w:rsidRPr="00EB118C" w:rsidRDefault="008C71B4" w:rsidP="00CE32DB">
            <w:pPr>
              <w:jc w:val="center"/>
              <w:rPr>
                <w:sz w:val="18"/>
                <w:szCs w:val="18"/>
              </w:rPr>
            </w:pPr>
            <w:r w:rsidRPr="00EB118C">
              <w:rPr>
                <w:sz w:val="18"/>
                <w:szCs w:val="18"/>
              </w:rPr>
              <w:t>Grassland</w:t>
            </w:r>
          </w:p>
        </w:tc>
        <w:tc>
          <w:tcPr>
            <w:tcW w:w="2520" w:type="dxa"/>
            <w:gridSpan w:val="2"/>
            <w:vAlign w:val="center"/>
          </w:tcPr>
          <w:p w14:paraId="061987F5" w14:textId="77777777" w:rsidR="008C71B4" w:rsidRPr="00EB118C" w:rsidRDefault="008C71B4" w:rsidP="00CE32DB">
            <w:pPr>
              <w:jc w:val="center"/>
              <w:rPr>
                <w:sz w:val="18"/>
                <w:szCs w:val="18"/>
              </w:rPr>
            </w:pPr>
            <w:r w:rsidRPr="00EB118C">
              <w:rPr>
                <w:sz w:val="18"/>
                <w:szCs w:val="18"/>
              </w:rPr>
              <w:t>Soil C stock change</w:t>
            </w:r>
          </w:p>
        </w:tc>
        <w:tc>
          <w:tcPr>
            <w:tcW w:w="1167" w:type="dxa"/>
            <w:shd w:val="clear" w:color="auto" w:fill="FF7979"/>
            <w:vAlign w:val="center"/>
          </w:tcPr>
          <w:p w14:paraId="1C817568" w14:textId="77777777" w:rsidR="008C71B4" w:rsidRPr="00EB118C" w:rsidRDefault="008C71B4" w:rsidP="00CE32DB">
            <w:pPr>
              <w:jc w:val="center"/>
              <w:rPr>
                <w:sz w:val="18"/>
                <w:szCs w:val="18"/>
              </w:rPr>
            </w:pPr>
          </w:p>
        </w:tc>
        <w:tc>
          <w:tcPr>
            <w:tcW w:w="903" w:type="dxa"/>
            <w:shd w:val="clear" w:color="auto" w:fill="FF7979"/>
            <w:vAlign w:val="center"/>
          </w:tcPr>
          <w:p w14:paraId="2D81E17C" w14:textId="77777777" w:rsidR="008C71B4" w:rsidRPr="00EB118C" w:rsidRDefault="008C71B4" w:rsidP="00CE32DB">
            <w:pPr>
              <w:jc w:val="center"/>
              <w:rPr>
                <w:sz w:val="18"/>
                <w:szCs w:val="18"/>
              </w:rPr>
            </w:pPr>
          </w:p>
        </w:tc>
        <w:tc>
          <w:tcPr>
            <w:tcW w:w="720" w:type="dxa"/>
            <w:vAlign w:val="center"/>
          </w:tcPr>
          <w:p w14:paraId="6AB42F8E" w14:textId="77777777" w:rsidR="008C71B4" w:rsidRPr="00EB118C" w:rsidRDefault="008C71B4" w:rsidP="00CE32DB">
            <w:pPr>
              <w:jc w:val="center"/>
              <w:rPr>
                <w:sz w:val="18"/>
                <w:szCs w:val="18"/>
              </w:rPr>
            </w:pPr>
            <w:r w:rsidRPr="00EB118C">
              <w:rPr>
                <w:sz w:val="18"/>
                <w:szCs w:val="18"/>
              </w:rPr>
              <w:sym w:font="Wingdings" w:char="F0FC"/>
            </w:r>
          </w:p>
        </w:tc>
        <w:tc>
          <w:tcPr>
            <w:tcW w:w="720" w:type="dxa"/>
            <w:vAlign w:val="center"/>
          </w:tcPr>
          <w:p w14:paraId="1D914ECD" w14:textId="77777777" w:rsidR="008C71B4" w:rsidRPr="00EB118C" w:rsidRDefault="008C71B4" w:rsidP="00CE32DB">
            <w:pPr>
              <w:jc w:val="center"/>
              <w:rPr>
                <w:sz w:val="18"/>
                <w:szCs w:val="18"/>
              </w:rPr>
            </w:pPr>
            <w:r w:rsidRPr="00EB118C">
              <w:rPr>
                <w:sz w:val="18"/>
                <w:szCs w:val="18"/>
              </w:rPr>
              <w:sym w:font="Wingdings" w:char="F0FC"/>
            </w:r>
          </w:p>
        </w:tc>
        <w:tc>
          <w:tcPr>
            <w:tcW w:w="682" w:type="dxa"/>
            <w:shd w:val="clear" w:color="auto" w:fill="FF7979"/>
            <w:vAlign w:val="center"/>
          </w:tcPr>
          <w:p w14:paraId="6A88DDBF" w14:textId="77777777" w:rsidR="008C71B4" w:rsidRPr="00EB118C" w:rsidRDefault="008C71B4" w:rsidP="00CE32DB">
            <w:pPr>
              <w:jc w:val="center"/>
              <w:rPr>
                <w:sz w:val="18"/>
                <w:szCs w:val="18"/>
              </w:rPr>
            </w:pPr>
          </w:p>
        </w:tc>
        <w:tc>
          <w:tcPr>
            <w:tcW w:w="663" w:type="dxa"/>
            <w:shd w:val="clear" w:color="auto" w:fill="FF7979"/>
            <w:vAlign w:val="center"/>
          </w:tcPr>
          <w:p w14:paraId="1FAFC8F9" w14:textId="77777777" w:rsidR="008C71B4" w:rsidRPr="00EB118C" w:rsidRDefault="008C71B4" w:rsidP="00CE32DB">
            <w:pPr>
              <w:jc w:val="center"/>
              <w:rPr>
                <w:sz w:val="18"/>
                <w:szCs w:val="18"/>
              </w:rPr>
            </w:pPr>
          </w:p>
        </w:tc>
      </w:tr>
      <w:tr w:rsidR="008C71B4" w:rsidRPr="00EB118C" w14:paraId="3329E725" w14:textId="77777777" w:rsidTr="00EB118C">
        <w:tc>
          <w:tcPr>
            <w:tcW w:w="1978" w:type="dxa"/>
            <w:vAlign w:val="center"/>
          </w:tcPr>
          <w:p w14:paraId="49401893" w14:textId="77777777" w:rsidR="008C71B4" w:rsidRPr="00EB118C" w:rsidRDefault="008C71B4" w:rsidP="00CE32DB">
            <w:pPr>
              <w:jc w:val="center"/>
              <w:rPr>
                <w:sz w:val="18"/>
                <w:szCs w:val="18"/>
              </w:rPr>
            </w:pPr>
            <w:r w:rsidRPr="00EB118C">
              <w:rPr>
                <w:sz w:val="18"/>
                <w:szCs w:val="18"/>
              </w:rPr>
              <w:t>Grassland</w:t>
            </w:r>
          </w:p>
        </w:tc>
        <w:tc>
          <w:tcPr>
            <w:tcW w:w="2520" w:type="dxa"/>
            <w:gridSpan w:val="2"/>
            <w:vAlign w:val="center"/>
          </w:tcPr>
          <w:p w14:paraId="3AFB88FC" w14:textId="77777777" w:rsidR="008C71B4" w:rsidRPr="00EB118C" w:rsidRDefault="008C71B4" w:rsidP="00CE32DB">
            <w:pPr>
              <w:jc w:val="center"/>
              <w:rPr>
                <w:sz w:val="18"/>
                <w:szCs w:val="18"/>
              </w:rPr>
            </w:pPr>
            <w:r w:rsidRPr="00EB118C">
              <w:rPr>
                <w:sz w:val="18"/>
                <w:szCs w:val="18"/>
              </w:rPr>
              <w:t>Non-CO</w:t>
            </w:r>
            <w:r w:rsidRPr="00EB118C">
              <w:rPr>
                <w:sz w:val="18"/>
                <w:szCs w:val="18"/>
                <w:vertAlign w:val="subscript"/>
              </w:rPr>
              <w:t>2</w:t>
            </w:r>
            <w:r w:rsidRPr="00EB118C">
              <w:rPr>
                <w:sz w:val="18"/>
                <w:szCs w:val="18"/>
              </w:rPr>
              <w:t>, grassland fires</w:t>
            </w:r>
          </w:p>
        </w:tc>
        <w:tc>
          <w:tcPr>
            <w:tcW w:w="1167" w:type="dxa"/>
            <w:shd w:val="clear" w:color="auto" w:fill="FF7979"/>
            <w:vAlign w:val="center"/>
          </w:tcPr>
          <w:p w14:paraId="5EC2ED42" w14:textId="77777777" w:rsidR="008C71B4" w:rsidRPr="00EB118C" w:rsidRDefault="008C71B4" w:rsidP="00CE32DB">
            <w:pPr>
              <w:jc w:val="center"/>
              <w:rPr>
                <w:sz w:val="18"/>
                <w:szCs w:val="18"/>
              </w:rPr>
            </w:pPr>
          </w:p>
        </w:tc>
        <w:tc>
          <w:tcPr>
            <w:tcW w:w="903" w:type="dxa"/>
            <w:shd w:val="clear" w:color="auto" w:fill="FF7979"/>
            <w:vAlign w:val="center"/>
          </w:tcPr>
          <w:p w14:paraId="7714E247" w14:textId="77777777" w:rsidR="008C71B4" w:rsidRPr="00EB118C" w:rsidRDefault="008C71B4" w:rsidP="00CE32DB">
            <w:pPr>
              <w:jc w:val="center"/>
              <w:rPr>
                <w:sz w:val="18"/>
                <w:szCs w:val="18"/>
              </w:rPr>
            </w:pPr>
          </w:p>
        </w:tc>
        <w:tc>
          <w:tcPr>
            <w:tcW w:w="720" w:type="dxa"/>
            <w:vAlign w:val="center"/>
          </w:tcPr>
          <w:p w14:paraId="7739ADCF" w14:textId="77777777" w:rsidR="008C71B4" w:rsidRPr="00EB118C" w:rsidRDefault="008C71B4" w:rsidP="00CE32DB">
            <w:pPr>
              <w:jc w:val="center"/>
              <w:rPr>
                <w:sz w:val="18"/>
                <w:szCs w:val="18"/>
              </w:rPr>
            </w:pPr>
            <w:r w:rsidRPr="00EB118C">
              <w:rPr>
                <w:sz w:val="18"/>
                <w:szCs w:val="18"/>
              </w:rPr>
              <w:sym w:font="Wingdings" w:char="F0FC"/>
            </w:r>
          </w:p>
        </w:tc>
        <w:tc>
          <w:tcPr>
            <w:tcW w:w="720" w:type="dxa"/>
            <w:vAlign w:val="center"/>
          </w:tcPr>
          <w:p w14:paraId="7ACDCD51" w14:textId="77777777" w:rsidR="008C71B4" w:rsidRPr="00EB118C" w:rsidRDefault="008C71B4" w:rsidP="00CE32DB">
            <w:pPr>
              <w:jc w:val="center"/>
              <w:rPr>
                <w:sz w:val="18"/>
                <w:szCs w:val="18"/>
              </w:rPr>
            </w:pPr>
            <w:r w:rsidRPr="00EB118C">
              <w:rPr>
                <w:sz w:val="18"/>
                <w:szCs w:val="18"/>
              </w:rPr>
              <w:sym w:font="Wingdings" w:char="F0FC"/>
            </w:r>
          </w:p>
        </w:tc>
        <w:tc>
          <w:tcPr>
            <w:tcW w:w="682" w:type="dxa"/>
            <w:shd w:val="clear" w:color="auto" w:fill="FF7979"/>
            <w:vAlign w:val="center"/>
          </w:tcPr>
          <w:p w14:paraId="444A84A7" w14:textId="77777777" w:rsidR="008C71B4" w:rsidRPr="00EB118C" w:rsidRDefault="008C71B4" w:rsidP="00CE32DB">
            <w:pPr>
              <w:jc w:val="center"/>
              <w:rPr>
                <w:sz w:val="18"/>
                <w:szCs w:val="18"/>
              </w:rPr>
            </w:pPr>
          </w:p>
        </w:tc>
        <w:tc>
          <w:tcPr>
            <w:tcW w:w="663" w:type="dxa"/>
            <w:shd w:val="clear" w:color="auto" w:fill="FF7979"/>
            <w:vAlign w:val="center"/>
          </w:tcPr>
          <w:p w14:paraId="79CFC79E" w14:textId="77777777" w:rsidR="008C71B4" w:rsidRPr="00EB118C" w:rsidRDefault="008C71B4" w:rsidP="00CE32DB">
            <w:pPr>
              <w:jc w:val="center"/>
              <w:rPr>
                <w:sz w:val="18"/>
                <w:szCs w:val="18"/>
              </w:rPr>
            </w:pPr>
          </w:p>
        </w:tc>
      </w:tr>
      <w:tr w:rsidR="008C71B4" w:rsidRPr="00EB118C" w14:paraId="0F02D8B3" w14:textId="77777777" w:rsidTr="00EB118C">
        <w:tc>
          <w:tcPr>
            <w:tcW w:w="1978" w:type="dxa"/>
            <w:vAlign w:val="center"/>
          </w:tcPr>
          <w:p w14:paraId="69953BE6" w14:textId="77777777" w:rsidR="008C71B4" w:rsidRPr="00EB118C" w:rsidRDefault="008C71B4" w:rsidP="00CE32DB">
            <w:pPr>
              <w:jc w:val="center"/>
              <w:rPr>
                <w:sz w:val="18"/>
                <w:szCs w:val="18"/>
              </w:rPr>
            </w:pPr>
            <w:r w:rsidRPr="00EB118C">
              <w:rPr>
                <w:sz w:val="18"/>
                <w:szCs w:val="18"/>
              </w:rPr>
              <w:t>Wetlands</w:t>
            </w:r>
          </w:p>
        </w:tc>
        <w:tc>
          <w:tcPr>
            <w:tcW w:w="2520" w:type="dxa"/>
            <w:gridSpan w:val="2"/>
            <w:vAlign w:val="center"/>
          </w:tcPr>
          <w:p w14:paraId="1D27CF02" w14:textId="77777777" w:rsidR="008C71B4" w:rsidRPr="00EB118C" w:rsidRDefault="008C71B4" w:rsidP="00CE32DB">
            <w:pPr>
              <w:jc w:val="center"/>
              <w:rPr>
                <w:sz w:val="18"/>
                <w:szCs w:val="18"/>
              </w:rPr>
            </w:pPr>
            <w:r w:rsidRPr="00EB118C">
              <w:rPr>
                <w:sz w:val="18"/>
                <w:szCs w:val="18"/>
              </w:rPr>
              <w:t>Peatlands</w:t>
            </w:r>
            <w:r w:rsidRPr="00EB118C">
              <w:rPr>
                <w:sz w:val="18"/>
                <w:szCs w:val="18"/>
                <w:vertAlign w:val="superscript"/>
              </w:rPr>
              <w:t>d</w:t>
            </w:r>
          </w:p>
        </w:tc>
        <w:tc>
          <w:tcPr>
            <w:tcW w:w="1167" w:type="dxa"/>
            <w:vAlign w:val="center"/>
          </w:tcPr>
          <w:p w14:paraId="1B3D3B26" w14:textId="77777777" w:rsidR="008C71B4" w:rsidRPr="00EB118C" w:rsidRDefault="008C71B4" w:rsidP="00CE32DB">
            <w:pPr>
              <w:jc w:val="center"/>
              <w:rPr>
                <w:sz w:val="18"/>
                <w:szCs w:val="18"/>
              </w:rPr>
            </w:pPr>
            <w:r w:rsidRPr="00EB118C">
              <w:rPr>
                <w:sz w:val="18"/>
                <w:szCs w:val="18"/>
              </w:rPr>
              <w:sym w:font="Wingdings" w:char="F0FC"/>
            </w:r>
          </w:p>
        </w:tc>
        <w:tc>
          <w:tcPr>
            <w:tcW w:w="903" w:type="dxa"/>
            <w:vAlign w:val="center"/>
          </w:tcPr>
          <w:p w14:paraId="1712D5DB" w14:textId="77777777" w:rsidR="008C71B4" w:rsidRPr="00EB118C" w:rsidRDefault="008C71B4" w:rsidP="00CE32DB">
            <w:pPr>
              <w:jc w:val="center"/>
              <w:rPr>
                <w:sz w:val="18"/>
                <w:szCs w:val="18"/>
              </w:rPr>
            </w:pPr>
            <w:r w:rsidRPr="00EB118C">
              <w:rPr>
                <w:sz w:val="18"/>
                <w:szCs w:val="18"/>
              </w:rPr>
              <w:sym w:font="Wingdings" w:char="F0FC"/>
            </w:r>
          </w:p>
        </w:tc>
        <w:tc>
          <w:tcPr>
            <w:tcW w:w="720" w:type="dxa"/>
            <w:vAlign w:val="center"/>
          </w:tcPr>
          <w:p w14:paraId="48A2FD1D" w14:textId="77777777" w:rsidR="008C71B4" w:rsidRPr="00EB118C" w:rsidRDefault="008C71B4" w:rsidP="00CE32DB">
            <w:pPr>
              <w:jc w:val="center"/>
              <w:rPr>
                <w:sz w:val="18"/>
                <w:szCs w:val="18"/>
              </w:rPr>
            </w:pPr>
            <w:r w:rsidRPr="00EB118C">
              <w:rPr>
                <w:sz w:val="18"/>
                <w:szCs w:val="18"/>
              </w:rPr>
              <w:t>N/A</w:t>
            </w:r>
          </w:p>
        </w:tc>
        <w:tc>
          <w:tcPr>
            <w:tcW w:w="720" w:type="dxa"/>
            <w:vAlign w:val="center"/>
          </w:tcPr>
          <w:p w14:paraId="2FD5111C" w14:textId="77777777" w:rsidR="008C71B4" w:rsidRPr="00EB118C" w:rsidRDefault="008C71B4" w:rsidP="00CE32DB">
            <w:pPr>
              <w:jc w:val="center"/>
              <w:rPr>
                <w:sz w:val="18"/>
                <w:szCs w:val="18"/>
              </w:rPr>
            </w:pPr>
            <w:r w:rsidRPr="00EB118C">
              <w:rPr>
                <w:sz w:val="18"/>
                <w:szCs w:val="18"/>
              </w:rPr>
              <w:t>N/A</w:t>
            </w:r>
          </w:p>
        </w:tc>
        <w:tc>
          <w:tcPr>
            <w:tcW w:w="682" w:type="dxa"/>
            <w:shd w:val="clear" w:color="auto" w:fill="FF7979"/>
            <w:vAlign w:val="center"/>
          </w:tcPr>
          <w:p w14:paraId="1BFE3544" w14:textId="77777777" w:rsidR="008C71B4" w:rsidRPr="00EB118C" w:rsidRDefault="008C71B4" w:rsidP="00CE32DB">
            <w:pPr>
              <w:jc w:val="center"/>
              <w:rPr>
                <w:sz w:val="18"/>
                <w:szCs w:val="18"/>
              </w:rPr>
            </w:pPr>
          </w:p>
        </w:tc>
        <w:tc>
          <w:tcPr>
            <w:tcW w:w="663" w:type="dxa"/>
            <w:shd w:val="clear" w:color="auto" w:fill="FF7979"/>
            <w:vAlign w:val="center"/>
          </w:tcPr>
          <w:p w14:paraId="024E403B" w14:textId="77777777" w:rsidR="008C71B4" w:rsidRPr="00EB118C" w:rsidRDefault="008C71B4" w:rsidP="00CE32DB">
            <w:pPr>
              <w:jc w:val="center"/>
              <w:rPr>
                <w:sz w:val="18"/>
                <w:szCs w:val="18"/>
              </w:rPr>
            </w:pPr>
          </w:p>
        </w:tc>
      </w:tr>
      <w:tr w:rsidR="008C71B4" w:rsidRPr="00EB118C" w14:paraId="3C801777" w14:textId="77777777" w:rsidTr="00EB118C">
        <w:tc>
          <w:tcPr>
            <w:tcW w:w="1978" w:type="dxa"/>
            <w:vAlign w:val="center"/>
          </w:tcPr>
          <w:p w14:paraId="7B400685" w14:textId="77777777" w:rsidR="008C71B4" w:rsidRPr="00EB118C" w:rsidRDefault="008C71B4" w:rsidP="00CE32DB">
            <w:pPr>
              <w:jc w:val="center"/>
              <w:rPr>
                <w:sz w:val="18"/>
                <w:szCs w:val="18"/>
              </w:rPr>
            </w:pPr>
            <w:r w:rsidRPr="00EB118C">
              <w:rPr>
                <w:sz w:val="18"/>
                <w:szCs w:val="18"/>
              </w:rPr>
              <w:t>Wetlands</w:t>
            </w:r>
          </w:p>
        </w:tc>
        <w:tc>
          <w:tcPr>
            <w:tcW w:w="2520" w:type="dxa"/>
            <w:gridSpan w:val="2"/>
            <w:vAlign w:val="center"/>
          </w:tcPr>
          <w:p w14:paraId="624715B3" w14:textId="77777777" w:rsidR="008C71B4" w:rsidRPr="00EB118C" w:rsidRDefault="008C71B4" w:rsidP="00CE32DB">
            <w:pPr>
              <w:jc w:val="center"/>
              <w:rPr>
                <w:sz w:val="18"/>
                <w:szCs w:val="18"/>
              </w:rPr>
            </w:pPr>
            <w:r w:rsidRPr="00EB118C">
              <w:rPr>
                <w:sz w:val="18"/>
                <w:szCs w:val="18"/>
              </w:rPr>
              <w:t>C stock change</w:t>
            </w:r>
          </w:p>
        </w:tc>
        <w:tc>
          <w:tcPr>
            <w:tcW w:w="1167" w:type="dxa"/>
            <w:shd w:val="clear" w:color="auto" w:fill="FF7979"/>
            <w:vAlign w:val="center"/>
          </w:tcPr>
          <w:p w14:paraId="5C1857C1" w14:textId="77777777" w:rsidR="008C71B4" w:rsidRPr="00EB118C" w:rsidRDefault="008C71B4" w:rsidP="00CE32DB">
            <w:pPr>
              <w:jc w:val="center"/>
              <w:rPr>
                <w:sz w:val="18"/>
                <w:szCs w:val="18"/>
              </w:rPr>
            </w:pPr>
          </w:p>
        </w:tc>
        <w:tc>
          <w:tcPr>
            <w:tcW w:w="903" w:type="dxa"/>
            <w:shd w:val="clear" w:color="auto" w:fill="FF7979"/>
            <w:vAlign w:val="center"/>
          </w:tcPr>
          <w:p w14:paraId="2CEB7E40" w14:textId="77777777" w:rsidR="008C71B4" w:rsidRPr="00EB118C" w:rsidRDefault="008C71B4" w:rsidP="00CE32DB">
            <w:pPr>
              <w:jc w:val="center"/>
              <w:rPr>
                <w:sz w:val="18"/>
                <w:szCs w:val="18"/>
              </w:rPr>
            </w:pPr>
          </w:p>
        </w:tc>
        <w:tc>
          <w:tcPr>
            <w:tcW w:w="720" w:type="dxa"/>
            <w:shd w:val="clear" w:color="auto" w:fill="FF7979"/>
            <w:vAlign w:val="center"/>
          </w:tcPr>
          <w:p w14:paraId="61572FBF" w14:textId="77777777" w:rsidR="008C71B4" w:rsidRPr="00EB118C" w:rsidRDefault="008C71B4" w:rsidP="00CE32DB">
            <w:pPr>
              <w:jc w:val="center"/>
              <w:rPr>
                <w:sz w:val="18"/>
                <w:szCs w:val="18"/>
              </w:rPr>
            </w:pPr>
          </w:p>
        </w:tc>
        <w:tc>
          <w:tcPr>
            <w:tcW w:w="720" w:type="dxa"/>
            <w:shd w:val="clear" w:color="auto" w:fill="FF7979"/>
            <w:vAlign w:val="center"/>
          </w:tcPr>
          <w:p w14:paraId="68CF8BB3" w14:textId="77777777" w:rsidR="008C71B4" w:rsidRPr="00EB118C" w:rsidRDefault="008C71B4" w:rsidP="00CE32DB">
            <w:pPr>
              <w:jc w:val="center"/>
              <w:rPr>
                <w:sz w:val="18"/>
                <w:szCs w:val="18"/>
              </w:rPr>
            </w:pPr>
          </w:p>
        </w:tc>
        <w:tc>
          <w:tcPr>
            <w:tcW w:w="682" w:type="dxa"/>
            <w:shd w:val="clear" w:color="auto" w:fill="FF7979"/>
            <w:vAlign w:val="center"/>
          </w:tcPr>
          <w:p w14:paraId="7D2F3FA5" w14:textId="77777777" w:rsidR="008C71B4" w:rsidRPr="00EB118C" w:rsidRDefault="008C71B4" w:rsidP="00CE32DB">
            <w:pPr>
              <w:jc w:val="center"/>
              <w:rPr>
                <w:sz w:val="18"/>
                <w:szCs w:val="18"/>
              </w:rPr>
            </w:pPr>
          </w:p>
        </w:tc>
        <w:tc>
          <w:tcPr>
            <w:tcW w:w="663" w:type="dxa"/>
            <w:shd w:val="clear" w:color="auto" w:fill="FF7979"/>
            <w:vAlign w:val="center"/>
          </w:tcPr>
          <w:p w14:paraId="18A9932E" w14:textId="77777777" w:rsidR="008C71B4" w:rsidRPr="00EB118C" w:rsidRDefault="008C71B4" w:rsidP="00CE32DB">
            <w:pPr>
              <w:jc w:val="center"/>
              <w:rPr>
                <w:sz w:val="18"/>
                <w:szCs w:val="18"/>
              </w:rPr>
            </w:pPr>
          </w:p>
        </w:tc>
      </w:tr>
      <w:tr w:rsidR="008C71B4" w:rsidRPr="00EB118C" w14:paraId="25613926" w14:textId="77777777" w:rsidTr="00EB118C">
        <w:tc>
          <w:tcPr>
            <w:tcW w:w="1978" w:type="dxa"/>
            <w:vAlign w:val="center"/>
          </w:tcPr>
          <w:p w14:paraId="1910FC36" w14:textId="77777777" w:rsidR="008C71B4" w:rsidRPr="00EB118C" w:rsidRDefault="008C71B4" w:rsidP="00CE32DB">
            <w:pPr>
              <w:jc w:val="center"/>
              <w:rPr>
                <w:sz w:val="18"/>
                <w:szCs w:val="18"/>
              </w:rPr>
            </w:pPr>
            <w:r w:rsidRPr="00EB118C">
              <w:rPr>
                <w:sz w:val="18"/>
                <w:szCs w:val="18"/>
              </w:rPr>
              <w:t>Wetlands</w:t>
            </w:r>
          </w:p>
        </w:tc>
        <w:tc>
          <w:tcPr>
            <w:tcW w:w="2520" w:type="dxa"/>
            <w:gridSpan w:val="2"/>
            <w:vAlign w:val="center"/>
          </w:tcPr>
          <w:p w14:paraId="3BA85E23" w14:textId="77777777" w:rsidR="008C71B4" w:rsidRPr="00EB118C" w:rsidRDefault="008C71B4" w:rsidP="00CE32DB">
            <w:pPr>
              <w:jc w:val="center"/>
              <w:rPr>
                <w:sz w:val="18"/>
                <w:szCs w:val="18"/>
              </w:rPr>
            </w:pPr>
            <w:r w:rsidRPr="00EB118C">
              <w:rPr>
                <w:sz w:val="18"/>
                <w:szCs w:val="18"/>
              </w:rPr>
              <w:t>N</w:t>
            </w:r>
            <w:r w:rsidRPr="00EB118C">
              <w:rPr>
                <w:sz w:val="18"/>
                <w:szCs w:val="18"/>
                <w:vertAlign w:val="subscript"/>
              </w:rPr>
              <w:t>2</w:t>
            </w:r>
            <w:r w:rsidRPr="00EB118C">
              <w:rPr>
                <w:sz w:val="18"/>
                <w:szCs w:val="18"/>
              </w:rPr>
              <w:t>O, aquaculture</w:t>
            </w:r>
            <w:r w:rsidRPr="00EB118C">
              <w:rPr>
                <w:sz w:val="18"/>
                <w:szCs w:val="18"/>
                <w:vertAlign w:val="superscript"/>
              </w:rPr>
              <w:t>e</w:t>
            </w:r>
          </w:p>
        </w:tc>
        <w:tc>
          <w:tcPr>
            <w:tcW w:w="1167" w:type="dxa"/>
            <w:vAlign w:val="center"/>
          </w:tcPr>
          <w:p w14:paraId="4530393C" w14:textId="77777777" w:rsidR="008C71B4" w:rsidRPr="00EB118C" w:rsidRDefault="008C71B4" w:rsidP="00CE32DB">
            <w:pPr>
              <w:jc w:val="center"/>
              <w:rPr>
                <w:sz w:val="18"/>
                <w:szCs w:val="18"/>
              </w:rPr>
            </w:pPr>
            <w:r w:rsidRPr="00EB118C">
              <w:rPr>
                <w:sz w:val="18"/>
                <w:szCs w:val="18"/>
              </w:rPr>
              <w:sym w:font="Wingdings" w:char="F0FC"/>
            </w:r>
          </w:p>
        </w:tc>
        <w:tc>
          <w:tcPr>
            <w:tcW w:w="903" w:type="dxa"/>
            <w:vAlign w:val="center"/>
          </w:tcPr>
          <w:p w14:paraId="66108870" w14:textId="77777777" w:rsidR="008C71B4" w:rsidRPr="00EB118C" w:rsidRDefault="008C71B4" w:rsidP="00CE32DB">
            <w:pPr>
              <w:jc w:val="center"/>
              <w:rPr>
                <w:sz w:val="18"/>
                <w:szCs w:val="18"/>
              </w:rPr>
            </w:pPr>
            <w:r w:rsidRPr="00EB118C">
              <w:rPr>
                <w:sz w:val="18"/>
                <w:szCs w:val="18"/>
              </w:rPr>
              <w:sym w:font="Wingdings" w:char="F0FC"/>
            </w:r>
          </w:p>
        </w:tc>
        <w:tc>
          <w:tcPr>
            <w:tcW w:w="720" w:type="dxa"/>
            <w:vAlign w:val="center"/>
          </w:tcPr>
          <w:p w14:paraId="234F2222" w14:textId="77777777" w:rsidR="008C71B4" w:rsidRPr="00EB118C" w:rsidRDefault="008C71B4" w:rsidP="00CE32DB">
            <w:pPr>
              <w:jc w:val="center"/>
              <w:rPr>
                <w:sz w:val="18"/>
                <w:szCs w:val="18"/>
              </w:rPr>
            </w:pPr>
            <w:r w:rsidRPr="00EB118C">
              <w:rPr>
                <w:sz w:val="18"/>
                <w:szCs w:val="18"/>
              </w:rPr>
              <w:sym w:font="Wingdings" w:char="F0FC"/>
            </w:r>
          </w:p>
        </w:tc>
        <w:tc>
          <w:tcPr>
            <w:tcW w:w="720" w:type="dxa"/>
            <w:vAlign w:val="center"/>
          </w:tcPr>
          <w:p w14:paraId="2DDD25FB" w14:textId="77777777" w:rsidR="008C71B4" w:rsidRPr="00EB118C" w:rsidRDefault="008C71B4" w:rsidP="00CE32DB">
            <w:pPr>
              <w:jc w:val="center"/>
              <w:rPr>
                <w:sz w:val="18"/>
                <w:szCs w:val="18"/>
              </w:rPr>
            </w:pPr>
            <w:r w:rsidRPr="00EB118C">
              <w:rPr>
                <w:sz w:val="18"/>
                <w:szCs w:val="18"/>
              </w:rPr>
              <w:sym w:font="Wingdings" w:char="F0FC"/>
            </w:r>
          </w:p>
        </w:tc>
        <w:tc>
          <w:tcPr>
            <w:tcW w:w="682" w:type="dxa"/>
            <w:shd w:val="clear" w:color="auto" w:fill="FF7979"/>
            <w:vAlign w:val="center"/>
          </w:tcPr>
          <w:p w14:paraId="1806C76E" w14:textId="77777777" w:rsidR="008C71B4" w:rsidRPr="00EB118C" w:rsidRDefault="008C71B4" w:rsidP="00CE32DB">
            <w:pPr>
              <w:jc w:val="center"/>
              <w:rPr>
                <w:sz w:val="18"/>
                <w:szCs w:val="18"/>
              </w:rPr>
            </w:pPr>
          </w:p>
        </w:tc>
        <w:tc>
          <w:tcPr>
            <w:tcW w:w="663" w:type="dxa"/>
            <w:shd w:val="clear" w:color="auto" w:fill="FF7979"/>
            <w:vAlign w:val="center"/>
          </w:tcPr>
          <w:p w14:paraId="571D981B" w14:textId="77777777" w:rsidR="008C71B4" w:rsidRPr="00EB118C" w:rsidRDefault="008C71B4" w:rsidP="00CE32DB">
            <w:pPr>
              <w:jc w:val="center"/>
              <w:rPr>
                <w:sz w:val="18"/>
                <w:szCs w:val="18"/>
              </w:rPr>
            </w:pPr>
          </w:p>
        </w:tc>
      </w:tr>
      <w:tr w:rsidR="008C71B4" w:rsidRPr="00EB118C" w14:paraId="78E08134" w14:textId="77777777" w:rsidTr="00EB118C">
        <w:tc>
          <w:tcPr>
            <w:tcW w:w="1978" w:type="dxa"/>
            <w:vAlign w:val="center"/>
          </w:tcPr>
          <w:p w14:paraId="1DDA2B84" w14:textId="77777777" w:rsidR="008C71B4" w:rsidRPr="00EB118C" w:rsidRDefault="008C71B4" w:rsidP="00CE32DB">
            <w:pPr>
              <w:jc w:val="center"/>
              <w:rPr>
                <w:sz w:val="18"/>
                <w:szCs w:val="18"/>
              </w:rPr>
            </w:pPr>
            <w:r w:rsidRPr="00EB118C">
              <w:rPr>
                <w:sz w:val="18"/>
                <w:szCs w:val="18"/>
              </w:rPr>
              <w:t>Settlements</w:t>
            </w:r>
          </w:p>
        </w:tc>
        <w:tc>
          <w:tcPr>
            <w:tcW w:w="2520" w:type="dxa"/>
            <w:gridSpan w:val="2"/>
            <w:vAlign w:val="center"/>
          </w:tcPr>
          <w:p w14:paraId="55C43015" w14:textId="77777777" w:rsidR="008C71B4" w:rsidRPr="00EB118C" w:rsidRDefault="008C71B4" w:rsidP="00CE32DB">
            <w:pPr>
              <w:jc w:val="center"/>
              <w:rPr>
                <w:sz w:val="18"/>
                <w:szCs w:val="18"/>
              </w:rPr>
            </w:pPr>
            <w:r w:rsidRPr="00EB118C">
              <w:rPr>
                <w:sz w:val="18"/>
                <w:szCs w:val="18"/>
              </w:rPr>
              <w:t>Drained organic soils, C</w:t>
            </w:r>
          </w:p>
        </w:tc>
        <w:tc>
          <w:tcPr>
            <w:tcW w:w="1167" w:type="dxa"/>
            <w:shd w:val="clear" w:color="auto" w:fill="FF7979"/>
            <w:vAlign w:val="center"/>
          </w:tcPr>
          <w:p w14:paraId="62757A41" w14:textId="77777777" w:rsidR="008C71B4" w:rsidRPr="00EB118C" w:rsidRDefault="008C71B4" w:rsidP="00CE32DB">
            <w:pPr>
              <w:jc w:val="center"/>
              <w:rPr>
                <w:sz w:val="18"/>
                <w:szCs w:val="18"/>
              </w:rPr>
            </w:pPr>
          </w:p>
        </w:tc>
        <w:tc>
          <w:tcPr>
            <w:tcW w:w="903" w:type="dxa"/>
            <w:shd w:val="clear" w:color="auto" w:fill="FF7979"/>
            <w:vAlign w:val="center"/>
          </w:tcPr>
          <w:p w14:paraId="4FE00DA4" w14:textId="77777777" w:rsidR="008C71B4" w:rsidRPr="00EB118C" w:rsidRDefault="008C71B4" w:rsidP="00CE32DB">
            <w:pPr>
              <w:jc w:val="center"/>
              <w:rPr>
                <w:sz w:val="18"/>
                <w:szCs w:val="18"/>
              </w:rPr>
            </w:pPr>
          </w:p>
        </w:tc>
        <w:tc>
          <w:tcPr>
            <w:tcW w:w="720" w:type="dxa"/>
            <w:vAlign w:val="center"/>
          </w:tcPr>
          <w:p w14:paraId="61783A59" w14:textId="77777777" w:rsidR="008C71B4" w:rsidRPr="00EB118C" w:rsidRDefault="008C71B4" w:rsidP="00CE32DB">
            <w:pPr>
              <w:jc w:val="center"/>
              <w:rPr>
                <w:sz w:val="18"/>
                <w:szCs w:val="18"/>
              </w:rPr>
            </w:pPr>
            <w:r w:rsidRPr="00EB118C">
              <w:rPr>
                <w:sz w:val="18"/>
                <w:szCs w:val="18"/>
              </w:rPr>
              <w:sym w:font="Wingdings" w:char="F0FC"/>
            </w:r>
          </w:p>
        </w:tc>
        <w:tc>
          <w:tcPr>
            <w:tcW w:w="720" w:type="dxa"/>
            <w:vAlign w:val="center"/>
          </w:tcPr>
          <w:p w14:paraId="5C634624" w14:textId="77777777" w:rsidR="008C71B4" w:rsidRPr="00EB118C" w:rsidRDefault="008C71B4" w:rsidP="00CE32DB">
            <w:pPr>
              <w:jc w:val="center"/>
              <w:rPr>
                <w:sz w:val="18"/>
                <w:szCs w:val="18"/>
              </w:rPr>
            </w:pPr>
            <w:r w:rsidRPr="00EB118C">
              <w:rPr>
                <w:sz w:val="18"/>
                <w:szCs w:val="18"/>
              </w:rPr>
              <w:sym w:font="Wingdings" w:char="F0FC"/>
            </w:r>
          </w:p>
        </w:tc>
        <w:tc>
          <w:tcPr>
            <w:tcW w:w="682" w:type="dxa"/>
            <w:shd w:val="clear" w:color="auto" w:fill="FF7979"/>
            <w:vAlign w:val="center"/>
          </w:tcPr>
          <w:p w14:paraId="6786BCCD" w14:textId="77777777" w:rsidR="008C71B4" w:rsidRPr="00EB118C" w:rsidRDefault="008C71B4" w:rsidP="00CE32DB">
            <w:pPr>
              <w:jc w:val="center"/>
              <w:rPr>
                <w:sz w:val="18"/>
                <w:szCs w:val="18"/>
              </w:rPr>
            </w:pPr>
          </w:p>
        </w:tc>
        <w:tc>
          <w:tcPr>
            <w:tcW w:w="663" w:type="dxa"/>
            <w:shd w:val="clear" w:color="auto" w:fill="FF7979"/>
            <w:vAlign w:val="center"/>
          </w:tcPr>
          <w:p w14:paraId="3705E9A0" w14:textId="77777777" w:rsidR="008C71B4" w:rsidRPr="00EB118C" w:rsidRDefault="008C71B4" w:rsidP="00CE32DB">
            <w:pPr>
              <w:jc w:val="center"/>
              <w:rPr>
                <w:sz w:val="18"/>
                <w:szCs w:val="18"/>
              </w:rPr>
            </w:pPr>
          </w:p>
        </w:tc>
      </w:tr>
      <w:tr w:rsidR="008C71B4" w:rsidRPr="00EB118C" w14:paraId="5FA76F63" w14:textId="77777777" w:rsidTr="00EB118C">
        <w:tc>
          <w:tcPr>
            <w:tcW w:w="1978" w:type="dxa"/>
            <w:vAlign w:val="center"/>
          </w:tcPr>
          <w:p w14:paraId="57C99F2D" w14:textId="77777777" w:rsidR="008C71B4" w:rsidRPr="00EB118C" w:rsidRDefault="008C71B4" w:rsidP="00CE32DB">
            <w:pPr>
              <w:jc w:val="center"/>
              <w:rPr>
                <w:sz w:val="18"/>
                <w:szCs w:val="18"/>
              </w:rPr>
            </w:pPr>
            <w:r w:rsidRPr="00EB118C">
              <w:rPr>
                <w:sz w:val="18"/>
                <w:szCs w:val="18"/>
              </w:rPr>
              <w:t>Settlements</w:t>
            </w:r>
          </w:p>
        </w:tc>
        <w:tc>
          <w:tcPr>
            <w:tcW w:w="2520" w:type="dxa"/>
            <w:gridSpan w:val="2"/>
            <w:vAlign w:val="center"/>
          </w:tcPr>
          <w:p w14:paraId="6CEC61C7" w14:textId="77777777" w:rsidR="008C71B4" w:rsidRPr="00EB118C" w:rsidRDefault="008C71B4" w:rsidP="00CE32DB">
            <w:pPr>
              <w:jc w:val="center"/>
              <w:rPr>
                <w:sz w:val="18"/>
                <w:szCs w:val="18"/>
              </w:rPr>
            </w:pPr>
            <w:r w:rsidRPr="00EB118C">
              <w:rPr>
                <w:sz w:val="18"/>
                <w:szCs w:val="18"/>
              </w:rPr>
              <w:t>Urban trees</w:t>
            </w:r>
          </w:p>
        </w:tc>
        <w:tc>
          <w:tcPr>
            <w:tcW w:w="1167" w:type="dxa"/>
            <w:vAlign w:val="center"/>
          </w:tcPr>
          <w:p w14:paraId="437006BB" w14:textId="77777777" w:rsidR="008C71B4" w:rsidRPr="00EB118C" w:rsidRDefault="008C71B4" w:rsidP="00CE32DB">
            <w:pPr>
              <w:jc w:val="center"/>
              <w:rPr>
                <w:sz w:val="18"/>
                <w:szCs w:val="18"/>
              </w:rPr>
            </w:pPr>
            <w:r w:rsidRPr="00EB118C">
              <w:rPr>
                <w:sz w:val="18"/>
                <w:szCs w:val="18"/>
              </w:rPr>
              <w:sym w:font="Wingdings" w:char="F0FC"/>
            </w:r>
          </w:p>
        </w:tc>
        <w:tc>
          <w:tcPr>
            <w:tcW w:w="903" w:type="dxa"/>
            <w:vAlign w:val="center"/>
          </w:tcPr>
          <w:p w14:paraId="3BBEFC17" w14:textId="77777777" w:rsidR="008C71B4" w:rsidRPr="00EB118C" w:rsidRDefault="008C71B4" w:rsidP="00CE32DB">
            <w:pPr>
              <w:jc w:val="center"/>
              <w:rPr>
                <w:sz w:val="18"/>
                <w:szCs w:val="18"/>
              </w:rPr>
            </w:pPr>
            <w:r w:rsidRPr="00EB118C">
              <w:rPr>
                <w:sz w:val="18"/>
                <w:szCs w:val="18"/>
              </w:rPr>
              <w:sym w:font="Wingdings" w:char="F0FC"/>
            </w:r>
          </w:p>
        </w:tc>
        <w:tc>
          <w:tcPr>
            <w:tcW w:w="720" w:type="dxa"/>
            <w:vAlign w:val="center"/>
          </w:tcPr>
          <w:p w14:paraId="28D9D520" w14:textId="77777777" w:rsidR="008C71B4" w:rsidRPr="00EB118C" w:rsidRDefault="008C71B4" w:rsidP="00CE32DB">
            <w:pPr>
              <w:jc w:val="center"/>
              <w:rPr>
                <w:sz w:val="18"/>
                <w:szCs w:val="18"/>
              </w:rPr>
            </w:pPr>
            <w:r w:rsidRPr="00EB118C">
              <w:rPr>
                <w:sz w:val="18"/>
                <w:szCs w:val="18"/>
              </w:rPr>
              <w:sym w:font="Wingdings" w:char="F0FC"/>
            </w:r>
          </w:p>
        </w:tc>
        <w:tc>
          <w:tcPr>
            <w:tcW w:w="720" w:type="dxa"/>
            <w:vAlign w:val="center"/>
          </w:tcPr>
          <w:p w14:paraId="47D1ED23" w14:textId="77777777" w:rsidR="008C71B4" w:rsidRPr="00EB118C" w:rsidRDefault="008C71B4" w:rsidP="00CE32DB">
            <w:pPr>
              <w:jc w:val="center"/>
              <w:rPr>
                <w:sz w:val="18"/>
                <w:szCs w:val="18"/>
              </w:rPr>
            </w:pPr>
            <w:r w:rsidRPr="00EB118C">
              <w:rPr>
                <w:sz w:val="18"/>
                <w:szCs w:val="18"/>
              </w:rPr>
              <w:sym w:font="Wingdings" w:char="F0FC"/>
            </w:r>
          </w:p>
        </w:tc>
        <w:tc>
          <w:tcPr>
            <w:tcW w:w="682" w:type="dxa"/>
            <w:shd w:val="clear" w:color="auto" w:fill="FF7979"/>
            <w:vAlign w:val="center"/>
          </w:tcPr>
          <w:p w14:paraId="5B83409D" w14:textId="77777777" w:rsidR="008C71B4" w:rsidRPr="00EB118C" w:rsidRDefault="008C71B4" w:rsidP="00CE32DB">
            <w:pPr>
              <w:jc w:val="center"/>
              <w:rPr>
                <w:sz w:val="18"/>
                <w:szCs w:val="18"/>
              </w:rPr>
            </w:pPr>
          </w:p>
        </w:tc>
        <w:tc>
          <w:tcPr>
            <w:tcW w:w="663" w:type="dxa"/>
            <w:shd w:val="clear" w:color="auto" w:fill="FF7979"/>
            <w:vAlign w:val="center"/>
          </w:tcPr>
          <w:p w14:paraId="5552AC43" w14:textId="77777777" w:rsidR="008C71B4" w:rsidRPr="00EB118C" w:rsidRDefault="008C71B4" w:rsidP="00CE32DB">
            <w:pPr>
              <w:jc w:val="center"/>
              <w:rPr>
                <w:sz w:val="18"/>
                <w:szCs w:val="18"/>
              </w:rPr>
            </w:pPr>
          </w:p>
        </w:tc>
      </w:tr>
      <w:tr w:rsidR="008C71B4" w:rsidRPr="00EB118C" w14:paraId="2A3CEDE5" w14:textId="77777777" w:rsidTr="00EB118C">
        <w:tc>
          <w:tcPr>
            <w:tcW w:w="1978" w:type="dxa"/>
            <w:vAlign w:val="center"/>
          </w:tcPr>
          <w:p w14:paraId="35691C21" w14:textId="77777777" w:rsidR="008C71B4" w:rsidRPr="00EB118C" w:rsidRDefault="008C71B4" w:rsidP="00CE32DB">
            <w:pPr>
              <w:jc w:val="center"/>
              <w:rPr>
                <w:sz w:val="18"/>
                <w:szCs w:val="18"/>
              </w:rPr>
            </w:pPr>
            <w:r w:rsidRPr="00EB118C">
              <w:rPr>
                <w:sz w:val="18"/>
                <w:szCs w:val="18"/>
              </w:rPr>
              <w:t>Settlements</w:t>
            </w:r>
          </w:p>
        </w:tc>
        <w:tc>
          <w:tcPr>
            <w:tcW w:w="2520" w:type="dxa"/>
            <w:gridSpan w:val="2"/>
            <w:vAlign w:val="center"/>
          </w:tcPr>
          <w:p w14:paraId="1C68FECC" w14:textId="77777777" w:rsidR="008C71B4" w:rsidRPr="00EB118C" w:rsidRDefault="008C71B4" w:rsidP="00CE32DB">
            <w:pPr>
              <w:jc w:val="center"/>
              <w:rPr>
                <w:sz w:val="18"/>
                <w:szCs w:val="18"/>
              </w:rPr>
            </w:pPr>
            <w:r w:rsidRPr="00EB118C">
              <w:rPr>
                <w:sz w:val="18"/>
                <w:szCs w:val="18"/>
              </w:rPr>
              <w:t>N</w:t>
            </w:r>
            <w:r w:rsidRPr="00EB118C">
              <w:rPr>
                <w:sz w:val="18"/>
                <w:szCs w:val="18"/>
                <w:vertAlign w:val="subscript"/>
              </w:rPr>
              <w:t>2</w:t>
            </w:r>
            <w:r w:rsidRPr="00EB118C">
              <w:rPr>
                <w:sz w:val="18"/>
                <w:szCs w:val="18"/>
              </w:rPr>
              <w:t>O, drained organic soils</w:t>
            </w:r>
          </w:p>
        </w:tc>
        <w:tc>
          <w:tcPr>
            <w:tcW w:w="1167" w:type="dxa"/>
            <w:shd w:val="clear" w:color="auto" w:fill="FF7979"/>
            <w:vAlign w:val="center"/>
          </w:tcPr>
          <w:p w14:paraId="0303A5AA" w14:textId="77777777" w:rsidR="008C71B4" w:rsidRPr="00EB118C" w:rsidRDefault="008C71B4" w:rsidP="00CE32DB">
            <w:pPr>
              <w:jc w:val="center"/>
              <w:rPr>
                <w:sz w:val="18"/>
                <w:szCs w:val="18"/>
              </w:rPr>
            </w:pPr>
          </w:p>
        </w:tc>
        <w:tc>
          <w:tcPr>
            <w:tcW w:w="903" w:type="dxa"/>
            <w:shd w:val="clear" w:color="auto" w:fill="FF7979"/>
            <w:vAlign w:val="center"/>
          </w:tcPr>
          <w:p w14:paraId="3DF71E29" w14:textId="77777777" w:rsidR="008C71B4" w:rsidRPr="00EB118C" w:rsidRDefault="008C71B4" w:rsidP="00CE32DB">
            <w:pPr>
              <w:jc w:val="center"/>
              <w:rPr>
                <w:sz w:val="18"/>
                <w:szCs w:val="18"/>
              </w:rPr>
            </w:pPr>
          </w:p>
        </w:tc>
        <w:tc>
          <w:tcPr>
            <w:tcW w:w="720" w:type="dxa"/>
            <w:vAlign w:val="center"/>
          </w:tcPr>
          <w:p w14:paraId="4C4CD59A" w14:textId="77777777" w:rsidR="008C71B4" w:rsidRPr="00EB118C" w:rsidRDefault="008C71B4" w:rsidP="00CE32DB">
            <w:pPr>
              <w:jc w:val="center"/>
              <w:rPr>
                <w:sz w:val="18"/>
                <w:szCs w:val="18"/>
              </w:rPr>
            </w:pPr>
            <w:r w:rsidRPr="00EB118C">
              <w:rPr>
                <w:sz w:val="18"/>
                <w:szCs w:val="18"/>
              </w:rPr>
              <w:sym w:font="Wingdings" w:char="F0FC"/>
            </w:r>
          </w:p>
        </w:tc>
        <w:tc>
          <w:tcPr>
            <w:tcW w:w="720" w:type="dxa"/>
            <w:vAlign w:val="center"/>
          </w:tcPr>
          <w:p w14:paraId="3AAB4319" w14:textId="77777777" w:rsidR="008C71B4" w:rsidRPr="00EB118C" w:rsidRDefault="008C71B4" w:rsidP="00CE32DB">
            <w:pPr>
              <w:jc w:val="center"/>
              <w:rPr>
                <w:sz w:val="18"/>
                <w:szCs w:val="18"/>
              </w:rPr>
            </w:pPr>
            <w:r w:rsidRPr="00EB118C">
              <w:rPr>
                <w:sz w:val="18"/>
                <w:szCs w:val="18"/>
              </w:rPr>
              <w:sym w:font="Wingdings" w:char="F0FC"/>
            </w:r>
          </w:p>
        </w:tc>
        <w:tc>
          <w:tcPr>
            <w:tcW w:w="682" w:type="dxa"/>
            <w:shd w:val="clear" w:color="auto" w:fill="FF7979"/>
            <w:vAlign w:val="center"/>
          </w:tcPr>
          <w:p w14:paraId="5739DADD" w14:textId="77777777" w:rsidR="008C71B4" w:rsidRPr="00EB118C" w:rsidRDefault="008C71B4" w:rsidP="00CE32DB">
            <w:pPr>
              <w:jc w:val="center"/>
              <w:rPr>
                <w:sz w:val="18"/>
                <w:szCs w:val="18"/>
              </w:rPr>
            </w:pPr>
          </w:p>
        </w:tc>
        <w:tc>
          <w:tcPr>
            <w:tcW w:w="663" w:type="dxa"/>
            <w:shd w:val="clear" w:color="auto" w:fill="FF7979"/>
            <w:vAlign w:val="center"/>
          </w:tcPr>
          <w:p w14:paraId="618E46BF" w14:textId="77777777" w:rsidR="008C71B4" w:rsidRPr="00EB118C" w:rsidRDefault="008C71B4" w:rsidP="00CE32DB">
            <w:pPr>
              <w:jc w:val="center"/>
              <w:rPr>
                <w:sz w:val="18"/>
                <w:szCs w:val="18"/>
              </w:rPr>
            </w:pPr>
          </w:p>
        </w:tc>
      </w:tr>
      <w:tr w:rsidR="008C71B4" w:rsidRPr="00EB118C" w14:paraId="721D8585" w14:textId="77777777" w:rsidTr="00EB118C">
        <w:tc>
          <w:tcPr>
            <w:tcW w:w="1978" w:type="dxa"/>
            <w:vAlign w:val="center"/>
          </w:tcPr>
          <w:p w14:paraId="7E7F423B" w14:textId="77777777" w:rsidR="008C71B4" w:rsidRPr="00EB118C" w:rsidRDefault="008C71B4" w:rsidP="00CE32DB">
            <w:pPr>
              <w:jc w:val="center"/>
              <w:rPr>
                <w:sz w:val="18"/>
                <w:szCs w:val="18"/>
              </w:rPr>
            </w:pPr>
            <w:r w:rsidRPr="00EB118C">
              <w:rPr>
                <w:sz w:val="18"/>
                <w:szCs w:val="18"/>
              </w:rPr>
              <w:t>Settlements</w:t>
            </w:r>
          </w:p>
        </w:tc>
        <w:tc>
          <w:tcPr>
            <w:tcW w:w="2520" w:type="dxa"/>
            <w:gridSpan w:val="2"/>
            <w:vAlign w:val="center"/>
          </w:tcPr>
          <w:p w14:paraId="731CBBAE" w14:textId="77777777" w:rsidR="008C71B4" w:rsidRPr="00EB118C" w:rsidRDefault="008C71B4" w:rsidP="00CE32DB">
            <w:pPr>
              <w:jc w:val="center"/>
              <w:rPr>
                <w:sz w:val="18"/>
                <w:szCs w:val="18"/>
              </w:rPr>
            </w:pPr>
            <w:r w:rsidRPr="00EB118C">
              <w:rPr>
                <w:sz w:val="18"/>
                <w:szCs w:val="18"/>
              </w:rPr>
              <w:t>Yard trmgs, food scraps</w:t>
            </w:r>
            <w:r w:rsidRPr="00EB118C">
              <w:rPr>
                <w:sz w:val="18"/>
                <w:szCs w:val="18"/>
                <w:vertAlign w:val="superscript"/>
              </w:rPr>
              <w:t>e</w:t>
            </w:r>
          </w:p>
        </w:tc>
        <w:tc>
          <w:tcPr>
            <w:tcW w:w="1167" w:type="dxa"/>
            <w:vAlign w:val="center"/>
          </w:tcPr>
          <w:p w14:paraId="3058F1EE" w14:textId="77777777" w:rsidR="008C71B4" w:rsidRPr="00EB118C" w:rsidRDefault="008C71B4" w:rsidP="00CE32DB">
            <w:pPr>
              <w:jc w:val="center"/>
              <w:rPr>
                <w:sz w:val="18"/>
                <w:szCs w:val="18"/>
              </w:rPr>
            </w:pPr>
            <w:r w:rsidRPr="00EB118C">
              <w:rPr>
                <w:sz w:val="18"/>
                <w:szCs w:val="18"/>
              </w:rPr>
              <w:sym w:font="Wingdings" w:char="F0FC"/>
            </w:r>
          </w:p>
        </w:tc>
        <w:tc>
          <w:tcPr>
            <w:tcW w:w="903" w:type="dxa"/>
            <w:vAlign w:val="center"/>
          </w:tcPr>
          <w:p w14:paraId="5F460AB4" w14:textId="77777777" w:rsidR="008C71B4" w:rsidRPr="00EB118C" w:rsidRDefault="008C71B4" w:rsidP="00CE32DB">
            <w:pPr>
              <w:jc w:val="center"/>
              <w:rPr>
                <w:sz w:val="18"/>
                <w:szCs w:val="18"/>
              </w:rPr>
            </w:pPr>
            <w:r w:rsidRPr="00EB118C">
              <w:rPr>
                <w:sz w:val="18"/>
                <w:szCs w:val="18"/>
              </w:rPr>
              <w:sym w:font="Wingdings" w:char="F0FC"/>
            </w:r>
          </w:p>
        </w:tc>
        <w:tc>
          <w:tcPr>
            <w:tcW w:w="720" w:type="dxa"/>
            <w:vAlign w:val="center"/>
          </w:tcPr>
          <w:p w14:paraId="1D159407" w14:textId="77777777" w:rsidR="008C71B4" w:rsidRPr="00EB118C" w:rsidRDefault="008C71B4" w:rsidP="00CE32DB">
            <w:pPr>
              <w:jc w:val="center"/>
              <w:rPr>
                <w:sz w:val="18"/>
                <w:szCs w:val="18"/>
              </w:rPr>
            </w:pPr>
            <w:r w:rsidRPr="00EB118C">
              <w:rPr>
                <w:sz w:val="18"/>
                <w:szCs w:val="18"/>
              </w:rPr>
              <w:sym w:font="Wingdings" w:char="F0FC"/>
            </w:r>
          </w:p>
        </w:tc>
        <w:tc>
          <w:tcPr>
            <w:tcW w:w="720" w:type="dxa"/>
            <w:vAlign w:val="center"/>
          </w:tcPr>
          <w:p w14:paraId="5FDC94F3" w14:textId="77777777" w:rsidR="008C71B4" w:rsidRPr="00EB118C" w:rsidRDefault="008C71B4" w:rsidP="00CE32DB">
            <w:pPr>
              <w:jc w:val="center"/>
              <w:rPr>
                <w:sz w:val="18"/>
                <w:szCs w:val="18"/>
              </w:rPr>
            </w:pPr>
            <w:r w:rsidRPr="00EB118C">
              <w:rPr>
                <w:sz w:val="18"/>
                <w:szCs w:val="18"/>
              </w:rPr>
              <w:sym w:font="Wingdings" w:char="F0FC"/>
            </w:r>
          </w:p>
        </w:tc>
        <w:tc>
          <w:tcPr>
            <w:tcW w:w="682" w:type="dxa"/>
            <w:shd w:val="clear" w:color="auto" w:fill="FF7979"/>
            <w:vAlign w:val="center"/>
          </w:tcPr>
          <w:p w14:paraId="2C4B2843" w14:textId="77777777" w:rsidR="008C71B4" w:rsidRPr="00EB118C" w:rsidRDefault="008C71B4" w:rsidP="00CE32DB">
            <w:pPr>
              <w:jc w:val="center"/>
              <w:rPr>
                <w:sz w:val="18"/>
                <w:szCs w:val="18"/>
              </w:rPr>
            </w:pPr>
          </w:p>
        </w:tc>
        <w:tc>
          <w:tcPr>
            <w:tcW w:w="663" w:type="dxa"/>
            <w:shd w:val="clear" w:color="auto" w:fill="FF7979"/>
            <w:vAlign w:val="center"/>
          </w:tcPr>
          <w:p w14:paraId="5A546117" w14:textId="77777777" w:rsidR="008C71B4" w:rsidRPr="00EB118C" w:rsidRDefault="008C71B4" w:rsidP="00CE32DB">
            <w:pPr>
              <w:jc w:val="center"/>
              <w:rPr>
                <w:sz w:val="18"/>
                <w:szCs w:val="18"/>
              </w:rPr>
            </w:pPr>
          </w:p>
        </w:tc>
      </w:tr>
    </w:tbl>
    <w:p w14:paraId="71983B2C" w14:textId="602D9D8E" w:rsidR="008C71B4" w:rsidRDefault="008C71B4" w:rsidP="008C71B4">
      <w:pPr>
        <w:rPr>
          <w:i/>
          <w:sz w:val="18"/>
          <w:szCs w:val="18"/>
        </w:rPr>
      </w:pPr>
      <w:r w:rsidRPr="00EB118C">
        <w:rPr>
          <w:i/>
          <w:sz w:val="18"/>
          <w:szCs w:val="18"/>
        </w:rPr>
        <w:t>NGHGI Categories listed here include both, for example, cropland remaining cropland</w:t>
      </w:r>
      <w:r w:rsidR="00EB118C">
        <w:rPr>
          <w:i/>
          <w:sz w:val="18"/>
          <w:szCs w:val="18"/>
        </w:rPr>
        <w:t xml:space="preserve"> and land converted to cropland </w:t>
      </w:r>
      <w:r w:rsidRPr="00EB118C">
        <w:rPr>
          <w:i/>
          <w:sz w:val="18"/>
          <w:szCs w:val="18"/>
        </w:rPr>
        <w:t xml:space="preserve">calculations. (a) Includes manure, residues, biosolids, sludge, and other organic fertilizers; (b) Forest carbon stock change does not include estimates of land converted to forest in Alaska for either 2018 or </w:t>
      </w:r>
      <w:r w:rsidR="007516B1">
        <w:rPr>
          <w:i/>
          <w:sz w:val="18"/>
          <w:szCs w:val="18"/>
        </w:rPr>
        <w:t>2020</w:t>
      </w:r>
      <w:r w:rsidRPr="00EB118C">
        <w:rPr>
          <w:i/>
          <w:sz w:val="18"/>
          <w:szCs w:val="18"/>
        </w:rPr>
        <w:t xml:space="preserve">; (c) NGHGI </w:t>
      </w:r>
      <w:r w:rsidR="007516B1">
        <w:rPr>
          <w:i/>
          <w:sz w:val="18"/>
          <w:szCs w:val="18"/>
        </w:rPr>
        <w:t>2020</w:t>
      </w:r>
      <w:r w:rsidR="007516B1" w:rsidRPr="00EB118C">
        <w:rPr>
          <w:i/>
          <w:sz w:val="18"/>
          <w:szCs w:val="18"/>
        </w:rPr>
        <w:t xml:space="preserve"> </w:t>
      </w:r>
      <w:r w:rsidRPr="00EB118C">
        <w:rPr>
          <w:i/>
          <w:sz w:val="18"/>
          <w:szCs w:val="18"/>
        </w:rPr>
        <w:t xml:space="preserve">includes forested areas with known N application, southeastern CONUS and western Oregon and Washington; only 8 states have known artificially regenerated forest on organic soil based on all NFI annual plots, a proxy for drained organic soil, and this is not found in Alaska or Hawaii; (d) Alaska data is included although the data source has been unreliable and must be updated; (e) </w:t>
      </w:r>
      <w:r w:rsidR="00EB118C">
        <w:rPr>
          <w:i/>
          <w:sz w:val="18"/>
          <w:szCs w:val="18"/>
        </w:rPr>
        <w:t>I</w:t>
      </w:r>
      <w:r w:rsidRPr="00EB118C">
        <w:rPr>
          <w:i/>
          <w:sz w:val="18"/>
          <w:szCs w:val="18"/>
        </w:rPr>
        <w:t>t is not clear whether Hawaii and Alaska are included in these categories although it appears that they would be due to data included in USDA Census of Aquaculture (2013) and Advancing Sustainable Materials Management: Facts and Figures 2015 (EPA 2018).</w:t>
      </w:r>
    </w:p>
    <w:p w14:paraId="34E17FC3" w14:textId="77777777" w:rsidR="00EB118C" w:rsidRDefault="00EB118C" w:rsidP="008C71B4">
      <w:pPr>
        <w:rPr>
          <w:i/>
          <w:sz w:val="18"/>
          <w:szCs w:val="18"/>
        </w:rPr>
      </w:pPr>
    </w:p>
    <w:p w14:paraId="49EF256B" w14:textId="77777777" w:rsidR="00EB118C" w:rsidRDefault="00EB118C" w:rsidP="008C71B4">
      <w:pPr>
        <w:rPr>
          <w:i/>
          <w:sz w:val="18"/>
          <w:szCs w:val="18"/>
        </w:rPr>
      </w:pPr>
    </w:p>
    <w:p w14:paraId="767B61F2" w14:textId="77777777" w:rsidR="00EB118C" w:rsidRDefault="00EB118C" w:rsidP="008C71B4">
      <w:pPr>
        <w:rPr>
          <w:i/>
          <w:sz w:val="18"/>
          <w:szCs w:val="18"/>
        </w:rPr>
      </w:pPr>
    </w:p>
    <w:p w14:paraId="76696637" w14:textId="77777777" w:rsidR="00EB118C" w:rsidRDefault="00EB118C" w:rsidP="008C71B4">
      <w:pPr>
        <w:rPr>
          <w:i/>
          <w:sz w:val="18"/>
          <w:szCs w:val="18"/>
        </w:rPr>
      </w:pPr>
    </w:p>
    <w:p w14:paraId="44833C00" w14:textId="77777777" w:rsidR="00EB118C" w:rsidRPr="00EB118C" w:rsidRDefault="00EB118C" w:rsidP="008C71B4">
      <w:pPr>
        <w:rPr>
          <w:i/>
          <w:sz w:val="18"/>
          <w:szCs w:val="18"/>
        </w:rPr>
      </w:pPr>
    </w:p>
    <w:p w14:paraId="7822EA90" w14:textId="3374874E" w:rsidR="008C71B4" w:rsidRPr="00EB118C" w:rsidRDefault="00EB118C" w:rsidP="00EB118C">
      <w:pPr>
        <w:rPr>
          <w:b/>
          <w:i/>
          <w:iCs/>
          <w:color w:val="44546A" w:themeColor="text2"/>
        </w:rPr>
      </w:pPr>
      <w:r w:rsidRPr="00EB118C">
        <w:rPr>
          <w:b/>
          <w:i/>
          <w:iCs/>
          <w:color w:val="44546A" w:themeColor="text2"/>
        </w:rPr>
        <w:t xml:space="preserve">Table </w:t>
      </w:r>
      <w:r w:rsidR="007D6D6E">
        <w:rPr>
          <w:b/>
          <w:i/>
          <w:iCs/>
          <w:color w:val="44546A" w:themeColor="text2"/>
        </w:rPr>
        <w:t>2</w:t>
      </w:r>
      <w:r w:rsidR="005F6840">
        <w:rPr>
          <w:b/>
          <w:i/>
          <w:iCs/>
          <w:color w:val="44546A" w:themeColor="text2"/>
        </w:rPr>
        <w:t>-4</w:t>
      </w:r>
      <w:r w:rsidR="007516B1">
        <w:rPr>
          <w:b/>
          <w:i/>
          <w:iCs/>
          <w:color w:val="44546A" w:themeColor="text2"/>
        </w:rPr>
        <w:t>1</w:t>
      </w:r>
      <w:r w:rsidR="001E048A">
        <w:rPr>
          <w:b/>
          <w:i/>
          <w:iCs/>
          <w:color w:val="44546A" w:themeColor="text2"/>
        </w:rPr>
        <w:t>:</w:t>
      </w:r>
      <w:r w:rsidRPr="00EB118C">
        <w:rPr>
          <w:b/>
          <w:i/>
          <w:iCs/>
          <w:color w:val="44546A" w:themeColor="text2"/>
        </w:rPr>
        <w:t xml:space="preserve"> Alaska, Hawaii, U.S. Territories </w:t>
      </w:r>
      <w:r w:rsidR="007516B1">
        <w:rPr>
          <w:b/>
          <w:i/>
          <w:iCs/>
          <w:color w:val="44546A" w:themeColor="text2"/>
        </w:rPr>
        <w:t xml:space="preserve">area </w:t>
      </w:r>
      <w:r w:rsidRPr="00EB118C">
        <w:rPr>
          <w:b/>
          <w:i/>
          <w:iCs/>
          <w:color w:val="44546A" w:themeColor="text2"/>
        </w:rPr>
        <w:t>by land use type, managed land only</w:t>
      </w:r>
      <w:r w:rsidR="007516B1">
        <w:rPr>
          <w:b/>
          <w:i/>
          <w:iCs/>
          <w:color w:val="44546A" w:themeColor="text2"/>
        </w:rPr>
        <w:t xml:space="preserve"> (hectares)</w:t>
      </w:r>
    </w:p>
    <w:tbl>
      <w:tblPr>
        <w:tblStyle w:val="TableGrid"/>
        <w:tblW w:w="0" w:type="auto"/>
        <w:tblLook w:val="04A0" w:firstRow="1" w:lastRow="0" w:firstColumn="1" w:lastColumn="0" w:noHBand="0" w:noVBand="1"/>
      </w:tblPr>
      <w:tblGrid>
        <w:gridCol w:w="2337"/>
        <w:gridCol w:w="2337"/>
        <w:gridCol w:w="2338"/>
        <w:gridCol w:w="2338"/>
      </w:tblGrid>
      <w:tr w:rsidR="008C71B4" w:rsidRPr="00EB118C" w14:paraId="514C97A5" w14:textId="77777777" w:rsidTr="00EB118C">
        <w:tc>
          <w:tcPr>
            <w:tcW w:w="2337" w:type="dxa"/>
            <w:shd w:val="clear" w:color="auto" w:fill="FFC000" w:themeFill="accent4"/>
          </w:tcPr>
          <w:p w14:paraId="6E8D7F96" w14:textId="77777777" w:rsidR="008C71B4" w:rsidRPr="00EB118C" w:rsidRDefault="008C71B4" w:rsidP="00CE32DB">
            <w:pPr>
              <w:rPr>
                <w:sz w:val="18"/>
                <w:szCs w:val="18"/>
              </w:rPr>
            </w:pPr>
          </w:p>
        </w:tc>
        <w:tc>
          <w:tcPr>
            <w:tcW w:w="2337" w:type="dxa"/>
            <w:shd w:val="clear" w:color="auto" w:fill="FFC000" w:themeFill="accent4"/>
          </w:tcPr>
          <w:p w14:paraId="45647F46" w14:textId="77777777" w:rsidR="008C71B4" w:rsidRPr="00EB118C" w:rsidRDefault="008C71B4" w:rsidP="003B4036">
            <w:pPr>
              <w:jc w:val="center"/>
              <w:rPr>
                <w:b/>
                <w:sz w:val="18"/>
                <w:szCs w:val="18"/>
              </w:rPr>
            </w:pPr>
            <w:r w:rsidRPr="00EB118C">
              <w:rPr>
                <w:b/>
                <w:sz w:val="18"/>
                <w:szCs w:val="18"/>
              </w:rPr>
              <w:t>Alaska</w:t>
            </w:r>
          </w:p>
        </w:tc>
        <w:tc>
          <w:tcPr>
            <w:tcW w:w="2338" w:type="dxa"/>
            <w:shd w:val="clear" w:color="auto" w:fill="FFC000" w:themeFill="accent4"/>
          </w:tcPr>
          <w:p w14:paraId="3B737BEB" w14:textId="77777777" w:rsidR="008C71B4" w:rsidRPr="00EB118C" w:rsidRDefault="008C71B4" w:rsidP="003B4036">
            <w:pPr>
              <w:jc w:val="center"/>
              <w:rPr>
                <w:b/>
                <w:sz w:val="18"/>
                <w:szCs w:val="18"/>
              </w:rPr>
            </w:pPr>
            <w:r w:rsidRPr="00EB118C">
              <w:rPr>
                <w:b/>
                <w:sz w:val="18"/>
                <w:szCs w:val="18"/>
              </w:rPr>
              <w:t>Hawaii</w:t>
            </w:r>
            <w:r w:rsidRPr="00EB118C">
              <w:rPr>
                <w:sz w:val="18"/>
                <w:szCs w:val="18"/>
                <w:vertAlign w:val="superscript"/>
              </w:rPr>
              <w:t>d</w:t>
            </w:r>
          </w:p>
        </w:tc>
        <w:tc>
          <w:tcPr>
            <w:tcW w:w="2338" w:type="dxa"/>
            <w:shd w:val="clear" w:color="auto" w:fill="FFC000" w:themeFill="accent4"/>
          </w:tcPr>
          <w:p w14:paraId="5865B7E4" w14:textId="77777777" w:rsidR="008C71B4" w:rsidRPr="00EB118C" w:rsidRDefault="008C71B4" w:rsidP="003B4036">
            <w:pPr>
              <w:jc w:val="center"/>
              <w:rPr>
                <w:b/>
                <w:sz w:val="18"/>
                <w:szCs w:val="18"/>
              </w:rPr>
            </w:pPr>
            <w:r w:rsidRPr="00EB118C">
              <w:rPr>
                <w:b/>
                <w:sz w:val="18"/>
                <w:szCs w:val="18"/>
              </w:rPr>
              <w:t>Territories</w:t>
            </w:r>
            <w:r w:rsidRPr="00EB118C">
              <w:rPr>
                <w:sz w:val="18"/>
                <w:szCs w:val="18"/>
                <w:vertAlign w:val="superscript"/>
              </w:rPr>
              <w:t>e</w:t>
            </w:r>
          </w:p>
        </w:tc>
      </w:tr>
      <w:tr w:rsidR="008C71B4" w:rsidRPr="00EB118C" w14:paraId="036FD4AD" w14:textId="77777777" w:rsidTr="00EB118C">
        <w:tc>
          <w:tcPr>
            <w:tcW w:w="2337" w:type="dxa"/>
          </w:tcPr>
          <w:p w14:paraId="02626B6A" w14:textId="77777777" w:rsidR="008C71B4" w:rsidRPr="00EB118C" w:rsidRDefault="008C71B4" w:rsidP="00CE32DB">
            <w:pPr>
              <w:rPr>
                <w:sz w:val="18"/>
                <w:szCs w:val="18"/>
              </w:rPr>
            </w:pPr>
            <w:r w:rsidRPr="00EB118C">
              <w:rPr>
                <w:sz w:val="18"/>
                <w:szCs w:val="18"/>
              </w:rPr>
              <w:t>Forests</w:t>
            </w:r>
          </w:p>
        </w:tc>
        <w:tc>
          <w:tcPr>
            <w:tcW w:w="2337" w:type="dxa"/>
            <w:vAlign w:val="center"/>
          </w:tcPr>
          <w:p w14:paraId="14BF6627" w14:textId="77777777" w:rsidR="008C71B4" w:rsidRPr="00EB118C" w:rsidRDefault="008C71B4" w:rsidP="00EB118C">
            <w:pPr>
              <w:jc w:val="center"/>
              <w:rPr>
                <w:sz w:val="18"/>
                <w:szCs w:val="18"/>
              </w:rPr>
            </w:pPr>
            <w:r w:rsidRPr="00EB118C">
              <w:rPr>
                <w:sz w:val="18"/>
                <w:szCs w:val="18"/>
              </w:rPr>
              <w:t>30,700,000</w:t>
            </w:r>
            <w:r w:rsidRPr="00EB118C">
              <w:rPr>
                <w:sz w:val="18"/>
                <w:szCs w:val="18"/>
                <w:vertAlign w:val="superscript"/>
              </w:rPr>
              <w:t>a</w:t>
            </w:r>
          </w:p>
        </w:tc>
        <w:tc>
          <w:tcPr>
            <w:tcW w:w="2338" w:type="dxa"/>
            <w:vAlign w:val="center"/>
          </w:tcPr>
          <w:p w14:paraId="0DBE92D5" w14:textId="77777777" w:rsidR="008C71B4" w:rsidRPr="00EB118C" w:rsidRDefault="008C71B4" w:rsidP="00EB118C">
            <w:pPr>
              <w:jc w:val="center"/>
              <w:rPr>
                <w:sz w:val="18"/>
                <w:szCs w:val="18"/>
              </w:rPr>
            </w:pPr>
            <w:r w:rsidRPr="00EB118C">
              <w:rPr>
                <w:sz w:val="18"/>
                <w:szCs w:val="18"/>
              </w:rPr>
              <w:t>797,106</w:t>
            </w:r>
          </w:p>
        </w:tc>
        <w:tc>
          <w:tcPr>
            <w:tcW w:w="2338" w:type="dxa"/>
            <w:vAlign w:val="center"/>
          </w:tcPr>
          <w:p w14:paraId="6313A362" w14:textId="77777777" w:rsidR="008C71B4" w:rsidRPr="00EB118C" w:rsidRDefault="008C71B4" w:rsidP="00EB118C">
            <w:pPr>
              <w:jc w:val="center"/>
              <w:rPr>
                <w:sz w:val="18"/>
                <w:szCs w:val="18"/>
              </w:rPr>
            </w:pPr>
            <w:r w:rsidRPr="00EB118C">
              <w:rPr>
                <w:sz w:val="18"/>
                <w:szCs w:val="18"/>
              </w:rPr>
              <w:t>482,962</w:t>
            </w:r>
          </w:p>
        </w:tc>
      </w:tr>
      <w:tr w:rsidR="008C71B4" w:rsidRPr="00EB118C" w14:paraId="6513143F" w14:textId="77777777" w:rsidTr="00EB118C">
        <w:trPr>
          <w:trHeight w:val="62"/>
        </w:trPr>
        <w:tc>
          <w:tcPr>
            <w:tcW w:w="2337" w:type="dxa"/>
          </w:tcPr>
          <w:p w14:paraId="743E9DCD" w14:textId="77777777" w:rsidR="008C71B4" w:rsidRPr="00EB118C" w:rsidRDefault="008C71B4" w:rsidP="00CE32DB">
            <w:pPr>
              <w:rPr>
                <w:sz w:val="18"/>
                <w:szCs w:val="18"/>
              </w:rPr>
            </w:pPr>
            <w:r w:rsidRPr="00EB118C">
              <w:rPr>
                <w:sz w:val="18"/>
                <w:szCs w:val="18"/>
              </w:rPr>
              <w:t>Cropland</w:t>
            </w:r>
          </w:p>
        </w:tc>
        <w:tc>
          <w:tcPr>
            <w:tcW w:w="2337" w:type="dxa"/>
            <w:vAlign w:val="center"/>
          </w:tcPr>
          <w:p w14:paraId="2138C114" w14:textId="77777777" w:rsidR="008C71B4" w:rsidRPr="00EB118C" w:rsidRDefault="008C71B4" w:rsidP="00EB118C">
            <w:pPr>
              <w:jc w:val="center"/>
              <w:rPr>
                <w:sz w:val="18"/>
                <w:szCs w:val="18"/>
              </w:rPr>
            </w:pPr>
            <w:r w:rsidRPr="00EB118C">
              <w:rPr>
                <w:sz w:val="18"/>
                <w:szCs w:val="18"/>
              </w:rPr>
              <w:t>28,700</w:t>
            </w:r>
            <w:r w:rsidRPr="00EB118C">
              <w:rPr>
                <w:sz w:val="18"/>
                <w:szCs w:val="18"/>
                <w:vertAlign w:val="superscript"/>
              </w:rPr>
              <w:t>b</w:t>
            </w:r>
          </w:p>
        </w:tc>
        <w:tc>
          <w:tcPr>
            <w:tcW w:w="2338" w:type="dxa"/>
            <w:vAlign w:val="center"/>
          </w:tcPr>
          <w:p w14:paraId="1953DCA2" w14:textId="77777777" w:rsidR="008C71B4" w:rsidRPr="00EB118C" w:rsidRDefault="008C71B4" w:rsidP="00EB118C">
            <w:pPr>
              <w:jc w:val="center"/>
              <w:rPr>
                <w:sz w:val="18"/>
                <w:szCs w:val="18"/>
              </w:rPr>
            </w:pPr>
            <w:r w:rsidRPr="00EB118C">
              <w:rPr>
                <w:sz w:val="18"/>
                <w:szCs w:val="18"/>
              </w:rPr>
              <w:t>95,117</w:t>
            </w:r>
          </w:p>
        </w:tc>
        <w:tc>
          <w:tcPr>
            <w:tcW w:w="2338" w:type="dxa"/>
            <w:vAlign w:val="center"/>
          </w:tcPr>
          <w:p w14:paraId="4143E774" w14:textId="77777777" w:rsidR="008C71B4" w:rsidRPr="00EB118C" w:rsidRDefault="008C71B4" w:rsidP="00EB118C">
            <w:pPr>
              <w:jc w:val="center"/>
              <w:rPr>
                <w:sz w:val="18"/>
                <w:szCs w:val="18"/>
              </w:rPr>
            </w:pPr>
            <w:r w:rsidRPr="00EB118C">
              <w:rPr>
                <w:sz w:val="18"/>
                <w:szCs w:val="18"/>
              </w:rPr>
              <w:t>20,764</w:t>
            </w:r>
          </w:p>
        </w:tc>
      </w:tr>
      <w:tr w:rsidR="008C71B4" w:rsidRPr="00EB118C" w14:paraId="067408D8" w14:textId="77777777" w:rsidTr="00EB118C">
        <w:tc>
          <w:tcPr>
            <w:tcW w:w="2337" w:type="dxa"/>
          </w:tcPr>
          <w:p w14:paraId="27FC9D30" w14:textId="77777777" w:rsidR="008C71B4" w:rsidRPr="00EB118C" w:rsidRDefault="008C71B4" w:rsidP="00CE32DB">
            <w:pPr>
              <w:rPr>
                <w:sz w:val="18"/>
                <w:szCs w:val="18"/>
              </w:rPr>
            </w:pPr>
            <w:r w:rsidRPr="00EB118C">
              <w:rPr>
                <w:sz w:val="18"/>
                <w:szCs w:val="18"/>
              </w:rPr>
              <w:t>Grassland</w:t>
            </w:r>
          </w:p>
        </w:tc>
        <w:tc>
          <w:tcPr>
            <w:tcW w:w="2337" w:type="dxa"/>
            <w:vAlign w:val="center"/>
          </w:tcPr>
          <w:p w14:paraId="21270E49" w14:textId="77777777" w:rsidR="008C71B4" w:rsidRPr="00EB118C" w:rsidRDefault="008C71B4" w:rsidP="00EB118C">
            <w:pPr>
              <w:jc w:val="center"/>
              <w:rPr>
                <w:sz w:val="18"/>
                <w:szCs w:val="18"/>
              </w:rPr>
            </w:pPr>
            <w:r w:rsidRPr="00EB118C">
              <w:rPr>
                <w:sz w:val="18"/>
                <w:szCs w:val="18"/>
              </w:rPr>
              <w:t>50,000,000</w:t>
            </w:r>
            <w:r w:rsidRPr="00EB118C">
              <w:rPr>
                <w:sz w:val="18"/>
                <w:szCs w:val="18"/>
                <w:vertAlign w:val="superscript"/>
              </w:rPr>
              <w:t>c</w:t>
            </w:r>
          </w:p>
        </w:tc>
        <w:tc>
          <w:tcPr>
            <w:tcW w:w="2338" w:type="dxa"/>
            <w:vAlign w:val="center"/>
          </w:tcPr>
          <w:p w14:paraId="725BC3CF" w14:textId="77777777" w:rsidR="008C71B4" w:rsidRPr="00EB118C" w:rsidRDefault="008C71B4" w:rsidP="00EB118C">
            <w:pPr>
              <w:jc w:val="center"/>
              <w:rPr>
                <w:sz w:val="18"/>
                <w:szCs w:val="18"/>
              </w:rPr>
            </w:pPr>
            <w:r w:rsidRPr="00EB118C">
              <w:rPr>
                <w:sz w:val="18"/>
                <w:szCs w:val="18"/>
              </w:rPr>
              <w:t>1,279,565</w:t>
            </w:r>
          </w:p>
        </w:tc>
        <w:tc>
          <w:tcPr>
            <w:tcW w:w="2338" w:type="dxa"/>
            <w:vAlign w:val="center"/>
          </w:tcPr>
          <w:p w14:paraId="4573CC5E" w14:textId="77777777" w:rsidR="008C71B4" w:rsidRPr="00EB118C" w:rsidRDefault="008C71B4" w:rsidP="00EB118C">
            <w:pPr>
              <w:jc w:val="center"/>
              <w:rPr>
                <w:sz w:val="18"/>
                <w:szCs w:val="18"/>
              </w:rPr>
            </w:pPr>
            <w:r w:rsidRPr="00EB118C">
              <w:rPr>
                <w:sz w:val="18"/>
                <w:szCs w:val="18"/>
              </w:rPr>
              <w:t>342,777</w:t>
            </w:r>
          </w:p>
        </w:tc>
      </w:tr>
      <w:tr w:rsidR="008C71B4" w:rsidRPr="00EB118C" w14:paraId="11C7E029" w14:textId="77777777" w:rsidTr="00EB118C">
        <w:tc>
          <w:tcPr>
            <w:tcW w:w="2337" w:type="dxa"/>
          </w:tcPr>
          <w:p w14:paraId="2C840004" w14:textId="77777777" w:rsidR="008C71B4" w:rsidRPr="00EB118C" w:rsidRDefault="008C71B4" w:rsidP="00CE32DB">
            <w:pPr>
              <w:rPr>
                <w:sz w:val="18"/>
                <w:szCs w:val="18"/>
              </w:rPr>
            </w:pPr>
            <w:r w:rsidRPr="00EB118C">
              <w:rPr>
                <w:sz w:val="18"/>
                <w:szCs w:val="18"/>
              </w:rPr>
              <w:t>Wetlands</w:t>
            </w:r>
          </w:p>
        </w:tc>
        <w:tc>
          <w:tcPr>
            <w:tcW w:w="2337" w:type="dxa"/>
            <w:vAlign w:val="center"/>
          </w:tcPr>
          <w:p w14:paraId="5F01601C" w14:textId="77777777" w:rsidR="008C71B4" w:rsidRPr="00EB118C" w:rsidRDefault="008C71B4" w:rsidP="00EB118C">
            <w:pPr>
              <w:jc w:val="center"/>
              <w:rPr>
                <w:sz w:val="18"/>
                <w:szCs w:val="18"/>
              </w:rPr>
            </w:pPr>
            <w:r w:rsidRPr="00EB118C">
              <w:rPr>
                <w:sz w:val="18"/>
                <w:szCs w:val="18"/>
              </w:rPr>
              <w:t>12,927,525</w:t>
            </w:r>
            <w:r w:rsidRPr="00EB118C">
              <w:rPr>
                <w:sz w:val="18"/>
                <w:szCs w:val="18"/>
                <w:vertAlign w:val="superscript"/>
              </w:rPr>
              <w:t>d</w:t>
            </w:r>
          </w:p>
        </w:tc>
        <w:tc>
          <w:tcPr>
            <w:tcW w:w="2338" w:type="dxa"/>
            <w:vAlign w:val="center"/>
          </w:tcPr>
          <w:p w14:paraId="52D0F706" w14:textId="77777777" w:rsidR="008C71B4" w:rsidRPr="00EB118C" w:rsidRDefault="008C71B4" w:rsidP="00EB118C">
            <w:pPr>
              <w:jc w:val="center"/>
              <w:rPr>
                <w:sz w:val="18"/>
                <w:szCs w:val="18"/>
              </w:rPr>
            </w:pPr>
            <w:r w:rsidRPr="00EB118C">
              <w:rPr>
                <w:sz w:val="18"/>
                <w:szCs w:val="18"/>
              </w:rPr>
              <w:t>9,765</w:t>
            </w:r>
          </w:p>
        </w:tc>
        <w:tc>
          <w:tcPr>
            <w:tcW w:w="2338" w:type="dxa"/>
            <w:vAlign w:val="center"/>
          </w:tcPr>
          <w:p w14:paraId="35A18DC0" w14:textId="77777777" w:rsidR="008C71B4" w:rsidRPr="00EB118C" w:rsidRDefault="008C71B4" w:rsidP="00EB118C">
            <w:pPr>
              <w:jc w:val="center"/>
              <w:rPr>
                <w:sz w:val="18"/>
                <w:szCs w:val="18"/>
              </w:rPr>
            </w:pPr>
            <w:r w:rsidRPr="00EB118C">
              <w:rPr>
                <w:sz w:val="18"/>
                <w:szCs w:val="18"/>
              </w:rPr>
              <w:t>31,252</w:t>
            </w:r>
          </w:p>
        </w:tc>
      </w:tr>
      <w:tr w:rsidR="008C71B4" w:rsidRPr="00EB118C" w14:paraId="3468C259" w14:textId="77777777" w:rsidTr="00EB118C">
        <w:tc>
          <w:tcPr>
            <w:tcW w:w="2337" w:type="dxa"/>
          </w:tcPr>
          <w:p w14:paraId="3BEF3D77" w14:textId="77777777" w:rsidR="008C71B4" w:rsidRPr="00EB118C" w:rsidRDefault="008C71B4" w:rsidP="00CE32DB">
            <w:pPr>
              <w:rPr>
                <w:sz w:val="18"/>
                <w:szCs w:val="18"/>
              </w:rPr>
            </w:pPr>
            <w:r w:rsidRPr="00EB118C">
              <w:rPr>
                <w:sz w:val="18"/>
                <w:szCs w:val="18"/>
              </w:rPr>
              <w:t>Settlement</w:t>
            </w:r>
          </w:p>
        </w:tc>
        <w:tc>
          <w:tcPr>
            <w:tcW w:w="2337" w:type="dxa"/>
            <w:vAlign w:val="center"/>
          </w:tcPr>
          <w:p w14:paraId="6415DD63" w14:textId="77777777" w:rsidR="008C71B4" w:rsidRPr="00EB118C" w:rsidRDefault="008C71B4" w:rsidP="00EB118C">
            <w:pPr>
              <w:jc w:val="center"/>
              <w:rPr>
                <w:sz w:val="18"/>
                <w:szCs w:val="18"/>
              </w:rPr>
            </w:pPr>
            <w:r w:rsidRPr="00EB118C">
              <w:rPr>
                <w:sz w:val="18"/>
                <w:szCs w:val="18"/>
              </w:rPr>
              <w:t>180,105</w:t>
            </w:r>
            <w:r w:rsidRPr="00EB118C">
              <w:rPr>
                <w:sz w:val="18"/>
                <w:szCs w:val="18"/>
                <w:vertAlign w:val="superscript"/>
              </w:rPr>
              <w:t>d</w:t>
            </w:r>
          </w:p>
        </w:tc>
        <w:tc>
          <w:tcPr>
            <w:tcW w:w="2338" w:type="dxa"/>
            <w:vAlign w:val="center"/>
          </w:tcPr>
          <w:p w14:paraId="35DB1308" w14:textId="77777777" w:rsidR="008C71B4" w:rsidRPr="00EB118C" w:rsidRDefault="008C71B4" w:rsidP="00EB118C">
            <w:pPr>
              <w:jc w:val="center"/>
              <w:rPr>
                <w:sz w:val="18"/>
                <w:szCs w:val="18"/>
              </w:rPr>
            </w:pPr>
            <w:r w:rsidRPr="00EB118C">
              <w:rPr>
                <w:sz w:val="18"/>
                <w:szCs w:val="18"/>
              </w:rPr>
              <w:t>243,399</w:t>
            </w:r>
          </w:p>
        </w:tc>
        <w:tc>
          <w:tcPr>
            <w:tcW w:w="2338" w:type="dxa"/>
            <w:vAlign w:val="center"/>
          </w:tcPr>
          <w:p w14:paraId="3075DB3F" w14:textId="77777777" w:rsidR="008C71B4" w:rsidRPr="00EB118C" w:rsidRDefault="008C71B4" w:rsidP="00EB118C">
            <w:pPr>
              <w:jc w:val="center"/>
              <w:rPr>
                <w:sz w:val="18"/>
                <w:szCs w:val="18"/>
              </w:rPr>
            </w:pPr>
            <w:r w:rsidRPr="00EB118C">
              <w:rPr>
                <w:sz w:val="18"/>
                <w:szCs w:val="18"/>
              </w:rPr>
              <w:t>154,496</w:t>
            </w:r>
          </w:p>
        </w:tc>
      </w:tr>
      <w:tr w:rsidR="008C71B4" w:rsidRPr="00EB118C" w14:paraId="5C1C9377" w14:textId="77777777" w:rsidTr="00EB118C">
        <w:tc>
          <w:tcPr>
            <w:tcW w:w="2337" w:type="dxa"/>
          </w:tcPr>
          <w:p w14:paraId="31F4AE98" w14:textId="77777777" w:rsidR="008C71B4" w:rsidRPr="00EB118C" w:rsidRDefault="008C71B4" w:rsidP="00CE32DB">
            <w:pPr>
              <w:rPr>
                <w:sz w:val="18"/>
                <w:szCs w:val="18"/>
              </w:rPr>
            </w:pPr>
            <w:r w:rsidRPr="00EB118C">
              <w:rPr>
                <w:sz w:val="18"/>
                <w:szCs w:val="18"/>
              </w:rPr>
              <w:t>Other</w:t>
            </w:r>
          </w:p>
        </w:tc>
        <w:tc>
          <w:tcPr>
            <w:tcW w:w="2337" w:type="dxa"/>
            <w:vAlign w:val="center"/>
          </w:tcPr>
          <w:p w14:paraId="12DAC407" w14:textId="77777777" w:rsidR="008C71B4" w:rsidRPr="00EB118C" w:rsidRDefault="008C71B4" w:rsidP="00EB118C">
            <w:pPr>
              <w:jc w:val="center"/>
              <w:rPr>
                <w:sz w:val="18"/>
                <w:szCs w:val="18"/>
              </w:rPr>
            </w:pPr>
            <w:r w:rsidRPr="00EB118C">
              <w:rPr>
                <w:sz w:val="18"/>
                <w:szCs w:val="18"/>
              </w:rPr>
              <w:t>23,853,885</w:t>
            </w:r>
            <w:r w:rsidRPr="00EB118C">
              <w:rPr>
                <w:sz w:val="18"/>
                <w:szCs w:val="18"/>
                <w:vertAlign w:val="superscript"/>
              </w:rPr>
              <w:t>d</w:t>
            </w:r>
          </w:p>
        </w:tc>
        <w:tc>
          <w:tcPr>
            <w:tcW w:w="2338" w:type="dxa"/>
            <w:vAlign w:val="center"/>
          </w:tcPr>
          <w:p w14:paraId="6D9F0CF8" w14:textId="77777777" w:rsidR="008C71B4" w:rsidRPr="00EB118C" w:rsidRDefault="008C71B4" w:rsidP="00EB118C">
            <w:pPr>
              <w:jc w:val="center"/>
              <w:rPr>
                <w:sz w:val="18"/>
                <w:szCs w:val="18"/>
              </w:rPr>
            </w:pPr>
            <w:r w:rsidRPr="00EB118C">
              <w:rPr>
                <w:sz w:val="18"/>
                <w:szCs w:val="18"/>
              </w:rPr>
              <w:t>406,147</w:t>
            </w:r>
          </w:p>
        </w:tc>
        <w:tc>
          <w:tcPr>
            <w:tcW w:w="2338" w:type="dxa"/>
            <w:vAlign w:val="center"/>
          </w:tcPr>
          <w:p w14:paraId="09C16A6D" w14:textId="77777777" w:rsidR="008C71B4" w:rsidRPr="00EB118C" w:rsidRDefault="008C71B4" w:rsidP="00EB118C">
            <w:pPr>
              <w:jc w:val="center"/>
              <w:rPr>
                <w:sz w:val="18"/>
                <w:szCs w:val="18"/>
              </w:rPr>
            </w:pPr>
            <w:r w:rsidRPr="00EB118C">
              <w:rPr>
                <w:sz w:val="18"/>
                <w:szCs w:val="18"/>
              </w:rPr>
              <w:t>13,133</w:t>
            </w:r>
          </w:p>
        </w:tc>
      </w:tr>
      <w:tr w:rsidR="008C71B4" w:rsidRPr="00EB118C" w14:paraId="2091EF1E" w14:textId="77777777" w:rsidTr="00EB118C">
        <w:tc>
          <w:tcPr>
            <w:tcW w:w="2337" w:type="dxa"/>
          </w:tcPr>
          <w:p w14:paraId="4F521B17" w14:textId="77777777" w:rsidR="008C71B4" w:rsidRPr="00EB118C" w:rsidRDefault="008C71B4" w:rsidP="00CE32DB">
            <w:pPr>
              <w:rPr>
                <w:sz w:val="18"/>
                <w:szCs w:val="18"/>
              </w:rPr>
            </w:pPr>
            <w:r w:rsidRPr="00EB118C">
              <w:rPr>
                <w:sz w:val="18"/>
                <w:szCs w:val="18"/>
              </w:rPr>
              <w:t>Total</w:t>
            </w:r>
          </w:p>
        </w:tc>
        <w:tc>
          <w:tcPr>
            <w:tcW w:w="2337" w:type="dxa"/>
            <w:vAlign w:val="center"/>
          </w:tcPr>
          <w:p w14:paraId="1BE6198C" w14:textId="77777777" w:rsidR="008C71B4" w:rsidRPr="00EB118C" w:rsidRDefault="008C71B4" w:rsidP="00EB118C">
            <w:pPr>
              <w:jc w:val="center"/>
              <w:rPr>
                <w:sz w:val="18"/>
                <w:szCs w:val="18"/>
              </w:rPr>
            </w:pPr>
            <w:r w:rsidRPr="00EB118C">
              <w:rPr>
                <w:sz w:val="18"/>
                <w:szCs w:val="18"/>
              </w:rPr>
              <w:t>171,800,000</w:t>
            </w:r>
          </w:p>
        </w:tc>
        <w:tc>
          <w:tcPr>
            <w:tcW w:w="2338" w:type="dxa"/>
            <w:vAlign w:val="center"/>
          </w:tcPr>
          <w:p w14:paraId="656EE1AE" w14:textId="77777777" w:rsidR="008C71B4" w:rsidRPr="00EB118C" w:rsidRDefault="008C71B4" w:rsidP="00EB118C">
            <w:pPr>
              <w:jc w:val="center"/>
              <w:rPr>
                <w:sz w:val="18"/>
                <w:szCs w:val="18"/>
              </w:rPr>
            </w:pPr>
            <w:r w:rsidRPr="00EB118C">
              <w:rPr>
                <w:sz w:val="18"/>
                <w:szCs w:val="18"/>
              </w:rPr>
              <w:t>2,831,100</w:t>
            </w:r>
          </w:p>
        </w:tc>
        <w:tc>
          <w:tcPr>
            <w:tcW w:w="2338" w:type="dxa"/>
            <w:vAlign w:val="center"/>
          </w:tcPr>
          <w:p w14:paraId="69D4B789" w14:textId="77777777" w:rsidR="008C71B4" w:rsidRPr="00EB118C" w:rsidRDefault="008C71B4" w:rsidP="00EB118C">
            <w:pPr>
              <w:jc w:val="center"/>
              <w:rPr>
                <w:sz w:val="18"/>
                <w:szCs w:val="18"/>
              </w:rPr>
            </w:pPr>
            <w:r w:rsidRPr="00EB118C">
              <w:rPr>
                <w:sz w:val="18"/>
                <w:szCs w:val="18"/>
              </w:rPr>
              <w:t>1,045,385</w:t>
            </w:r>
          </w:p>
        </w:tc>
      </w:tr>
    </w:tbl>
    <w:p w14:paraId="198F1E67" w14:textId="515F3CCE" w:rsidR="008C71B4" w:rsidRPr="00EB118C" w:rsidRDefault="008C71B4" w:rsidP="00EB118C">
      <w:pPr>
        <w:rPr>
          <w:i/>
          <w:sz w:val="18"/>
          <w:szCs w:val="18"/>
        </w:rPr>
      </w:pPr>
      <w:r w:rsidRPr="00EB118C">
        <w:rPr>
          <w:i/>
          <w:sz w:val="18"/>
          <w:szCs w:val="18"/>
        </w:rPr>
        <w:t xml:space="preserve">(a) NGHGI 2018 estimate of south central and southeastern coastal Alaska managed forest land plus NGHGI 2019 estimate of interior Alaska managed forest land; (b) NGHGI </w:t>
      </w:r>
      <w:r w:rsidR="00B2516C">
        <w:rPr>
          <w:i/>
          <w:sz w:val="18"/>
          <w:szCs w:val="18"/>
        </w:rPr>
        <w:t>(</w:t>
      </w:r>
      <w:r w:rsidRPr="00EB118C">
        <w:rPr>
          <w:i/>
          <w:sz w:val="18"/>
          <w:szCs w:val="18"/>
        </w:rPr>
        <w:t>2019</w:t>
      </w:r>
      <w:r w:rsidR="00B2516C">
        <w:rPr>
          <w:i/>
          <w:sz w:val="18"/>
          <w:szCs w:val="18"/>
        </w:rPr>
        <w:t>)</w:t>
      </w:r>
      <w:r w:rsidRPr="00EB118C">
        <w:rPr>
          <w:i/>
          <w:sz w:val="18"/>
          <w:szCs w:val="18"/>
        </w:rPr>
        <w:t xml:space="preserve"> estimate of Alaska cropland area; (c) NGHGI </w:t>
      </w:r>
      <w:r w:rsidR="00B2516C">
        <w:rPr>
          <w:i/>
          <w:sz w:val="18"/>
          <w:szCs w:val="18"/>
        </w:rPr>
        <w:t>(</w:t>
      </w:r>
      <w:r w:rsidRPr="00EB118C">
        <w:rPr>
          <w:i/>
          <w:sz w:val="18"/>
          <w:szCs w:val="18"/>
        </w:rPr>
        <w:t>2019</w:t>
      </w:r>
      <w:r w:rsidR="00B2516C">
        <w:rPr>
          <w:i/>
          <w:sz w:val="18"/>
          <w:szCs w:val="18"/>
        </w:rPr>
        <w:t>)</w:t>
      </w:r>
      <w:r w:rsidRPr="00EB118C">
        <w:rPr>
          <w:i/>
          <w:sz w:val="18"/>
          <w:szCs w:val="18"/>
        </w:rPr>
        <w:t xml:space="preserve"> estimate of Alaska managed grassland area; (d) NLCD </w:t>
      </w:r>
      <w:r w:rsidR="00B2516C">
        <w:rPr>
          <w:i/>
          <w:sz w:val="18"/>
          <w:szCs w:val="18"/>
        </w:rPr>
        <w:t>(</w:t>
      </w:r>
      <w:r w:rsidRPr="00EB118C">
        <w:rPr>
          <w:i/>
          <w:sz w:val="18"/>
          <w:szCs w:val="18"/>
        </w:rPr>
        <w:t>2001</w:t>
      </w:r>
      <w:r w:rsidR="00B2516C">
        <w:rPr>
          <w:i/>
          <w:sz w:val="18"/>
          <w:szCs w:val="18"/>
        </w:rPr>
        <w:t>)</w:t>
      </w:r>
      <w:r w:rsidRPr="00EB118C">
        <w:rPr>
          <w:i/>
          <w:sz w:val="18"/>
          <w:szCs w:val="18"/>
        </w:rPr>
        <w:t xml:space="preserve"> land cover estimates (Forests is combination of deciduous forest, evergreen forest; Cropland is cultivated crops; Grassland is shrub/scrub, grasslands/herbaceous, pasture/hay; Wetlands is combination of woody wetlands and emergent herbaceous wetlands; Settlements is combination of developed, open space/low/medium/high intensity; Other is combination of perennial ice snow, bare rock/sand/clay, moss); (e) Values from Table 6-9, NGHGI </w:t>
      </w:r>
      <w:r w:rsidR="00B2516C">
        <w:rPr>
          <w:i/>
          <w:sz w:val="18"/>
          <w:szCs w:val="18"/>
        </w:rPr>
        <w:t>(</w:t>
      </w:r>
      <w:r w:rsidRPr="00EB118C">
        <w:rPr>
          <w:i/>
          <w:sz w:val="18"/>
          <w:szCs w:val="18"/>
        </w:rPr>
        <w:t>2019</w:t>
      </w:r>
      <w:r w:rsidR="00B2516C">
        <w:rPr>
          <w:i/>
          <w:sz w:val="18"/>
          <w:szCs w:val="18"/>
        </w:rPr>
        <w:t>)</w:t>
      </w:r>
      <w:r w:rsidRPr="00EB118C">
        <w:rPr>
          <w:i/>
          <w:sz w:val="18"/>
          <w:szCs w:val="18"/>
        </w:rPr>
        <w:t xml:space="preserve">, using a combination of NOAA C-CAP and NLCD land cover data. </w:t>
      </w:r>
    </w:p>
    <w:p w14:paraId="228E1A5B" w14:textId="1877825F" w:rsidR="008C71B4" w:rsidRDefault="008C71B4" w:rsidP="00EB118C">
      <w:r>
        <w:t xml:space="preserve">Note that Table </w:t>
      </w:r>
      <w:r w:rsidR="007D6D6E">
        <w:t>2</w:t>
      </w:r>
      <w:r w:rsidR="005F6840">
        <w:t>-</w:t>
      </w:r>
      <w:r w:rsidR="007516B1">
        <w:t xml:space="preserve">41 </w:t>
      </w:r>
      <w:r>
        <w:t xml:space="preserve">covers only managed land. The NGHGI defines </w:t>
      </w:r>
      <w:r w:rsidR="00EB118C">
        <w:t xml:space="preserve">managed land as: </w:t>
      </w:r>
      <w:r>
        <w:t xml:space="preserve">forest lands with active fire protection and timber harvesting; grasslands located in counties with livestock; and all settlements and croplands (Ogle et al. 2018). Grassland and forest land that do not meet </w:t>
      </w:r>
      <w:r w:rsidR="007516B1">
        <w:t xml:space="preserve">these </w:t>
      </w:r>
      <w:r>
        <w:t xml:space="preserve">initial criteria are considered managed if located within 10 km of a road, railway, or settlement. All wetlands are considered managed </w:t>
      </w:r>
      <w:r w:rsidR="007516B1">
        <w:t>due to lack of data.</w:t>
      </w:r>
      <w:r>
        <w:t xml:space="preserve"> Protected lands and lands with active/past resource extraction are considered managed.</w:t>
      </w:r>
    </w:p>
    <w:p w14:paraId="4095CCBB" w14:textId="4EE58C6B" w:rsidR="008C71B4" w:rsidRDefault="008C71B4" w:rsidP="00EB118C">
      <w:r>
        <w:t xml:space="preserve">There are 46.3 million hectares of unmanaged U.S. lands, the majority of which are grassland, </w:t>
      </w:r>
      <w:r w:rsidR="00B2516C">
        <w:t xml:space="preserve">and </w:t>
      </w:r>
      <w:r>
        <w:t>forest in Alaska, and which are further than 10 km from any roads or railways</w:t>
      </w:r>
      <w:r w:rsidR="00EB118C">
        <w:t xml:space="preserve"> (Ogle et al. 2018)</w:t>
      </w:r>
      <w:r>
        <w:t xml:space="preserve">. Limiting GHG inventories to managed landscapes could create challenges in the future by not accounting for wildfires, permafrost melt, coastal wetland destruction, and other events that result in substantial GHG emissions on unmanaged lands. </w:t>
      </w:r>
    </w:p>
    <w:p w14:paraId="4DDBFA33" w14:textId="11FEE944" w:rsidR="008C71B4" w:rsidRDefault="008C71B4" w:rsidP="00EB118C">
      <w:pPr>
        <w:rPr>
          <w:rStyle w:val="Strong"/>
          <w:rFonts w:eastAsiaTheme="majorEastAsia" w:cstheme="majorBidi"/>
          <w:b w:val="0"/>
          <w:color w:val="2E74B5" w:themeColor="accent1" w:themeShade="BF"/>
          <w:sz w:val="26"/>
          <w:szCs w:val="26"/>
        </w:rPr>
      </w:pPr>
      <w:r w:rsidRPr="00EB118C">
        <w:rPr>
          <w:rStyle w:val="Strong"/>
          <w:rFonts w:eastAsiaTheme="majorEastAsia" w:cstheme="majorBidi"/>
          <w:b w:val="0"/>
          <w:color w:val="2E74B5" w:themeColor="accent1" w:themeShade="BF"/>
          <w:sz w:val="26"/>
          <w:szCs w:val="26"/>
        </w:rPr>
        <w:t xml:space="preserve">Omitted </w:t>
      </w:r>
      <w:r w:rsidR="00557ED2">
        <w:rPr>
          <w:rStyle w:val="Strong"/>
          <w:rFonts w:eastAsiaTheme="majorEastAsia" w:cstheme="majorBidi"/>
          <w:b w:val="0"/>
          <w:color w:val="2E74B5" w:themeColor="accent1" w:themeShade="BF"/>
          <w:sz w:val="26"/>
          <w:szCs w:val="26"/>
        </w:rPr>
        <w:t xml:space="preserve">GHG </w:t>
      </w:r>
      <w:r w:rsidRPr="00EB118C">
        <w:rPr>
          <w:rStyle w:val="Strong"/>
          <w:rFonts w:eastAsiaTheme="majorEastAsia" w:cstheme="majorBidi"/>
          <w:b w:val="0"/>
          <w:color w:val="2E74B5" w:themeColor="accent1" w:themeShade="BF"/>
          <w:sz w:val="26"/>
          <w:szCs w:val="26"/>
        </w:rPr>
        <w:t>fluxes in Alaska</w:t>
      </w:r>
    </w:p>
    <w:p w14:paraId="70EBE7F8" w14:textId="3BD1317B" w:rsidR="00557ED2" w:rsidRDefault="00557ED2" w:rsidP="00EB118C">
      <w:pPr>
        <w:rPr>
          <w:rStyle w:val="Strong"/>
          <w:rFonts w:eastAsiaTheme="majorEastAsia" w:cstheme="majorBidi"/>
          <w:b w:val="0"/>
          <w:color w:val="2E74B5" w:themeColor="accent1" w:themeShade="BF"/>
          <w:sz w:val="26"/>
          <w:szCs w:val="26"/>
        </w:rPr>
      </w:pPr>
      <w:r>
        <w:t xml:space="preserve">Here we estimate the omitted GHG flux categories in Alaska, with calculations annotated in the notes of Table </w:t>
      </w:r>
      <w:r w:rsidR="007D6D6E">
        <w:t>2</w:t>
      </w:r>
      <w:r w:rsidR="005F6840">
        <w:t>-4</w:t>
      </w:r>
      <w:r w:rsidR="007516B1">
        <w:t>2</w:t>
      </w:r>
      <w:r>
        <w:t>. More information on these calculations can be found in the Spreadsheet Appendix.</w:t>
      </w:r>
    </w:p>
    <w:p w14:paraId="0FBF277D" w14:textId="636413A6" w:rsidR="00EB118C" w:rsidRPr="00EB118C" w:rsidRDefault="00EB118C" w:rsidP="00EB118C">
      <w:pPr>
        <w:rPr>
          <w:bCs/>
          <w:i/>
          <w:iCs/>
          <w:color w:val="44546A" w:themeColor="text2"/>
        </w:rPr>
      </w:pPr>
      <w:r w:rsidRPr="00EB118C">
        <w:rPr>
          <w:b/>
          <w:i/>
          <w:iCs/>
          <w:color w:val="44546A" w:themeColor="text2"/>
        </w:rPr>
        <w:t xml:space="preserve">Table </w:t>
      </w:r>
      <w:r w:rsidR="007D6D6E">
        <w:rPr>
          <w:b/>
          <w:i/>
          <w:iCs/>
          <w:color w:val="44546A" w:themeColor="text2"/>
        </w:rPr>
        <w:t>2</w:t>
      </w:r>
      <w:r w:rsidR="005F6840">
        <w:rPr>
          <w:b/>
          <w:i/>
          <w:iCs/>
          <w:color w:val="44546A" w:themeColor="text2"/>
        </w:rPr>
        <w:t>-</w:t>
      </w:r>
      <w:r w:rsidR="007516B1">
        <w:rPr>
          <w:b/>
          <w:i/>
          <w:iCs/>
          <w:color w:val="44546A" w:themeColor="text2"/>
        </w:rPr>
        <w:t>42</w:t>
      </w:r>
      <w:r w:rsidR="001E048A">
        <w:rPr>
          <w:b/>
          <w:i/>
          <w:iCs/>
          <w:color w:val="44546A" w:themeColor="text2"/>
        </w:rPr>
        <w:t>:</w:t>
      </w:r>
      <w:r w:rsidRPr="00EB118C">
        <w:rPr>
          <w:b/>
          <w:i/>
          <w:iCs/>
          <w:color w:val="44546A" w:themeColor="text2"/>
        </w:rPr>
        <w:t xml:space="preserve"> Estimated omitted GHG fluxes in Alaska, managed land only</w:t>
      </w:r>
    </w:p>
    <w:tbl>
      <w:tblPr>
        <w:tblStyle w:val="TableGrid"/>
        <w:tblW w:w="8905" w:type="dxa"/>
        <w:tblLayout w:type="fixed"/>
        <w:tblLook w:val="04A0" w:firstRow="1" w:lastRow="0" w:firstColumn="1" w:lastColumn="0" w:noHBand="0" w:noVBand="1"/>
      </w:tblPr>
      <w:tblGrid>
        <w:gridCol w:w="1978"/>
        <w:gridCol w:w="2520"/>
        <w:gridCol w:w="1257"/>
        <w:gridCol w:w="1575"/>
        <w:gridCol w:w="1575"/>
      </w:tblGrid>
      <w:tr w:rsidR="008C71B4" w:rsidRPr="00EB118C" w14:paraId="0009BB58" w14:textId="77777777" w:rsidTr="00EB118C">
        <w:trPr>
          <w:trHeight w:val="50"/>
        </w:trPr>
        <w:tc>
          <w:tcPr>
            <w:tcW w:w="1978" w:type="dxa"/>
            <w:shd w:val="clear" w:color="auto" w:fill="FFC000" w:themeFill="accent4"/>
            <w:vAlign w:val="center"/>
          </w:tcPr>
          <w:p w14:paraId="0B1A4F52" w14:textId="734496BB" w:rsidR="008C71B4" w:rsidRPr="00EB118C" w:rsidRDefault="008C71B4" w:rsidP="000E2401">
            <w:pPr>
              <w:jc w:val="center"/>
              <w:rPr>
                <w:b/>
                <w:i/>
                <w:sz w:val="18"/>
                <w:szCs w:val="18"/>
              </w:rPr>
            </w:pPr>
            <w:r w:rsidRPr="00EB118C">
              <w:rPr>
                <w:b/>
                <w:sz w:val="18"/>
                <w:szCs w:val="18"/>
              </w:rPr>
              <w:t xml:space="preserve">NGHGI </w:t>
            </w:r>
            <w:r w:rsidR="006D49B6">
              <w:rPr>
                <w:b/>
                <w:sz w:val="18"/>
                <w:szCs w:val="18"/>
              </w:rPr>
              <w:t>Land use</w:t>
            </w:r>
          </w:p>
        </w:tc>
        <w:tc>
          <w:tcPr>
            <w:tcW w:w="2520" w:type="dxa"/>
            <w:shd w:val="clear" w:color="auto" w:fill="FFC000" w:themeFill="accent4"/>
            <w:vAlign w:val="center"/>
          </w:tcPr>
          <w:p w14:paraId="0B61B9A2" w14:textId="29576B7C" w:rsidR="008C71B4" w:rsidRPr="00EB118C" w:rsidRDefault="006D49B6">
            <w:pPr>
              <w:jc w:val="center"/>
              <w:rPr>
                <w:b/>
                <w:i/>
                <w:sz w:val="18"/>
                <w:szCs w:val="18"/>
              </w:rPr>
            </w:pPr>
            <w:r>
              <w:rPr>
                <w:b/>
                <w:sz w:val="18"/>
                <w:szCs w:val="18"/>
              </w:rPr>
              <w:t xml:space="preserve">Inventory </w:t>
            </w:r>
            <w:r w:rsidR="008C71B4" w:rsidRPr="00EB118C">
              <w:rPr>
                <w:b/>
                <w:sz w:val="18"/>
                <w:szCs w:val="18"/>
              </w:rPr>
              <w:t>category</w:t>
            </w:r>
          </w:p>
        </w:tc>
        <w:tc>
          <w:tcPr>
            <w:tcW w:w="1257" w:type="dxa"/>
            <w:shd w:val="clear" w:color="auto" w:fill="FFC000" w:themeFill="accent4"/>
            <w:vAlign w:val="center"/>
          </w:tcPr>
          <w:p w14:paraId="3F1B4236" w14:textId="77A532C8" w:rsidR="008C71B4" w:rsidRPr="00EB118C" w:rsidRDefault="008C71B4" w:rsidP="00CE32DB">
            <w:pPr>
              <w:jc w:val="center"/>
              <w:rPr>
                <w:b/>
                <w:sz w:val="18"/>
                <w:szCs w:val="18"/>
              </w:rPr>
            </w:pPr>
            <w:r w:rsidRPr="00EB118C">
              <w:rPr>
                <w:b/>
                <w:sz w:val="18"/>
                <w:szCs w:val="18"/>
              </w:rPr>
              <w:t>Emission factor (MMT CO</w:t>
            </w:r>
            <w:r w:rsidRPr="00EB118C">
              <w:rPr>
                <w:b/>
                <w:sz w:val="18"/>
                <w:szCs w:val="18"/>
                <w:vertAlign w:val="subscript"/>
              </w:rPr>
              <w:t>2</w:t>
            </w:r>
            <w:r w:rsidRPr="00EB118C">
              <w:rPr>
                <w:b/>
                <w:sz w:val="18"/>
                <w:szCs w:val="18"/>
              </w:rPr>
              <w:t>e/Mha)</w:t>
            </w:r>
          </w:p>
        </w:tc>
        <w:tc>
          <w:tcPr>
            <w:tcW w:w="1575" w:type="dxa"/>
            <w:shd w:val="clear" w:color="auto" w:fill="FFC000" w:themeFill="accent4"/>
            <w:vAlign w:val="center"/>
          </w:tcPr>
          <w:p w14:paraId="13C7DA9A" w14:textId="77777777" w:rsidR="008C71B4" w:rsidRPr="00EB118C" w:rsidRDefault="008C71B4" w:rsidP="00CE32DB">
            <w:pPr>
              <w:jc w:val="center"/>
              <w:rPr>
                <w:b/>
                <w:sz w:val="18"/>
                <w:szCs w:val="18"/>
              </w:rPr>
            </w:pPr>
            <w:r w:rsidRPr="00EB118C">
              <w:rPr>
                <w:b/>
                <w:sz w:val="18"/>
                <w:szCs w:val="18"/>
              </w:rPr>
              <w:t>Land area (Mha)</w:t>
            </w:r>
          </w:p>
        </w:tc>
        <w:tc>
          <w:tcPr>
            <w:tcW w:w="1575" w:type="dxa"/>
            <w:shd w:val="clear" w:color="auto" w:fill="FFC000" w:themeFill="accent4"/>
            <w:vAlign w:val="center"/>
          </w:tcPr>
          <w:p w14:paraId="7519F645" w14:textId="19C34F16" w:rsidR="008C71B4" w:rsidRPr="00EB118C" w:rsidRDefault="008C71B4" w:rsidP="000E2401">
            <w:pPr>
              <w:jc w:val="center"/>
              <w:rPr>
                <w:b/>
                <w:sz w:val="18"/>
                <w:szCs w:val="18"/>
              </w:rPr>
            </w:pPr>
            <w:r w:rsidRPr="00EB118C">
              <w:rPr>
                <w:b/>
                <w:sz w:val="18"/>
                <w:szCs w:val="18"/>
              </w:rPr>
              <w:t xml:space="preserve">GHG </w:t>
            </w:r>
            <w:r w:rsidR="006D49B6">
              <w:rPr>
                <w:b/>
                <w:sz w:val="18"/>
                <w:szCs w:val="18"/>
              </w:rPr>
              <w:t>flux</w:t>
            </w:r>
            <w:r w:rsidR="006D49B6" w:rsidRPr="00EB118C">
              <w:rPr>
                <w:b/>
                <w:sz w:val="18"/>
                <w:szCs w:val="18"/>
              </w:rPr>
              <w:t xml:space="preserve"> </w:t>
            </w:r>
            <w:r w:rsidRPr="00EB118C">
              <w:rPr>
                <w:b/>
                <w:sz w:val="18"/>
                <w:szCs w:val="18"/>
              </w:rPr>
              <w:t>(MMT CO</w:t>
            </w:r>
            <w:r w:rsidRPr="00EB118C">
              <w:rPr>
                <w:b/>
                <w:sz w:val="18"/>
                <w:szCs w:val="18"/>
                <w:vertAlign w:val="subscript"/>
              </w:rPr>
              <w:t>2</w:t>
            </w:r>
            <w:r w:rsidRPr="00EB118C">
              <w:rPr>
                <w:b/>
                <w:sz w:val="18"/>
                <w:szCs w:val="18"/>
              </w:rPr>
              <w:t>e)</w:t>
            </w:r>
          </w:p>
        </w:tc>
      </w:tr>
      <w:tr w:rsidR="008C71B4" w:rsidRPr="00EB118C" w14:paraId="238AF98F" w14:textId="77777777" w:rsidTr="00CE32DB">
        <w:tc>
          <w:tcPr>
            <w:tcW w:w="1978" w:type="dxa"/>
            <w:vAlign w:val="center"/>
          </w:tcPr>
          <w:p w14:paraId="1064BF44" w14:textId="77777777" w:rsidR="008C71B4" w:rsidRPr="00EB118C" w:rsidRDefault="008C71B4" w:rsidP="00CE32DB">
            <w:pPr>
              <w:jc w:val="center"/>
              <w:rPr>
                <w:sz w:val="18"/>
                <w:szCs w:val="18"/>
              </w:rPr>
            </w:pPr>
            <w:r w:rsidRPr="00EB118C">
              <w:rPr>
                <w:sz w:val="18"/>
                <w:szCs w:val="18"/>
              </w:rPr>
              <w:t xml:space="preserve">Ag. soil mgmt. </w:t>
            </w:r>
          </w:p>
        </w:tc>
        <w:tc>
          <w:tcPr>
            <w:tcW w:w="2520" w:type="dxa"/>
            <w:vAlign w:val="center"/>
          </w:tcPr>
          <w:p w14:paraId="040A5233" w14:textId="77777777" w:rsidR="008C71B4" w:rsidRPr="00EB118C" w:rsidRDefault="008C71B4" w:rsidP="00CE32DB">
            <w:pPr>
              <w:jc w:val="center"/>
              <w:rPr>
                <w:sz w:val="18"/>
                <w:szCs w:val="18"/>
              </w:rPr>
            </w:pPr>
            <w:r w:rsidRPr="00EB118C">
              <w:rPr>
                <w:sz w:val="18"/>
                <w:szCs w:val="18"/>
              </w:rPr>
              <w:t>N</w:t>
            </w:r>
            <w:r w:rsidRPr="00EB118C">
              <w:rPr>
                <w:sz w:val="18"/>
                <w:szCs w:val="18"/>
                <w:vertAlign w:val="subscript"/>
              </w:rPr>
              <w:t>2</w:t>
            </w:r>
            <w:r w:rsidRPr="00EB118C">
              <w:rPr>
                <w:sz w:val="18"/>
                <w:szCs w:val="18"/>
              </w:rPr>
              <w:t>O, other N additions, cropland and grassland</w:t>
            </w:r>
          </w:p>
        </w:tc>
        <w:tc>
          <w:tcPr>
            <w:tcW w:w="1257" w:type="dxa"/>
            <w:shd w:val="clear" w:color="auto" w:fill="FFFFFF" w:themeFill="background1"/>
            <w:vAlign w:val="center"/>
          </w:tcPr>
          <w:p w14:paraId="1B001C08" w14:textId="33061F68" w:rsidR="008C71B4" w:rsidRPr="00EB118C" w:rsidRDefault="008C71B4" w:rsidP="00CE32DB">
            <w:pPr>
              <w:jc w:val="center"/>
              <w:rPr>
                <w:sz w:val="18"/>
                <w:szCs w:val="18"/>
              </w:rPr>
            </w:pPr>
            <w:r w:rsidRPr="00EB118C">
              <w:rPr>
                <w:sz w:val="18"/>
                <w:szCs w:val="18"/>
              </w:rPr>
              <w:t>0.426</w:t>
            </w:r>
            <w:r w:rsidR="00AE2C66">
              <w:rPr>
                <w:sz w:val="18"/>
                <w:szCs w:val="18"/>
              </w:rPr>
              <w:t xml:space="preserve"> </w:t>
            </w:r>
            <w:r w:rsidRPr="00EB118C">
              <w:rPr>
                <w:sz w:val="18"/>
                <w:szCs w:val="18"/>
                <w:vertAlign w:val="superscript"/>
              </w:rPr>
              <w:t>a</w:t>
            </w:r>
          </w:p>
        </w:tc>
        <w:tc>
          <w:tcPr>
            <w:tcW w:w="1575" w:type="dxa"/>
            <w:vAlign w:val="center"/>
          </w:tcPr>
          <w:p w14:paraId="6E401459" w14:textId="576F8307" w:rsidR="008C71B4" w:rsidRPr="00EB118C" w:rsidRDefault="008C71B4" w:rsidP="00CE32DB">
            <w:pPr>
              <w:jc w:val="center"/>
              <w:rPr>
                <w:sz w:val="18"/>
                <w:szCs w:val="18"/>
              </w:rPr>
            </w:pPr>
            <w:r w:rsidRPr="00EB118C">
              <w:rPr>
                <w:sz w:val="18"/>
                <w:szCs w:val="18"/>
              </w:rPr>
              <w:t>45.524</w:t>
            </w:r>
            <w:r w:rsidR="00AE2C66">
              <w:rPr>
                <w:sz w:val="18"/>
                <w:szCs w:val="18"/>
              </w:rPr>
              <w:t xml:space="preserve"> </w:t>
            </w:r>
            <w:r w:rsidRPr="00EB118C">
              <w:rPr>
                <w:sz w:val="18"/>
                <w:szCs w:val="18"/>
                <w:vertAlign w:val="superscript"/>
              </w:rPr>
              <w:t>b</w:t>
            </w:r>
          </w:p>
        </w:tc>
        <w:tc>
          <w:tcPr>
            <w:tcW w:w="1575" w:type="dxa"/>
            <w:vAlign w:val="center"/>
          </w:tcPr>
          <w:p w14:paraId="2B597FDD" w14:textId="74BDCD11" w:rsidR="008C71B4" w:rsidRPr="00EB118C" w:rsidRDefault="008C71B4" w:rsidP="00CE32DB">
            <w:pPr>
              <w:jc w:val="center"/>
              <w:rPr>
                <w:sz w:val="18"/>
                <w:szCs w:val="18"/>
              </w:rPr>
            </w:pPr>
            <w:r w:rsidRPr="00EB118C">
              <w:rPr>
                <w:sz w:val="18"/>
                <w:szCs w:val="18"/>
              </w:rPr>
              <w:t>18.1</w:t>
            </w:r>
          </w:p>
        </w:tc>
      </w:tr>
      <w:tr w:rsidR="008C71B4" w:rsidRPr="00EB118C" w14:paraId="5DC26952" w14:textId="77777777" w:rsidTr="00CE32DB">
        <w:tc>
          <w:tcPr>
            <w:tcW w:w="1978" w:type="dxa"/>
            <w:vAlign w:val="center"/>
          </w:tcPr>
          <w:p w14:paraId="2594A63D" w14:textId="77777777" w:rsidR="008C71B4" w:rsidRPr="00EB118C" w:rsidRDefault="008C71B4" w:rsidP="00CE32DB">
            <w:pPr>
              <w:jc w:val="center"/>
              <w:rPr>
                <w:sz w:val="18"/>
                <w:szCs w:val="18"/>
              </w:rPr>
            </w:pPr>
            <w:r w:rsidRPr="00EB118C">
              <w:rPr>
                <w:sz w:val="18"/>
                <w:szCs w:val="18"/>
              </w:rPr>
              <w:t xml:space="preserve">Ag. soil mgmt. </w:t>
            </w:r>
          </w:p>
        </w:tc>
        <w:tc>
          <w:tcPr>
            <w:tcW w:w="2520" w:type="dxa"/>
            <w:vAlign w:val="center"/>
          </w:tcPr>
          <w:p w14:paraId="52BA29FB" w14:textId="77777777" w:rsidR="008C71B4" w:rsidRPr="00EB118C" w:rsidRDefault="008C71B4" w:rsidP="00CE32DB">
            <w:pPr>
              <w:jc w:val="center"/>
              <w:rPr>
                <w:sz w:val="18"/>
                <w:szCs w:val="18"/>
              </w:rPr>
            </w:pPr>
            <w:r w:rsidRPr="00EB118C">
              <w:rPr>
                <w:sz w:val="18"/>
                <w:szCs w:val="18"/>
              </w:rPr>
              <w:t>N</w:t>
            </w:r>
            <w:r w:rsidRPr="00EB118C">
              <w:rPr>
                <w:sz w:val="18"/>
                <w:szCs w:val="18"/>
                <w:vertAlign w:val="subscript"/>
              </w:rPr>
              <w:t>2</w:t>
            </w:r>
            <w:r w:rsidRPr="00EB118C">
              <w:rPr>
                <w:sz w:val="18"/>
                <w:szCs w:val="18"/>
              </w:rPr>
              <w:t>O, drained organic soils</w:t>
            </w:r>
          </w:p>
        </w:tc>
        <w:tc>
          <w:tcPr>
            <w:tcW w:w="1257" w:type="dxa"/>
            <w:shd w:val="clear" w:color="auto" w:fill="FFFFFF" w:themeFill="background1"/>
            <w:vAlign w:val="center"/>
          </w:tcPr>
          <w:p w14:paraId="4AE96863" w14:textId="4F265350" w:rsidR="008C71B4" w:rsidRPr="00EB118C" w:rsidRDefault="008C71B4" w:rsidP="00CE32DB">
            <w:pPr>
              <w:jc w:val="center"/>
              <w:rPr>
                <w:sz w:val="18"/>
                <w:szCs w:val="18"/>
              </w:rPr>
            </w:pPr>
            <w:r w:rsidRPr="00EB118C">
              <w:rPr>
                <w:sz w:val="18"/>
                <w:szCs w:val="18"/>
              </w:rPr>
              <w:t>4.42</w:t>
            </w:r>
            <w:r w:rsidR="00AE2C66">
              <w:rPr>
                <w:sz w:val="18"/>
                <w:szCs w:val="18"/>
              </w:rPr>
              <w:t xml:space="preserve"> </w:t>
            </w:r>
            <w:r w:rsidRPr="00EB118C">
              <w:rPr>
                <w:sz w:val="18"/>
                <w:szCs w:val="18"/>
                <w:vertAlign w:val="superscript"/>
              </w:rPr>
              <w:t>c</w:t>
            </w:r>
          </w:p>
        </w:tc>
        <w:tc>
          <w:tcPr>
            <w:tcW w:w="1575" w:type="dxa"/>
            <w:vAlign w:val="center"/>
          </w:tcPr>
          <w:p w14:paraId="77566E82" w14:textId="6C0293DC" w:rsidR="008C71B4" w:rsidRPr="00EB118C" w:rsidRDefault="008C71B4" w:rsidP="00CE32DB">
            <w:pPr>
              <w:jc w:val="center"/>
              <w:rPr>
                <w:sz w:val="18"/>
                <w:szCs w:val="18"/>
              </w:rPr>
            </w:pPr>
            <w:r w:rsidRPr="00EB118C">
              <w:rPr>
                <w:sz w:val="18"/>
                <w:szCs w:val="18"/>
              </w:rPr>
              <w:t>0.163</w:t>
            </w:r>
            <w:r w:rsidR="00AE2C66">
              <w:rPr>
                <w:sz w:val="18"/>
                <w:szCs w:val="18"/>
              </w:rPr>
              <w:t xml:space="preserve"> </w:t>
            </w:r>
            <w:r w:rsidRPr="00EB118C">
              <w:rPr>
                <w:sz w:val="18"/>
                <w:szCs w:val="18"/>
                <w:vertAlign w:val="superscript"/>
              </w:rPr>
              <w:t>d</w:t>
            </w:r>
          </w:p>
        </w:tc>
        <w:tc>
          <w:tcPr>
            <w:tcW w:w="1575" w:type="dxa"/>
            <w:vAlign w:val="center"/>
          </w:tcPr>
          <w:p w14:paraId="49DA7B8B" w14:textId="3070E95B" w:rsidR="008C71B4" w:rsidRPr="00EB118C" w:rsidRDefault="008C71B4" w:rsidP="00CE32DB">
            <w:pPr>
              <w:jc w:val="center"/>
              <w:rPr>
                <w:sz w:val="18"/>
                <w:szCs w:val="18"/>
              </w:rPr>
            </w:pPr>
            <w:r w:rsidRPr="00EB118C">
              <w:rPr>
                <w:sz w:val="18"/>
                <w:szCs w:val="18"/>
              </w:rPr>
              <w:t>0.7</w:t>
            </w:r>
          </w:p>
        </w:tc>
      </w:tr>
      <w:tr w:rsidR="008C71B4" w:rsidRPr="00EB118C" w14:paraId="324A1E5C" w14:textId="77777777" w:rsidTr="00CE32DB">
        <w:tc>
          <w:tcPr>
            <w:tcW w:w="1978" w:type="dxa"/>
            <w:vAlign w:val="center"/>
          </w:tcPr>
          <w:p w14:paraId="064F693A" w14:textId="77777777" w:rsidR="008C71B4" w:rsidRPr="00EB118C" w:rsidRDefault="008C71B4" w:rsidP="00CE32DB">
            <w:pPr>
              <w:jc w:val="center"/>
              <w:rPr>
                <w:sz w:val="18"/>
                <w:szCs w:val="18"/>
              </w:rPr>
            </w:pPr>
            <w:r w:rsidRPr="00EB118C">
              <w:rPr>
                <w:sz w:val="18"/>
                <w:szCs w:val="18"/>
              </w:rPr>
              <w:t>Cropland</w:t>
            </w:r>
          </w:p>
        </w:tc>
        <w:tc>
          <w:tcPr>
            <w:tcW w:w="2520" w:type="dxa"/>
            <w:vAlign w:val="center"/>
          </w:tcPr>
          <w:p w14:paraId="2F8481E8" w14:textId="77777777" w:rsidR="008C71B4" w:rsidRPr="00EB118C" w:rsidRDefault="008C71B4" w:rsidP="00CE32DB">
            <w:pPr>
              <w:jc w:val="center"/>
              <w:rPr>
                <w:sz w:val="18"/>
                <w:szCs w:val="18"/>
              </w:rPr>
            </w:pPr>
            <w:r w:rsidRPr="00EB118C">
              <w:rPr>
                <w:sz w:val="18"/>
                <w:szCs w:val="18"/>
              </w:rPr>
              <w:t>Soil C stock change, drained organic soils</w:t>
            </w:r>
          </w:p>
        </w:tc>
        <w:tc>
          <w:tcPr>
            <w:tcW w:w="1257" w:type="dxa"/>
            <w:shd w:val="clear" w:color="auto" w:fill="FFFFFF" w:themeFill="background1"/>
            <w:vAlign w:val="center"/>
          </w:tcPr>
          <w:p w14:paraId="09785EBA" w14:textId="205DF254" w:rsidR="008C71B4" w:rsidRPr="00EB118C" w:rsidRDefault="008C71B4" w:rsidP="00CE32DB">
            <w:pPr>
              <w:jc w:val="center"/>
              <w:rPr>
                <w:sz w:val="18"/>
                <w:szCs w:val="18"/>
              </w:rPr>
            </w:pPr>
            <w:r w:rsidRPr="00EB118C">
              <w:rPr>
                <w:sz w:val="18"/>
                <w:szCs w:val="18"/>
              </w:rPr>
              <w:t>24.06</w:t>
            </w:r>
            <w:r w:rsidR="00AE2C66">
              <w:rPr>
                <w:sz w:val="18"/>
                <w:szCs w:val="18"/>
              </w:rPr>
              <w:t xml:space="preserve"> </w:t>
            </w:r>
            <w:r w:rsidRPr="00EB118C">
              <w:rPr>
                <w:sz w:val="18"/>
                <w:szCs w:val="18"/>
                <w:vertAlign w:val="superscript"/>
              </w:rPr>
              <w:t>e</w:t>
            </w:r>
          </w:p>
        </w:tc>
        <w:tc>
          <w:tcPr>
            <w:tcW w:w="1575" w:type="dxa"/>
            <w:vAlign w:val="center"/>
          </w:tcPr>
          <w:p w14:paraId="69D6B6F2" w14:textId="5456D55F" w:rsidR="008C71B4" w:rsidRPr="00EB118C" w:rsidRDefault="008C71B4" w:rsidP="00CE32DB">
            <w:pPr>
              <w:jc w:val="center"/>
              <w:rPr>
                <w:sz w:val="18"/>
                <w:szCs w:val="18"/>
              </w:rPr>
            </w:pPr>
            <w:r w:rsidRPr="00EB118C">
              <w:rPr>
                <w:sz w:val="18"/>
                <w:szCs w:val="18"/>
              </w:rPr>
              <w:t>0.00009</w:t>
            </w:r>
            <w:r w:rsidR="00AE2C66">
              <w:rPr>
                <w:sz w:val="18"/>
                <w:szCs w:val="18"/>
              </w:rPr>
              <w:t xml:space="preserve"> </w:t>
            </w:r>
            <w:r w:rsidRPr="00EB118C">
              <w:rPr>
                <w:sz w:val="18"/>
                <w:szCs w:val="18"/>
                <w:vertAlign w:val="superscript"/>
              </w:rPr>
              <w:t>f</w:t>
            </w:r>
          </w:p>
        </w:tc>
        <w:tc>
          <w:tcPr>
            <w:tcW w:w="1575" w:type="dxa"/>
            <w:vAlign w:val="center"/>
          </w:tcPr>
          <w:p w14:paraId="6D3556A6" w14:textId="76B51C5A" w:rsidR="008C71B4" w:rsidRPr="00EB118C" w:rsidRDefault="006D49B6" w:rsidP="00CE32DB">
            <w:pPr>
              <w:jc w:val="center"/>
              <w:rPr>
                <w:sz w:val="18"/>
                <w:szCs w:val="18"/>
              </w:rPr>
            </w:pPr>
            <w:r>
              <w:rPr>
                <w:sz w:val="18"/>
                <w:szCs w:val="18"/>
              </w:rPr>
              <w:t>-</w:t>
            </w:r>
          </w:p>
        </w:tc>
      </w:tr>
      <w:tr w:rsidR="008C71B4" w:rsidRPr="00EB118C" w14:paraId="7FE6CF6D" w14:textId="77777777" w:rsidTr="00CE32DB">
        <w:tc>
          <w:tcPr>
            <w:tcW w:w="1978" w:type="dxa"/>
            <w:vAlign w:val="center"/>
          </w:tcPr>
          <w:p w14:paraId="607B733B" w14:textId="77777777" w:rsidR="008C71B4" w:rsidRPr="00EB118C" w:rsidRDefault="008C71B4" w:rsidP="00CE32DB">
            <w:pPr>
              <w:jc w:val="center"/>
              <w:rPr>
                <w:sz w:val="18"/>
                <w:szCs w:val="18"/>
              </w:rPr>
            </w:pPr>
            <w:r w:rsidRPr="00EB118C">
              <w:rPr>
                <w:sz w:val="18"/>
                <w:szCs w:val="18"/>
              </w:rPr>
              <w:t>Cropland</w:t>
            </w:r>
          </w:p>
        </w:tc>
        <w:tc>
          <w:tcPr>
            <w:tcW w:w="2520" w:type="dxa"/>
            <w:vAlign w:val="center"/>
          </w:tcPr>
          <w:p w14:paraId="7B008708" w14:textId="77777777" w:rsidR="008C71B4" w:rsidRPr="00EB118C" w:rsidRDefault="008C71B4" w:rsidP="00CE32DB">
            <w:pPr>
              <w:jc w:val="center"/>
              <w:rPr>
                <w:sz w:val="18"/>
                <w:szCs w:val="18"/>
              </w:rPr>
            </w:pPr>
            <w:r w:rsidRPr="00EB118C">
              <w:rPr>
                <w:sz w:val="18"/>
                <w:szCs w:val="18"/>
              </w:rPr>
              <w:t>Soil C stock change, mineral soils</w:t>
            </w:r>
          </w:p>
        </w:tc>
        <w:tc>
          <w:tcPr>
            <w:tcW w:w="1257" w:type="dxa"/>
            <w:shd w:val="clear" w:color="auto" w:fill="FFFFFF" w:themeFill="background1"/>
            <w:vAlign w:val="center"/>
          </w:tcPr>
          <w:p w14:paraId="5E492D9F" w14:textId="0E1E7059" w:rsidR="008C71B4" w:rsidRPr="00EB118C" w:rsidRDefault="008C71B4" w:rsidP="00CE32DB">
            <w:pPr>
              <w:jc w:val="center"/>
              <w:rPr>
                <w:sz w:val="18"/>
                <w:szCs w:val="18"/>
              </w:rPr>
            </w:pPr>
            <w:r w:rsidRPr="00EB118C">
              <w:rPr>
                <w:sz w:val="18"/>
                <w:szCs w:val="18"/>
              </w:rPr>
              <w:t>0.15</w:t>
            </w:r>
            <w:r w:rsidR="00AE2C66">
              <w:rPr>
                <w:sz w:val="18"/>
                <w:szCs w:val="18"/>
              </w:rPr>
              <w:t xml:space="preserve"> </w:t>
            </w:r>
            <w:r w:rsidRPr="00EB118C">
              <w:rPr>
                <w:sz w:val="18"/>
                <w:szCs w:val="18"/>
                <w:vertAlign w:val="superscript"/>
              </w:rPr>
              <w:t>g</w:t>
            </w:r>
          </w:p>
        </w:tc>
        <w:tc>
          <w:tcPr>
            <w:tcW w:w="1575" w:type="dxa"/>
            <w:vAlign w:val="center"/>
          </w:tcPr>
          <w:p w14:paraId="3868265F" w14:textId="22447135" w:rsidR="008C71B4" w:rsidRPr="00EB118C" w:rsidRDefault="008C71B4" w:rsidP="00CE32DB">
            <w:pPr>
              <w:jc w:val="center"/>
              <w:rPr>
                <w:sz w:val="18"/>
                <w:szCs w:val="18"/>
              </w:rPr>
            </w:pPr>
            <w:r w:rsidRPr="00EB118C">
              <w:rPr>
                <w:sz w:val="18"/>
                <w:szCs w:val="18"/>
              </w:rPr>
              <w:t>0.0286</w:t>
            </w:r>
            <w:r w:rsidR="00AE2C66">
              <w:rPr>
                <w:sz w:val="18"/>
                <w:szCs w:val="18"/>
              </w:rPr>
              <w:t xml:space="preserve"> </w:t>
            </w:r>
            <w:r w:rsidRPr="00EB118C">
              <w:rPr>
                <w:sz w:val="18"/>
                <w:szCs w:val="18"/>
                <w:vertAlign w:val="superscript"/>
              </w:rPr>
              <w:t>b</w:t>
            </w:r>
          </w:p>
        </w:tc>
        <w:tc>
          <w:tcPr>
            <w:tcW w:w="1575" w:type="dxa"/>
            <w:vAlign w:val="center"/>
          </w:tcPr>
          <w:p w14:paraId="0E94DCC9" w14:textId="2C525C8D" w:rsidR="008C71B4" w:rsidRPr="00EB118C" w:rsidRDefault="006D49B6" w:rsidP="00CE32DB">
            <w:pPr>
              <w:jc w:val="center"/>
              <w:rPr>
                <w:sz w:val="18"/>
                <w:szCs w:val="18"/>
              </w:rPr>
            </w:pPr>
            <w:r>
              <w:rPr>
                <w:sz w:val="18"/>
                <w:szCs w:val="18"/>
              </w:rPr>
              <w:t>-</w:t>
            </w:r>
          </w:p>
        </w:tc>
      </w:tr>
      <w:tr w:rsidR="008C71B4" w:rsidRPr="00EB118C" w14:paraId="7872556C" w14:textId="77777777" w:rsidTr="00CE32DB">
        <w:tc>
          <w:tcPr>
            <w:tcW w:w="1978" w:type="dxa"/>
            <w:vAlign w:val="center"/>
          </w:tcPr>
          <w:p w14:paraId="54B08294" w14:textId="77777777" w:rsidR="008C71B4" w:rsidRPr="00EB118C" w:rsidRDefault="008C71B4" w:rsidP="00CE32DB">
            <w:pPr>
              <w:jc w:val="center"/>
              <w:rPr>
                <w:sz w:val="18"/>
                <w:szCs w:val="18"/>
              </w:rPr>
            </w:pPr>
            <w:r w:rsidRPr="00EB118C">
              <w:rPr>
                <w:sz w:val="18"/>
                <w:szCs w:val="18"/>
              </w:rPr>
              <w:t>Grassland</w:t>
            </w:r>
          </w:p>
        </w:tc>
        <w:tc>
          <w:tcPr>
            <w:tcW w:w="2520" w:type="dxa"/>
            <w:vAlign w:val="center"/>
          </w:tcPr>
          <w:p w14:paraId="128E5CE2" w14:textId="77777777" w:rsidR="008C71B4" w:rsidRPr="00EB118C" w:rsidRDefault="008C71B4" w:rsidP="00CE32DB">
            <w:pPr>
              <w:jc w:val="center"/>
              <w:rPr>
                <w:sz w:val="18"/>
                <w:szCs w:val="18"/>
              </w:rPr>
            </w:pPr>
            <w:r w:rsidRPr="00EB118C">
              <w:rPr>
                <w:sz w:val="18"/>
                <w:szCs w:val="18"/>
              </w:rPr>
              <w:t xml:space="preserve">Soil C stock change </w:t>
            </w:r>
          </w:p>
        </w:tc>
        <w:tc>
          <w:tcPr>
            <w:tcW w:w="1257" w:type="dxa"/>
            <w:shd w:val="clear" w:color="auto" w:fill="FFFFFF" w:themeFill="background1"/>
            <w:vAlign w:val="center"/>
          </w:tcPr>
          <w:p w14:paraId="7A8DF9E7" w14:textId="77777777" w:rsidR="008C71B4" w:rsidRPr="00EB118C" w:rsidRDefault="008C71B4" w:rsidP="00CE32DB">
            <w:pPr>
              <w:jc w:val="center"/>
              <w:rPr>
                <w:sz w:val="18"/>
                <w:szCs w:val="18"/>
              </w:rPr>
            </w:pPr>
          </w:p>
        </w:tc>
        <w:tc>
          <w:tcPr>
            <w:tcW w:w="1575" w:type="dxa"/>
            <w:vAlign w:val="center"/>
          </w:tcPr>
          <w:p w14:paraId="33B90EC7" w14:textId="77777777" w:rsidR="008C71B4" w:rsidRPr="00EB118C" w:rsidRDefault="008C71B4" w:rsidP="00CE32DB">
            <w:pPr>
              <w:jc w:val="center"/>
              <w:rPr>
                <w:sz w:val="18"/>
                <w:szCs w:val="18"/>
              </w:rPr>
            </w:pPr>
          </w:p>
        </w:tc>
        <w:tc>
          <w:tcPr>
            <w:tcW w:w="1575" w:type="dxa"/>
            <w:vAlign w:val="center"/>
          </w:tcPr>
          <w:p w14:paraId="5D78A582" w14:textId="6EB56616" w:rsidR="008C71B4" w:rsidRPr="00EB118C" w:rsidRDefault="008C71B4" w:rsidP="00CE32DB">
            <w:pPr>
              <w:jc w:val="center"/>
              <w:rPr>
                <w:sz w:val="18"/>
                <w:szCs w:val="18"/>
              </w:rPr>
            </w:pPr>
            <w:r w:rsidRPr="00EB118C">
              <w:rPr>
                <w:sz w:val="18"/>
                <w:szCs w:val="18"/>
              </w:rPr>
              <w:t>30.5</w:t>
            </w:r>
            <w:r w:rsidR="00AE2C66">
              <w:rPr>
                <w:sz w:val="18"/>
                <w:szCs w:val="18"/>
              </w:rPr>
              <w:t xml:space="preserve"> </w:t>
            </w:r>
            <w:r w:rsidRPr="00EB118C">
              <w:rPr>
                <w:sz w:val="18"/>
                <w:szCs w:val="18"/>
                <w:vertAlign w:val="superscript"/>
              </w:rPr>
              <w:t>h</w:t>
            </w:r>
          </w:p>
        </w:tc>
      </w:tr>
      <w:tr w:rsidR="008C71B4" w:rsidRPr="00EB118C" w14:paraId="50FD66F0" w14:textId="77777777" w:rsidTr="00CE32DB">
        <w:tc>
          <w:tcPr>
            <w:tcW w:w="1978" w:type="dxa"/>
            <w:vAlign w:val="center"/>
          </w:tcPr>
          <w:p w14:paraId="55441156" w14:textId="77777777" w:rsidR="008C71B4" w:rsidRPr="00EB118C" w:rsidRDefault="008C71B4" w:rsidP="00CE32DB">
            <w:pPr>
              <w:jc w:val="center"/>
              <w:rPr>
                <w:sz w:val="18"/>
                <w:szCs w:val="18"/>
              </w:rPr>
            </w:pPr>
            <w:r w:rsidRPr="00EB118C">
              <w:rPr>
                <w:sz w:val="18"/>
                <w:szCs w:val="18"/>
              </w:rPr>
              <w:t>Grassland</w:t>
            </w:r>
          </w:p>
        </w:tc>
        <w:tc>
          <w:tcPr>
            <w:tcW w:w="2520" w:type="dxa"/>
            <w:vAlign w:val="center"/>
          </w:tcPr>
          <w:p w14:paraId="2F59E8E2" w14:textId="77777777" w:rsidR="008C71B4" w:rsidRPr="00EB118C" w:rsidRDefault="008C71B4" w:rsidP="00CE32DB">
            <w:pPr>
              <w:jc w:val="center"/>
              <w:rPr>
                <w:sz w:val="18"/>
                <w:szCs w:val="18"/>
              </w:rPr>
            </w:pPr>
            <w:r w:rsidRPr="00EB118C">
              <w:rPr>
                <w:sz w:val="18"/>
                <w:szCs w:val="18"/>
              </w:rPr>
              <w:t>Non-CO</w:t>
            </w:r>
            <w:r w:rsidRPr="00EB118C">
              <w:rPr>
                <w:sz w:val="18"/>
                <w:szCs w:val="18"/>
                <w:vertAlign w:val="subscript"/>
              </w:rPr>
              <w:t>2</w:t>
            </w:r>
            <w:r w:rsidRPr="00EB118C">
              <w:rPr>
                <w:sz w:val="18"/>
                <w:szCs w:val="18"/>
              </w:rPr>
              <w:t>, grassland fires</w:t>
            </w:r>
          </w:p>
        </w:tc>
        <w:tc>
          <w:tcPr>
            <w:tcW w:w="1257" w:type="dxa"/>
            <w:shd w:val="clear" w:color="auto" w:fill="FFFFFF" w:themeFill="background1"/>
            <w:vAlign w:val="center"/>
          </w:tcPr>
          <w:p w14:paraId="2747FB5F" w14:textId="77777777" w:rsidR="008C71B4" w:rsidRPr="00EB118C" w:rsidRDefault="008C71B4" w:rsidP="00CE32DB">
            <w:pPr>
              <w:jc w:val="center"/>
              <w:rPr>
                <w:sz w:val="18"/>
                <w:szCs w:val="18"/>
              </w:rPr>
            </w:pPr>
          </w:p>
        </w:tc>
        <w:tc>
          <w:tcPr>
            <w:tcW w:w="1575" w:type="dxa"/>
            <w:vAlign w:val="center"/>
          </w:tcPr>
          <w:p w14:paraId="0F833A1D" w14:textId="276E3240" w:rsidR="008C71B4" w:rsidRPr="00EB118C" w:rsidRDefault="008C71B4" w:rsidP="00CE32DB">
            <w:pPr>
              <w:jc w:val="center"/>
              <w:rPr>
                <w:sz w:val="18"/>
                <w:szCs w:val="18"/>
              </w:rPr>
            </w:pPr>
            <w:r w:rsidRPr="00EB118C">
              <w:rPr>
                <w:sz w:val="18"/>
                <w:szCs w:val="18"/>
              </w:rPr>
              <w:t>0.227</w:t>
            </w:r>
            <w:r w:rsidR="00AE2C66">
              <w:rPr>
                <w:sz w:val="18"/>
                <w:szCs w:val="18"/>
              </w:rPr>
              <w:t xml:space="preserve"> </w:t>
            </w:r>
            <w:r w:rsidRPr="00EB118C">
              <w:rPr>
                <w:sz w:val="18"/>
                <w:szCs w:val="18"/>
                <w:vertAlign w:val="superscript"/>
              </w:rPr>
              <w:t>i</w:t>
            </w:r>
          </w:p>
        </w:tc>
        <w:tc>
          <w:tcPr>
            <w:tcW w:w="1575" w:type="dxa"/>
            <w:vAlign w:val="center"/>
          </w:tcPr>
          <w:p w14:paraId="385932C4" w14:textId="401A442A" w:rsidR="008C71B4" w:rsidRPr="00EB118C" w:rsidRDefault="008C71B4" w:rsidP="00CE32DB">
            <w:pPr>
              <w:jc w:val="center"/>
              <w:rPr>
                <w:sz w:val="18"/>
                <w:szCs w:val="18"/>
              </w:rPr>
            </w:pPr>
            <w:r w:rsidRPr="00EB118C">
              <w:rPr>
                <w:sz w:val="18"/>
                <w:szCs w:val="18"/>
              </w:rPr>
              <w:t>0.</w:t>
            </w:r>
            <w:r w:rsidR="006D49B6">
              <w:rPr>
                <w:sz w:val="18"/>
                <w:szCs w:val="18"/>
              </w:rPr>
              <w:t>4</w:t>
            </w:r>
            <w:r w:rsidR="00AE2C66">
              <w:rPr>
                <w:sz w:val="18"/>
                <w:szCs w:val="18"/>
              </w:rPr>
              <w:t xml:space="preserve"> </w:t>
            </w:r>
            <w:r w:rsidRPr="00EB118C">
              <w:rPr>
                <w:sz w:val="18"/>
                <w:szCs w:val="18"/>
                <w:vertAlign w:val="superscript"/>
              </w:rPr>
              <w:t>j</w:t>
            </w:r>
          </w:p>
        </w:tc>
      </w:tr>
      <w:tr w:rsidR="008C71B4" w:rsidRPr="00EB118C" w14:paraId="2FB1E88A" w14:textId="77777777" w:rsidTr="00CE32DB">
        <w:tc>
          <w:tcPr>
            <w:tcW w:w="1978" w:type="dxa"/>
            <w:vAlign w:val="center"/>
          </w:tcPr>
          <w:p w14:paraId="2462E7F2" w14:textId="77777777" w:rsidR="008C71B4" w:rsidRPr="00EB118C" w:rsidRDefault="008C71B4" w:rsidP="00CE32DB">
            <w:pPr>
              <w:jc w:val="center"/>
              <w:rPr>
                <w:sz w:val="18"/>
                <w:szCs w:val="18"/>
              </w:rPr>
            </w:pPr>
            <w:r w:rsidRPr="00EB118C">
              <w:rPr>
                <w:sz w:val="18"/>
                <w:szCs w:val="18"/>
              </w:rPr>
              <w:t>Wetlands</w:t>
            </w:r>
          </w:p>
        </w:tc>
        <w:tc>
          <w:tcPr>
            <w:tcW w:w="2520" w:type="dxa"/>
            <w:vAlign w:val="center"/>
          </w:tcPr>
          <w:p w14:paraId="0168F1D4" w14:textId="77777777" w:rsidR="008C71B4" w:rsidRPr="00EB118C" w:rsidRDefault="008C71B4" w:rsidP="00CE32DB">
            <w:pPr>
              <w:jc w:val="center"/>
              <w:rPr>
                <w:sz w:val="18"/>
                <w:szCs w:val="18"/>
              </w:rPr>
            </w:pPr>
            <w:r w:rsidRPr="00EB118C">
              <w:rPr>
                <w:sz w:val="18"/>
                <w:szCs w:val="18"/>
              </w:rPr>
              <w:t>C stock change</w:t>
            </w:r>
          </w:p>
        </w:tc>
        <w:tc>
          <w:tcPr>
            <w:tcW w:w="1257" w:type="dxa"/>
            <w:shd w:val="clear" w:color="auto" w:fill="FFFFFF" w:themeFill="background1"/>
            <w:vAlign w:val="center"/>
          </w:tcPr>
          <w:p w14:paraId="32120D5C" w14:textId="77777777" w:rsidR="008C71B4" w:rsidRPr="00EB118C" w:rsidRDefault="008C71B4" w:rsidP="00CE32DB">
            <w:pPr>
              <w:jc w:val="center"/>
              <w:rPr>
                <w:sz w:val="18"/>
                <w:szCs w:val="18"/>
              </w:rPr>
            </w:pPr>
          </w:p>
        </w:tc>
        <w:tc>
          <w:tcPr>
            <w:tcW w:w="1575" w:type="dxa"/>
            <w:vAlign w:val="center"/>
          </w:tcPr>
          <w:p w14:paraId="799756DD" w14:textId="77777777" w:rsidR="008C71B4" w:rsidRPr="00EB118C" w:rsidRDefault="008C71B4" w:rsidP="00CE32DB">
            <w:pPr>
              <w:jc w:val="center"/>
              <w:rPr>
                <w:sz w:val="18"/>
                <w:szCs w:val="18"/>
              </w:rPr>
            </w:pPr>
          </w:p>
        </w:tc>
        <w:tc>
          <w:tcPr>
            <w:tcW w:w="1575" w:type="dxa"/>
            <w:vAlign w:val="center"/>
          </w:tcPr>
          <w:p w14:paraId="3DEC5CD3" w14:textId="4AB5E7EF" w:rsidR="008C71B4" w:rsidRPr="00EB118C" w:rsidRDefault="008C71B4" w:rsidP="00CE32DB">
            <w:pPr>
              <w:jc w:val="center"/>
              <w:rPr>
                <w:sz w:val="18"/>
                <w:szCs w:val="18"/>
              </w:rPr>
            </w:pPr>
            <w:r w:rsidRPr="00EB118C">
              <w:rPr>
                <w:sz w:val="18"/>
                <w:szCs w:val="18"/>
              </w:rPr>
              <w:t>17.5</w:t>
            </w:r>
            <w:r w:rsidR="00AE2C66">
              <w:rPr>
                <w:sz w:val="18"/>
                <w:szCs w:val="18"/>
              </w:rPr>
              <w:t xml:space="preserve"> </w:t>
            </w:r>
            <w:r w:rsidRPr="00EB118C">
              <w:rPr>
                <w:sz w:val="18"/>
                <w:szCs w:val="18"/>
                <w:vertAlign w:val="superscript"/>
              </w:rPr>
              <w:t>h</w:t>
            </w:r>
          </w:p>
        </w:tc>
      </w:tr>
      <w:tr w:rsidR="008C71B4" w:rsidRPr="00EB118C" w14:paraId="71AF40E3" w14:textId="77777777" w:rsidTr="00CE32DB">
        <w:tc>
          <w:tcPr>
            <w:tcW w:w="1978" w:type="dxa"/>
            <w:vAlign w:val="center"/>
          </w:tcPr>
          <w:p w14:paraId="5732C076" w14:textId="77777777" w:rsidR="008C71B4" w:rsidRPr="00EB118C" w:rsidRDefault="008C71B4" w:rsidP="00CE32DB">
            <w:pPr>
              <w:jc w:val="center"/>
              <w:rPr>
                <w:sz w:val="18"/>
                <w:szCs w:val="18"/>
              </w:rPr>
            </w:pPr>
            <w:r w:rsidRPr="00EB118C">
              <w:rPr>
                <w:sz w:val="18"/>
                <w:szCs w:val="18"/>
              </w:rPr>
              <w:t>Wetlands</w:t>
            </w:r>
          </w:p>
        </w:tc>
        <w:tc>
          <w:tcPr>
            <w:tcW w:w="2520" w:type="dxa"/>
            <w:vAlign w:val="center"/>
          </w:tcPr>
          <w:p w14:paraId="510E4FE6" w14:textId="77777777" w:rsidR="008C71B4" w:rsidRPr="00EB118C" w:rsidRDefault="008C71B4" w:rsidP="00CE32DB">
            <w:pPr>
              <w:jc w:val="center"/>
              <w:rPr>
                <w:sz w:val="18"/>
                <w:szCs w:val="18"/>
              </w:rPr>
            </w:pPr>
            <w:r w:rsidRPr="00EB118C">
              <w:rPr>
                <w:sz w:val="18"/>
                <w:szCs w:val="18"/>
              </w:rPr>
              <w:t>CH</w:t>
            </w:r>
            <w:r w:rsidRPr="00EB118C">
              <w:rPr>
                <w:sz w:val="18"/>
                <w:szCs w:val="18"/>
                <w:vertAlign w:val="subscript"/>
              </w:rPr>
              <w:t>4</w:t>
            </w:r>
            <w:r w:rsidRPr="00EB118C">
              <w:rPr>
                <w:sz w:val="18"/>
                <w:szCs w:val="18"/>
              </w:rPr>
              <w:t xml:space="preserve"> emissions</w:t>
            </w:r>
          </w:p>
        </w:tc>
        <w:tc>
          <w:tcPr>
            <w:tcW w:w="1257" w:type="dxa"/>
            <w:shd w:val="clear" w:color="auto" w:fill="FFFFFF" w:themeFill="background1"/>
            <w:vAlign w:val="center"/>
          </w:tcPr>
          <w:p w14:paraId="2D1C0D03" w14:textId="77777777" w:rsidR="008C71B4" w:rsidRPr="00EB118C" w:rsidRDefault="008C71B4" w:rsidP="00CE32DB">
            <w:pPr>
              <w:jc w:val="center"/>
              <w:rPr>
                <w:sz w:val="18"/>
                <w:szCs w:val="18"/>
              </w:rPr>
            </w:pPr>
          </w:p>
        </w:tc>
        <w:tc>
          <w:tcPr>
            <w:tcW w:w="1575" w:type="dxa"/>
            <w:vAlign w:val="center"/>
          </w:tcPr>
          <w:p w14:paraId="282BF97E" w14:textId="77777777" w:rsidR="008C71B4" w:rsidRPr="00EB118C" w:rsidRDefault="008C71B4" w:rsidP="00CE32DB">
            <w:pPr>
              <w:jc w:val="center"/>
              <w:rPr>
                <w:sz w:val="18"/>
                <w:szCs w:val="18"/>
              </w:rPr>
            </w:pPr>
          </w:p>
        </w:tc>
        <w:tc>
          <w:tcPr>
            <w:tcW w:w="1575" w:type="dxa"/>
            <w:vAlign w:val="center"/>
          </w:tcPr>
          <w:p w14:paraId="3A0F229A" w14:textId="3F8F8C26" w:rsidR="008C71B4" w:rsidRPr="00EB118C" w:rsidRDefault="008C71B4" w:rsidP="00CE32DB">
            <w:pPr>
              <w:jc w:val="center"/>
              <w:rPr>
                <w:sz w:val="18"/>
                <w:szCs w:val="18"/>
              </w:rPr>
            </w:pPr>
            <w:r w:rsidRPr="00EB118C">
              <w:rPr>
                <w:sz w:val="18"/>
                <w:szCs w:val="18"/>
              </w:rPr>
              <w:t>23.</w:t>
            </w:r>
            <w:r w:rsidR="006D49B6">
              <w:rPr>
                <w:sz w:val="18"/>
                <w:szCs w:val="18"/>
              </w:rPr>
              <w:t>2</w:t>
            </w:r>
            <w:r w:rsidR="00AE2C66">
              <w:rPr>
                <w:sz w:val="18"/>
                <w:szCs w:val="18"/>
              </w:rPr>
              <w:t xml:space="preserve"> </w:t>
            </w:r>
            <w:r w:rsidRPr="00EB118C">
              <w:rPr>
                <w:sz w:val="18"/>
                <w:szCs w:val="18"/>
                <w:vertAlign w:val="superscript"/>
              </w:rPr>
              <w:t>h</w:t>
            </w:r>
          </w:p>
        </w:tc>
      </w:tr>
      <w:tr w:rsidR="008C71B4" w:rsidRPr="00EB118C" w14:paraId="7CCA4B9A" w14:textId="77777777" w:rsidTr="00CE32DB">
        <w:tc>
          <w:tcPr>
            <w:tcW w:w="1978" w:type="dxa"/>
            <w:vAlign w:val="center"/>
          </w:tcPr>
          <w:p w14:paraId="6B594796" w14:textId="77777777" w:rsidR="008C71B4" w:rsidRPr="00EB118C" w:rsidRDefault="008C71B4" w:rsidP="00CE32DB">
            <w:pPr>
              <w:jc w:val="center"/>
              <w:rPr>
                <w:sz w:val="18"/>
                <w:szCs w:val="18"/>
              </w:rPr>
            </w:pPr>
            <w:r w:rsidRPr="00EB118C">
              <w:rPr>
                <w:sz w:val="18"/>
                <w:szCs w:val="18"/>
              </w:rPr>
              <w:lastRenderedPageBreak/>
              <w:t>Settlements</w:t>
            </w:r>
          </w:p>
        </w:tc>
        <w:tc>
          <w:tcPr>
            <w:tcW w:w="2520" w:type="dxa"/>
            <w:vAlign w:val="center"/>
          </w:tcPr>
          <w:p w14:paraId="5B1C40E6" w14:textId="77777777" w:rsidR="008C71B4" w:rsidRPr="00EB118C" w:rsidRDefault="008C71B4" w:rsidP="00CE32DB">
            <w:pPr>
              <w:jc w:val="center"/>
              <w:rPr>
                <w:sz w:val="18"/>
                <w:szCs w:val="18"/>
              </w:rPr>
            </w:pPr>
            <w:r w:rsidRPr="00EB118C">
              <w:rPr>
                <w:sz w:val="18"/>
                <w:szCs w:val="18"/>
              </w:rPr>
              <w:t>C stock change, drained organic soils</w:t>
            </w:r>
          </w:p>
        </w:tc>
        <w:tc>
          <w:tcPr>
            <w:tcW w:w="1257" w:type="dxa"/>
            <w:shd w:val="clear" w:color="auto" w:fill="FFFFFF" w:themeFill="background1"/>
            <w:vAlign w:val="center"/>
          </w:tcPr>
          <w:p w14:paraId="65F297B0" w14:textId="2879EDA6" w:rsidR="008C71B4" w:rsidRPr="00EB118C" w:rsidRDefault="008C71B4" w:rsidP="00CE32DB">
            <w:pPr>
              <w:jc w:val="center"/>
              <w:rPr>
                <w:sz w:val="18"/>
                <w:szCs w:val="18"/>
              </w:rPr>
            </w:pPr>
            <w:r w:rsidRPr="00EB118C">
              <w:rPr>
                <w:sz w:val="18"/>
                <w:szCs w:val="18"/>
              </w:rPr>
              <w:t>46.43</w:t>
            </w:r>
            <w:r w:rsidR="00AE2C66">
              <w:rPr>
                <w:sz w:val="18"/>
                <w:szCs w:val="18"/>
              </w:rPr>
              <w:t xml:space="preserve"> </w:t>
            </w:r>
            <w:r w:rsidRPr="00EB118C">
              <w:rPr>
                <w:sz w:val="18"/>
                <w:szCs w:val="18"/>
                <w:vertAlign w:val="superscript"/>
              </w:rPr>
              <w:t>k</w:t>
            </w:r>
          </w:p>
        </w:tc>
        <w:tc>
          <w:tcPr>
            <w:tcW w:w="1575" w:type="dxa"/>
            <w:vAlign w:val="center"/>
          </w:tcPr>
          <w:p w14:paraId="26B21680" w14:textId="70368DF1" w:rsidR="008C71B4" w:rsidRPr="00EB118C" w:rsidRDefault="008C71B4" w:rsidP="00CE32DB">
            <w:pPr>
              <w:jc w:val="center"/>
              <w:rPr>
                <w:sz w:val="18"/>
                <w:szCs w:val="18"/>
              </w:rPr>
            </w:pPr>
            <w:r w:rsidRPr="00EB118C">
              <w:rPr>
                <w:sz w:val="18"/>
                <w:szCs w:val="18"/>
              </w:rPr>
              <w:t>0.0001</w:t>
            </w:r>
            <w:r w:rsidR="00AE2C66">
              <w:rPr>
                <w:sz w:val="18"/>
                <w:szCs w:val="18"/>
              </w:rPr>
              <w:t xml:space="preserve"> </w:t>
            </w:r>
            <w:r w:rsidRPr="00EB118C">
              <w:rPr>
                <w:sz w:val="18"/>
                <w:szCs w:val="18"/>
                <w:vertAlign w:val="superscript"/>
              </w:rPr>
              <w:t>l</w:t>
            </w:r>
          </w:p>
        </w:tc>
        <w:tc>
          <w:tcPr>
            <w:tcW w:w="1575" w:type="dxa"/>
            <w:vAlign w:val="center"/>
          </w:tcPr>
          <w:p w14:paraId="191604FE" w14:textId="01005CDC" w:rsidR="008C71B4" w:rsidRPr="00EB118C" w:rsidRDefault="006D49B6" w:rsidP="00CE32DB">
            <w:pPr>
              <w:jc w:val="center"/>
              <w:rPr>
                <w:sz w:val="18"/>
                <w:szCs w:val="18"/>
              </w:rPr>
            </w:pPr>
            <w:r>
              <w:rPr>
                <w:sz w:val="18"/>
                <w:szCs w:val="18"/>
              </w:rPr>
              <w:t>-</w:t>
            </w:r>
          </w:p>
        </w:tc>
      </w:tr>
      <w:tr w:rsidR="008C71B4" w:rsidRPr="00EB118C" w14:paraId="12068A81" w14:textId="77777777" w:rsidTr="00CE32DB">
        <w:tc>
          <w:tcPr>
            <w:tcW w:w="1978" w:type="dxa"/>
            <w:vAlign w:val="center"/>
          </w:tcPr>
          <w:p w14:paraId="77C35026" w14:textId="77777777" w:rsidR="008C71B4" w:rsidRPr="00EB118C" w:rsidRDefault="008C71B4" w:rsidP="00CE32DB">
            <w:pPr>
              <w:jc w:val="center"/>
              <w:rPr>
                <w:sz w:val="18"/>
                <w:szCs w:val="18"/>
              </w:rPr>
            </w:pPr>
            <w:r w:rsidRPr="00EB118C">
              <w:rPr>
                <w:sz w:val="18"/>
                <w:szCs w:val="18"/>
              </w:rPr>
              <w:t>Settlements</w:t>
            </w:r>
          </w:p>
        </w:tc>
        <w:tc>
          <w:tcPr>
            <w:tcW w:w="2520" w:type="dxa"/>
            <w:vAlign w:val="center"/>
          </w:tcPr>
          <w:p w14:paraId="1AE6AFBA" w14:textId="77777777" w:rsidR="008C71B4" w:rsidRPr="00EB118C" w:rsidRDefault="008C71B4" w:rsidP="00CE32DB">
            <w:pPr>
              <w:jc w:val="center"/>
              <w:rPr>
                <w:sz w:val="18"/>
                <w:szCs w:val="18"/>
              </w:rPr>
            </w:pPr>
            <w:r w:rsidRPr="00EB118C">
              <w:rPr>
                <w:sz w:val="18"/>
                <w:szCs w:val="18"/>
              </w:rPr>
              <w:t>N</w:t>
            </w:r>
            <w:r w:rsidRPr="00EB118C">
              <w:rPr>
                <w:sz w:val="18"/>
                <w:szCs w:val="18"/>
                <w:vertAlign w:val="subscript"/>
              </w:rPr>
              <w:t>2</w:t>
            </w:r>
            <w:r w:rsidRPr="00EB118C">
              <w:rPr>
                <w:sz w:val="18"/>
                <w:szCs w:val="18"/>
              </w:rPr>
              <w:t>O, drained organic soils</w:t>
            </w:r>
          </w:p>
        </w:tc>
        <w:tc>
          <w:tcPr>
            <w:tcW w:w="1257" w:type="dxa"/>
            <w:shd w:val="clear" w:color="auto" w:fill="FFFFFF" w:themeFill="background1"/>
            <w:vAlign w:val="center"/>
          </w:tcPr>
          <w:p w14:paraId="1EF03808" w14:textId="689EC91A" w:rsidR="008C71B4" w:rsidRPr="00EB118C" w:rsidRDefault="008C71B4" w:rsidP="00CE32DB">
            <w:pPr>
              <w:jc w:val="center"/>
              <w:rPr>
                <w:sz w:val="18"/>
                <w:szCs w:val="18"/>
              </w:rPr>
            </w:pPr>
            <w:r w:rsidRPr="00EB118C">
              <w:rPr>
                <w:sz w:val="18"/>
                <w:szCs w:val="18"/>
              </w:rPr>
              <w:t>9.39</w:t>
            </w:r>
            <w:r w:rsidR="00AE2C66">
              <w:rPr>
                <w:sz w:val="18"/>
                <w:szCs w:val="18"/>
              </w:rPr>
              <w:t xml:space="preserve"> </w:t>
            </w:r>
            <w:r w:rsidRPr="00EB118C">
              <w:rPr>
                <w:sz w:val="18"/>
                <w:szCs w:val="18"/>
                <w:vertAlign w:val="superscript"/>
              </w:rPr>
              <w:t>m</w:t>
            </w:r>
          </w:p>
        </w:tc>
        <w:tc>
          <w:tcPr>
            <w:tcW w:w="1575" w:type="dxa"/>
            <w:vAlign w:val="center"/>
          </w:tcPr>
          <w:p w14:paraId="00A24CFF" w14:textId="3B9B1D37" w:rsidR="008C71B4" w:rsidRPr="00EB118C" w:rsidRDefault="008C71B4" w:rsidP="00CE32DB">
            <w:pPr>
              <w:jc w:val="center"/>
              <w:rPr>
                <w:sz w:val="18"/>
                <w:szCs w:val="18"/>
              </w:rPr>
            </w:pPr>
            <w:r w:rsidRPr="00EB118C">
              <w:rPr>
                <w:sz w:val="18"/>
                <w:szCs w:val="18"/>
              </w:rPr>
              <w:t>0.0001</w:t>
            </w:r>
            <w:r w:rsidR="00AE2C66">
              <w:rPr>
                <w:sz w:val="18"/>
                <w:szCs w:val="18"/>
              </w:rPr>
              <w:t xml:space="preserve"> </w:t>
            </w:r>
            <w:r w:rsidRPr="00EB118C">
              <w:rPr>
                <w:sz w:val="18"/>
                <w:szCs w:val="18"/>
                <w:vertAlign w:val="superscript"/>
              </w:rPr>
              <w:t>l</w:t>
            </w:r>
          </w:p>
        </w:tc>
        <w:tc>
          <w:tcPr>
            <w:tcW w:w="1575" w:type="dxa"/>
            <w:vAlign w:val="center"/>
          </w:tcPr>
          <w:p w14:paraId="6D708E0D" w14:textId="05F7093D" w:rsidR="008C71B4" w:rsidRPr="00EB118C" w:rsidRDefault="006D49B6" w:rsidP="00CE32DB">
            <w:pPr>
              <w:jc w:val="center"/>
              <w:rPr>
                <w:sz w:val="18"/>
                <w:szCs w:val="18"/>
              </w:rPr>
            </w:pPr>
            <w:r>
              <w:rPr>
                <w:sz w:val="18"/>
                <w:szCs w:val="18"/>
              </w:rPr>
              <w:t>-</w:t>
            </w:r>
          </w:p>
        </w:tc>
      </w:tr>
      <w:tr w:rsidR="008C71B4" w:rsidRPr="00EB118C" w14:paraId="630FFA39" w14:textId="77777777" w:rsidTr="00CE32DB">
        <w:tc>
          <w:tcPr>
            <w:tcW w:w="1978" w:type="dxa"/>
            <w:vAlign w:val="center"/>
          </w:tcPr>
          <w:p w14:paraId="1FFC2698" w14:textId="77777777" w:rsidR="008C71B4" w:rsidRPr="00EB118C" w:rsidRDefault="008C71B4" w:rsidP="00CE32DB">
            <w:pPr>
              <w:jc w:val="center"/>
              <w:rPr>
                <w:sz w:val="18"/>
                <w:szCs w:val="18"/>
              </w:rPr>
            </w:pPr>
            <w:r w:rsidRPr="00EB118C">
              <w:rPr>
                <w:sz w:val="18"/>
                <w:szCs w:val="18"/>
              </w:rPr>
              <w:t>Total</w:t>
            </w:r>
          </w:p>
        </w:tc>
        <w:tc>
          <w:tcPr>
            <w:tcW w:w="2520" w:type="dxa"/>
            <w:vAlign w:val="center"/>
          </w:tcPr>
          <w:p w14:paraId="276163BF" w14:textId="77777777" w:rsidR="008C71B4" w:rsidRPr="00EB118C" w:rsidRDefault="008C71B4" w:rsidP="00CE32DB">
            <w:pPr>
              <w:jc w:val="center"/>
              <w:rPr>
                <w:sz w:val="18"/>
                <w:szCs w:val="18"/>
              </w:rPr>
            </w:pPr>
          </w:p>
        </w:tc>
        <w:tc>
          <w:tcPr>
            <w:tcW w:w="1257" w:type="dxa"/>
            <w:shd w:val="clear" w:color="auto" w:fill="FFFFFF" w:themeFill="background1"/>
            <w:vAlign w:val="center"/>
          </w:tcPr>
          <w:p w14:paraId="5E3C57A6" w14:textId="77777777" w:rsidR="008C71B4" w:rsidRPr="00EB118C" w:rsidRDefault="008C71B4" w:rsidP="00CE32DB">
            <w:pPr>
              <w:jc w:val="center"/>
              <w:rPr>
                <w:sz w:val="18"/>
                <w:szCs w:val="18"/>
              </w:rPr>
            </w:pPr>
          </w:p>
        </w:tc>
        <w:tc>
          <w:tcPr>
            <w:tcW w:w="1575" w:type="dxa"/>
            <w:vAlign w:val="center"/>
          </w:tcPr>
          <w:p w14:paraId="4BFB5D29" w14:textId="77777777" w:rsidR="008C71B4" w:rsidRPr="00EB118C" w:rsidRDefault="008C71B4" w:rsidP="00CE32DB">
            <w:pPr>
              <w:jc w:val="center"/>
              <w:rPr>
                <w:sz w:val="18"/>
                <w:szCs w:val="18"/>
              </w:rPr>
            </w:pPr>
          </w:p>
        </w:tc>
        <w:tc>
          <w:tcPr>
            <w:tcW w:w="1575" w:type="dxa"/>
            <w:vAlign w:val="center"/>
          </w:tcPr>
          <w:p w14:paraId="0531D047" w14:textId="712A2E2B" w:rsidR="008C71B4" w:rsidRPr="00EB118C" w:rsidRDefault="0046516D" w:rsidP="0046516D">
            <w:pPr>
              <w:jc w:val="center"/>
              <w:rPr>
                <w:sz w:val="18"/>
                <w:szCs w:val="18"/>
              </w:rPr>
            </w:pPr>
            <w:r>
              <w:rPr>
                <w:sz w:val="18"/>
                <w:szCs w:val="18"/>
              </w:rPr>
              <w:t>90</w:t>
            </w:r>
            <w:r w:rsidR="008C71B4" w:rsidRPr="00EB118C">
              <w:rPr>
                <w:sz w:val="18"/>
                <w:szCs w:val="18"/>
              </w:rPr>
              <w:t>.</w:t>
            </w:r>
            <w:r>
              <w:rPr>
                <w:sz w:val="18"/>
                <w:szCs w:val="18"/>
              </w:rPr>
              <w:t>4</w:t>
            </w:r>
          </w:p>
        </w:tc>
      </w:tr>
    </w:tbl>
    <w:p w14:paraId="76FF5304" w14:textId="2AF08226" w:rsidR="008C71B4" w:rsidRPr="00EB118C" w:rsidRDefault="00B2516C" w:rsidP="00EB118C">
      <w:pPr>
        <w:rPr>
          <w:i/>
          <w:sz w:val="18"/>
          <w:szCs w:val="18"/>
        </w:rPr>
      </w:pPr>
      <w:r w:rsidRPr="00B2516C">
        <w:rPr>
          <w:i/>
          <w:sz w:val="18"/>
          <w:szCs w:val="18"/>
        </w:rPr>
        <w:t>Negative values indicate CO</w:t>
      </w:r>
      <w:r w:rsidRPr="00B2516C">
        <w:rPr>
          <w:i/>
          <w:sz w:val="18"/>
          <w:szCs w:val="18"/>
          <w:vertAlign w:val="subscript"/>
        </w:rPr>
        <w:t>2</w:t>
      </w:r>
      <w:r w:rsidRPr="00B2516C">
        <w:rPr>
          <w:i/>
          <w:sz w:val="18"/>
          <w:szCs w:val="18"/>
        </w:rPr>
        <w:t xml:space="preserve"> sequestration.</w:t>
      </w:r>
      <w:r w:rsidR="006D49B6">
        <w:rPr>
          <w:i/>
          <w:sz w:val="18"/>
          <w:szCs w:val="18"/>
        </w:rPr>
        <w:t xml:space="preserve"> “-</w:t>
      </w:r>
      <w:proofErr w:type="gramStart"/>
      <w:r w:rsidR="006D49B6">
        <w:rPr>
          <w:i/>
          <w:sz w:val="18"/>
          <w:szCs w:val="18"/>
        </w:rPr>
        <w:t>“ signifies</w:t>
      </w:r>
      <w:proofErr w:type="gramEnd"/>
      <w:r w:rsidR="006D49B6">
        <w:rPr>
          <w:i/>
          <w:sz w:val="18"/>
          <w:szCs w:val="18"/>
        </w:rPr>
        <w:t xml:space="preserve"> less than 0.05 MMT CO</w:t>
      </w:r>
      <w:r w:rsidR="006D49B6" w:rsidRPr="003B4036">
        <w:rPr>
          <w:i/>
          <w:sz w:val="18"/>
          <w:szCs w:val="18"/>
          <w:vertAlign w:val="subscript"/>
        </w:rPr>
        <w:t>2</w:t>
      </w:r>
      <w:r w:rsidR="006D49B6">
        <w:rPr>
          <w:i/>
          <w:sz w:val="18"/>
          <w:szCs w:val="18"/>
        </w:rPr>
        <w:t>e flux.</w:t>
      </w:r>
      <w:r>
        <w:rPr>
          <w:i/>
          <w:sz w:val="18"/>
          <w:szCs w:val="18"/>
        </w:rPr>
        <w:t xml:space="preserve"> </w:t>
      </w:r>
      <w:r w:rsidR="0007172C" w:rsidRPr="0007172C">
        <w:rPr>
          <w:i/>
          <w:sz w:val="18"/>
          <w:szCs w:val="18"/>
        </w:rPr>
        <w:t xml:space="preserve">All tables </w:t>
      </w:r>
      <w:r w:rsidR="0007172C">
        <w:rPr>
          <w:i/>
          <w:sz w:val="18"/>
          <w:szCs w:val="18"/>
        </w:rPr>
        <w:t xml:space="preserve">discussed </w:t>
      </w:r>
      <w:r w:rsidR="0007172C" w:rsidRPr="0007172C">
        <w:rPr>
          <w:i/>
          <w:sz w:val="18"/>
          <w:szCs w:val="18"/>
        </w:rPr>
        <w:t>here</w:t>
      </w:r>
      <w:r w:rsidR="0007172C">
        <w:rPr>
          <w:i/>
          <w:sz w:val="18"/>
          <w:szCs w:val="18"/>
        </w:rPr>
        <w:t xml:space="preserve"> and not otherwise cited </w:t>
      </w:r>
      <w:r w:rsidR="0007172C" w:rsidRPr="0007172C">
        <w:rPr>
          <w:i/>
          <w:sz w:val="18"/>
          <w:szCs w:val="18"/>
        </w:rPr>
        <w:t xml:space="preserve">refer to NGHGI </w:t>
      </w:r>
      <w:r>
        <w:rPr>
          <w:i/>
          <w:sz w:val="18"/>
          <w:szCs w:val="18"/>
        </w:rPr>
        <w:t>(</w:t>
      </w:r>
      <w:r w:rsidR="0007172C" w:rsidRPr="0007172C">
        <w:rPr>
          <w:i/>
          <w:sz w:val="18"/>
          <w:szCs w:val="18"/>
        </w:rPr>
        <w:t>2019</w:t>
      </w:r>
      <w:r>
        <w:rPr>
          <w:i/>
          <w:sz w:val="18"/>
          <w:szCs w:val="18"/>
        </w:rPr>
        <w:t>)</w:t>
      </w:r>
      <w:r w:rsidR="0007172C" w:rsidRPr="0007172C">
        <w:rPr>
          <w:i/>
          <w:sz w:val="18"/>
          <w:szCs w:val="18"/>
        </w:rPr>
        <w:t>, Annex 3 and Chapter 6.</w:t>
      </w:r>
      <w:r w:rsidR="008C71B4" w:rsidRPr="00EB118C">
        <w:rPr>
          <w:i/>
          <w:sz w:val="18"/>
          <w:szCs w:val="18"/>
        </w:rPr>
        <w:t xml:space="preserve"> (a) Total 2017 Tier 1 and Tier 3 N</w:t>
      </w:r>
      <w:r w:rsidR="008C71B4" w:rsidRPr="00EB118C">
        <w:rPr>
          <w:i/>
          <w:sz w:val="18"/>
          <w:szCs w:val="18"/>
          <w:vertAlign w:val="subscript"/>
        </w:rPr>
        <w:t>2</w:t>
      </w:r>
      <w:r w:rsidR="008C71B4" w:rsidRPr="00EB118C">
        <w:rPr>
          <w:i/>
          <w:sz w:val="18"/>
          <w:szCs w:val="18"/>
        </w:rPr>
        <w:t>O emissions on mineral soils from managed manure additions, other organic amendments, crop/grass residue N, mineralization of SOM (Table A-207, A-208) divided by total 2012 mineral soil cropland and grassland area, plus portion of indirect N</w:t>
      </w:r>
      <w:r w:rsidR="008C71B4" w:rsidRPr="00EB118C">
        <w:rPr>
          <w:i/>
          <w:sz w:val="18"/>
          <w:szCs w:val="18"/>
          <w:vertAlign w:val="subscript"/>
        </w:rPr>
        <w:t>2</w:t>
      </w:r>
      <w:r w:rsidR="008C71B4" w:rsidRPr="00EB118C">
        <w:rPr>
          <w:i/>
          <w:sz w:val="18"/>
          <w:szCs w:val="18"/>
        </w:rPr>
        <w:t xml:space="preserve">O emissions attributable to other N additions (Table A-216, A-217); (b) Total Alaska cropland and grassland mineral soil area, assuming 15% of Alaska grassland is organic soil (Table </w:t>
      </w:r>
      <w:r w:rsidR="007D6D6E">
        <w:rPr>
          <w:i/>
          <w:sz w:val="18"/>
          <w:szCs w:val="18"/>
        </w:rPr>
        <w:t>2</w:t>
      </w:r>
      <w:r w:rsidR="005F6840">
        <w:rPr>
          <w:i/>
          <w:sz w:val="18"/>
          <w:szCs w:val="18"/>
        </w:rPr>
        <w:t>-4</w:t>
      </w:r>
      <w:r w:rsidR="00D20A10">
        <w:rPr>
          <w:i/>
          <w:sz w:val="18"/>
          <w:szCs w:val="18"/>
        </w:rPr>
        <w:t>0</w:t>
      </w:r>
      <w:r w:rsidR="00EB118C">
        <w:rPr>
          <w:i/>
          <w:sz w:val="18"/>
          <w:szCs w:val="18"/>
        </w:rPr>
        <w:t xml:space="preserve"> in this document</w:t>
      </w:r>
      <w:r w:rsidR="008C71B4" w:rsidRPr="00EB118C">
        <w:rPr>
          <w:i/>
          <w:sz w:val="18"/>
          <w:szCs w:val="18"/>
        </w:rPr>
        <w:t>); (c) Total N</w:t>
      </w:r>
      <w:r w:rsidR="008C71B4" w:rsidRPr="00EB118C">
        <w:rPr>
          <w:i/>
          <w:sz w:val="18"/>
          <w:szCs w:val="18"/>
          <w:vertAlign w:val="subscript"/>
        </w:rPr>
        <w:t>2</w:t>
      </w:r>
      <w:r w:rsidR="008C71B4" w:rsidRPr="00EB118C">
        <w:rPr>
          <w:i/>
          <w:sz w:val="18"/>
          <w:szCs w:val="18"/>
        </w:rPr>
        <w:t xml:space="preserve">O from drainage of organic soils on cropland and grassland (Table A-212) divided by total area of drained organic soils (Table A-201); (d) percent of total cropland and grassland area on organic soils (Table A-199), multiplied by total Alaska cropland and grassland area from Table </w:t>
      </w:r>
      <w:r w:rsidR="007D6D6E">
        <w:rPr>
          <w:i/>
          <w:sz w:val="18"/>
          <w:szCs w:val="18"/>
        </w:rPr>
        <w:t>2</w:t>
      </w:r>
      <w:r w:rsidR="005F6840">
        <w:rPr>
          <w:i/>
          <w:sz w:val="18"/>
          <w:szCs w:val="18"/>
        </w:rPr>
        <w:t>-4</w:t>
      </w:r>
      <w:r w:rsidR="007516B1">
        <w:rPr>
          <w:i/>
          <w:sz w:val="18"/>
          <w:szCs w:val="18"/>
        </w:rPr>
        <w:t>1</w:t>
      </w:r>
      <w:r w:rsidR="00EB118C">
        <w:rPr>
          <w:i/>
          <w:sz w:val="18"/>
          <w:szCs w:val="18"/>
        </w:rPr>
        <w:t xml:space="preserve"> in this document</w:t>
      </w:r>
      <w:r w:rsidR="008C71B4" w:rsidRPr="00EB118C">
        <w:rPr>
          <w:i/>
          <w:sz w:val="18"/>
          <w:szCs w:val="18"/>
        </w:rPr>
        <w:t>. Note these calculations implicitly assume all (estimated) organic soil in Alaskan grasslands is drained, a strong assumption; (e) Total CO</w:t>
      </w:r>
      <w:r w:rsidR="008C71B4" w:rsidRPr="00EB118C">
        <w:rPr>
          <w:i/>
          <w:sz w:val="18"/>
          <w:szCs w:val="18"/>
          <w:vertAlign w:val="subscript"/>
        </w:rPr>
        <w:t>2</w:t>
      </w:r>
      <w:r w:rsidR="008C71B4" w:rsidRPr="00EB118C">
        <w:rPr>
          <w:i/>
          <w:sz w:val="18"/>
          <w:szCs w:val="18"/>
        </w:rPr>
        <w:t xml:space="preserve"> emissions from drained organic soils (Table A-214) divided by total area of drained organic soils (Table A-201); (f) Total Alaska cropland area multiplied by percent of total cropland and grassland area on organic soils (Table A-199). Note we do not include CO</w:t>
      </w:r>
      <w:r w:rsidR="008C71B4" w:rsidRPr="00EB118C">
        <w:rPr>
          <w:i/>
          <w:sz w:val="18"/>
          <w:szCs w:val="18"/>
          <w:vertAlign w:val="subscript"/>
        </w:rPr>
        <w:t>2</w:t>
      </w:r>
      <w:r w:rsidR="008C71B4" w:rsidRPr="00EB118C">
        <w:rPr>
          <w:i/>
          <w:sz w:val="18"/>
          <w:szCs w:val="18"/>
        </w:rPr>
        <w:t xml:space="preserve"> from grassland drained organic soils to avoid any overlap with grassland soil C stock change estimates from </w:t>
      </w:r>
      <w:r w:rsidR="0007172C">
        <w:rPr>
          <w:i/>
          <w:sz w:val="18"/>
          <w:szCs w:val="18"/>
        </w:rPr>
        <w:t>Zhu and McGuire (2016)</w:t>
      </w:r>
      <w:r w:rsidR="008C71B4" w:rsidRPr="00EB118C">
        <w:rPr>
          <w:i/>
          <w:sz w:val="18"/>
          <w:szCs w:val="18"/>
        </w:rPr>
        <w:t xml:space="preserve"> (see part h); (g) Total CO</w:t>
      </w:r>
      <w:r w:rsidR="008C71B4" w:rsidRPr="0007172C">
        <w:rPr>
          <w:i/>
          <w:sz w:val="18"/>
          <w:szCs w:val="18"/>
          <w:vertAlign w:val="subscript"/>
        </w:rPr>
        <w:t>2</w:t>
      </w:r>
      <w:r w:rsidR="008C71B4" w:rsidRPr="00EB118C">
        <w:rPr>
          <w:i/>
          <w:sz w:val="18"/>
          <w:szCs w:val="18"/>
        </w:rPr>
        <w:t xml:space="preserve"> flux from soil carbon stock change on cropland mineral soils (Table A-209) divided by area of cropland mineral soils (Table 6-7, Table A-199); (h) NGHGI </w:t>
      </w:r>
      <w:r>
        <w:rPr>
          <w:i/>
          <w:sz w:val="18"/>
          <w:szCs w:val="18"/>
        </w:rPr>
        <w:t>(</w:t>
      </w:r>
      <w:r w:rsidR="008C71B4" w:rsidRPr="00EB118C">
        <w:rPr>
          <w:i/>
          <w:sz w:val="18"/>
          <w:szCs w:val="18"/>
        </w:rPr>
        <w:t>2018</w:t>
      </w:r>
      <w:r>
        <w:rPr>
          <w:i/>
          <w:sz w:val="18"/>
          <w:szCs w:val="18"/>
        </w:rPr>
        <w:t>)</w:t>
      </w:r>
      <w:r w:rsidR="008C71B4" w:rsidRPr="00EB118C">
        <w:rPr>
          <w:i/>
          <w:sz w:val="18"/>
          <w:szCs w:val="18"/>
        </w:rPr>
        <w:t xml:space="preserve"> Table 6-15 (</w:t>
      </w:r>
      <w:r w:rsidR="0007172C">
        <w:rPr>
          <w:i/>
          <w:sz w:val="18"/>
          <w:szCs w:val="18"/>
        </w:rPr>
        <w:t>Zhu and McGuire 2016</w:t>
      </w:r>
      <w:r w:rsidR="008C71B4" w:rsidRPr="00EB118C">
        <w:rPr>
          <w:i/>
          <w:sz w:val="18"/>
          <w:szCs w:val="18"/>
        </w:rPr>
        <w:t xml:space="preserve"> results overlaid on managed Alaska land base), Grassland soil C stock change includes methane emissions, Wetlands include all wetlands (not just coastal)</w:t>
      </w:r>
      <w:r w:rsidR="0007172C">
        <w:rPr>
          <w:i/>
          <w:sz w:val="18"/>
          <w:szCs w:val="18"/>
        </w:rPr>
        <w:t>;</w:t>
      </w:r>
      <w:r w:rsidR="008C71B4" w:rsidRPr="00EB118C">
        <w:rPr>
          <w:i/>
          <w:sz w:val="18"/>
          <w:szCs w:val="18"/>
        </w:rPr>
        <w:t xml:space="preserve"> (i) Calculated using Alaska Department of Natural Resources total area affect</w:t>
      </w:r>
      <w:r w:rsidR="0007172C">
        <w:rPr>
          <w:i/>
          <w:sz w:val="18"/>
          <w:szCs w:val="18"/>
        </w:rPr>
        <w:t>ed</w:t>
      </w:r>
      <w:r w:rsidR="008C71B4" w:rsidRPr="00EB118C">
        <w:rPr>
          <w:i/>
          <w:sz w:val="18"/>
          <w:szCs w:val="18"/>
        </w:rPr>
        <w:t xml:space="preserve"> by fires 2009-2017, scaling up total Alaska managed forest fires (Table A-233) to total forest fires (managed + unmanaged) and subtracting this </w:t>
      </w:r>
      <w:r w:rsidR="007516B1">
        <w:rPr>
          <w:i/>
          <w:sz w:val="18"/>
          <w:szCs w:val="18"/>
        </w:rPr>
        <w:t>value</w:t>
      </w:r>
      <w:r w:rsidR="007516B1" w:rsidRPr="00EB118C">
        <w:rPr>
          <w:i/>
          <w:sz w:val="18"/>
          <w:szCs w:val="18"/>
        </w:rPr>
        <w:t xml:space="preserve"> </w:t>
      </w:r>
      <w:r w:rsidR="008C71B4" w:rsidRPr="00EB118C">
        <w:rPr>
          <w:i/>
          <w:sz w:val="18"/>
          <w:szCs w:val="18"/>
        </w:rPr>
        <w:t>from total fire area to find grassland fire area, and scaling this down to managed grassland fire area. For detailed calculations see Spreadsheet Appendix; (j) Area of burned grassland is multiplied by 14.3 tons dry matter/ha (IPCC</w:t>
      </w:r>
      <w:r>
        <w:rPr>
          <w:i/>
          <w:sz w:val="18"/>
          <w:szCs w:val="18"/>
        </w:rPr>
        <w:t>,</w:t>
      </w:r>
      <w:r w:rsidR="008C71B4" w:rsidRPr="00EB118C">
        <w:rPr>
          <w:i/>
          <w:sz w:val="18"/>
          <w:szCs w:val="18"/>
        </w:rPr>
        <w:t xml:space="preserve"> 2006 default for shrublands – this is a higher amount of biomass than assumed for grassland fires in CONUS) and multiply dry matter by CH</w:t>
      </w:r>
      <w:r w:rsidR="008C71B4" w:rsidRPr="00EB118C">
        <w:rPr>
          <w:i/>
          <w:sz w:val="18"/>
          <w:szCs w:val="18"/>
          <w:vertAlign w:val="subscript"/>
        </w:rPr>
        <w:t>4</w:t>
      </w:r>
      <w:r w:rsidR="008C71B4" w:rsidRPr="00EB118C">
        <w:rPr>
          <w:i/>
          <w:sz w:val="18"/>
          <w:szCs w:val="18"/>
        </w:rPr>
        <w:t xml:space="preserve"> and N</w:t>
      </w:r>
      <w:r w:rsidR="008C71B4" w:rsidRPr="00EB118C">
        <w:rPr>
          <w:i/>
          <w:sz w:val="18"/>
          <w:szCs w:val="18"/>
          <w:vertAlign w:val="subscript"/>
        </w:rPr>
        <w:t>2</w:t>
      </w:r>
      <w:r w:rsidR="008C71B4" w:rsidRPr="00EB118C">
        <w:rPr>
          <w:i/>
          <w:sz w:val="18"/>
          <w:szCs w:val="18"/>
        </w:rPr>
        <w:t>O default emissions factors (IPCC</w:t>
      </w:r>
      <w:r>
        <w:rPr>
          <w:i/>
          <w:sz w:val="18"/>
          <w:szCs w:val="18"/>
        </w:rPr>
        <w:t>,</w:t>
      </w:r>
      <w:r w:rsidR="008C71B4" w:rsidRPr="00EB118C">
        <w:rPr>
          <w:i/>
          <w:sz w:val="18"/>
          <w:szCs w:val="18"/>
        </w:rPr>
        <w:t xml:space="preserve"> 2006); (k) Total C flux from drained organic soils on U.S. settlements (Table 6-68) divided by U.S. settlement area on organic soils (Table 6-70); (l) U.S. settlement area on organic soils (Table 6-70) divided by total U.S. settlement area (Table 6-6) net Alaska settlement area (Table </w:t>
      </w:r>
      <w:r w:rsidR="007D6D6E">
        <w:rPr>
          <w:i/>
          <w:sz w:val="18"/>
          <w:szCs w:val="18"/>
        </w:rPr>
        <w:t>2</w:t>
      </w:r>
      <w:r w:rsidR="005F6840">
        <w:rPr>
          <w:i/>
          <w:sz w:val="18"/>
          <w:szCs w:val="18"/>
        </w:rPr>
        <w:t>-4</w:t>
      </w:r>
      <w:r w:rsidR="00D20A10">
        <w:rPr>
          <w:i/>
          <w:sz w:val="18"/>
          <w:szCs w:val="18"/>
        </w:rPr>
        <w:t>0</w:t>
      </w:r>
      <w:r w:rsidR="00557ED2">
        <w:rPr>
          <w:i/>
          <w:sz w:val="18"/>
          <w:szCs w:val="18"/>
        </w:rPr>
        <w:t xml:space="preserve"> in this document</w:t>
      </w:r>
      <w:r w:rsidR="008C71B4" w:rsidRPr="00EB118C">
        <w:rPr>
          <w:i/>
          <w:sz w:val="18"/>
          <w:szCs w:val="18"/>
        </w:rPr>
        <w:t>), multiplied by Alaska settlement area; (m) Total direct and indirect N</w:t>
      </w:r>
      <w:r w:rsidR="008C71B4" w:rsidRPr="0007172C">
        <w:rPr>
          <w:i/>
          <w:sz w:val="18"/>
          <w:szCs w:val="18"/>
          <w:vertAlign w:val="subscript"/>
        </w:rPr>
        <w:t>2</w:t>
      </w:r>
      <w:r w:rsidR="008C71B4" w:rsidRPr="00EB118C">
        <w:rPr>
          <w:i/>
          <w:sz w:val="18"/>
          <w:szCs w:val="18"/>
        </w:rPr>
        <w:t>O from drained organic soils on U.S. settlements (Table 6-77) divided by U.S. settlement area on organic soils (Table 6-70).</w:t>
      </w:r>
    </w:p>
    <w:p w14:paraId="3C20B963" w14:textId="2C90A14F" w:rsidR="008C71B4" w:rsidRDefault="007516B1" w:rsidP="0007172C">
      <w:r>
        <w:t xml:space="preserve">We find </w:t>
      </w:r>
      <w:r w:rsidR="008C71B4">
        <w:t xml:space="preserve">that most of omitted Alaska </w:t>
      </w:r>
      <w:r w:rsidR="00B2516C">
        <w:t xml:space="preserve">GHG </w:t>
      </w:r>
      <w:r w:rsidR="008C71B4">
        <w:t xml:space="preserve">fluxes are small, with the exception of soil carbon stock changes in grasslands and wetlands, and methane emissions from wetlands. These categories cover large areas and also are at risk for significant changes due to climate change, as noted by Zhu and McGuire (2016). </w:t>
      </w:r>
    </w:p>
    <w:p w14:paraId="76777920" w14:textId="7BC303C7" w:rsidR="008C71B4" w:rsidRPr="00B2516C" w:rsidRDefault="008C71B4" w:rsidP="0007172C">
      <w:pPr>
        <w:rPr>
          <w:rStyle w:val="Strong"/>
          <w:rFonts w:eastAsiaTheme="majorEastAsia" w:cstheme="majorBidi"/>
          <w:b w:val="0"/>
          <w:color w:val="2E74B5" w:themeColor="accent1" w:themeShade="BF"/>
          <w:sz w:val="26"/>
          <w:szCs w:val="26"/>
        </w:rPr>
      </w:pPr>
      <w:r w:rsidRPr="00B2516C">
        <w:rPr>
          <w:rStyle w:val="Strong"/>
          <w:rFonts w:eastAsiaTheme="majorEastAsia" w:cstheme="majorBidi"/>
          <w:b w:val="0"/>
          <w:color w:val="2E74B5" w:themeColor="accent1" w:themeShade="BF"/>
          <w:sz w:val="26"/>
          <w:szCs w:val="26"/>
        </w:rPr>
        <w:t>Omitted</w:t>
      </w:r>
      <w:r w:rsidR="00195F4D">
        <w:rPr>
          <w:rStyle w:val="Strong"/>
          <w:rFonts w:eastAsiaTheme="majorEastAsia" w:cstheme="majorBidi"/>
          <w:b w:val="0"/>
          <w:color w:val="2E74B5" w:themeColor="accent1" w:themeShade="BF"/>
          <w:sz w:val="26"/>
          <w:szCs w:val="26"/>
        </w:rPr>
        <w:t xml:space="preserve"> GHG</w:t>
      </w:r>
      <w:r w:rsidRPr="00B2516C">
        <w:rPr>
          <w:rStyle w:val="Strong"/>
          <w:rFonts w:eastAsiaTheme="majorEastAsia" w:cstheme="majorBidi"/>
          <w:b w:val="0"/>
          <w:color w:val="2E74B5" w:themeColor="accent1" w:themeShade="BF"/>
          <w:sz w:val="26"/>
          <w:szCs w:val="26"/>
        </w:rPr>
        <w:t xml:space="preserve"> fluxes in Hawaii</w:t>
      </w:r>
    </w:p>
    <w:p w14:paraId="520C8DB3" w14:textId="67BDC2DF" w:rsidR="0007172C" w:rsidRDefault="0007172C" w:rsidP="0007172C">
      <w:pPr>
        <w:rPr>
          <w:rStyle w:val="Strong"/>
          <w:rFonts w:eastAsiaTheme="majorEastAsia" w:cstheme="majorBidi"/>
          <w:b w:val="0"/>
          <w:color w:val="2E74B5" w:themeColor="accent1" w:themeShade="BF"/>
          <w:sz w:val="26"/>
          <w:szCs w:val="26"/>
        </w:rPr>
      </w:pPr>
      <w:r>
        <w:t xml:space="preserve">Here we estimate the omitted GHG flux categories in Hawaii, with calculations annotated in the notes of Table </w:t>
      </w:r>
      <w:r w:rsidR="007D6D6E">
        <w:t>2</w:t>
      </w:r>
      <w:r w:rsidR="005F6840">
        <w:t>-4</w:t>
      </w:r>
      <w:r w:rsidR="007516B1">
        <w:t>3</w:t>
      </w:r>
      <w:r>
        <w:t>. More information on these calculations can be found in the Spreadsheet Appendix.</w:t>
      </w:r>
    </w:p>
    <w:p w14:paraId="10F02C92" w14:textId="75E9C165" w:rsidR="0007172C" w:rsidRPr="0007172C" w:rsidRDefault="0007172C" w:rsidP="0007172C">
      <w:pPr>
        <w:rPr>
          <w:bCs/>
          <w:i/>
          <w:iCs/>
          <w:color w:val="44546A" w:themeColor="text2"/>
        </w:rPr>
      </w:pPr>
      <w:r w:rsidRPr="0007172C">
        <w:rPr>
          <w:b/>
          <w:i/>
          <w:iCs/>
          <w:color w:val="44546A" w:themeColor="text2"/>
        </w:rPr>
        <w:t xml:space="preserve">Table </w:t>
      </w:r>
      <w:r w:rsidR="007D6D6E">
        <w:rPr>
          <w:b/>
          <w:i/>
          <w:iCs/>
          <w:color w:val="44546A" w:themeColor="text2"/>
        </w:rPr>
        <w:t>2</w:t>
      </w:r>
      <w:r w:rsidR="005F6840">
        <w:rPr>
          <w:b/>
          <w:i/>
          <w:iCs/>
          <w:color w:val="44546A" w:themeColor="text2"/>
        </w:rPr>
        <w:t>-4</w:t>
      </w:r>
      <w:r w:rsidR="007516B1">
        <w:rPr>
          <w:b/>
          <w:i/>
          <w:iCs/>
          <w:color w:val="44546A" w:themeColor="text2"/>
        </w:rPr>
        <w:t>3</w:t>
      </w:r>
      <w:r w:rsidR="001E048A">
        <w:rPr>
          <w:b/>
          <w:i/>
          <w:iCs/>
          <w:color w:val="44546A" w:themeColor="text2"/>
        </w:rPr>
        <w:t>:</w:t>
      </w:r>
      <w:r w:rsidRPr="0007172C">
        <w:rPr>
          <w:b/>
          <w:i/>
          <w:iCs/>
          <w:color w:val="44546A" w:themeColor="text2"/>
        </w:rPr>
        <w:t xml:space="preserve"> Estimated omitted GHG fluxes in Hawaii, managed land only</w:t>
      </w:r>
    </w:p>
    <w:tbl>
      <w:tblPr>
        <w:tblStyle w:val="TableGrid"/>
        <w:tblW w:w="8545" w:type="dxa"/>
        <w:tblLayout w:type="fixed"/>
        <w:tblLook w:val="04A0" w:firstRow="1" w:lastRow="0" w:firstColumn="1" w:lastColumn="0" w:noHBand="0" w:noVBand="1"/>
      </w:tblPr>
      <w:tblGrid>
        <w:gridCol w:w="1978"/>
        <w:gridCol w:w="2520"/>
        <w:gridCol w:w="1347"/>
        <w:gridCol w:w="1170"/>
        <w:gridCol w:w="1530"/>
      </w:tblGrid>
      <w:tr w:rsidR="008C71B4" w:rsidRPr="0007172C" w14:paraId="1526CD0F" w14:textId="77777777" w:rsidTr="0007172C">
        <w:tc>
          <w:tcPr>
            <w:tcW w:w="1978" w:type="dxa"/>
            <w:shd w:val="clear" w:color="auto" w:fill="FFC000" w:themeFill="accent4"/>
            <w:vAlign w:val="center"/>
          </w:tcPr>
          <w:p w14:paraId="606EAEFE" w14:textId="0ED50934" w:rsidR="008C71B4" w:rsidRPr="0007172C" w:rsidRDefault="008C71B4" w:rsidP="000E2401">
            <w:pPr>
              <w:jc w:val="center"/>
              <w:rPr>
                <w:b/>
                <w:i/>
                <w:sz w:val="18"/>
                <w:szCs w:val="18"/>
              </w:rPr>
            </w:pPr>
            <w:r w:rsidRPr="0007172C">
              <w:rPr>
                <w:b/>
                <w:sz w:val="18"/>
                <w:szCs w:val="18"/>
              </w:rPr>
              <w:t xml:space="preserve">NGHGI </w:t>
            </w:r>
            <w:r w:rsidR="006D49B6">
              <w:rPr>
                <w:b/>
                <w:sz w:val="18"/>
                <w:szCs w:val="18"/>
              </w:rPr>
              <w:t>Land use</w:t>
            </w:r>
          </w:p>
        </w:tc>
        <w:tc>
          <w:tcPr>
            <w:tcW w:w="2520" w:type="dxa"/>
            <w:shd w:val="clear" w:color="auto" w:fill="FFC000" w:themeFill="accent4"/>
            <w:vAlign w:val="center"/>
          </w:tcPr>
          <w:p w14:paraId="113C358C" w14:textId="1DCECBFC" w:rsidR="008C71B4" w:rsidRPr="0007172C" w:rsidRDefault="006D49B6" w:rsidP="00CE32DB">
            <w:pPr>
              <w:jc w:val="center"/>
              <w:rPr>
                <w:b/>
                <w:i/>
                <w:sz w:val="18"/>
                <w:szCs w:val="18"/>
              </w:rPr>
            </w:pPr>
            <w:r>
              <w:rPr>
                <w:b/>
                <w:sz w:val="18"/>
                <w:szCs w:val="18"/>
              </w:rPr>
              <w:t xml:space="preserve">Inventory </w:t>
            </w:r>
            <w:r w:rsidR="008C71B4" w:rsidRPr="0007172C">
              <w:rPr>
                <w:b/>
                <w:sz w:val="18"/>
                <w:szCs w:val="18"/>
              </w:rPr>
              <w:t>category</w:t>
            </w:r>
          </w:p>
        </w:tc>
        <w:tc>
          <w:tcPr>
            <w:tcW w:w="1347" w:type="dxa"/>
            <w:shd w:val="clear" w:color="auto" w:fill="FFC000" w:themeFill="accent4"/>
            <w:vAlign w:val="center"/>
          </w:tcPr>
          <w:p w14:paraId="4DDEE538" w14:textId="77777777" w:rsidR="008C71B4" w:rsidRPr="0007172C" w:rsidRDefault="008C71B4" w:rsidP="00CE32DB">
            <w:pPr>
              <w:jc w:val="center"/>
              <w:rPr>
                <w:b/>
                <w:sz w:val="18"/>
                <w:szCs w:val="18"/>
              </w:rPr>
            </w:pPr>
            <w:r w:rsidRPr="0007172C">
              <w:rPr>
                <w:b/>
                <w:sz w:val="18"/>
                <w:szCs w:val="18"/>
              </w:rPr>
              <w:t>Emissions factor (MMT CO</w:t>
            </w:r>
            <w:r w:rsidRPr="0007172C">
              <w:rPr>
                <w:b/>
                <w:sz w:val="18"/>
                <w:szCs w:val="18"/>
                <w:vertAlign w:val="subscript"/>
              </w:rPr>
              <w:t>2</w:t>
            </w:r>
            <w:r w:rsidRPr="0007172C">
              <w:rPr>
                <w:b/>
                <w:sz w:val="18"/>
                <w:szCs w:val="18"/>
              </w:rPr>
              <w:t>e/Mha)</w:t>
            </w:r>
          </w:p>
        </w:tc>
        <w:tc>
          <w:tcPr>
            <w:tcW w:w="1170" w:type="dxa"/>
            <w:shd w:val="clear" w:color="auto" w:fill="FFC000" w:themeFill="accent4"/>
            <w:vAlign w:val="center"/>
          </w:tcPr>
          <w:p w14:paraId="7B0C795F" w14:textId="77777777" w:rsidR="008C71B4" w:rsidRPr="0007172C" w:rsidRDefault="008C71B4" w:rsidP="00CE32DB">
            <w:pPr>
              <w:jc w:val="center"/>
              <w:rPr>
                <w:b/>
                <w:sz w:val="18"/>
                <w:szCs w:val="18"/>
              </w:rPr>
            </w:pPr>
            <w:r w:rsidRPr="0007172C">
              <w:rPr>
                <w:b/>
                <w:sz w:val="18"/>
                <w:szCs w:val="18"/>
              </w:rPr>
              <w:t>Land area (Mha)</w:t>
            </w:r>
          </w:p>
        </w:tc>
        <w:tc>
          <w:tcPr>
            <w:tcW w:w="1530" w:type="dxa"/>
            <w:shd w:val="clear" w:color="auto" w:fill="FFC000" w:themeFill="accent4"/>
            <w:vAlign w:val="center"/>
          </w:tcPr>
          <w:p w14:paraId="28991E29" w14:textId="21744FF3" w:rsidR="008C71B4" w:rsidRPr="0007172C" w:rsidRDefault="008C71B4" w:rsidP="000E2401">
            <w:pPr>
              <w:jc w:val="center"/>
              <w:rPr>
                <w:b/>
                <w:sz w:val="18"/>
                <w:szCs w:val="18"/>
              </w:rPr>
            </w:pPr>
            <w:r w:rsidRPr="0007172C">
              <w:rPr>
                <w:b/>
                <w:sz w:val="18"/>
                <w:szCs w:val="18"/>
              </w:rPr>
              <w:t xml:space="preserve">GHG </w:t>
            </w:r>
            <w:r w:rsidR="006D49B6">
              <w:rPr>
                <w:b/>
                <w:sz w:val="18"/>
                <w:szCs w:val="18"/>
              </w:rPr>
              <w:t>flux</w:t>
            </w:r>
            <w:r w:rsidR="006D49B6" w:rsidRPr="0007172C">
              <w:rPr>
                <w:b/>
                <w:sz w:val="18"/>
                <w:szCs w:val="18"/>
              </w:rPr>
              <w:t xml:space="preserve"> </w:t>
            </w:r>
            <w:r w:rsidRPr="0007172C">
              <w:rPr>
                <w:b/>
                <w:sz w:val="18"/>
                <w:szCs w:val="18"/>
              </w:rPr>
              <w:t>(MMT CO</w:t>
            </w:r>
            <w:r w:rsidRPr="0007172C">
              <w:rPr>
                <w:b/>
                <w:sz w:val="18"/>
                <w:szCs w:val="18"/>
                <w:vertAlign w:val="subscript"/>
              </w:rPr>
              <w:t>2</w:t>
            </w:r>
            <w:r w:rsidRPr="0007172C">
              <w:rPr>
                <w:b/>
                <w:sz w:val="18"/>
                <w:szCs w:val="18"/>
              </w:rPr>
              <w:t>e)</w:t>
            </w:r>
          </w:p>
        </w:tc>
      </w:tr>
      <w:tr w:rsidR="008C71B4" w:rsidRPr="0007172C" w14:paraId="0E86EDF3" w14:textId="77777777" w:rsidTr="00CE32DB">
        <w:tc>
          <w:tcPr>
            <w:tcW w:w="1978" w:type="dxa"/>
            <w:vAlign w:val="center"/>
          </w:tcPr>
          <w:p w14:paraId="0C957AD7" w14:textId="5FC51BC3" w:rsidR="008C71B4" w:rsidRPr="0007172C" w:rsidRDefault="008C71B4" w:rsidP="00CE32DB">
            <w:pPr>
              <w:jc w:val="center"/>
              <w:rPr>
                <w:sz w:val="18"/>
                <w:szCs w:val="18"/>
              </w:rPr>
            </w:pPr>
            <w:r w:rsidRPr="0007172C">
              <w:rPr>
                <w:sz w:val="18"/>
                <w:szCs w:val="18"/>
              </w:rPr>
              <w:t xml:space="preserve">Ag. soil mgmt. </w:t>
            </w:r>
          </w:p>
        </w:tc>
        <w:tc>
          <w:tcPr>
            <w:tcW w:w="2520" w:type="dxa"/>
            <w:vAlign w:val="center"/>
          </w:tcPr>
          <w:p w14:paraId="5D963B08" w14:textId="77777777" w:rsidR="008C71B4" w:rsidRPr="0007172C" w:rsidRDefault="008C71B4" w:rsidP="00CE32DB">
            <w:pPr>
              <w:jc w:val="center"/>
              <w:rPr>
                <w:sz w:val="18"/>
                <w:szCs w:val="18"/>
              </w:rPr>
            </w:pPr>
            <w:r w:rsidRPr="0007172C">
              <w:rPr>
                <w:sz w:val="18"/>
                <w:szCs w:val="18"/>
              </w:rPr>
              <w:t>N</w:t>
            </w:r>
            <w:r w:rsidRPr="0007172C">
              <w:rPr>
                <w:sz w:val="18"/>
                <w:szCs w:val="18"/>
                <w:vertAlign w:val="subscript"/>
              </w:rPr>
              <w:t>2</w:t>
            </w:r>
            <w:r w:rsidRPr="0007172C">
              <w:rPr>
                <w:sz w:val="18"/>
                <w:szCs w:val="18"/>
              </w:rPr>
              <w:t xml:space="preserve">O, other N additions </w:t>
            </w:r>
          </w:p>
        </w:tc>
        <w:tc>
          <w:tcPr>
            <w:tcW w:w="1347" w:type="dxa"/>
            <w:shd w:val="clear" w:color="auto" w:fill="FFFFFF" w:themeFill="background1"/>
            <w:vAlign w:val="center"/>
          </w:tcPr>
          <w:p w14:paraId="67639332" w14:textId="3CA40E4F" w:rsidR="008C71B4" w:rsidRPr="0007172C" w:rsidRDefault="008C71B4" w:rsidP="00CE32DB">
            <w:pPr>
              <w:jc w:val="center"/>
              <w:rPr>
                <w:sz w:val="18"/>
                <w:szCs w:val="18"/>
              </w:rPr>
            </w:pPr>
            <w:r w:rsidRPr="0007172C">
              <w:rPr>
                <w:sz w:val="18"/>
                <w:szCs w:val="18"/>
              </w:rPr>
              <w:t>0.426</w:t>
            </w:r>
            <w:r w:rsidR="00AE2C66">
              <w:rPr>
                <w:sz w:val="18"/>
                <w:szCs w:val="18"/>
              </w:rPr>
              <w:t xml:space="preserve"> </w:t>
            </w:r>
            <w:r w:rsidRPr="0007172C">
              <w:rPr>
                <w:sz w:val="18"/>
                <w:szCs w:val="18"/>
                <w:vertAlign w:val="superscript"/>
              </w:rPr>
              <w:t>a</w:t>
            </w:r>
          </w:p>
        </w:tc>
        <w:tc>
          <w:tcPr>
            <w:tcW w:w="1170" w:type="dxa"/>
            <w:shd w:val="clear" w:color="auto" w:fill="FFFFFF" w:themeFill="background1"/>
            <w:vAlign w:val="center"/>
          </w:tcPr>
          <w:p w14:paraId="7212D794" w14:textId="7CC5BCCB" w:rsidR="008C71B4" w:rsidRPr="0007172C" w:rsidRDefault="008C71B4" w:rsidP="00CE32DB">
            <w:pPr>
              <w:jc w:val="center"/>
              <w:rPr>
                <w:sz w:val="18"/>
                <w:szCs w:val="18"/>
              </w:rPr>
            </w:pPr>
            <w:r w:rsidRPr="0007172C">
              <w:rPr>
                <w:sz w:val="18"/>
                <w:szCs w:val="18"/>
              </w:rPr>
              <w:t>1.375</w:t>
            </w:r>
            <w:r w:rsidR="00AE2C66">
              <w:rPr>
                <w:sz w:val="18"/>
                <w:szCs w:val="18"/>
              </w:rPr>
              <w:t xml:space="preserve"> </w:t>
            </w:r>
            <w:r w:rsidRPr="0007172C">
              <w:rPr>
                <w:sz w:val="18"/>
                <w:szCs w:val="18"/>
                <w:vertAlign w:val="superscript"/>
              </w:rPr>
              <w:t>b</w:t>
            </w:r>
          </w:p>
        </w:tc>
        <w:tc>
          <w:tcPr>
            <w:tcW w:w="1530" w:type="dxa"/>
            <w:shd w:val="clear" w:color="auto" w:fill="FFFFFF" w:themeFill="background1"/>
          </w:tcPr>
          <w:p w14:paraId="57E5309D" w14:textId="062BE91C" w:rsidR="008C71B4" w:rsidRPr="0007172C" w:rsidRDefault="008C71B4" w:rsidP="000E2401">
            <w:pPr>
              <w:jc w:val="center"/>
              <w:rPr>
                <w:sz w:val="18"/>
                <w:szCs w:val="18"/>
              </w:rPr>
            </w:pPr>
            <w:r w:rsidRPr="0007172C">
              <w:rPr>
                <w:sz w:val="18"/>
                <w:szCs w:val="18"/>
              </w:rPr>
              <w:t>0.</w:t>
            </w:r>
            <w:r w:rsidR="006D49B6">
              <w:rPr>
                <w:sz w:val="18"/>
                <w:szCs w:val="18"/>
              </w:rPr>
              <w:t>6</w:t>
            </w:r>
          </w:p>
        </w:tc>
      </w:tr>
      <w:tr w:rsidR="008C71B4" w:rsidRPr="0007172C" w14:paraId="3086AA0D" w14:textId="77777777" w:rsidTr="00CE32DB">
        <w:tc>
          <w:tcPr>
            <w:tcW w:w="1978" w:type="dxa"/>
            <w:vAlign w:val="center"/>
          </w:tcPr>
          <w:p w14:paraId="696340DE" w14:textId="77777777" w:rsidR="008C71B4" w:rsidRPr="0007172C" w:rsidRDefault="008C71B4" w:rsidP="00CE32DB">
            <w:pPr>
              <w:jc w:val="center"/>
              <w:rPr>
                <w:sz w:val="18"/>
                <w:szCs w:val="18"/>
              </w:rPr>
            </w:pPr>
            <w:r w:rsidRPr="0007172C">
              <w:rPr>
                <w:sz w:val="18"/>
                <w:szCs w:val="18"/>
              </w:rPr>
              <w:t>Forests</w:t>
            </w:r>
          </w:p>
        </w:tc>
        <w:tc>
          <w:tcPr>
            <w:tcW w:w="2520" w:type="dxa"/>
            <w:vAlign w:val="center"/>
          </w:tcPr>
          <w:p w14:paraId="1FBC6A54" w14:textId="77777777" w:rsidR="008C71B4" w:rsidRPr="0007172C" w:rsidRDefault="008C71B4" w:rsidP="00CE32DB">
            <w:pPr>
              <w:jc w:val="center"/>
              <w:rPr>
                <w:sz w:val="18"/>
                <w:szCs w:val="18"/>
              </w:rPr>
            </w:pPr>
            <w:r w:rsidRPr="0007172C">
              <w:rPr>
                <w:sz w:val="18"/>
                <w:szCs w:val="18"/>
              </w:rPr>
              <w:t>C stock change</w:t>
            </w:r>
          </w:p>
        </w:tc>
        <w:tc>
          <w:tcPr>
            <w:tcW w:w="1347" w:type="dxa"/>
            <w:shd w:val="clear" w:color="auto" w:fill="FFFFFF" w:themeFill="background1"/>
            <w:vAlign w:val="center"/>
          </w:tcPr>
          <w:p w14:paraId="1A47DEA7" w14:textId="77777777" w:rsidR="008C71B4" w:rsidRPr="0007172C" w:rsidRDefault="008C71B4" w:rsidP="00CE32DB">
            <w:pPr>
              <w:jc w:val="center"/>
              <w:rPr>
                <w:sz w:val="18"/>
                <w:szCs w:val="18"/>
              </w:rPr>
            </w:pPr>
          </w:p>
        </w:tc>
        <w:tc>
          <w:tcPr>
            <w:tcW w:w="1170" w:type="dxa"/>
            <w:shd w:val="clear" w:color="auto" w:fill="FFFFFF" w:themeFill="background1"/>
            <w:vAlign w:val="center"/>
          </w:tcPr>
          <w:p w14:paraId="523560BE" w14:textId="77777777" w:rsidR="008C71B4" w:rsidRPr="0007172C" w:rsidRDefault="008C71B4" w:rsidP="00CE32DB">
            <w:pPr>
              <w:jc w:val="center"/>
              <w:rPr>
                <w:sz w:val="18"/>
                <w:szCs w:val="18"/>
              </w:rPr>
            </w:pPr>
          </w:p>
        </w:tc>
        <w:tc>
          <w:tcPr>
            <w:tcW w:w="1530" w:type="dxa"/>
            <w:shd w:val="clear" w:color="auto" w:fill="FFFFFF" w:themeFill="background1"/>
          </w:tcPr>
          <w:p w14:paraId="64CD3C14" w14:textId="0BBD5FE1" w:rsidR="008C71B4" w:rsidRPr="0007172C" w:rsidRDefault="008C71B4" w:rsidP="000E2401">
            <w:pPr>
              <w:jc w:val="center"/>
              <w:rPr>
                <w:sz w:val="18"/>
                <w:szCs w:val="18"/>
              </w:rPr>
            </w:pPr>
            <w:r w:rsidRPr="0007172C">
              <w:rPr>
                <w:sz w:val="18"/>
                <w:szCs w:val="18"/>
              </w:rPr>
              <w:t>6.</w:t>
            </w:r>
            <w:r w:rsidR="006D49B6">
              <w:rPr>
                <w:sz w:val="18"/>
                <w:szCs w:val="18"/>
              </w:rPr>
              <w:t xml:space="preserve">9 </w:t>
            </w:r>
            <w:r w:rsidRPr="0007172C">
              <w:rPr>
                <w:sz w:val="18"/>
                <w:szCs w:val="18"/>
                <w:vertAlign w:val="superscript"/>
              </w:rPr>
              <w:t>c</w:t>
            </w:r>
          </w:p>
        </w:tc>
      </w:tr>
      <w:tr w:rsidR="008C71B4" w:rsidRPr="0007172C" w14:paraId="320C75DC" w14:textId="77777777" w:rsidTr="00CE32DB">
        <w:tc>
          <w:tcPr>
            <w:tcW w:w="1978" w:type="dxa"/>
            <w:vAlign w:val="center"/>
          </w:tcPr>
          <w:p w14:paraId="393685F2" w14:textId="77777777" w:rsidR="008C71B4" w:rsidRPr="0007172C" w:rsidRDefault="008C71B4" w:rsidP="00CE32DB">
            <w:pPr>
              <w:jc w:val="center"/>
              <w:rPr>
                <w:sz w:val="18"/>
                <w:szCs w:val="18"/>
              </w:rPr>
            </w:pPr>
            <w:r w:rsidRPr="0007172C">
              <w:rPr>
                <w:sz w:val="18"/>
                <w:szCs w:val="18"/>
              </w:rPr>
              <w:t>Forests</w:t>
            </w:r>
          </w:p>
        </w:tc>
        <w:tc>
          <w:tcPr>
            <w:tcW w:w="2520" w:type="dxa"/>
            <w:vAlign w:val="center"/>
          </w:tcPr>
          <w:p w14:paraId="7BBD6ADA" w14:textId="77777777" w:rsidR="008C71B4" w:rsidRPr="0007172C" w:rsidRDefault="008C71B4" w:rsidP="00CE32DB">
            <w:pPr>
              <w:jc w:val="center"/>
              <w:rPr>
                <w:sz w:val="18"/>
                <w:szCs w:val="18"/>
              </w:rPr>
            </w:pPr>
            <w:r w:rsidRPr="0007172C">
              <w:rPr>
                <w:sz w:val="18"/>
                <w:szCs w:val="18"/>
              </w:rPr>
              <w:t>Non-CO</w:t>
            </w:r>
            <w:r w:rsidRPr="0007172C">
              <w:rPr>
                <w:sz w:val="18"/>
                <w:szCs w:val="18"/>
                <w:vertAlign w:val="subscript"/>
              </w:rPr>
              <w:t>2</w:t>
            </w:r>
            <w:r w:rsidRPr="0007172C">
              <w:rPr>
                <w:sz w:val="18"/>
                <w:szCs w:val="18"/>
              </w:rPr>
              <w:t>, forest fires</w:t>
            </w:r>
          </w:p>
        </w:tc>
        <w:tc>
          <w:tcPr>
            <w:tcW w:w="1347" w:type="dxa"/>
            <w:shd w:val="clear" w:color="auto" w:fill="FFFFFF" w:themeFill="background1"/>
            <w:vAlign w:val="center"/>
          </w:tcPr>
          <w:p w14:paraId="2CB93A83" w14:textId="77777777" w:rsidR="008C71B4" w:rsidRPr="0007172C" w:rsidRDefault="008C71B4" w:rsidP="00CE32DB">
            <w:pPr>
              <w:jc w:val="center"/>
              <w:rPr>
                <w:sz w:val="18"/>
                <w:szCs w:val="18"/>
              </w:rPr>
            </w:pPr>
          </w:p>
        </w:tc>
        <w:tc>
          <w:tcPr>
            <w:tcW w:w="1170" w:type="dxa"/>
            <w:shd w:val="clear" w:color="auto" w:fill="FFFFFF" w:themeFill="background1"/>
            <w:vAlign w:val="center"/>
          </w:tcPr>
          <w:p w14:paraId="59067D3E" w14:textId="36F8EA65" w:rsidR="008C71B4" w:rsidRPr="0007172C" w:rsidRDefault="008C71B4" w:rsidP="00CE32DB">
            <w:pPr>
              <w:jc w:val="center"/>
              <w:rPr>
                <w:sz w:val="18"/>
                <w:szCs w:val="18"/>
              </w:rPr>
            </w:pPr>
            <w:r w:rsidRPr="0007172C">
              <w:rPr>
                <w:sz w:val="18"/>
                <w:szCs w:val="18"/>
              </w:rPr>
              <w:t>0.00005</w:t>
            </w:r>
            <w:r w:rsidR="00AE2C66">
              <w:rPr>
                <w:sz w:val="18"/>
                <w:szCs w:val="18"/>
              </w:rPr>
              <w:t xml:space="preserve"> </w:t>
            </w:r>
            <w:r w:rsidRPr="0007172C">
              <w:rPr>
                <w:sz w:val="18"/>
                <w:szCs w:val="18"/>
                <w:vertAlign w:val="superscript"/>
              </w:rPr>
              <w:t>d</w:t>
            </w:r>
          </w:p>
        </w:tc>
        <w:tc>
          <w:tcPr>
            <w:tcW w:w="1530" w:type="dxa"/>
            <w:shd w:val="clear" w:color="auto" w:fill="FFFFFF" w:themeFill="background1"/>
          </w:tcPr>
          <w:p w14:paraId="68FFA291" w14:textId="7B13E944" w:rsidR="008C71B4" w:rsidRPr="0007172C" w:rsidRDefault="006D49B6" w:rsidP="00CE32DB">
            <w:pPr>
              <w:jc w:val="center"/>
              <w:rPr>
                <w:sz w:val="18"/>
                <w:szCs w:val="18"/>
              </w:rPr>
            </w:pPr>
            <w:r>
              <w:rPr>
                <w:sz w:val="18"/>
                <w:szCs w:val="18"/>
              </w:rPr>
              <w:t>-</w:t>
            </w:r>
            <w:r w:rsidR="00AE2C66">
              <w:rPr>
                <w:sz w:val="18"/>
                <w:szCs w:val="18"/>
              </w:rPr>
              <w:t xml:space="preserve"> </w:t>
            </w:r>
            <w:r w:rsidR="008C71B4" w:rsidRPr="0007172C">
              <w:rPr>
                <w:sz w:val="18"/>
                <w:szCs w:val="18"/>
                <w:vertAlign w:val="superscript"/>
              </w:rPr>
              <w:t>e</w:t>
            </w:r>
          </w:p>
        </w:tc>
      </w:tr>
      <w:tr w:rsidR="008C71B4" w:rsidRPr="0007172C" w14:paraId="615AA245" w14:textId="77777777" w:rsidTr="00CE32DB">
        <w:tc>
          <w:tcPr>
            <w:tcW w:w="1978" w:type="dxa"/>
            <w:vAlign w:val="center"/>
          </w:tcPr>
          <w:p w14:paraId="231242F4" w14:textId="77777777" w:rsidR="008C71B4" w:rsidRPr="0007172C" w:rsidRDefault="008C71B4" w:rsidP="00CE32DB">
            <w:pPr>
              <w:jc w:val="center"/>
              <w:rPr>
                <w:sz w:val="18"/>
                <w:szCs w:val="18"/>
              </w:rPr>
            </w:pPr>
            <w:r w:rsidRPr="0007172C">
              <w:rPr>
                <w:sz w:val="18"/>
                <w:szCs w:val="18"/>
              </w:rPr>
              <w:t>Wetlands</w:t>
            </w:r>
          </w:p>
        </w:tc>
        <w:tc>
          <w:tcPr>
            <w:tcW w:w="2520" w:type="dxa"/>
            <w:vAlign w:val="center"/>
          </w:tcPr>
          <w:p w14:paraId="0E9F4FCE" w14:textId="77777777" w:rsidR="008C71B4" w:rsidRPr="0007172C" w:rsidRDefault="008C71B4" w:rsidP="00CE32DB">
            <w:pPr>
              <w:jc w:val="center"/>
              <w:rPr>
                <w:sz w:val="18"/>
                <w:szCs w:val="18"/>
              </w:rPr>
            </w:pPr>
            <w:r w:rsidRPr="0007172C">
              <w:rPr>
                <w:sz w:val="18"/>
                <w:szCs w:val="18"/>
              </w:rPr>
              <w:t>C stock change</w:t>
            </w:r>
          </w:p>
        </w:tc>
        <w:tc>
          <w:tcPr>
            <w:tcW w:w="1347" w:type="dxa"/>
            <w:shd w:val="clear" w:color="auto" w:fill="FFFFFF" w:themeFill="background1"/>
            <w:vAlign w:val="center"/>
          </w:tcPr>
          <w:p w14:paraId="10C5380D" w14:textId="77777777" w:rsidR="008C71B4" w:rsidRPr="0007172C" w:rsidRDefault="008C71B4" w:rsidP="00CE32DB">
            <w:pPr>
              <w:jc w:val="center"/>
              <w:rPr>
                <w:sz w:val="18"/>
                <w:szCs w:val="18"/>
              </w:rPr>
            </w:pPr>
          </w:p>
        </w:tc>
        <w:tc>
          <w:tcPr>
            <w:tcW w:w="1170" w:type="dxa"/>
            <w:shd w:val="clear" w:color="auto" w:fill="FFFFFF" w:themeFill="background1"/>
            <w:vAlign w:val="center"/>
          </w:tcPr>
          <w:p w14:paraId="7904169F" w14:textId="77777777" w:rsidR="008C71B4" w:rsidRPr="0007172C" w:rsidRDefault="008C71B4" w:rsidP="00CE32DB">
            <w:pPr>
              <w:jc w:val="center"/>
              <w:rPr>
                <w:sz w:val="18"/>
                <w:szCs w:val="18"/>
              </w:rPr>
            </w:pPr>
          </w:p>
        </w:tc>
        <w:tc>
          <w:tcPr>
            <w:tcW w:w="1530" w:type="dxa"/>
            <w:shd w:val="clear" w:color="auto" w:fill="FFFFFF" w:themeFill="background1"/>
          </w:tcPr>
          <w:p w14:paraId="2CE4D20A" w14:textId="45E8CE30" w:rsidR="008C71B4" w:rsidRPr="0007172C" w:rsidRDefault="008C71B4" w:rsidP="00CE32DB">
            <w:pPr>
              <w:jc w:val="center"/>
              <w:rPr>
                <w:sz w:val="18"/>
                <w:szCs w:val="18"/>
              </w:rPr>
            </w:pPr>
            <w:r w:rsidRPr="0007172C">
              <w:rPr>
                <w:sz w:val="18"/>
                <w:szCs w:val="18"/>
              </w:rPr>
              <w:t xml:space="preserve">- </w:t>
            </w:r>
            <w:r w:rsidRPr="0007172C">
              <w:rPr>
                <w:sz w:val="18"/>
                <w:szCs w:val="18"/>
                <w:vertAlign w:val="superscript"/>
              </w:rPr>
              <w:t>f</w:t>
            </w:r>
          </w:p>
        </w:tc>
      </w:tr>
      <w:tr w:rsidR="008C71B4" w:rsidRPr="0007172C" w14:paraId="7E5C9CCA" w14:textId="77777777" w:rsidTr="00CE32DB">
        <w:tc>
          <w:tcPr>
            <w:tcW w:w="1978" w:type="dxa"/>
            <w:vAlign w:val="center"/>
          </w:tcPr>
          <w:p w14:paraId="6D102CB2" w14:textId="77777777" w:rsidR="008C71B4" w:rsidRPr="0007172C" w:rsidRDefault="008C71B4" w:rsidP="00CE32DB">
            <w:pPr>
              <w:jc w:val="center"/>
              <w:rPr>
                <w:sz w:val="18"/>
                <w:szCs w:val="18"/>
              </w:rPr>
            </w:pPr>
            <w:r w:rsidRPr="0007172C">
              <w:rPr>
                <w:sz w:val="18"/>
                <w:szCs w:val="18"/>
              </w:rPr>
              <w:t>Total</w:t>
            </w:r>
          </w:p>
        </w:tc>
        <w:tc>
          <w:tcPr>
            <w:tcW w:w="2520" w:type="dxa"/>
            <w:vAlign w:val="center"/>
          </w:tcPr>
          <w:p w14:paraId="208F9DA1" w14:textId="77777777" w:rsidR="008C71B4" w:rsidRPr="0007172C" w:rsidRDefault="008C71B4" w:rsidP="00CE32DB">
            <w:pPr>
              <w:jc w:val="center"/>
              <w:rPr>
                <w:sz w:val="18"/>
                <w:szCs w:val="18"/>
              </w:rPr>
            </w:pPr>
          </w:p>
        </w:tc>
        <w:tc>
          <w:tcPr>
            <w:tcW w:w="1347" w:type="dxa"/>
            <w:shd w:val="clear" w:color="auto" w:fill="FFFFFF" w:themeFill="background1"/>
            <w:vAlign w:val="center"/>
          </w:tcPr>
          <w:p w14:paraId="409EF1CB" w14:textId="77777777" w:rsidR="008C71B4" w:rsidRPr="0007172C" w:rsidRDefault="008C71B4" w:rsidP="00CE32DB">
            <w:pPr>
              <w:jc w:val="center"/>
              <w:rPr>
                <w:sz w:val="18"/>
                <w:szCs w:val="18"/>
              </w:rPr>
            </w:pPr>
          </w:p>
        </w:tc>
        <w:tc>
          <w:tcPr>
            <w:tcW w:w="1170" w:type="dxa"/>
            <w:shd w:val="clear" w:color="auto" w:fill="FFFFFF" w:themeFill="background1"/>
            <w:vAlign w:val="center"/>
          </w:tcPr>
          <w:p w14:paraId="2CAEDD74" w14:textId="77777777" w:rsidR="008C71B4" w:rsidRPr="0007172C" w:rsidRDefault="008C71B4" w:rsidP="00CE32DB">
            <w:pPr>
              <w:jc w:val="center"/>
              <w:rPr>
                <w:sz w:val="18"/>
                <w:szCs w:val="18"/>
              </w:rPr>
            </w:pPr>
          </w:p>
        </w:tc>
        <w:tc>
          <w:tcPr>
            <w:tcW w:w="1530" w:type="dxa"/>
            <w:shd w:val="clear" w:color="auto" w:fill="FFFFFF" w:themeFill="background1"/>
          </w:tcPr>
          <w:p w14:paraId="4B726369" w14:textId="0F3AE447" w:rsidR="008C71B4" w:rsidRPr="0007172C" w:rsidRDefault="008C71B4" w:rsidP="00CE32DB">
            <w:pPr>
              <w:jc w:val="center"/>
              <w:rPr>
                <w:sz w:val="18"/>
                <w:szCs w:val="18"/>
              </w:rPr>
            </w:pPr>
            <w:r w:rsidRPr="0007172C">
              <w:rPr>
                <w:sz w:val="18"/>
                <w:szCs w:val="18"/>
              </w:rPr>
              <w:t>7.</w:t>
            </w:r>
            <w:r w:rsidR="006D49B6">
              <w:rPr>
                <w:sz w:val="18"/>
                <w:szCs w:val="18"/>
              </w:rPr>
              <w:t>5</w:t>
            </w:r>
          </w:p>
        </w:tc>
      </w:tr>
    </w:tbl>
    <w:p w14:paraId="41F7F5EE" w14:textId="23AD3E79" w:rsidR="008C71B4" w:rsidRPr="0007172C" w:rsidRDefault="006D49B6" w:rsidP="0007172C">
      <w:pPr>
        <w:rPr>
          <w:i/>
          <w:sz w:val="18"/>
          <w:szCs w:val="18"/>
        </w:rPr>
      </w:pPr>
      <w:r>
        <w:rPr>
          <w:i/>
          <w:sz w:val="18"/>
          <w:szCs w:val="18"/>
        </w:rPr>
        <w:t>“-</w:t>
      </w:r>
      <w:proofErr w:type="gramStart"/>
      <w:r>
        <w:rPr>
          <w:i/>
          <w:sz w:val="18"/>
          <w:szCs w:val="18"/>
        </w:rPr>
        <w:t>“ signifies</w:t>
      </w:r>
      <w:proofErr w:type="gramEnd"/>
      <w:r>
        <w:rPr>
          <w:i/>
          <w:sz w:val="18"/>
          <w:szCs w:val="18"/>
        </w:rPr>
        <w:t xml:space="preserve"> less than 0.05 MMT CO</w:t>
      </w:r>
      <w:r w:rsidRPr="00ED5916">
        <w:rPr>
          <w:i/>
          <w:sz w:val="18"/>
          <w:szCs w:val="18"/>
          <w:vertAlign w:val="subscript"/>
        </w:rPr>
        <w:t>2</w:t>
      </w:r>
      <w:r>
        <w:rPr>
          <w:i/>
          <w:sz w:val="18"/>
          <w:szCs w:val="18"/>
        </w:rPr>
        <w:t xml:space="preserve">e flux. </w:t>
      </w:r>
      <w:r w:rsidR="008C71B4" w:rsidRPr="0007172C">
        <w:rPr>
          <w:i/>
          <w:sz w:val="18"/>
          <w:szCs w:val="18"/>
        </w:rPr>
        <w:t xml:space="preserve">All tables </w:t>
      </w:r>
      <w:r w:rsidR="0007172C">
        <w:rPr>
          <w:i/>
          <w:sz w:val="18"/>
          <w:szCs w:val="18"/>
        </w:rPr>
        <w:t xml:space="preserve">discussed </w:t>
      </w:r>
      <w:r w:rsidR="008C71B4" w:rsidRPr="0007172C">
        <w:rPr>
          <w:i/>
          <w:sz w:val="18"/>
          <w:szCs w:val="18"/>
        </w:rPr>
        <w:t>here</w:t>
      </w:r>
      <w:r w:rsidR="0007172C">
        <w:rPr>
          <w:i/>
          <w:sz w:val="18"/>
          <w:szCs w:val="18"/>
        </w:rPr>
        <w:t xml:space="preserve"> and not otherwise cited </w:t>
      </w:r>
      <w:r w:rsidR="008C71B4" w:rsidRPr="0007172C">
        <w:rPr>
          <w:i/>
          <w:sz w:val="18"/>
          <w:szCs w:val="18"/>
        </w:rPr>
        <w:t xml:space="preserve">refer to NGHGI </w:t>
      </w:r>
      <w:r w:rsidR="00B2516C">
        <w:rPr>
          <w:i/>
          <w:sz w:val="18"/>
          <w:szCs w:val="18"/>
        </w:rPr>
        <w:t>(</w:t>
      </w:r>
      <w:r w:rsidR="008C71B4" w:rsidRPr="0007172C">
        <w:rPr>
          <w:i/>
          <w:sz w:val="18"/>
          <w:szCs w:val="18"/>
        </w:rPr>
        <w:t>2019</w:t>
      </w:r>
      <w:r w:rsidR="00B2516C">
        <w:rPr>
          <w:i/>
          <w:sz w:val="18"/>
          <w:szCs w:val="18"/>
        </w:rPr>
        <w:t>)</w:t>
      </w:r>
      <w:r w:rsidR="008C71B4" w:rsidRPr="0007172C">
        <w:rPr>
          <w:i/>
          <w:sz w:val="18"/>
          <w:szCs w:val="18"/>
        </w:rPr>
        <w:t>, Annex 3 and Chapter 6. (a) Total 2017 Tier 1 and Tier 3 N</w:t>
      </w:r>
      <w:r w:rsidR="008C71B4" w:rsidRPr="0007172C">
        <w:rPr>
          <w:i/>
          <w:sz w:val="18"/>
          <w:szCs w:val="18"/>
          <w:vertAlign w:val="subscript"/>
        </w:rPr>
        <w:t>2</w:t>
      </w:r>
      <w:r w:rsidR="008C71B4" w:rsidRPr="0007172C">
        <w:rPr>
          <w:i/>
          <w:sz w:val="18"/>
          <w:szCs w:val="18"/>
        </w:rPr>
        <w:t>O emissions on mineral soils from managed manure additions, other organic amendments, crop/grass residue N, mineralization of SOM (Table A-207, A-208) divided by total 2012 mineral soil cropland and grassland area, plus portion of indirect N</w:t>
      </w:r>
      <w:r w:rsidR="008C71B4" w:rsidRPr="0007172C">
        <w:rPr>
          <w:i/>
          <w:sz w:val="18"/>
          <w:szCs w:val="18"/>
          <w:vertAlign w:val="subscript"/>
        </w:rPr>
        <w:t>2</w:t>
      </w:r>
      <w:r w:rsidR="008C71B4" w:rsidRPr="0007172C">
        <w:rPr>
          <w:i/>
          <w:sz w:val="18"/>
          <w:szCs w:val="18"/>
        </w:rPr>
        <w:t xml:space="preserve">O emissions attributable to other N additions (Table A-216, A-217); (b) Total Hawaii </w:t>
      </w:r>
      <w:r w:rsidR="008C71B4" w:rsidRPr="0007172C">
        <w:rPr>
          <w:i/>
          <w:sz w:val="18"/>
          <w:szCs w:val="18"/>
        </w:rPr>
        <w:lastRenderedPageBreak/>
        <w:t xml:space="preserve">cropland and grassland area (Table </w:t>
      </w:r>
      <w:r w:rsidR="007D6D6E">
        <w:rPr>
          <w:i/>
          <w:sz w:val="18"/>
          <w:szCs w:val="18"/>
        </w:rPr>
        <w:t>2</w:t>
      </w:r>
      <w:r w:rsidR="005F6840">
        <w:rPr>
          <w:i/>
          <w:sz w:val="18"/>
          <w:szCs w:val="18"/>
        </w:rPr>
        <w:t>-4</w:t>
      </w:r>
      <w:r w:rsidR="007516B1">
        <w:rPr>
          <w:i/>
          <w:sz w:val="18"/>
          <w:szCs w:val="18"/>
        </w:rPr>
        <w:t>1</w:t>
      </w:r>
      <w:r w:rsidR="0007172C">
        <w:rPr>
          <w:i/>
          <w:sz w:val="18"/>
          <w:szCs w:val="18"/>
        </w:rPr>
        <w:t xml:space="preserve"> in this document</w:t>
      </w:r>
      <w:r w:rsidR="008C71B4" w:rsidRPr="0007172C">
        <w:rPr>
          <w:i/>
          <w:sz w:val="18"/>
          <w:szCs w:val="18"/>
        </w:rPr>
        <w:t xml:space="preserve">); (c) Taken directly from Selmants et al. </w:t>
      </w:r>
      <w:r w:rsidR="00B2516C">
        <w:rPr>
          <w:i/>
          <w:sz w:val="18"/>
          <w:szCs w:val="18"/>
        </w:rPr>
        <w:t>(</w:t>
      </w:r>
      <w:r w:rsidR="008C71B4" w:rsidRPr="0007172C">
        <w:rPr>
          <w:i/>
          <w:sz w:val="18"/>
          <w:szCs w:val="18"/>
        </w:rPr>
        <w:t>2017</w:t>
      </w:r>
      <w:r w:rsidR="00B2516C">
        <w:rPr>
          <w:i/>
          <w:sz w:val="18"/>
          <w:szCs w:val="18"/>
        </w:rPr>
        <w:t>)</w:t>
      </w:r>
      <w:r w:rsidR="008C71B4" w:rsidRPr="0007172C">
        <w:rPr>
          <w:i/>
          <w:sz w:val="18"/>
          <w:szCs w:val="18"/>
        </w:rPr>
        <w:t xml:space="preserve">, Table 6.7, including native dry forest, invaded dry forest, native mesic-wet forest, invaded mesic-wet forest; (d) Calculated using Selmants et al. </w:t>
      </w:r>
      <w:r w:rsidR="00B2516C">
        <w:rPr>
          <w:i/>
          <w:sz w:val="18"/>
          <w:szCs w:val="18"/>
        </w:rPr>
        <w:t>(</w:t>
      </w:r>
      <w:r w:rsidR="008C71B4" w:rsidRPr="0007172C">
        <w:rPr>
          <w:i/>
          <w:sz w:val="18"/>
          <w:szCs w:val="18"/>
        </w:rPr>
        <w:t>2017</w:t>
      </w:r>
      <w:r w:rsidR="00B2516C">
        <w:rPr>
          <w:i/>
          <w:sz w:val="18"/>
          <w:szCs w:val="18"/>
        </w:rPr>
        <w:t>)</w:t>
      </w:r>
      <w:r w:rsidR="008C71B4" w:rsidRPr="0007172C">
        <w:rPr>
          <w:i/>
          <w:sz w:val="18"/>
          <w:szCs w:val="18"/>
        </w:rPr>
        <w:t xml:space="preserve">, covering dry forest, mesic forest, and wet forest burned area; (e) Each forest type burned area is multiplied by amount of combusted dry matter, derived from Selmants et al. </w:t>
      </w:r>
      <w:r w:rsidR="00B2516C">
        <w:rPr>
          <w:i/>
          <w:sz w:val="18"/>
          <w:szCs w:val="18"/>
        </w:rPr>
        <w:t>(</w:t>
      </w:r>
      <w:r w:rsidR="008C71B4" w:rsidRPr="0007172C">
        <w:rPr>
          <w:i/>
          <w:sz w:val="18"/>
          <w:szCs w:val="18"/>
        </w:rPr>
        <w:t>2017</w:t>
      </w:r>
      <w:r w:rsidR="00B2516C">
        <w:rPr>
          <w:i/>
          <w:sz w:val="18"/>
          <w:szCs w:val="18"/>
        </w:rPr>
        <w:t>),</w:t>
      </w:r>
      <w:r w:rsidR="008C71B4" w:rsidRPr="0007172C">
        <w:rPr>
          <w:i/>
          <w:sz w:val="18"/>
          <w:szCs w:val="18"/>
        </w:rPr>
        <w:t xml:space="preserve"> Table 5.7, these values are then multiplied by CH</w:t>
      </w:r>
      <w:r w:rsidR="008C71B4" w:rsidRPr="0007172C">
        <w:rPr>
          <w:i/>
          <w:sz w:val="18"/>
          <w:szCs w:val="18"/>
          <w:vertAlign w:val="subscript"/>
        </w:rPr>
        <w:t>4</w:t>
      </w:r>
      <w:r w:rsidR="008C71B4" w:rsidRPr="0007172C">
        <w:rPr>
          <w:i/>
          <w:sz w:val="18"/>
          <w:szCs w:val="18"/>
        </w:rPr>
        <w:t xml:space="preserve"> and N</w:t>
      </w:r>
      <w:r w:rsidR="008C71B4" w:rsidRPr="0007172C">
        <w:rPr>
          <w:i/>
          <w:sz w:val="18"/>
          <w:szCs w:val="18"/>
          <w:vertAlign w:val="subscript"/>
        </w:rPr>
        <w:t>2</w:t>
      </w:r>
      <w:r w:rsidR="008C71B4" w:rsidRPr="0007172C">
        <w:rPr>
          <w:i/>
          <w:sz w:val="18"/>
          <w:szCs w:val="18"/>
        </w:rPr>
        <w:t>O default emissions factors (IPCC</w:t>
      </w:r>
      <w:r w:rsidR="00B2516C">
        <w:rPr>
          <w:i/>
          <w:sz w:val="18"/>
          <w:szCs w:val="18"/>
        </w:rPr>
        <w:t>,</w:t>
      </w:r>
      <w:r w:rsidR="008C71B4" w:rsidRPr="0007172C">
        <w:rPr>
          <w:i/>
          <w:sz w:val="18"/>
          <w:szCs w:val="18"/>
        </w:rPr>
        <w:t xml:space="preserve"> 2006); (f) Wetlands comprise around 0.2</w:t>
      </w:r>
      <w:r w:rsidR="008E2DBE">
        <w:rPr>
          <w:i/>
          <w:sz w:val="18"/>
          <w:szCs w:val="18"/>
        </w:rPr>
        <w:t>%</w:t>
      </w:r>
      <w:r w:rsidR="008C71B4" w:rsidRPr="0007172C">
        <w:rPr>
          <w:i/>
          <w:sz w:val="18"/>
          <w:szCs w:val="18"/>
        </w:rPr>
        <w:t xml:space="preserve"> of land area in Hawaii (Selmants et al.</w:t>
      </w:r>
      <w:r w:rsidR="00B2516C">
        <w:rPr>
          <w:i/>
          <w:sz w:val="18"/>
          <w:szCs w:val="18"/>
        </w:rPr>
        <w:t>,</w:t>
      </w:r>
      <w:r w:rsidR="008C71B4" w:rsidRPr="0007172C">
        <w:rPr>
          <w:i/>
          <w:sz w:val="18"/>
          <w:szCs w:val="18"/>
        </w:rPr>
        <w:t xml:space="preserve"> 2017) and there is no additional evaluation of wetland carbon stock change or methane emissions in Selmants</w:t>
      </w:r>
      <w:r w:rsidR="0007172C">
        <w:rPr>
          <w:i/>
          <w:sz w:val="18"/>
          <w:szCs w:val="18"/>
        </w:rPr>
        <w:t xml:space="preserve"> et al. </w:t>
      </w:r>
      <w:r w:rsidR="00B2516C">
        <w:rPr>
          <w:i/>
          <w:sz w:val="18"/>
          <w:szCs w:val="18"/>
        </w:rPr>
        <w:t>(</w:t>
      </w:r>
      <w:r w:rsidR="0007172C">
        <w:rPr>
          <w:i/>
          <w:sz w:val="18"/>
          <w:szCs w:val="18"/>
        </w:rPr>
        <w:t>2017</w:t>
      </w:r>
      <w:r w:rsidR="00B2516C">
        <w:rPr>
          <w:i/>
          <w:sz w:val="18"/>
          <w:szCs w:val="18"/>
        </w:rPr>
        <w:t>)</w:t>
      </w:r>
      <w:r w:rsidR="008C71B4" w:rsidRPr="0007172C">
        <w:rPr>
          <w:i/>
          <w:sz w:val="18"/>
          <w:szCs w:val="18"/>
        </w:rPr>
        <w:t xml:space="preserve"> or further evaluation of Hawaii wetland types. Therefore we did not attempt to estimate this flux.</w:t>
      </w:r>
    </w:p>
    <w:p w14:paraId="28F4B92F" w14:textId="48426852" w:rsidR="008C71B4" w:rsidRDefault="008C71B4" w:rsidP="0007172C">
      <w:r>
        <w:t>Note that though Hawaii non-CO</w:t>
      </w:r>
      <w:r w:rsidRPr="0007172C">
        <w:rPr>
          <w:vertAlign w:val="subscript"/>
        </w:rPr>
        <w:t>2</w:t>
      </w:r>
      <w:r>
        <w:t xml:space="preserve"> from grassland fires are included in the NGHGI, the Monitoring Trends in Burn Severity (MTBS) dataset is known to not cover all fires in Hawaii, </w:t>
      </w:r>
      <w:r w:rsidR="007516B1">
        <w:t xml:space="preserve">making </w:t>
      </w:r>
      <w:r>
        <w:t xml:space="preserve">NGHGI values for grassland fires in Hawaii an underestimate. However, the value of the </w:t>
      </w:r>
      <w:r w:rsidR="00B2516C">
        <w:t>omitted GHG flux</w:t>
      </w:r>
      <w:r>
        <w:t xml:space="preserve"> is likely to be small, as demonstrated with the total </w:t>
      </w:r>
      <w:r w:rsidR="00B2516C">
        <w:t>flux</w:t>
      </w:r>
      <w:r>
        <w:t xml:space="preserve"> from forest fire non-CO</w:t>
      </w:r>
      <w:r w:rsidRPr="0007172C">
        <w:rPr>
          <w:vertAlign w:val="subscript"/>
        </w:rPr>
        <w:t>2</w:t>
      </w:r>
      <w:r>
        <w:t xml:space="preserve"> (Table </w:t>
      </w:r>
      <w:r w:rsidR="007D6D6E">
        <w:t>2</w:t>
      </w:r>
      <w:r w:rsidR="005F6840">
        <w:t>-4</w:t>
      </w:r>
      <w:r w:rsidR="007516B1">
        <w:t>3</w:t>
      </w:r>
      <w:r>
        <w:t>).</w:t>
      </w:r>
    </w:p>
    <w:p w14:paraId="7E38CE19" w14:textId="0374D6B1" w:rsidR="0007172C" w:rsidRPr="00B2516C" w:rsidRDefault="0007172C" w:rsidP="0007172C">
      <w:pPr>
        <w:rPr>
          <w:rStyle w:val="Strong"/>
          <w:rFonts w:eastAsiaTheme="majorEastAsia" w:cstheme="majorBidi"/>
          <w:b w:val="0"/>
          <w:color w:val="2E74B5" w:themeColor="accent1" w:themeShade="BF"/>
          <w:sz w:val="26"/>
          <w:szCs w:val="26"/>
        </w:rPr>
      </w:pPr>
      <w:r w:rsidRPr="00B2516C">
        <w:rPr>
          <w:rStyle w:val="Strong"/>
          <w:rFonts w:eastAsiaTheme="majorEastAsia" w:cstheme="majorBidi"/>
          <w:b w:val="0"/>
          <w:color w:val="2E74B5" w:themeColor="accent1" w:themeShade="BF"/>
          <w:sz w:val="26"/>
          <w:szCs w:val="26"/>
        </w:rPr>
        <w:t xml:space="preserve">Omitted </w:t>
      </w:r>
      <w:r w:rsidR="00195F4D">
        <w:rPr>
          <w:rStyle w:val="Strong"/>
          <w:rFonts w:eastAsiaTheme="majorEastAsia" w:cstheme="majorBidi"/>
          <w:b w:val="0"/>
          <w:color w:val="2E74B5" w:themeColor="accent1" w:themeShade="BF"/>
          <w:sz w:val="26"/>
          <w:szCs w:val="26"/>
        </w:rPr>
        <w:t xml:space="preserve">GHG </w:t>
      </w:r>
      <w:r w:rsidRPr="00B2516C">
        <w:rPr>
          <w:rStyle w:val="Strong"/>
          <w:rFonts w:eastAsiaTheme="majorEastAsia" w:cstheme="majorBidi"/>
          <w:b w:val="0"/>
          <w:color w:val="2E74B5" w:themeColor="accent1" w:themeShade="BF"/>
          <w:sz w:val="26"/>
          <w:szCs w:val="26"/>
        </w:rPr>
        <w:t>fluxes in Puerto Rico</w:t>
      </w:r>
    </w:p>
    <w:p w14:paraId="4F70FFC3" w14:textId="36A8ECC1" w:rsidR="008C71B4" w:rsidRPr="0007172C" w:rsidRDefault="008C71B4" w:rsidP="0007172C">
      <w:pPr>
        <w:rPr>
          <w:b/>
          <w:i/>
          <w:iCs/>
          <w:color w:val="44546A" w:themeColor="text2"/>
        </w:rPr>
      </w:pPr>
      <w:r>
        <w:t>We do not estimate any omitted</w:t>
      </w:r>
      <w:r w:rsidR="00B2516C">
        <w:t xml:space="preserve"> GHG</w:t>
      </w:r>
      <w:r>
        <w:t xml:space="preserve"> fluxes from U.S. Territories</w:t>
      </w:r>
      <w:r w:rsidR="0007172C">
        <w:t xml:space="preserve"> as a whole</w:t>
      </w:r>
      <w:r>
        <w:t xml:space="preserve">. </w:t>
      </w:r>
      <w:r w:rsidR="0007172C">
        <w:t xml:space="preserve">However, </w:t>
      </w:r>
      <w:r>
        <w:t>Puer</w:t>
      </w:r>
      <w:r w:rsidR="0007172C">
        <w:t>t</w:t>
      </w:r>
      <w:r>
        <w:t xml:space="preserve">o Rico comprises 85% of the land area of U.S. Territories. A 2014 report from the Center for Climate Strategies </w:t>
      </w:r>
      <w:r w:rsidR="0007172C">
        <w:t xml:space="preserve">(CCS) </w:t>
      </w:r>
      <w:r>
        <w:t xml:space="preserve">estimated economy-wide GHG </w:t>
      </w:r>
      <w:r w:rsidR="007516B1">
        <w:t xml:space="preserve">emissions </w:t>
      </w:r>
      <w:r>
        <w:t>for Puerto Rico</w:t>
      </w:r>
      <w:r w:rsidR="007516B1">
        <w:t>,</w:t>
      </w:r>
      <w:r w:rsidR="0007172C">
        <w:t xml:space="preserve"> </w:t>
      </w:r>
      <w:r>
        <w:t>includ</w:t>
      </w:r>
      <w:r w:rsidR="007516B1">
        <w:t>ing</w:t>
      </w:r>
      <w:r>
        <w:t xml:space="preserve"> N</w:t>
      </w:r>
      <w:r w:rsidRPr="0007172C">
        <w:rPr>
          <w:vertAlign w:val="subscript"/>
        </w:rPr>
        <w:t>2</w:t>
      </w:r>
      <w:r>
        <w:t xml:space="preserve">O from cropland soils, carbon stock change from woody perennials on cropland, and forestry and urban tree carbon stock change (Table </w:t>
      </w:r>
      <w:r w:rsidR="007D6D6E">
        <w:t>2</w:t>
      </w:r>
      <w:r w:rsidR="005F6840">
        <w:t>-4</w:t>
      </w:r>
      <w:r w:rsidR="007516B1">
        <w:t>4</w:t>
      </w:r>
      <w:r>
        <w:t>)</w:t>
      </w:r>
      <w:r w:rsidR="0007172C">
        <w:t xml:space="preserve">. </w:t>
      </w:r>
      <w:r>
        <w:t xml:space="preserve"> </w:t>
      </w:r>
      <w:r w:rsidR="0007172C">
        <w:t>T</w:t>
      </w:r>
      <w:r>
        <w:t>here are many missing GHG categories</w:t>
      </w:r>
      <w:r w:rsidR="0007172C">
        <w:t xml:space="preserve"> not covered in the CCS report</w:t>
      </w:r>
      <w:r>
        <w:t>, including carbon stock change in cropland soils, any grassland</w:t>
      </w:r>
      <w:r w:rsidR="007516B1">
        <w:t xml:space="preserve"> fluxes</w:t>
      </w:r>
      <w:r>
        <w:t>, carbon and non-CO</w:t>
      </w:r>
      <w:r w:rsidRPr="0007172C">
        <w:rPr>
          <w:vertAlign w:val="subscript"/>
        </w:rPr>
        <w:t>2</w:t>
      </w:r>
      <w:r>
        <w:t xml:space="preserve"> emissions from drained organic soils, any forest carbon fluxes other than above and below ground carbon, and settlement soils. </w:t>
      </w:r>
      <w:r w:rsidR="0007172C">
        <w:t>However, we include available estimates here for context and prioritization.</w:t>
      </w:r>
    </w:p>
    <w:p w14:paraId="5AC34E43" w14:textId="098F6F39" w:rsidR="0007172C" w:rsidRPr="0007172C" w:rsidRDefault="0007172C" w:rsidP="0007172C">
      <w:pPr>
        <w:rPr>
          <w:b/>
          <w:i/>
          <w:iCs/>
          <w:color w:val="44546A" w:themeColor="text2"/>
        </w:rPr>
      </w:pPr>
      <w:r w:rsidRPr="0007172C">
        <w:rPr>
          <w:b/>
          <w:i/>
          <w:iCs/>
          <w:color w:val="44546A" w:themeColor="text2"/>
        </w:rPr>
        <w:t xml:space="preserve">Table </w:t>
      </w:r>
      <w:r w:rsidR="007D6D6E">
        <w:rPr>
          <w:b/>
          <w:i/>
          <w:iCs/>
          <w:color w:val="44546A" w:themeColor="text2"/>
        </w:rPr>
        <w:t>2</w:t>
      </w:r>
      <w:r w:rsidR="005F6840">
        <w:rPr>
          <w:b/>
          <w:i/>
          <w:iCs/>
          <w:color w:val="44546A" w:themeColor="text2"/>
        </w:rPr>
        <w:t>-4</w:t>
      </w:r>
      <w:r w:rsidR="007516B1">
        <w:rPr>
          <w:b/>
          <w:i/>
          <w:iCs/>
          <w:color w:val="44546A" w:themeColor="text2"/>
        </w:rPr>
        <w:t>4</w:t>
      </w:r>
      <w:r w:rsidR="001E048A">
        <w:rPr>
          <w:b/>
          <w:i/>
          <w:iCs/>
          <w:color w:val="44546A" w:themeColor="text2"/>
        </w:rPr>
        <w:t>:</w:t>
      </w:r>
      <w:r w:rsidRPr="0007172C">
        <w:rPr>
          <w:b/>
          <w:i/>
          <w:iCs/>
          <w:color w:val="44546A" w:themeColor="text2"/>
        </w:rPr>
        <w:t xml:space="preserve"> Center for Climate Strategies estimates for Puerto Rico land-related GHG fluxes, 2010</w:t>
      </w:r>
    </w:p>
    <w:tbl>
      <w:tblPr>
        <w:tblStyle w:val="TableGrid"/>
        <w:tblW w:w="0" w:type="auto"/>
        <w:tblLook w:val="04A0" w:firstRow="1" w:lastRow="0" w:firstColumn="1" w:lastColumn="0" w:noHBand="0" w:noVBand="1"/>
      </w:tblPr>
      <w:tblGrid>
        <w:gridCol w:w="3415"/>
        <w:gridCol w:w="3150"/>
      </w:tblGrid>
      <w:tr w:rsidR="008C71B4" w:rsidRPr="0007172C" w14:paraId="14763668" w14:textId="77777777" w:rsidTr="00184B8F">
        <w:tc>
          <w:tcPr>
            <w:tcW w:w="3415" w:type="dxa"/>
            <w:shd w:val="clear" w:color="auto" w:fill="FFC000" w:themeFill="accent4"/>
          </w:tcPr>
          <w:p w14:paraId="3D10C4D1" w14:textId="45E9A8B6" w:rsidR="008C71B4" w:rsidRPr="0007172C" w:rsidRDefault="006D49B6" w:rsidP="000E2401">
            <w:pPr>
              <w:rPr>
                <w:b/>
                <w:sz w:val="18"/>
                <w:szCs w:val="18"/>
              </w:rPr>
            </w:pPr>
            <w:r>
              <w:rPr>
                <w:b/>
                <w:sz w:val="18"/>
                <w:szCs w:val="18"/>
              </w:rPr>
              <w:t xml:space="preserve">Inventory </w:t>
            </w:r>
            <w:r w:rsidR="0007172C" w:rsidRPr="0007172C">
              <w:rPr>
                <w:b/>
                <w:sz w:val="18"/>
                <w:szCs w:val="18"/>
              </w:rPr>
              <w:t>categor</w:t>
            </w:r>
            <w:r>
              <w:rPr>
                <w:b/>
                <w:sz w:val="18"/>
                <w:szCs w:val="18"/>
              </w:rPr>
              <w:t>y</w:t>
            </w:r>
          </w:p>
        </w:tc>
        <w:tc>
          <w:tcPr>
            <w:tcW w:w="3150" w:type="dxa"/>
            <w:shd w:val="clear" w:color="auto" w:fill="FFC000" w:themeFill="accent4"/>
            <w:vAlign w:val="center"/>
          </w:tcPr>
          <w:p w14:paraId="475B4BC2" w14:textId="2FFA3405" w:rsidR="008C71B4" w:rsidRPr="0007172C" w:rsidRDefault="008C71B4">
            <w:pPr>
              <w:jc w:val="center"/>
              <w:rPr>
                <w:b/>
                <w:sz w:val="18"/>
                <w:szCs w:val="18"/>
              </w:rPr>
            </w:pPr>
            <w:r w:rsidRPr="0007172C">
              <w:rPr>
                <w:b/>
                <w:sz w:val="18"/>
                <w:szCs w:val="18"/>
              </w:rPr>
              <w:t xml:space="preserve">GHG </w:t>
            </w:r>
            <w:r w:rsidR="006D49B6">
              <w:rPr>
                <w:b/>
                <w:sz w:val="18"/>
                <w:szCs w:val="18"/>
              </w:rPr>
              <w:t>flux</w:t>
            </w:r>
            <w:r w:rsidR="006D49B6" w:rsidRPr="0007172C">
              <w:rPr>
                <w:b/>
                <w:sz w:val="18"/>
                <w:szCs w:val="18"/>
              </w:rPr>
              <w:t xml:space="preserve"> </w:t>
            </w:r>
            <w:r w:rsidRPr="0007172C">
              <w:rPr>
                <w:b/>
                <w:sz w:val="18"/>
                <w:szCs w:val="18"/>
              </w:rPr>
              <w:t>(MMT CO</w:t>
            </w:r>
            <w:r w:rsidRPr="00184B8F">
              <w:rPr>
                <w:b/>
                <w:sz w:val="18"/>
                <w:szCs w:val="18"/>
                <w:vertAlign w:val="subscript"/>
              </w:rPr>
              <w:t>2</w:t>
            </w:r>
            <w:r w:rsidRPr="0007172C">
              <w:rPr>
                <w:b/>
                <w:sz w:val="18"/>
                <w:szCs w:val="18"/>
              </w:rPr>
              <w:t>e)</w:t>
            </w:r>
          </w:p>
        </w:tc>
      </w:tr>
      <w:tr w:rsidR="008C71B4" w:rsidRPr="0007172C" w14:paraId="7634BA30" w14:textId="77777777" w:rsidTr="0007172C">
        <w:tc>
          <w:tcPr>
            <w:tcW w:w="3415" w:type="dxa"/>
          </w:tcPr>
          <w:p w14:paraId="161200F6" w14:textId="77777777" w:rsidR="008C71B4" w:rsidRPr="0007172C" w:rsidRDefault="008C71B4" w:rsidP="00CE32DB">
            <w:pPr>
              <w:rPr>
                <w:sz w:val="18"/>
                <w:szCs w:val="18"/>
              </w:rPr>
            </w:pPr>
            <w:r w:rsidRPr="0007172C">
              <w:rPr>
                <w:sz w:val="18"/>
                <w:szCs w:val="18"/>
              </w:rPr>
              <w:t>N</w:t>
            </w:r>
            <w:r w:rsidRPr="0007172C">
              <w:rPr>
                <w:sz w:val="18"/>
                <w:szCs w:val="18"/>
                <w:vertAlign w:val="subscript"/>
              </w:rPr>
              <w:t>2</w:t>
            </w:r>
            <w:r w:rsidRPr="0007172C">
              <w:rPr>
                <w:sz w:val="18"/>
                <w:szCs w:val="18"/>
              </w:rPr>
              <w:t>O from cropland soils</w:t>
            </w:r>
          </w:p>
        </w:tc>
        <w:tc>
          <w:tcPr>
            <w:tcW w:w="3150" w:type="dxa"/>
            <w:vAlign w:val="center"/>
          </w:tcPr>
          <w:p w14:paraId="4BBB944A" w14:textId="2CAA7EDB" w:rsidR="008C71B4" w:rsidRPr="0007172C" w:rsidRDefault="008C71B4" w:rsidP="0007172C">
            <w:pPr>
              <w:jc w:val="center"/>
              <w:rPr>
                <w:sz w:val="18"/>
                <w:szCs w:val="18"/>
              </w:rPr>
            </w:pPr>
            <w:r w:rsidRPr="0007172C">
              <w:rPr>
                <w:sz w:val="18"/>
                <w:szCs w:val="18"/>
              </w:rPr>
              <w:t>0.1</w:t>
            </w:r>
          </w:p>
        </w:tc>
      </w:tr>
      <w:tr w:rsidR="008C71B4" w:rsidRPr="0007172C" w14:paraId="63A609E2" w14:textId="77777777" w:rsidTr="0007172C">
        <w:tc>
          <w:tcPr>
            <w:tcW w:w="3415" w:type="dxa"/>
          </w:tcPr>
          <w:p w14:paraId="5FD7C570" w14:textId="77777777" w:rsidR="008C71B4" w:rsidRPr="0007172C" w:rsidRDefault="008C71B4" w:rsidP="00CE32DB">
            <w:pPr>
              <w:rPr>
                <w:sz w:val="18"/>
                <w:szCs w:val="18"/>
              </w:rPr>
            </w:pPr>
            <w:r w:rsidRPr="0007172C">
              <w:rPr>
                <w:sz w:val="18"/>
                <w:szCs w:val="18"/>
              </w:rPr>
              <w:t>Woody perennial cropland carbon stock change</w:t>
            </w:r>
          </w:p>
        </w:tc>
        <w:tc>
          <w:tcPr>
            <w:tcW w:w="3150" w:type="dxa"/>
            <w:vAlign w:val="center"/>
          </w:tcPr>
          <w:p w14:paraId="73BE3938" w14:textId="23D165A3" w:rsidR="008C71B4" w:rsidRPr="0007172C" w:rsidRDefault="00AE2C66" w:rsidP="0007172C">
            <w:pPr>
              <w:jc w:val="center"/>
              <w:rPr>
                <w:sz w:val="18"/>
                <w:szCs w:val="18"/>
              </w:rPr>
            </w:pPr>
            <w:r>
              <w:rPr>
                <w:sz w:val="18"/>
                <w:szCs w:val="18"/>
              </w:rPr>
              <w:t>-</w:t>
            </w:r>
            <w:r w:rsidR="008C71B4" w:rsidRPr="0007172C">
              <w:rPr>
                <w:sz w:val="18"/>
                <w:szCs w:val="18"/>
              </w:rPr>
              <w:t>0.</w:t>
            </w:r>
            <w:r w:rsidR="006D49B6">
              <w:rPr>
                <w:sz w:val="18"/>
                <w:szCs w:val="18"/>
              </w:rPr>
              <w:t>3</w:t>
            </w:r>
          </w:p>
        </w:tc>
      </w:tr>
      <w:tr w:rsidR="008C71B4" w:rsidRPr="0007172C" w14:paraId="560474E3" w14:textId="77777777" w:rsidTr="0007172C">
        <w:tc>
          <w:tcPr>
            <w:tcW w:w="3415" w:type="dxa"/>
          </w:tcPr>
          <w:p w14:paraId="73D61CB5" w14:textId="77777777" w:rsidR="008C71B4" w:rsidRPr="0007172C" w:rsidRDefault="008C71B4" w:rsidP="00CE32DB">
            <w:pPr>
              <w:rPr>
                <w:sz w:val="18"/>
                <w:szCs w:val="18"/>
              </w:rPr>
            </w:pPr>
            <w:r w:rsidRPr="0007172C">
              <w:rPr>
                <w:sz w:val="18"/>
                <w:szCs w:val="18"/>
              </w:rPr>
              <w:t>Forest carbon stock change</w:t>
            </w:r>
          </w:p>
        </w:tc>
        <w:tc>
          <w:tcPr>
            <w:tcW w:w="3150" w:type="dxa"/>
            <w:vAlign w:val="center"/>
          </w:tcPr>
          <w:p w14:paraId="78184463" w14:textId="3334DC08" w:rsidR="008C71B4" w:rsidRPr="0007172C" w:rsidRDefault="00AE2C66" w:rsidP="0007172C">
            <w:pPr>
              <w:jc w:val="center"/>
              <w:rPr>
                <w:sz w:val="18"/>
                <w:szCs w:val="18"/>
              </w:rPr>
            </w:pPr>
            <w:r>
              <w:rPr>
                <w:sz w:val="18"/>
                <w:szCs w:val="18"/>
              </w:rPr>
              <w:t>-</w:t>
            </w:r>
            <w:r w:rsidR="008C71B4" w:rsidRPr="0007172C">
              <w:rPr>
                <w:sz w:val="18"/>
                <w:szCs w:val="18"/>
              </w:rPr>
              <w:t>0.</w:t>
            </w:r>
            <w:r w:rsidR="006D49B6">
              <w:rPr>
                <w:sz w:val="18"/>
                <w:szCs w:val="18"/>
              </w:rPr>
              <w:t>6</w:t>
            </w:r>
          </w:p>
        </w:tc>
      </w:tr>
      <w:tr w:rsidR="008C71B4" w:rsidRPr="0007172C" w14:paraId="3B43F6BF" w14:textId="77777777" w:rsidTr="0007172C">
        <w:tc>
          <w:tcPr>
            <w:tcW w:w="3415" w:type="dxa"/>
          </w:tcPr>
          <w:p w14:paraId="04050A1A" w14:textId="77777777" w:rsidR="008C71B4" w:rsidRPr="0007172C" w:rsidRDefault="008C71B4" w:rsidP="00CE32DB">
            <w:pPr>
              <w:rPr>
                <w:sz w:val="18"/>
                <w:szCs w:val="18"/>
              </w:rPr>
            </w:pPr>
            <w:r w:rsidRPr="0007172C">
              <w:rPr>
                <w:sz w:val="18"/>
                <w:szCs w:val="18"/>
              </w:rPr>
              <w:t>Urban tree carbon stock change</w:t>
            </w:r>
          </w:p>
        </w:tc>
        <w:tc>
          <w:tcPr>
            <w:tcW w:w="3150" w:type="dxa"/>
            <w:vAlign w:val="center"/>
          </w:tcPr>
          <w:p w14:paraId="50612E8F" w14:textId="0DE9F321" w:rsidR="008C71B4" w:rsidRPr="0007172C" w:rsidRDefault="00AE2C66" w:rsidP="0007172C">
            <w:pPr>
              <w:jc w:val="center"/>
              <w:rPr>
                <w:sz w:val="18"/>
                <w:szCs w:val="18"/>
              </w:rPr>
            </w:pPr>
            <w:r>
              <w:rPr>
                <w:sz w:val="18"/>
                <w:szCs w:val="18"/>
              </w:rPr>
              <w:t>-</w:t>
            </w:r>
            <w:r w:rsidR="008C71B4" w:rsidRPr="0007172C">
              <w:rPr>
                <w:sz w:val="18"/>
                <w:szCs w:val="18"/>
              </w:rPr>
              <w:t>0.1</w:t>
            </w:r>
          </w:p>
        </w:tc>
      </w:tr>
      <w:tr w:rsidR="008C71B4" w:rsidRPr="0007172C" w14:paraId="0C3F8D7D" w14:textId="77777777" w:rsidTr="0007172C">
        <w:tc>
          <w:tcPr>
            <w:tcW w:w="3415" w:type="dxa"/>
          </w:tcPr>
          <w:p w14:paraId="395DCC36" w14:textId="77777777" w:rsidR="008C71B4" w:rsidRPr="0007172C" w:rsidRDefault="008C71B4" w:rsidP="00CE32DB">
            <w:pPr>
              <w:rPr>
                <w:sz w:val="18"/>
                <w:szCs w:val="18"/>
              </w:rPr>
            </w:pPr>
            <w:r w:rsidRPr="0007172C">
              <w:rPr>
                <w:sz w:val="18"/>
                <w:szCs w:val="18"/>
              </w:rPr>
              <w:t>Total</w:t>
            </w:r>
          </w:p>
        </w:tc>
        <w:tc>
          <w:tcPr>
            <w:tcW w:w="3150" w:type="dxa"/>
            <w:vAlign w:val="center"/>
          </w:tcPr>
          <w:p w14:paraId="5E7010C0" w14:textId="6320F2C2" w:rsidR="008C71B4" w:rsidRPr="0007172C" w:rsidRDefault="00AE2C66" w:rsidP="0007172C">
            <w:pPr>
              <w:jc w:val="center"/>
              <w:rPr>
                <w:sz w:val="18"/>
                <w:szCs w:val="18"/>
              </w:rPr>
            </w:pPr>
            <w:r>
              <w:rPr>
                <w:sz w:val="18"/>
                <w:szCs w:val="18"/>
              </w:rPr>
              <w:t>-</w:t>
            </w:r>
            <w:r w:rsidR="008C71B4" w:rsidRPr="0007172C">
              <w:rPr>
                <w:sz w:val="18"/>
                <w:szCs w:val="18"/>
              </w:rPr>
              <w:t>0.8</w:t>
            </w:r>
          </w:p>
        </w:tc>
      </w:tr>
    </w:tbl>
    <w:p w14:paraId="7D23B1EC" w14:textId="08959B1E" w:rsidR="008C71B4" w:rsidRPr="00B2516C" w:rsidRDefault="00B2516C" w:rsidP="0007172C">
      <w:pPr>
        <w:rPr>
          <w:i/>
          <w:sz w:val="18"/>
          <w:szCs w:val="18"/>
        </w:rPr>
      </w:pPr>
      <w:r w:rsidRPr="00B2516C">
        <w:rPr>
          <w:i/>
          <w:sz w:val="18"/>
          <w:szCs w:val="18"/>
        </w:rPr>
        <w:t>Negative values indicate CO</w:t>
      </w:r>
      <w:r w:rsidRPr="00B2516C">
        <w:rPr>
          <w:i/>
          <w:sz w:val="18"/>
          <w:szCs w:val="18"/>
          <w:vertAlign w:val="subscript"/>
        </w:rPr>
        <w:t>2</w:t>
      </w:r>
      <w:r w:rsidRPr="00B2516C">
        <w:rPr>
          <w:i/>
          <w:sz w:val="18"/>
          <w:szCs w:val="18"/>
        </w:rPr>
        <w:t xml:space="preserve"> sequestration.</w:t>
      </w:r>
    </w:p>
    <w:p w14:paraId="53FE6274" w14:textId="77777777" w:rsidR="008C71B4" w:rsidRPr="00B2516C" w:rsidRDefault="008C71B4" w:rsidP="0007172C">
      <w:pPr>
        <w:rPr>
          <w:rStyle w:val="Strong"/>
          <w:rFonts w:eastAsiaTheme="majorEastAsia" w:cstheme="majorBidi"/>
          <w:b w:val="0"/>
          <w:color w:val="2E74B5" w:themeColor="accent1" w:themeShade="BF"/>
          <w:sz w:val="26"/>
          <w:szCs w:val="26"/>
        </w:rPr>
      </w:pPr>
      <w:r w:rsidRPr="00B2516C">
        <w:rPr>
          <w:rStyle w:val="Strong"/>
          <w:rFonts w:eastAsiaTheme="majorEastAsia" w:cstheme="majorBidi"/>
          <w:b w:val="0"/>
          <w:color w:val="2E74B5" w:themeColor="accent1" w:themeShade="BF"/>
          <w:sz w:val="26"/>
          <w:szCs w:val="26"/>
        </w:rPr>
        <w:t xml:space="preserve">Forest carbon stock change in interior Alaska </w:t>
      </w:r>
    </w:p>
    <w:p w14:paraId="6113D634" w14:textId="6825D01F" w:rsidR="008C71B4" w:rsidRDefault="008C71B4" w:rsidP="0007172C">
      <w:r>
        <w:t>In the 2019 NGHGI</w:t>
      </w:r>
      <w:r w:rsidR="00B2516C">
        <w:t>,</w:t>
      </w:r>
      <w:r>
        <w:t xml:space="preserve"> forest carbon stock change estimates for interior Alaska were included for the first time. This </w:t>
      </w:r>
      <w:r w:rsidR="0007172C">
        <w:t>added</w:t>
      </w:r>
      <w:r>
        <w:t xml:space="preserve"> 24.5 million hectares of forest to </w:t>
      </w:r>
      <w:r w:rsidR="0007172C">
        <w:t xml:space="preserve">U.S. </w:t>
      </w:r>
      <w:r>
        <w:t xml:space="preserve">forest carbon </w:t>
      </w:r>
      <w:r w:rsidR="00015E3E">
        <w:t>flux estimates</w:t>
      </w:r>
      <w:r>
        <w:t>. The 2019 NGHGI does not list forest carbon stock change values separately for Alaska, nor does it separately report uncertainty calculations for interior Alaska.</w:t>
      </w:r>
    </w:p>
    <w:p w14:paraId="510D6F77" w14:textId="6C7FFED9" w:rsidR="008C71B4" w:rsidRPr="00E654A9" w:rsidRDefault="008C71B4" w:rsidP="0007172C">
      <w:r>
        <w:t>The interior Alaska method differs from that in the contiguous United States and coastal Alaska. While it still relies on plot-level FIA</w:t>
      </w:r>
      <w:r w:rsidR="0007172C">
        <w:t xml:space="preserve"> measurements</w:t>
      </w:r>
      <w:r>
        <w:t xml:space="preserve"> starting in 2014, a gain-loss method is used</w:t>
      </w:r>
      <w:r w:rsidR="0007172C">
        <w:t xml:space="preserve"> rather than the stock change method</w:t>
      </w:r>
      <w:r>
        <w:t xml:space="preserve">. The FIA plot density in interior Alaska is 1/5 of that in the contiguous U.S. and coastal Alaska. </w:t>
      </w:r>
    </w:p>
    <w:p w14:paraId="0419FA2C" w14:textId="0B7A1BA0" w:rsidR="0006624E" w:rsidRDefault="008C71B4" w:rsidP="0007172C">
      <w:pPr>
        <w:spacing w:before="240"/>
      </w:pPr>
      <w:r w:rsidRPr="00E654A9">
        <w:t xml:space="preserve">We did not </w:t>
      </w:r>
      <w:r>
        <w:t>attempt to attribute uncertainty for the Alaska forestry calculations, given limited information on data and methods. Many of the model error attribution estimates we calculate for the contiguous U.S. methods will apply to Alaska, and the smaller sampling rate will likely result in higher sampling error.</w:t>
      </w:r>
    </w:p>
    <w:p w14:paraId="2A15097E" w14:textId="77777777" w:rsidR="0006624E" w:rsidRDefault="0006624E" w:rsidP="00083485">
      <w:pPr>
        <w:pStyle w:val="1-Header"/>
        <w:sectPr w:rsidR="0006624E">
          <w:pgSz w:w="12240" w:h="15840"/>
          <w:pgMar w:top="1440" w:right="1440" w:bottom="1440" w:left="1440" w:header="720" w:footer="720" w:gutter="0"/>
          <w:cols w:space="720"/>
          <w:docGrid w:linePitch="360"/>
        </w:sectPr>
      </w:pPr>
    </w:p>
    <w:p w14:paraId="50A50E87" w14:textId="2240E5CD" w:rsidR="00DA30D4" w:rsidRDefault="00DA30D4" w:rsidP="00DE4909"/>
    <w:p w14:paraId="6865F54E" w14:textId="77777777" w:rsidR="00DF55C8" w:rsidRDefault="00A4727E" w:rsidP="00A4727E">
      <w:pPr>
        <w:pStyle w:val="Heading1"/>
        <w:numPr>
          <w:ilvl w:val="0"/>
          <w:numId w:val="0"/>
        </w:numPr>
        <w:ind w:left="360"/>
      </w:pPr>
      <w:bookmarkStart w:id="290" w:name="_Toc84784390"/>
      <w:r>
        <w:t>Section 3: Tier 3 Cropland and Grassland Expert Elicitation Survey</w:t>
      </w:r>
      <w:bookmarkEnd w:id="290"/>
      <w:r>
        <w:t xml:space="preserve"> </w:t>
      </w:r>
    </w:p>
    <w:p w14:paraId="29CEE62D" w14:textId="77777777" w:rsidR="00DF55C8" w:rsidRDefault="00DF55C8" w:rsidP="00DF55C8">
      <w:pPr>
        <w:rPr>
          <w:rFonts w:ascii="Calibri" w:eastAsia="Calibri" w:hAnsi="Calibri" w:cs="Times New Roman"/>
          <w:i/>
        </w:rPr>
      </w:pPr>
    </w:p>
    <w:p w14:paraId="1B88D7C6" w14:textId="4551C63F" w:rsidR="00DF55C8" w:rsidRPr="00DF55C8" w:rsidRDefault="00DF55C8" w:rsidP="00DF55C8">
      <w:pPr>
        <w:rPr>
          <w:rFonts w:ascii="Calibri" w:eastAsia="Calibri" w:hAnsi="Calibri" w:cs="Times New Roman"/>
          <w:i/>
        </w:rPr>
      </w:pPr>
      <w:r>
        <w:rPr>
          <w:rFonts w:ascii="Calibri" w:eastAsia="Calibri" w:hAnsi="Calibri" w:cs="Times New Roman"/>
          <w:i/>
        </w:rPr>
        <w:t>All text in this section was provided to experts</w:t>
      </w:r>
      <w:r w:rsidR="00C826B3">
        <w:rPr>
          <w:rFonts w:ascii="Calibri" w:eastAsia="Calibri" w:hAnsi="Calibri" w:cs="Times New Roman"/>
          <w:i/>
        </w:rPr>
        <w:t xml:space="preserve"> participating in the expert elicitation survey</w:t>
      </w:r>
      <w:r>
        <w:rPr>
          <w:rFonts w:ascii="Calibri" w:eastAsia="Calibri" w:hAnsi="Calibri" w:cs="Times New Roman"/>
          <w:i/>
        </w:rPr>
        <w:t xml:space="preserve">. Interact with the survey </w:t>
      </w:r>
      <w:r w:rsidR="00C826B3">
        <w:rPr>
          <w:rFonts w:ascii="Calibri" w:eastAsia="Calibri" w:hAnsi="Calibri" w:cs="Times New Roman"/>
          <w:i/>
        </w:rPr>
        <w:t xml:space="preserve">directly </w:t>
      </w:r>
      <w:r>
        <w:rPr>
          <w:rFonts w:ascii="Calibri" w:eastAsia="Calibri" w:hAnsi="Calibri" w:cs="Times New Roman"/>
          <w:i/>
        </w:rPr>
        <w:t xml:space="preserve">at: </w:t>
      </w:r>
      <w:hyperlink r:id="rId15" w:history="1">
        <w:r w:rsidRPr="002814DA">
          <w:rPr>
            <w:rStyle w:val="Hyperlink"/>
            <w:u w:val="none"/>
          </w:rPr>
          <w:t>https://www.surveymonkey.com/r/LULUCFinventory</w:t>
        </w:r>
      </w:hyperlink>
      <w:r>
        <w:rPr>
          <w:rStyle w:val="Hyperlink"/>
          <w:u w:val="none"/>
        </w:rPr>
        <w:t>.</w:t>
      </w:r>
      <w:r>
        <w:rPr>
          <w:rFonts w:ascii="Calibri" w:eastAsia="Calibri" w:hAnsi="Calibri" w:cs="Times New Roman"/>
          <w:i/>
        </w:rPr>
        <w:t xml:space="preserve"> </w:t>
      </w:r>
    </w:p>
    <w:p w14:paraId="6BCA93A7" w14:textId="77777777" w:rsidR="00DF55C8" w:rsidRDefault="00DF55C8" w:rsidP="00DF55C8">
      <w:pPr>
        <w:rPr>
          <w:rFonts w:ascii="Calibri" w:eastAsia="Calibri" w:hAnsi="Calibri" w:cs="Times New Roman"/>
          <w:b/>
          <w:u w:val="single"/>
        </w:rPr>
      </w:pPr>
    </w:p>
    <w:p w14:paraId="758CCDE9"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t>Introduction</w:t>
      </w:r>
    </w:p>
    <w:p w14:paraId="35C45B02"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Land use, soils, and forestry are projected to make large contributions to U.S. greenhouse gas (GHG) emissions reductions in the coming decades (U.S. Mid-Century Strategy for Deep Decarbonization, 2016). However, these elements also contribute the most uncertainty to current and future emissions estimates (U.S. National Greenhouse Gas Inventory, 2018 [hereafter, NGHGI 2018]; U.S. Biennial Report, 2016). This uncertainty makes it difficult for policymakers to set ambitious emissions reduction targets and confidently track progress. Our project team aims to address this challenge by (1) quantifying sources of uncertainty across the entire U.S. land-based GHG inventory and (2) prioritizing recommendations for research and data improvements to address this uncertainty. The project scope includes all land use, land-use change, and forestry (LULUCF) GHG flux estimates (Chapter 6 of the NGHGI) as well as agricultural soil management and rice methane flux estimates (a section of Chapter 5 of the NGHGI). Hereafter we will refer to these inventory components in aggregate as the LULUCF inventory.</w:t>
      </w:r>
    </w:p>
    <w:p w14:paraId="48E41CD7"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 xml:space="preserve">In collaboration with leading academics and federal experts, we are using rigorous statistical methods to attribute and rank uncertainty from all calculations and data used in the LULUCF inventory and to estimate carbon fluxes not currently included in the LULUCF inventory. This work will result in a set of priority recommendations for reducing uncertainty where possible. Funded by the Doris Duke Foundation, the project is led by Emily McGlynn, currently at University of California, Davis and former Deputy Associate Director for Energy and Climate Change at the White House Council on Environmental Quality. The project consortium includes </w:t>
      </w:r>
      <w:proofErr w:type="spellStart"/>
      <w:r w:rsidRPr="00DF55C8">
        <w:rPr>
          <w:rFonts w:ascii="Calibri" w:eastAsia="Calibri" w:hAnsi="Calibri" w:cs="Times New Roman"/>
        </w:rPr>
        <w:t>ClimateWorks</w:t>
      </w:r>
      <w:proofErr w:type="spellEnd"/>
      <w:r w:rsidRPr="00DF55C8">
        <w:rPr>
          <w:rFonts w:ascii="Calibri" w:eastAsia="Calibri" w:hAnsi="Calibri" w:cs="Times New Roman"/>
        </w:rPr>
        <w:t xml:space="preserve"> Foundation, California Environmental Associates, and Industrial Economics.</w:t>
      </w:r>
    </w:p>
    <w:p w14:paraId="72333806"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t>Expert elicitation</w:t>
      </w:r>
    </w:p>
    <w:p w14:paraId="31F928CE"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This expert elicitation focuses on the uncertainties in the estimated annual CO</w:t>
      </w:r>
      <w:r w:rsidRPr="00DF55C8">
        <w:rPr>
          <w:rFonts w:ascii="Calibri" w:eastAsia="Calibri" w:hAnsi="Calibri" w:cs="Times New Roman"/>
          <w:vertAlign w:val="subscript"/>
        </w:rPr>
        <w:t>2</w:t>
      </w:r>
      <w:r w:rsidRPr="00DF55C8">
        <w:rPr>
          <w:rFonts w:ascii="Calibri" w:eastAsia="Calibri" w:hAnsi="Calibri" w:cs="Times New Roman"/>
        </w:rPr>
        <w:t>, N</w:t>
      </w:r>
      <w:r w:rsidRPr="00DF55C8">
        <w:rPr>
          <w:rFonts w:ascii="Calibri" w:eastAsia="Calibri" w:hAnsi="Calibri" w:cs="Times New Roman"/>
          <w:vertAlign w:val="subscript"/>
        </w:rPr>
        <w:t>2</w:t>
      </w:r>
      <w:r w:rsidRPr="00DF55C8">
        <w:rPr>
          <w:rFonts w:ascii="Calibri" w:eastAsia="Calibri" w:hAnsi="Calibri" w:cs="Times New Roman"/>
        </w:rPr>
        <w:t>O, and CH</w:t>
      </w:r>
      <w:r w:rsidRPr="00DF55C8">
        <w:rPr>
          <w:rFonts w:ascii="Calibri" w:eastAsia="Calibri" w:hAnsi="Calibri" w:cs="Times New Roman"/>
          <w:vertAlign w:val="subscript"/>
        </w:rPr>
        <w:t>4</w:t>
      </w:r>
      <w:r w:rsidRPr="00DF55C8">
        <w:rPr>
          <w:rFonts w:ascii="Calibri" w:eastAsia="Calibri" w:hAnsi="Calibri" w:cs="Times New Roman"/>
        </w:rPr>
        <w:t xml:space="preserve"> emissions from Cropland and Grassland mineral soils. With your input, we will identify priority research, model development, model inter-comparison, and empirical data-generating activities for reducing U.S. national soil GHG emissions uncertainty. These priorities will inform recommendations of the project’s final report, which will be distributed to policymakers in the U.S. government and key stakeholders, including international LULUCF academics and greenhouse gas inventory professionals.</w:t>
      </w:r>
    </w:p>
    <w:p w14:paraId="3E9F2C98"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This expert elicitation begins with an overview of the NGHGI, followed by two sections. You can participate in either section or both, depending on your expertise:</w:t>
      </w:r>
    </w:p>
    <w:p w14:paraId="7B7EA12D" w14:textId="77777777" w:rsidR="00DF55C8" w:rsidRPr="00DF55C8" w:rsidRDefault="00DF55C8" w:rsidP="000B2554">
      <w:pPr>
        <w:numPr>
          <w:ilvl w:val="0"/>
          <w:numId w:val="29"/>
        </w:numPr>
        <w:contextualSpacing/>
        <w:rPr>
          <w:rFonts w:ascii="Calibri" w:eastAsia="Calibri" w:hAnsi="Calibri" w:cs="Times New Roman"/>
        </w:rPr>
      </w:pPr>
      <w:r w:rsidRPr="00DF55C8">
        <w:rPr>
          <w:rFonts w:ascii="Calibri" w:eastAsia="Calibri" w:hAnsi="Calibri" w:cs="Times New Roman"/>
          <w:b/>
        </w:rPr>
        <w:t>Section 1</w:t>
      </w:r>
      <w:r w:rsidRPr="00DF55C8">
        <w:rPr>
          <w:rFonts w:ascii="Calibri" w:eastAsia="Calibri" w:hAnsi="Calibri" w:cs="Times New Roman"/>
        </w:rPr>
        <w:t xml:space="preserve"> solicits expert judgment to quantify the uncertainty associated with each data and model element used to calculate U.S. mineral soil GHG fluxes. We will be asking you to provide </w:t>
      </w:r>
      <w:r w:rsidRPr="00DF55C8">
        <w:rPr>
          <w:rFonts w:ascii="Calibri" w:eastAsia="Calibri" w:hAnsi="Calibri" w:cs="Times New Roman"/>
        </w:rPr>
        <w:lastRenderedPageBreak/>
        <w:t>your best estimate of the percentage contribution of various model inputs, model structure, and other sources of uncertainty, to total estimated uncertainty for soil GHG emissions estimates. Participation in this section requires knowledge of Century/DayCent or similar biogeochemical soil models.</w:t>
      </w:r>
    </w:p>
    <w:p w14:paraId="54E95C9B" w14:textId="1427D298" w:rsidR="003660E2" w:rsidRPr="00CC0ACC" w:rsidRDefault="00DF55C8" w:rsidP="000B2554">
      <w:pPr>
        <w:numPr>
          <w:ilvl w:val="0"/>
          <w:numId w:val="29"/>
        </w:numPr>
        <w:rPr>
          <w:rFonts w:ascii="Calibri" w:eastAsia="Calibri" w:hAnsi="Calibri" w:cs="Times New Roman"/>
        </w:rPr>
      </w:pPr>
      <w:r w:rsidRPr="00DF55C8">
        <w:rPr>
          <w:rFonts w:ascii="Calibri" w:eastAsia="Calibri" w:hAnsi="Calibri" w:cs="Times New Roman"/>
          <w:b/>
        </w:rPr>
        <w:t>Section 2</w:t>
      </w:r>
      <w:r w:rsidRPr="00DF55C8">
        <w:rPr>
          <w:rFonts w:ascii="Calibri" w:eastAsia="Calibri" w:hAnsi="Calibri" w:cs="Times New Roman"/>
        </w:rPr>
        <w:t xml:space="preserve"> is a broader review of soil science and aims to rank the importance of various research, model development, intermodel comparison, and data-generating activities for reducing uncertainty in U.S. soil GHG emission estimates. The different elements featured in this section have been identified through an extensive literature review.</w:t>
      </w:r>
    </w:p>
    <w:p w14:paraId="7083B0B6"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t>Guidelines</w:t>
      </w:r>
    </w:p>
    <w:p w14:paraId="071F1FEB" w14:textId="77777777" w:rsidR="00DF55C8" w:rsidRPr="00DF55C8" w:rsidRDefault="00DF55C8" w:rsidP="000B2554">
      <w:pPr>
        <w:numPr>
          <w:ilvl w:val="0"/>
          <w:numId w:val="30"/>
        </w:numPr>
        <w:contextualSpacing/>
        <w:rPr>
          <w:rFonts w:ascii="Calibri" w:eastAsia="Calibri" w:hAnsi="Calibri" w:cs="Times New Roman"/>
        </w:rPr>
      </w:pPr>
      <w:r w:rsidRPr="00DF55C8">
        <w:rPr>
          <w:rFonts w:ascii="Calibri" w:eastAsia="Calibri" w:hAnsi="Calibri" w:cs="Times New Roman"/>
        </w:rPr>
        <w:t>Each section of this expert elicitation is estimated to take about 30 minutes to complete, for a total of one hour, if participating in both sections. You may, of course, take as much time as you’d like to complete the elicitation. Remember, you may participate in one or both sections. We also request that you complete a brief demographic survey that will take a minute or two.</w:t>
      </w:r>
    </w:p>
    <w:p w14:paraId="50184021" w14:textId="77777777" w:rsidR="00DF55C8" w:rsidRPr="00DF55C8" w:rsidRDefault="00DF55C8" w:rsidP="000B2554">
      <w:pPr>
        <w:numPr>
          <w:ilvl w:val="0"/>
          <w:numId w:val="30"/>
        </w:numPr>
        <w:contextualSpacing/>
        <w:rPr>
          <w:rFonts w:ascii="Calibri" w:eastAsia="Calibri" w:hAnsi="Calibri" w:cs="Times New Roman"/>
        </w:rPr>
      </w:pPr>
      <w:r w:rsidRPr="00DF55C8">
        <w:rPr>
          <w:rFonts w:ascii="Calibri" w:eastAsia="Calibri" w:hAnsi="Calibri" w:cs="Times New Roman"/>
        </w:rPr>
        <w:t>You are permitted and encouraged to reference any information sources that will help you in your expert judgments. A space is also provided after each prompt to make note of these references.</w:t>
      </w:r>
    </w:p>
    <w:p w14:paraId="4D610FF3" w14:textId="77777777" w:rsidR="00DF55C8" w:rsidRPr="00DF55C8" w:rsidRDefault="00DF55C8" w:rsidP="000B2554">
      <w:pPr>
        <w:numPr>
          <w:ilvl w:val="0"/>
          <w:numId w:val="30"/>
        </w:numPr>
        <w:contextualSpacing/>
        <w:rPr>
          <w:rFonts w:ascii="Calibri" w:eastAsia="Calibri" w:hAnsi="Calibri" w:cs="Times New Roman"/>
        </w:rPr>
      </w:pPr>
      <w:r w:rsidRPr="00DF55C8">
        <w:rPr>
          <w:rFonts w:ascii="Calibri" w:eastAsia="Calibri" w:hAnsi="Calibri" w:cs="Times New Roman"/>
        </w:rPr>
        <w:t>All responses will be reported in aggregate. Individual comments may be highlighted in the report, but would only be attributed to you with your approval. You will have the opportunity to indicate your preferences in the demographics survey.</w:t>
      </w:r>
    </w:p>
    <w:p w14:paraId="1FADAE94" w14:textId="77777777" w:rsidR="00DF55C8" w:rsidRPr="00DF55C8" w:rsidRDefault="00DF55C8" w:rsidP="000B2554">
      <w:pPr>
        <w:numPr>
          <w:ilvl w:val="0"/>
          <w:numId w:val="30"/>
        </w:numPr>
        <w:contextualSpacing/>
        <w:rPr>
          <w:rFonts w:ascii="Calibri" w:eastAsia="Calibri" w:hAnsi="Calibri" w:cs="Times New Roman"/>
        </w:rPr>
      </w:pPr>
      <w:r w:rsidRPr="00DF55C8">
        <w:rPr>
          <w:rFonts w:ascii="Calibri" w:eastAsia="Calibri" w:hAnsi="Calibri" w:cs="Times New Roman"/>
        </w:rPr>
        <w:t>Participation in this expert elicitation is completely voluntary. Should you like to withdraw your participation or any of your responses at any time, you may contact us to do so.</w:t>
      </w:r>
    </w:p>
    <w:p w14:paraId="650F1A50" w14:textId="77777777" w:rsidR="00DF55C8" w:rsidRPr="00DF55C8" w:rsidRDefault="00DF55C8" w:rsidP="000B2554">
      <w:pPr>
        <w:numPr>
          <w:ilvl w:val="0"/>
          <w:numId w:val="30"/>
        </w:numPr>
        <w:rPr>
          <w:rFonts w:ascii="Calibri" w:eastAsia="Calibri" w:hAnsi="Calibri" w:cs="Times New Roman"/>
        </w:rPr>
      </w:pPr>
      <w:r w:rsidRPr="00DF55C8">
        <w:rPr>
          <w:rFonts w:ascii="Calibri" w:eastAsia="Calibri" w:hAnsi="Calibri" w:cs="Times New Roman"/>
        </w:rPr>
        <w:t>You have two weeks to complete this survey. If you need more time, please contact us at the email address below.</w:t>
      </w:r>
    </w:p>
    <w:p w14:paraId="0F7151E5"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t>Questions/Comments/Help</w:t>
      </w:r>
    </w:p>
    <w:p w14:paraId="095F8813"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If you have questions, comments or need help, please contact Serena Li at serena.li@climateworks.org</w:t>
      </w:r>
    </w:p>
    <w:p w14:paraId="30F3F820" w14:textId="77777777" w:rsidR="00DF55C8" w:rsidRPr="00DF55C8" w:rsidRDefault="00DF55C8" w:rsidP="00DF55C8">
      <w:pPr>
        <w:rPr>
          <w:rFonts w:ascii="Calibri" w:eastAsia="Calibri" w:hAnsi="Calibri" w:cs="Times New Roman"/>
          <w:b/>
        </w:rPr>
      </w:pPr>
    </w:p>
    <w:p w14:paraId="1A82B872" w14:textId="77777777" w:rsidR="00DF55C8" w:rsidRPr="00DF55C8" w:rsidRDefault="00DF55C8" w:rsidP="00DF55C8">
      <w:pPr>
        <w:rPr>
          <w:rFonts w:ascii="Calibri" w:eastAsia="Calibri" w:hAnsi="Calibri" w:cs="Times New Roman"/>
          <w:b/>
        </w:rPr>
      </w:pPr>
    </w:p>
    <w:p w14:paraId="23EAB892" w14:textId="77777777" w:rsidR="00DF55C8" w:rsidRPr="00DF55C8" w:rsidRDefault="00DF55C8" w:rsidP="00DF55C8">
      <w:pPr>
        <w:rPr>
          <w:rFonts w:ascii="Calibri" w:eastAsia="Calibri" w:hAnsi="Calibri" w:cs="Times New Roman"/>
          <w:b/>
        </w:rPr>
      </w:pPr>
      <w:r w:rsidRPr="00DF55C8">
        <w:rPr>
          <w:rFonts w:ascii="Calibri" w:eastAsia="Calibri" w:hAnsi="Calibri" w:cs="Times New Roman"/>
          <w:b/>
        </w:rPr>
        <w:t>EXPERT ELICITATION – SECTION 1</w:t>
      </w:r>
    </w:p>
    <w:p w14:paraId="7EB773A1"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t>Section 1: Uncertainties from the LULUCF Inventory – Cropland and Grassland</w:t>
      </w:r>
    </w:p>
    <w:p w14:paraId="5EDBE956"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 xml:space="preserve">We are providing background here on the methods for calculating soil GHG emissions and uncertainty estimation. For more information, you can review the NGHGI methods </w:t>
      </w:r>
      <w:r w:rsidRPr="00DF55C8">
        <w:rPr>
          <w:rFonts w:ascii="Calibri" w:eastAsia="Calibri" w:hAnsi="Calibri" w:cs="Calibri"/>
        </w:rPr>
        <w:t xml:space="preserve">directly </w:t>
      </w:r>
      <w:hyperlink r:id="rId16" w:tgtFrame="_blank" w:history="1">
        <w:r w:rsidRPr="00DF55C8">
          <w:rPr>
            <w:rFonts w:ascii="Calibri" w:eastAsia="Calibri" w:hAnsi="Calibri" w:cs="Calibri"/>
            <w:i/>
            <w:iCs/>
            <w:color w:val="0563C1"/>
            <w:u w:val="single"/>
            <w:bdr w:val="none" w:sz="0" w:space="0" w:color="auto" w:frame="1"/>
          </w:rPr>
          <w:t>here</w:t>
        </w:r>
      </w:hyperlink>
      <w:r w:rsidRPr="00DF55C8">
        <w:rPr>
          <w:rFonts w:ascii="Calibri" w:eastAsia="Calibri" w:hAnsi="Calibri" w:cs="Calibri"/>
        </w:rPr>
        <w:t>.</w:t>
      </w:r>
    </w:p>
    <w:p w14:paraId="35938034"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 xml:space="preserve">The LULUCF Inventory comprises several chapters of an annual federal report, the U.S. National GHG Inventory (NGHGI), which provides a comprehensive accounting of total U.S. GHG emissions. Of interest for this expert elicitation is the “Tier 3” method for calculating GHG fluxes from U.S. Cropland and Grassland soils. Tier 3, as defined by the Intergovernmental Panel for Climate Change (IPCC), is the most sophisticated and data-intensive approach to estimating emissions. The U.S. Tier 3 approach, which covers 78% of managed U.S. cropland and grassland soils, utilizes DayCent, a biogeochemical soil model (NGHGI, 2018). The soils not covered by Tier 3, including federal grasslands, shaley and gravelly soils, </w:t>
      </w:r>
      <w:r w:rsidRPr="00DF55C8">
        <w:rPr>
          <w:rFonts w:ascii="Calibri" w:eastAsia="Calibri" w:hAnsi="Calibri" w:cs="Times New Roman"/>
        </w:rPr>
        <w:lastRenderedPageBreak/>
        <w:t>and minor crop types with insufficient data to parameterize DayCent, are calculated with simpler Tier 1 and Tier 2 methods. These are not covered by this survey.</w:t>
      </w:r>
    </w:p>
    <w:p w14:paraId="76AA1D4F"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DayCent output uncertainty is driven by three components (NGHGI, 2018, Appendix 3.B; Ogle et al., 2010; Ogle et al., 2003):</w:t>
      </w:r>
    </w:p>
    <w:p w14:paraId="77335868" w14:textId="77777777" w:rsidR="00DF55C8" w:rsidRPr="00DF55C8" w:rsidRDefault="00DF55C8" w:rsidP="000B2554">
      <w:pPr>
        <w:numPr>
          <w:ilvl w:val="0"/>
          <w:numId w:val="31"/>
        </w:numPr>
        <w:contextualSpacing/>
        <w:rPr>
          <w:rFonts w:ascii="Calibri" w:eastAsia="Calibri" w:hAnsi="Calibri" w:cs="Times New Roman"/>
        </w:rPr>
      </w:pPr>
      <w:r w:rsidRPr="00DF55C8">
        <w:rPr>
          <w:rFonts w:ascii="Calibri" w:eastAsia="Calibri" w:hAnsi="Calibri" w:cs="Times New Roman"/>
          <w:b/>
        </w:rPr>
        <w:t>Structural uncertainty</w:t>
      </w:r>
      <w:r w:rsidRPr="00DF55C8">
        <w:rPr>
          <w:rFonts w:ascii="Calibri" w:eastAsia="Calibri" w:hAnsi="Calibri" w:cs="Times New Roman"/>
        </w:rPr>
        <w:t>: Uncertainty attributed to DayCent model structure and parameterization. This represents at least 70–90% of DayCent output uncertainty.</w:t>
      </w:r>
    </w:p>
    <w:p w14:paraId="07D37F9A" w14:textId="77777777" w:rsidR="00DF55C8" w:rsidRPr="00DF55C8" w:rsidRDefault="00DF55C8" w:rsidP="000B2554">
      <w:pPr>
        <w:numPr>
          <w:ilvl w:val="0"/>
          <w:numId w:val="31"/>
        </w:numPr>
        <w:contextualSpacing/>
        <w:rPr>
          <w:rFonts w:ascii="Calibri" w:eastAsia="Calibri" w:hAnsi="Calibri" w:cs="Times New Roman"/>
        </w:rPr>
      </w:pPr>
      <w:r w:rsidRPr="00DF55C8">
        <w:rPr>
          <w:rFonts w:ascii="Calibri" w:eastAsia="Calibri" w:hAnsi="Calibri" w:cs="Times New Roman"/>
          <w:b/>
        </w:rPr>
        <w:t>Input uncertainty</w:t>
      </w:r>
      <w:r w:rsidRPr="00DF55C8">
        <w:rPr>
          <w:rFonts w:ascii="Calibri" w:eastAsia="Calibri" w:hAnsi="Calibri" w:cs="Times New Roman"/>
        </w:rPr>
        <w:t>: Uncertainty in the activity and management data inputs, such as crop type or land-use type, land area of each land-use/management type, fertilization rates, and tillage practices. Data primarily comes from the U.S. National Resource Inventory (NRI), as well as other sources like the Agriculture Resource Management Survey, Conservation Technology Information Center, EPA and USDA manure management data.</w:t>
      </w:r>
    </w:p>
    <w:p w14:paraId="57D2E720" w14:textId="77777777" w:rsidR="00DF55C8" w:rsidRPr="00DF55C8" w:rsidRDefault="00DF55C8" w:rsidP="000B2554">
      <w:pPr>
        <w:numPr>
          <w:ilvl w:val="0"/>
          <w:numId w:val="31"/>
        </w:numPr>
        <w:rPr>
          <w:rFonts w:ascii="Calibri" w:eastAsia="Calibri" w:hAnsi="Calibri" w:cs="Times New Roman"/>
        </w:rPr>
      </w:pPr>
      <w:r w:rsidRPr="00DF55C8">
        <w:rPr>
          <w:rFonts w:ascii="Calibri" w:eastAsia="Calibri" w:hAnsi="Calibri" w:cs="Times New Roman"/>
          <w:b/>
        </w:rPr>
        <w:t>Scaling uncertainty</w:t>
      </w:r>
      <w:r w:rsidRPr="00DF55C8">
        <w:rPr>
          <w:rFonts w:ascii="Calibri" w:eastAsia="Calibri" w:hAnsi="Calibri" w:cs="Times New Roman"/>
        </w:rPr>
        <w:t>: Uncertainty in the accuracy of land stratification and total land area estimates for each land-use/management type. This represents a minor fraction of total uncertainty, and is estimated from the U.S. NRI.</w:t>
      </w:r>
    </w:p>
    <w:p w14:paraId="50F98899"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To calculate the Tier 3 95% confidence intervals for each GHG flux estimate (Table 1, next page), all three sources of variance are accounted for.</w:t>
      </w:r>
    </w:p>
    <w:p w14:paraId="0FFA247C"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First, input uncertainty and structural uncertainty are combined through Monte Carlo analysis. Variances for some (but not all) model inputs are used in the Monte Carlo. Thus, some data inputs, such as weather and soils data are considered to have zero uncertainty. To calculate structural uncertainty, DayCent fixed and random effect variances are estimated by regressing DayCent results on empirical soil GHG emissions measurements. Input and structural variances are run through a Monte Carlo analysis together, estimating 100 results for each NRI data point, of which there are over 670,000 representing agricultural land throughout the United States. Each Monte Carlo replicate is area weight-summed across the country to find national soil GHG emissions for each replicate, then the model input/structure variance is estimated by averaging the squared deviation of these summed replicates from the national mean.</w:t>
      </w:r>
    </w:p>
    <w:p w14:paraId="0A5666CB"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Second, scaling uncertainty is calculated as the average variance of GHG emissions estimates across NRI strata (the average NRI point deviation from mean GHG emissions within each land use/management strata, averaged across strata). Scaling variance plus model input/structure variance is assumed to equal total variance, which is used to estimate the total 95% confidence interval for each GHG flux estimate for each land use/management type (see Table 1 on the next page).</w:t>
      </w:r>
    </w:p>
    <w:p w14:paraId="2FB220A3"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Because NRI data have not been published since 2012, a linear regression using surrogate data, predictor variables that explain trends in the emission patterns, with autoregressive moving average errors is used to extrapolate 2012 emissions data to 2016, the most recent year of the NGHGI. This regression contributes additional uncertainty to the 2013-2016 calculations.</w:t>
      </w:r>
    </w:p>
    <w:p w14:paraId="5F9ACB1B"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t>Breakdown of GHG flux estimates and uncertainties</w:t>
      </w:r>
    </w:p>
    <w:p w14:paraId="506EA5FF"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This section provides background information on the fluxes that we are focused on for this elicitation. Table 1 below details all soil CO</w:t>
      </w:r>
      <w:r w:rsidRPr="00DF55C8">
        <w:rPr>
          <w:rFonts w:ascii="Calibri" w:eastAsia="Calibri" w:hAnsi="Calibri" w:cs="Times New Roman"/>
          <w:vertAlign w:val="subscript"/>
        </w:rPr>
        <w:t>2</w:t>
      </w:r>
      <w:r w:rsidRPr="00DF55C8">
        <w:rPr>
          <w:rFonts w:ascii="Calibri" w:eastAsia="Calibri" w:hAnsi="Calibri" w:cs="Times New Roman"/>
        </w:rPr>
        <w:t>, N</w:t>
      </w:r>
      <w:r w:rsidRPr="00DF55C8">
        <w:rPr>
          <w:rFonts w:ascii="Calibri" w:eastAsia="Calibri" w:hAnsi="Calibri" w:cs="Times New Roman"/>
          <w:vertAlign w:val="subscript"/>
        </w:rPr>
        <w:t>2</w:t>
      </w:r>
      <w:r w:rsidRPr="00DF55C8">
        <w:rPr>
          <w:rFonts w:ascii="Calibri" w:eastAsia="Calibri" w:hAnsi="Calibri" w:cs="Times New Roman"/>
        </w:rPr>
        <w:t>O, and CH</w:t>
      </w:r>
      <w:r w:rsidRPr="00DF55C8">
        <w:rPr>
          <w:rFonts w:ascii="Calibri" w:eastAsia="Calibri" w:hAnsi="Calibri" w:cs="Times New Roman"/>
          <w:vertAlign w:val="subscript"/>
        </w:rPr>
        <w:t>4</w:t>
      </w:r>
      <w:r w:rsidRPr="00DF55C8">
        <w:rPr>
          <w:rFonts w:ascii="Calibri" w:eastAsia="Calibri" w:hAnsi="Calibri" w:cs="Times New Roman"/>
        </w:rPr>
        <w:t xml:space="preserve"> emissions estimates and uncertainties from croplands and grasslands (Tiers 1, 2 and 3). Table 2 details the distinguishing characteristics between items </w:t>
      </w:r>
      <w:r w:rsidRPr="00DF55C8">
        <w:rPr>
          <w:rFonts w:ascii="Calibri" w:eastAsia="Calibri" w:hAnsi="Calibri" w:cs="Times New Roman"/>
        </w:rPr>
        <w:lastRenderedPageBreak/>
        <w:t xml:space="preserve">considered Tier 3 versus those considered Tier 1 or 2. If you complete Section 1, please limit your responses to Tier 3 issues. </w:t>
      </w:r>
    </w:p>
    <w:p w14:paraId="3FE303A6"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Note that estimates in (parentheses) indicate negative values, or sequestered carbon. “Lower Bound” and “Upper Bound” refer to the 95% confidence interval. They are symmetric for all estimates except indirect soil N</w:t>
      </w:r>
      <w:r w:rsidRPr="00DF55C8">
        <w:rPr>
          <w:rFonts w:ascii="Calibri" w:eastAsia="Calibri" w:hAnsi="Calibri" w:cs="Times New Roman"/>
          <w:vertAlign w:val="subscript"/>
        </w:rPr>
        <w:t>2</w:t>
      </w:r>
      <w:r w:rsidRPr="00DF55C8">
        <w:rPr>
          <w:rFonts w:ascii="Calibri" w:eastAsia="Calibri" w:hAnsi="Calibri" w:cs="Times New Roman"/>
        </w:rPr>
        <w:t>O emissions. The percentages listed are the upper or lower bound as a percentage of the mean.</w:t>
      </w:r>
    </w:p>
    <w:p w14:paraId="1127C67F" w14:textId="77777777" w:rsidR="00DF55C8" w:rsidRPr="00DF55C8" w:rsidRDefault="00DF55C8" w:rsidP="00DF55C8">
      <w:pPr>
        <w:rPr>
          <w:rFonts w:ascii="Calibri" w:eastAsia="Calibri" w:hAnsi="Calibri" w:cs="Times New Roman"/>
          <w:b/>
        </w:rPr>
      </w:pPr>
    </w:p>
    <w:p w14:paraId="3DF6A8DE" w14:textId="77777777" w:rsidR="00DF55C8" w:rsidRPr="00DF55C8" w:rsidRDefault="00DF55C8" w:rsidP="00DF55C8">
      <w:pPr>
        <w:rPr>
          <w:rFonts w:ascii="Calibri" w:eastAsia="Calibri" w:hAnsi="Calibri" w:cs="Times New Roman"/>
          <w:b/>
        </w:rPr>
      </w:pPr>
      <w:r w:rsidRPr="00DF55C8">
        <w:rPr>
          <w:rFonts w:ascii="Calibri" w:eastAsia="Calibri" w:hAnsi="Calibri" w:cs="Times New Roman"/>
          <w:b/>
        </w:rPr>
        <w:t>Table 1: Cropland and Grassland Soil CO</w:t>
      </w:r>
      <w:r w:rsidRPr="00DF55C8">
        <w:rPr>
          <w:rFonts w:ascii="Calibri" w:eastAsia="Calibri" w:hAnsi="Calibri" w:cs="Times New Roman"/>
          <w:b/>
          <w:vertAlign w:val="subscript"/>
        </w:rPr>
        <w:t>2</w:t>
      </w:r>
      <w:r w:rsidRPr="00DF55C8">
        <w:rPr>
          <w:rFonts w:ascii="Calibri" w:eastAsia="Calibri" w:hAnsi="Calibri" w:cs="Times New Roman"/>
          <w:b/>
        </w:rPr>
        <w:t>, N</w:t>
      </w:r>
      <w:r w:rsidRPr="00DF55C8">
        <w:rPr>
          <w:rFonts w:ascii="Calibri" w:eastAsia="Calibri" w:hAnsi="Calibri" w:cs="Times New Roman"/>
          <w:b/>
          <w:vertAlign w:val="subscript"/>
        </w:rPr>
        <w:t>2</w:t>
      </w:r>
      <w:r w:rsidRPr="00DF55C8">
        <w:rPr>
          <w:rFonts w:ascii="Calibri" w:eastAsia="Calibri" w:hAnsi="Calibri" w:cs="Times New Roman"/>
          <w:b/>
        </w:rPr>
        <w:t>O, CH</w:t>
      </w:r>
      <w:r w:rsidRPr="00DF55C8">
        <w:rPr>
          <w:rFonts w:ascii="Calibri" w:eastAsia="Calibri" w:hAnsi="Calibri" w:cs="Times New Roman"/>
          <w:b/>
          <w:vertAlign w:val="subscript"/>
        </w:rPr>
        <w:t>4</w:t>
      </w:r>
      <w:r w:rsidRPr="00DF55C8">
        <w:rPr>
          <w:rFonts w:ascii="Calibri" w:eastAsia="Calibri" w:hAnsi="Calibri" w:cs="Times New Roman"/>
          <w:b/>
        </w:rPr>
        <w:t xml:space="preserve"> flux estimates and uncertainties by Tier</w:t>
      </w:r>
    </w:p>
    <w:tbl>
      <w:tblPr>
        <w:tblStyle w:val="TableGrid1"/>
        <w:tblW w:w="0" w:type="auto"/>
        <w:tblLook w:val="04A0" w:firstRow="1" w:lastRow="0" w:firstColumn="1" w:lastColumn="0" w:noHBand="0" w:noVBand="1"/>
      </w:tblPr>
      <w:tblGrid>
        <w:gridCol w:w="673"/>
        <w:gridCol w:w="758"/>
        <w:gridCol w:w="2218"/>
        <w:gridCol w:w="2214"/>
        <w:gridCol w:w="2043"/>
        <w:gridCol w:w="1444"/>
      </w:tblGrid>
      <w:tr w:rsidR="00DF55C8" w:rsidRPr="00DF55C8" w14:paraId="23DFF092" w14:textId="77777777" w:rsidTr="005E4D1E">
        <w:tc>
          <w:tcPr>
            <w:tcW w:w="3595" w:type="dxa"/>
            <w:gridSpan w:val="3"/>
          </w:tcPr>
          <w:p w14:paraId="3AB91601" w14:textId="77777777" w:rsidR="00DF55C8" w:rsidRPr="00DF55C8" w:rsidRDefault="00DF55C8" w:rsidP="00DF55C8">
            <w:pPr>
              <w:spacing w:after="160" w:line="259" w:lineRule="auto"/>
              <w:rPr>
                <w:rFonts w:ascii="Calibri" w:eastAsia="Calibri" w:hAnsi="Calibri" w:cs="Times New Roman"/>
                <w:b/>
              </w:rPr>
            </w:pPr>
          </w:p>
        </w:tc>
        <w:tc>
          <w:tcPr>
            <w:tcW w:w="2250" w:type="dxa"/>
            <w:vAlign w:val="center"/>
          </w:tcPr>
          <w:p w14:paraId="698DF788" w14:textId="77777777" w:rsidR="00DF55C8" w:rsidRPr="00DF55C8" w:rsidRDefault="00DF55C8" w:rsidP="00DF55C8">
            <w:pPr>
              <w:spacing w:after="160" w:line="259" w:lineRule="auto"/>
              <w:jc w:val="center"/>
              <w:rPr>
                <w:rFonts w:ascii="Calibri" w:eastAsia="Calibri" w:hAnsi="Calibri" w:cs="Times New Roman"/>
                <w:b/>
              </w:rPr>
            </w:pPr>
            <w:r w:rsidRPr="00DF55C8">
              <w:rPr>
                <w:rFonts w:ascii="Calibri" w:eastAsia="Calibri" w:hAnsi="Calibri" w:cs="Times New Roman"/>
                <w:b/>
              </w:rPr>
              <w:t>2016 Flux Estimate (MMT CO</w:t>
            </w:r>
            <w:r w:rsidRPr="00DF55C8">
              <w:rPr>
                <w:rFonts w:ascii="Calibri" w:eastAsia="Calibri" w:hAnsi="Calibri" w:cs="Times New Roman"/>
                <w:b/>
                <w:vertAlign w:val="subscript"/>
              </w:rPr>
              <w:t>2</w:t>
            </w:r>
            <w:r w:rsidRPr="00DF55C8">
              <w:rPr>
                <w:rFonts w:ascii="Calibri" w:eastAsia="Calibri" w:hAnsi="Calibri" w:cs="Times New Roman"/>
                <w:b/>
              </w:rPr>
              <w:t>e)</w:t>
            </w:r>
          </w:p>
        </w:tc>
        <w:tc>
          <w:tcPr>
            <w:tcW w:w="2061" w:type="dxa"/>
            <w:vAlign w:val="center"/>
          </w:tcPr>
          <w:p w14:paraId="065E0E14" w14:textId="77777777" w:rsidR="00DF55C8" w:rsidRPr="00DF55C8" w:rsidRDefault="00DF55C8" w:rsidP="00DF55C8">
            <w:pPr>
              <w:spacing w:after="160" w:line="259" w:lineRule="auto"/>
              <w:jc w:val="center"/>
              <w:rPr>
                <w:rFonts w:ascii="Calibri" w:eastAsia="Calibri" w:hAnsi="Calibri" w:cs="Times New Roman"/>
                <w:b/>
              </w:rPr>
            </w:pPr>
            <w:r w:rsidRPr="00DF55C8">
              <w:rPr>
                <w:rFonts w:ascii="Calibri" w:eastAsia="Calibri" w:hAnsi="Calibri" w:cs="Times New Roman"/>
                <w:b/>
              </w:rPr>
              <w:t>Lower/Upper Bound (MMT CO</w:t>
            </w:r>
            <w:r w:rsidRPr="00DF55C8">
              <w:rPr>
                <w:rFonts w:ascii="Calibri" w:eastAsia="Calibri" w:hAnsi="Calibri" w:cs="Times New Roman"/>
                <w:b/>
                <w:vertAlign w:val="subscript"/>
              </w:rPr>
              <w:t>2</w:t>
            </w:r>
            <w:r w:rsidRPr="00DF55C8">
              <w:rPr>
                <w:rFonts w:ascii="Calibri" w:eastAsia="Calibri" w:hAnsi="Calibri" w:cs="Times New Roman"/>
                <w:b/>
              </w:rPr>
              <w:t>e)</w:t>
            </w:r>
          </w:p>
        </w:tc>
        <w:tc>
          <w:tcPr>
            <w:tcW w:w="1444" w:type="dxa"/>
            <w:vAlign w:val="center"/>
          </w:tcPr>
          <w:p w14:paraId="614EB76E" w14:textId="77777777" w:rsidR="00DF55C8" w:rsidRPr="00DF55C8" w:rsidRDefault="00DF55C8" w:rsidP="00DF55C8">
            <w:pPr>
              <w:spacing w:after="160" w:line="259" w:lineRule="auto"/>
              <w:jc w:val="center"/>
              <w:rPr>
                <w:rFonts w:ascii="Calibri" w:eastAsia="Calibri" w:hAnsi="Calibri" w:cs="Times New Roman"/>
                <w:b/>
              </w:rPr>
            </w:pPr>
            <w:r w:rsidRPr="00DF55C8">
              <w:rPr>
                <w:rFonts w:ascii="Calibri" w:eastAsia="Calibri" w:hAnsi="Calibri" w:cs="Times New Roman"/>
                <w:b/>
              </w:rPr>
              <w:t>Lower/Upper Bound (%)</w:t>
            </w:r>
          </w:p>
        </w:tc>
      </w:tr>
      <w:tr w:rsidR="00DF55C8" w:rsidRPr="00DF55C8" w14:paraId="6A31F89E" w14:textId="77777777" w:rsidTr="005E4D1E">
        <w:tc>
          <w:tcPr>
            <w:tcW w:w="584" w:type="dxa"/>
            <w:vMerge w:val="restart"/>
            <w:textDirection w:val="btLr"/>
            <w:vAlign w:val="center"/>
          </w:tcPr>
          <w:p w14:paraId="611CE34F" w14:textId="77777777" w:rsidR="00DF55C8" w:rsidRPr="00DF55C8" w:rsidRDefault="00DF55C8" w:rsidP="00DF55C8">
            <w:pPr>
              <w:spacing w:after="160" w:line="259" w:lineRule="auto"/>
              <w:ind w:left="113" w:right="113"/>
              <w:jc w:val="center"/>
              <w:rPr>
                <w:rFonts w:ascii="Calibri" w:eastAsia="Calibri" w:hAnsi="Calibri" w:cs="Times New Roman"/>
                <w:b/>
              </w:rPr>
            </w:pPr>
            <w:r w:rsidRPr="00DF55C8">
              <w:rPr>
                <w:rFonts w:ascii="Calibri" w:eastAsia="Calibri" w:hAnsi="Calibri" w:cs="Times New Roman"/>
                <w:b/>
              </w:rPr>
              <w:t>Tier 3</w:t>
            </w:r>
          </w:p>
        </w:tc>
        <w:tc>
          <w:tcPr>
            <w:tcW w:w="761" w:type="dxa"/>
            <w:vMerge w:val="restart"/>
            <w:textDirection w:val="btLr"/>
            <w:vAlign w:val="center"/>
          </w:tcPr>
          <w:p w14:paraId="2C493879" w14:textId="77777777" w:rsidR="00DF55C8" w:rsidRPr="00DF55C8" w:rsidRDefault="00DF55C8" w:rsidP="00DF55C8">
            <w:pPr>
              <w:spacing w:after="160" w:line="259" w:lineRule="auto"/>
              <w:ind w:left="113" w:right="113"/>
              <w:jc w:val="center"/>
              <w:rPr>
                <w:rFonts w:ascii="Calibri" w:eastAsia="Calibri" w:hAnsi="Calibri" w:cs="Times New Roman"/>
                <w:b/>
              </w:rPr>
            </w:pPr>
            <w:r w:rsidRPr="00DF55C8">
              <w:rPr>
                <w:rFonts w:ascii="Calibri" w:eastAsia="Calibri" w:hAnsi="Calibri" w:cs="Times New Roman"/>
                <w:b/>
              </w:rPr>
              <w:t>Mineral C stock change</w:t>
            </w:r>
          </w:p>
        </w:tc>
        <w:tc>
          <w:tcPr>
            <w:tcW w:w="2250" w:type="dxa"/>
            <w:vAlign w:val="center"/>
          </w:tcPr>
          <w:p w14:paraId="10084D95"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Cropland remaining Cropland</w:t>
            </w:r>
          </w:p>
        </w:tc>
        <w:tc>
          <w:tcPr>
            <w:tcW w:w="2250" w:type="dxa"/>
            <w:vAlign w:val="center"/>
          </w:tcPr>
          <w:p w14:paraId="2994F584"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(36.3)</w:t>
            </w:r>
          </w:p>
        </w:tc>
        <w:tc>
          <w:tcPr>
            <w:tcW w:w="2061" w:type="dxa"/>
            <w:vAlign w:val="center"/>
          </w:tcPr>
          <w:p w14:paraId="529B9F1F"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(80.2) / 7.5</w:t>
            </w:r>
          </w:p>
        </w:tc>
        <w:tc>
          <w:tcPr>
            <w:tcW w:w="1444" w:type="dxa"/>
            <w:vAlign w:val="center"/>
          </w:tcPr>
          <w:p w14:paraId="37343DC1"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121</w:t>
            </w:r>
          </w:p>
        </w:tc>
      </w:tr>
      <w:tr w:rsidR="00DF55C8" w:rsidRPr="00DF55C8" w14:paraId="59AF165F" w14:textId="77777777" w:rsidTr="005E4D1E">
        <w:tc>
          <w:tcPr>
            <w:tcW w:w="584" w:type="dxa"/>
            <w:vMerge/>
          </w:tcPr>
          <w:p w14:paraId="1A1BA7A2" w14:textId="77777777" w:rsidR="00DF55C8" w:rsidRPr="00DF55C8" w:rsidRDefault="00DF55C8" w:rsidP="00DF55C8">
            <w:pPr>
              <w:spacing w:after="160" w:line="259" w:lineRule="auto"/>
              <w:rPr>
                <w:rFonts w:ascii="Calibri" w:eastAsia="Calibri" w:hAnsi="Calibri" w:cs="Times New Roman"/>
                <w:b/>
              </w:rPr>
            </w:pPr>
          </w:p>
        </w:tc>
        <w:tc>
          <w:tcPr>
            <w:tcW w:w="761" w:type="dxa"/>
            <w:vMerge/>
          </w:tcPr>
          <w:p w14:paraId="31FAAA59" w14:textId="77777777" w:rsidR="00DF55C8" w:rsidRPr="00DF55C8" w:rsidRDefault="00DF55C8" w:rsidP="00DF55C8">
            <w:pPr>
              <w:spacing w:after="160" w:line="259" w:lineRule="auto"/>
              <w:rPr>
                <w:rFonts w:ascii="Calibri" w:eastAsia="Calibri" w:hAnsi="Calibri" w:cs="Times New Roman"/>
                <w:b/>
              </w:rPr>
            </w:pPr>
          </w:p>
        </w:tc>
        <w:tc>
          <w:tcPr>
            <w:tcW w:w="2250" w:type="dxa"/>
            <w:vAlign w:val="center"/>
          </w:tcPr>
          <w:p w14:paraId="7865F085"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Land converted to Cropland</w:t>
            </w:r>
          </w:p>
        </w:tc>
        <w:tc>
          <w:tcPr>
            <w:tcW w:w="2250" w:type="dxa"/>
            <w:vAlign w:val="center"/>
          </w:tcPr>
          <w:p w14:paraId="79C91680"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14.6</w:t>
            </w:r>
          </w:p>
        </w:tc>
        <w:tc>
          <w:tcPr>
            <w:tcW w:w="2061" w:type="dxa"/>
            <w:vAlign w:val="center"/>
          </w:tcPr>
          <w:p w14:paraId="327113D4"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(3.5) / 32.7</w:t>
            </w:r>
          </w:p>
        </w:tc>
        <w:tc>
          <w:tcPr>
            <w:tcW w:w="1444" w:type="dxa"/>
            <w:vAlign w:val="center"/>
          </w:tcPr>
          <w:p w14:paraId="37127213"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124</w:t>
            </w:r>
          </w:p>
        </w:tc>
      </w:tr>
      <w:tr w:rsidR="00DF55C8" w:rsidRPr="00DF55C8" w14:paraId="1FF7C088" w14:textId="77777777" w:rsidTr="005E4D1E">
        <w:tc>
          <w:tcPr>
            <w:tcW w:w="584" w:type="dxa"/>
            <w:vMerge/>
          </w:tcPr>
          <w:p w14:paraId="2CFA21B1" w14:textId="77777777" w:rsidR="00DF55C8" w:rsidRPr="00DF55C8" w:rsidRDefault="00DF55C8" w:rsidP="00DF55C8">
            <w:pPr>
              <w:spacing w:after="160" w:line="259" w:lineRule="auto"/>
              <w:rPr>
                <w:rFonts w:ascii="Calibri" w:eastAsia="Calibri" w:hAnsi="Calibri" w:cs="Times New Roman"/>
                <w:b/>
              </w:rPr>
            </w:pPr>
          </w:p>
        </w:tc>
        <w:tc>
          <w:tcPr>
            <w:tcW w:w="761" w:type="dxa"/>
            <w:vMerge/>
          </w:tcPr>
          <w:p w14:paraId="12EB3B5A" w14:textId="77777777" w:rsidR="00DF55C8" w:rsidRPr="00DF55C8" w:rsidRDefault="00DF55C8" w:rsidP="00DF55C8">
            <w:pPr>
              <w:spacing w:after="160" w:line="259" w:lineRule="auto"/>
              <w:rPr>
                <w:rFonts w:ascii="Calibri" w:eastAsia="Calibri" w:hAnsi="Calibri" w:cs="Times New Roman"/>
                <w:b/>
              </w:rPr>
            </w:pPr>
          </w:p>
        </w:tc>
        <w:tc>
          <w:tcPr>
            <w:tcW w:w="2250" w:type="dxa"/>
            <w:vAlign w:val="center"/>
          </w:tcPr>
          <w:p w14:paraId="65509A13"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Grassland remaining Grassland</w:t>
            </w:r>
          </w:p>
        </w:tc>
        <w:tc>
          <w:tcPr>
            <w:tcW w:w="2250" w:type="dxa"/>
            <w:vAlign w:val="center"/>
          </w:tcPr>
          <w:p w14:paraId="6033B573"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(4.2)</w:t>
            </w:r>
          </w:p>
        </w:tc>
        <w:tc>
          <w:tcPr>
            <w:tcW w:w="2061" w:type="dxa"/>
            <w:vAlign w:val="center"/>
          </w:tcPr>
          <w:p w14:paraId="3AC4E1DB"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(44.8) / 36.3</w:t>
            </w:r>
          </w:p>
        </w:tc>
        <w:tc>
          <w:tcPr>
            <w:tcW w:w="1444" w:type="dxa"/>
            <w:vAlign w:val="center"/>
          </w:tcPr>
          <w:p w14:paraId="2E1969AC"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958</w:t>
            </w:r>
          </w:p>
        </w:tc>
      </w:tr>
      <w:tr w:rsidR="00DF55C8" w:rsidRPr="00DF55C8" w14:paraId="265D96A8" w14:textId="77777777" w:rsidTr="005E4D1E">
        <w:tc>
          <w:tcPr>
            <w:tcW w:w="584" w:type="dxa"/>
            <w:vMerge/>
          </w:tcPr>
          <w:p w14:paraId="7EA1DB19" w14:textId="77777777" w:rsidR="00DF55C8" w:rsidRPr="00DF55C8" w:rsidRDefault="00DF55C8" w:rsidP="00DF55C8">
            <w:pPr>
              <w:spacing w:after="160" w:line="259" w:lineRule="auto"/>
              <w:rPr>
                <w:rFonts w:ascii="Calibri" w:eastAsia="Calibri" w:hAnsi="Calibri" w:cs="Times New Roman"/>
                <w:b/>
              </w:rPr>
            </w:pPr>
          </w:p>
        </w:tc>
        <w:tc>
          <w:tcPr>
            <w:tcW w:w="761" w:type="dxa"/>
            <w:vMerge/>
          </w:tcPr>
          <w:p w14:paraId="225F490B" w14:textId="77777777" w:rsidR="00DF55C8" w:rsidRPr="00DF55C8" w:rsidRDefault="00DF55C8" w:rsidP="00DF55C8">
            <w:pPr>
              <w:spacing w:after="160" w:line="259" w:lineRule="auto"/>
              <w:rPr>
                <w:rFonts w:ascii="Calibri" w:eastAsia="Calibri" w:hAnsi="Calibri" w:cs="Times New Roman"/>
                <w:b/>
              </w:rPr>
            </w:pPr>
          </w:p>
        </w:tc>
        <w:tc>
          <w:tcPr>
            <w:tcW w:w="2250" w:type="dxa"/>
            <w:vAlign w:val="center"/>
          </w:tcPr>
          <w:p w14:paraId="3C81E152"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Land converted to Grassland</w:t>
            </w:r>
          </w:p>
        </w:tc>
        <w:tc>
          <w:tcPr>
            <w:tcW w:w="2250" w:type="dxa"/>
            <w:vAlign w:val="center"/>
          </w:tcPr>
          <w:p w14:paraId="5DADD4B7"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(8.6)</w:t>
            </w:r>
          </w:p>
        </w:tc>
        <w:tc>
          <w:tcPr>
            <w:tcW w:w="2061" w:type="dxa"/>
            <w:vAlign w:val="center"/>
          </w:tcPr>
          <w:p w14:paraId="70C646B8"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(17.4) / (0.3)</w:t>
            </w:r>
          </w:p>
        </w:tc>
        <w:tc>
          <w:tcPr>
            <w:tcW w:w="1444" w:type="dxa"/>
            <w:vAlign w:val="center"/>
          </w:tcPr>
          <w:p w14:paraId="019403AC"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103</w:t>
            </w:r>
          </w:p>
        </w:tc>
      </w:tr>
      <w:tr w:rsidR="00DF55C8" w:rsidRPr="00DF55C8" w14:paraId="7C42B314" w14:textId="77777777" w:rsidTr="005E4D1E">
        <w:trPr>
          <w:trHeight w:val="728"/>
        </w:trPr>
        <w:tc>
          <w:tcPr>
            <w:tcW w:w="584" w:type="dxa"/>
            <w:vMerge/>
          </w:tcPr>
          <w:p w14:paraId="6F697535" w14:textId="77777777" w:rsidR="00DF55C8" w:rsidRPr="00DF55C8" w:rsidRDefault="00DF55C8" w:rsidP="00DF55C8">
            <w:pPr>
              <w:spacing w:after="160" w:line="259" w:lineRule="auto"/>
              <w:rPr>
                <w:rFonts w:ascii="Calibri" w:eastAsia="Calibri" w:hAnsi="Calibri" w:cs="Times New Roman"/>
                <w:b/>
              </w:rPr>
            </w:pPr>
          </w:p>
        </w:tc>
        <w:tc>
          <w:tcPr>
            <w:tcW w:w="761" w:type="dxa"/>
            <w:vMerge w:val="restart"/>
            <w:textDirection w:val="btLr"/>
            <w:vAlign w:val="center"/>
          </w:tcPr>
          <w:p w14:paraId="3BC27737" w14:textId="77777777" w:rsidR="00DF55C8" w:rsidRPr="00DF55C8" w:rsidRDefault="00DF55C8" w:rsidP="00DF55C8">
            <w:pPr>
              <w:spacing w:after="160" w:line="259" w:lineRule="auto"/>
              <w:ind w:left="113" w:right="113"/>
              <w:jc w:val="center"/>
              <w:rPr>
                <w:rFonts w:ascii="Calibri" w:eastAsia="Calibri" w:hAnsi="Calibri" w:cs="Times New Roman"/>
                <w:b/>
              </w:rPr>
            </w:pPr>
            <w:r w:rsidRPr="00DF55C8">
              <w:rPr>
                <w:rFonts w:ascii="Calibri" w:eastAsia="Calibri" w:hAnsi="Calibri" w:cs="Times New Roman"/>
                <w:b/>
              </w:rPr>
              <w:t>Soil N</w:t>
            </w:r>
            <w:r w:rsidRPr="00DF55C8">
              <w:rPr>
                <w:rFonts w:ascii="Calibri" w:eastAsia="Calibri" w:hAnsi="Calibri" w:cs="Times New Roman"/>
                <w:b/>
                <w:vertAlign w:val="subscript"/>
              </w:rPr>
              <w:t>2</w:t>
            </w:r>
            <w:r w:rsidRPr="00DF55C8">
              <w:rPr>
                <w:rFonts w:ascii="Calibri" w:eastAsia="Calibri" w:hAnsi="Calibri" w:cs="Times New Roman"/>
                <w:b/>
              </w:rPr>
              <w:t>O emissions*</w:t>
            </w:r>
          </w:p>
        </w:tc>
        <w:tc>
          <w:tcPr>
            <w:tcW w:w="2250" w:type="dxa"/>
            <w:vAlign w:val="center"/>
          </w:tcPr>
          <w:p w14:paraId="2E644C14"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Direct</w:t>
            </w:r>
          </w:p>
        </w:tc>
        <w:tc>
          <w:tcPr>
            <w:tcW w:w="2250" w:type="dxa"/>
            <w:vAlign w:val="center"/>
          </w:tcPr>
          <w:p w14:paraId="58C75F99"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237.6</w:t>
            </w:r>
          </w:p>
        </w:tc>
        <w:tc>
          <w:tcPr>
            <w:tcW w:w="2061" w:type="dxa"/>
            <w:vAlign w:val="center"/>
          </w:tcPr>
          <w:p w14:paraId="73AB6398"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199.2 / 276.1</w:t>
            </w:r>
          </w:p>
        </w:tc>
        <w:tc>
          <w:tcPr>
            <w:tcW w:w="1444" w:type="dxa"/>
            <w:vAlign w:val="center"/>
          </w:tcPr>
          <w:p w14:paraId="1118B775"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16</w:t>
            </w:r>
          </w:p>
        </w:tc>
      </w:tr>
      <w:tr w:rsidR="00DF55C8" w:rsidRPr="00DF55C8" w14:paraId="23FE0ACF" w14:textId="77777777" w:rsidTr="005E4D1E">
        <w:trPr>
          <w:trHeight w:val="692"/>
        </w:trPr>
        <w:tc>
          <w:tcPr>
            <w:tcW w:w="584" w:type="dxa"/>
            <w:vMerge/>
          </w:tcPr>
          <w:p w14:paraId="25DD1395" w14:textId="77777777" w:rsidR="00DF55C8" w:rsidRPr="00DF55C8" w:rsidRDefault="00DF55C8" w:rsidP="00DF55C8">
            <w:pPr>
              <w:spacing w:after="160" w:line="259" w:lineRule="auto"/>
              <w:rPr>
                <w:rFonts w:ascii="Calibri" w:eastAsia="Calibri" w:hAnsi="Calibri" w:cs="Times New Roman"/>
                <w:b/>
              </w:rPr>
            </w:pPr>
          </w:p>
        </w:tc>
        <w:tc>
          <w:tcPr>
            <w:tcW w:w="761" w:type="dxa"/>
            <w:vMerge/>
          </w:tcPr>
          <w:p w14:paraId="2D4504C9" w14:textId="77777777" w:rsidR="00DF55C8" w:rsidRPr="00DF55C8" w:rsidRDefault="00DF55C8" w:rsidP="00DF55C8">
            <w:pPr>
              <w:spacing w:after="160" w:line="259" w:lineRule="auto"/>
              <w:rPr>
                <w:rFonts w:ascii="Calibri" w:eastAsia="Calibri" w:hAnsi="Calibri" w:cs="Times New Roman"/>
                <w:b/>
              </w:rPr>
            </w:pPr>
          </w:p>
        </w:tc>
        <w:tc>
          <w:tcPr>
            <w:tcW w:w="2250" w:type="dxa"/>
            <w:vAlign w:val="center"/>
          </w:tcPr>
          <w:p w14:paraId="4BD55BB3"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Indirect</w:t>
            </w:r>
          </w:p>
        </w:tc>
        <w:tc>
          <w:tcPr>
            <w:tcW w:w="2250" w:type="dxa"/>
            <w:vAlign w:val="center"/>
          </w:tcPr>
          <w:p w14:paraId="532BC335"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45.9</w:t>
            </w:r>
          </w:p>
        </w:tc>
        <w:tc>
          <w:tcPr>
            <w:tcW w:w="2061" w:type="dxa"/>
            <w:vAlign w:val="center"/>
          </w:tcPr>
          <w:p w14:paraId="50ECB8A5"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16.0 / 116.8</w:t>
            </w:r>
          </w:p>
        </w:tc>
        <w:tc>
          <w:tcPr>
            <w:tcW w:w="1444" w:type="dxa"/>
            <w:vAlign w:val="center"/>
          </w:tcPr>
          <w:p w14:paraId="24747D77"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65 / 154</w:t>
            </w:r>
          </w:p>
        </w:tc>
      </w:tr>
      <w:tr w:rsidR="00DF55C8" w:rsidRPr="00DF55C8" w14:paraId="18EBF947" w14:textId="77777777" w:rsidTr="005E4D1E">
        <w:trPr>
          <w:cantSplit/>
          <w:trHeight w:val="638"/>
        </w:trPr>
        <w:tc>
          <w:tcPr>
            <w:tcW w:w="584" w:type="dxa"/>
            <w:vMerge/>
          </w:tcPr>
          <w:p w14:paraId="63F1731A" w14:textId="77777777" w:rsidR="00DF55C8" w:rsidRPr="00DF55C8" w:rsidRDefault="00DF55C8" w:rsidP="00DF55C8">
            <w:pPr>
              <w:spacing w:after="160" w:line="259" w:lineRule="auto"/>
              <w:rPr>
                <w:rFonts w:ascii="Calibri" w:eastAsia="Calibri" w:hAnsi="Calibri" w:cs="Times New Roman"/>
                <w:b/>
              </w:rPr>
            </w:pPr>
          </w:p>
        </w:tc>
        <w:tc>
          <w:tcPr>
            <w:tcW w:w="761" w:type="dxa"/>
            <w:textDirection w:val="btLr"/>
            <w:vAlign w:val="center"/>
          </w:tcPr>
          <w:p w14:paraId="40D9865C" w14:textId="77777777" w:rsidR="00DF55C8" w:rsidRPr="00DF55C8" w:rsidRDefault="00DF55C8" w:rsidP="00DF55C8">
            <w:pPr>
              <w:spacing w:after="160" w:line="259" w:lineRule="auto"/>
              <w:ind w:left="113" w:right="113"/>
              <w:jc w:val="center"/>
              <w:rPr>
                <w:rFonts w:ascii="Calibri" w:eastAsia="Calibri" w:hAnsi="Calibri" w:cs="Times New Roman"/>
                <w:b/>
              </w:rPr>
            </w:pPr>
            <w:r w:rsidRPr="00DF55C8">
              <w:rPr>
                <w:rFonts w:ascii="Calibri" w:eastAsia="Calibri" w:hAnsi="Calibri" w:cs="Times New Roman"/>
                <w:b/>
              </w:rPr>
              <w:t>CH</w:t>
            </w:r>
            <w:r w:rsidRPr="00DF55C8">
              <w:rPr>
                <w:rFonts w:ascii="Calibri" w:eastAsia="Calibri" w:hAnsi="Calibri" w:cs="Times New Roman"/>
                <w:b/>
                <w:vertAlign w:val="subscript"/>
              </w:rPr>
              <w:t>4</w:t>
            </w:r>
            <w:r w:rsidRPr="00DF55C8">
              <w:rPr>
                <w:rFonts w:ascii="Calibri" w:eastAsia="Calibri" w:hAnsi="Calibri" w:cs="Times New Roman"/>
                <w:b/>
              </w:rPr>
              <w:t xml:space="preserve"> </w:t>
            </w:r>
          </w:p>
        </w:tc>
        <w:tc>
          <w:tcPr>
            <w:tcW w:w="2250" w:type="dxa"/>
            <w:vAlign w:val="center"/>
          </w:tcPr>
          <w:p w14:paraId="7404500F"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Rice cultivation</w:t>
            </w:r>
          </w:p>
        </w:tc>
        <w:tc>
          <w:tcPr>
            <w:tcW w:w="2250" w:type="dxa"/>
            <w:vAlign w:val="center"/>
          </w:tcPr>
          <w:p w14:paraId="64804B14"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11.9</w:t>
            </w:r>
          </w:p>
        </w:tc>
        <w:tc>
          <w:tcPr>
            <w:tcW w:w="2061" w:type="dxa"/>
            <w:vAlign w:val="center"/>
          </w:tcPr>
          <w:p w14:paraId="28CD3361"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7.7 / 16.2</w:t>
            </w:r>
          </w:p>
        </w:tc>
        <w:tc>
          <w:tcPr>
            <w:tcW w:w="1444" w:type="dxa"/>
            <w:vAlign w:val="center"/>
          </w:tcPr>
          <w:p w14:paraId="6338E667"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36</w:t>
            </w:r>
          </w:p>
        </w:tc>
      </w:tr>
      <w:tr w:rsidR="00DF55C8" w:rsidRPr="00DF55C8" w14:paraId="18031C73" w14:textId="77777777" w:rsidTr="00DF55C8">
        <w:trPr>
          <w:cantSplit/>
          <w:trHeight w:val="638"/>
        </w:trPr>
        <w:tc>
          <w:tcPr>
            <w:tcW w:w="3595" w:type="dxa"/>
            <w:gridSpan w:val="3"/>
            <w:shd w:val="clear" w:color="auto" w:fill="FFC000"/>
            <w:vAlign w:val="center"/>
          </w:tcPr>
          <w:p w14:paraId="2FC6D5F0" w14:textId="77777777" w:rsidR="00DF55C8" w:rsidRPr="00DF55C8" w:rsidRDefault="00DF55C8" w:rsidP="00DF55C8">
            <w:pPr>
              <w:spacing w:after="160" w:line="259" w:lineRule="auto"/>
              <w:jc w:val="center"/>
              <w:rPr>
                <w:rFonts w:ascii="Calibri" w:eastAsia="Calibri" w:hAnsi="Calibri" w:cs="Times New Roman"/>
                <w:b/>
              </w:rPr>
            </w:pPr>
            <w:r w:rsidRPr="00DF55C8">
              <w:rPr>
                <w:rFonts w:ascii="Calibri" w:eastAsia="Calibri" w:hAnsi="Calibri" w:cs="Times New Roman"/>
                <w:b/>
              </w:rPr>
              <w:t>Tier 3 Total</w:t>
            </w:r>
          </w:p>
        </w:tc>
        <w:tc>
          <w:tcPr>
            <w:tcW w:w="2250" w:type="dxa"/>
            <w:shd w:val="clear" w:color="auto" w:fill="FFC000"/>
            <w:vAlign w:val="center"/>
          </w:tcPr>
          <w:p w14:paraId="7A0A140D"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260.9</w:t>
            </w:r>
          </w:p>
        </w:tc>
        <w:tc>
          <w:tcPr>
            <w:tcW w:w="2061" w:type="dxa"/>
            <w:shd w:val="clear" w:color="auto" w:fill="FFC000"/>
            <w:vAlign w:val="center"/>
          </w:tcPr>
          <w:p w14:paraId="6FB03BF1"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171.4 / 350.4</w:t>
            </w:r>
          </w:p>
        </w:tc>
        <w:tc>
          <w:tcPr>
            <w:tcW w:w="1444" w:type="dxa"/>
            <w:shd w:val="clear" w:color="auto" w:fill="FFC000"/>
            <w:vAlign w:val="center"/>
          </w:tcPr>
          <w:p w14:paraId="56F88B41"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34</w:t>
            </w:r>
          </w:p>
        </w:tc>
      </w:tr>
    </w:tbl>
    <w:p w14:paraId="4A672777" w14:textId="77777777" w:rsidR="00DF55C8" w:rsidRPr="00DF55C8" w:rsidRDefault="00DF55C8" w:rsidP="00DF55C8">
      <w:pPr>
        <w:rPr>
          <w:rFonts w:ascii="Calibri" w:eastAsia="Calibri" w:hAnsi="Calibri" w:cs="Times New Roman"/>
        </w:rPr>
      </w:pPr>
    </w:p>
    <w:p w14:paraId="7261E934" w14:textId="77777777" w:rsidR="00DF55C8" w:rsidRDefault="00DF55C8" w:rsidP="00DF55C8">
      <w:pPr>
        <w:rPr>
          <w:rFonts w:ascii="Calibri" w:eastAsia="Calibri" w:hAnsi="Calibri" w:cs="Times New Roman"/>
        </w:rPr>
      </w:pPr>
    </w:p>
    <w:p w14:paraId="77D4FD2E" w14:textId="77777777" w:rsidR="003660E2" w:rsidRDefault="003660E2" w:rsidP="00DF55C8">
      <w:pPr>
        <w:rPr>
          <w:rFonts w:ascii="Calibri" w:eastAsia="Calibri" w:hAnsi="Calibri" w:cs="Times New Roman"/>
        </w:rPr>
      </w:pPr>
    </w:p>
    <w:p w14:paraId="4101D0B0" w14:textId="77777777" w:rsidR="003660E2" w:rsidRDefault="003660E2" w:rsidP="00DF55C8">
      <w:pPr>
        <w:rPr>
          <w:rFonts w:ascii="Calibri" w:eastAsia="Calibri" w:hAnsi="Calibri" w:cs="Times New Roman"/>
        </w:rPr>
      </w:pPr>
    </w:p>
    <w:p w14:paraId="7DAFB6E4" w14:textId="77777777" w:rsidR="003660E2" w:rsidRDefault="003660E2" w:rsidP="00DF55C8">
      <w:pPr>
        <w:rPr>
          <w:rFonts w:ascii="Calibri" w:eastAsia="Calibri" w:hAnsi="Calibri" w:cs="Times New Roman"/>
        </w:rPr>
      </w:pPr>
    </w:p>
    <w:p w14:paraId="5908498E" w14:textId="77777777" w:rsidR="003660E2" w:rsidRDefault="003660E2" w:rsidP="00DF55C8">
      <w:pPr>
        <w:rPr>
          <w:rFonts w:ascii="Calibri" w:eastAsia="Calibri" w:hAnsi="Calibri" w:cs="Times New Roman"/>
        </w:rPr>
      </w:pPr>
    </w:p>
    <w:p w14:paraId="2DFAA8D3" w14:textId="77777777" w:rsidR="003660E2" w:rsidRPr="00DF55C8" w:rsidRDefault="003660E2" w:rsidP="00DF55C8">
      <w:pPr>
        <w:rPr>
          <w:rFonts w:ascii="Calibri" w:eastAsia="Calibri" w:hAnsi="Calibri" w:cs="Times New Roman"/>
        </w:rPr>
      </w:pPr>
    </w:p>
    <w:tbl>
      <w:tblPr>
        <w:tblStyle w:val="TableGrid1"/>
        <w:tblW w:w="0" w:type="auto"/>
        <w:tblLook w:val="04A0" w:firstRow="1" w:lastRow="0" w:firstColumn="1" w:lastColumn="0" w:noHBand="0" w:noVBand="1"/>
      </w:tblPr>
      <w:tblGrid>
        <w:gridCol w:w="673"/>
        <w:gridCol w:w="759"/>
        <w:gridCol w:w="2231"/>
        <w:gridCol w:w="2222"/>
        <w:gridCol w:w="2036"/>
        <w:gridCol w:w="1429"/>
      </w:tblGrid>
      <w:tr w:rsidR="00DF55C8" w:rsidRPr="00DF55C8" w14:paraId="1A39B1C2" w14:textId="77777777" w:rsidTr="005E4D1E">
        <w:trPr>
          <w:cantSplit/>
          <w:trHeight w:val="638"/>
        </w:trPr>
        <w:tc>
          <w:tcPr>
            <w:tcW w:w="584" w:type="dxa"/>
            <w:vMerge w:val="restart"/>
            <w:textDirection w:val="btLr"/>
            <w:vAlign w:val="center"/>
          </w:tcPr>
          <w:p w14:paraId="313C5C17" w14:textId="77777777" w:rsidR="00DF55C8" w:rsidRPr="00DF55C8" w:rsidRDefault="00DF55C8" w:rsidP="00DF55C8">
            <w:pPr>
              <w:spacing w:after="160" w:line="259" w:lineRule="auto"/>
              <w:ind w:left="113" w:right="113"/>
              <w:jc w:val="center"/>
              <w:rPr>
                <w:rFonts w:ascii="Calibri" w:eastAsia="Calibri" w:hAnsi="Calibri" w:cs="Times New Roman"/>
                <w:b/>
              </w:rPr>
            </w:pPr>
            <w:r w:rsidRPr="00DF55C8">
              <w:rPr>
                <w:rFonts w:ascii="Calibri" w:eastAsia="Calibri" w:hAnsi="Calibri" w:cs="Times New Roman"/>
                <w:b/>
              </w:rPr>
              <w:lastRenderedPageBreak/>
              <w:t>Tier 1 and 2</w:t>
            </w:r>
          </w:p>
        </w:tc>
        <w:tc>
          <w:tcPr>
            <w:tcW w:w="761" w:type="dxa"/>
            <w:vMerge w:val="restart"/>
            <w:textDirection w:val="btLr"/>
            <w:vAlign w:val="center"/>
          </w:tcPr>
          <w:p w14:paraId="73A59CEB" w14:textId="77777777" w:rsidR="00DF55C8" w:rsidRPr="00DF55C8" w:rsidRDefault="00DF55C8" w:rsidP="00DF55C8">
            <w:pPr>
              <w:spacing w:after="160" w:line="259" w:lineRule="auto"/>
              <w:ind w:left="113" w:right="113"/>
              <w:jc w:val="center"/>
              <w:rPr>
                <w:rFonts w:ascii="Calibri" w:eastAsia="Calibri" w:hAnsi="Calibri" w:cs="Times New Roman"/>
                <w:b/>
              </w:rPr>
            </w:pPr>
            <w:r w:rsidRPr="00DF55C8">
              <w:rPr>
                <w:rFonts w:ascii="Calibri" w:eastAsia="Calibri" w:hAnsi="Calibri" w:cs="Times New Roman"/>
                <w:b/>
              </w:rPr>
              <w:t>Organic and mineral C stock change</w:t>
            </w:r>
          </w:p>
        </w:tc>
        <w:tc>
          <w:tcPr>
            <w:tcW w:w="2250" w:type="dxa"/>
            <w:vAlign w:val="center"/>
          </w:tcPr>
          <w:p w14:paraId="3381D6E9"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Cropland remaining Cropland</w:t>
            </w:r>
          </w:p>
        </w:tc>
        <w:tc>
          <w:tcPr>
            <w:tcW w:w="2250" w:type="dxa"/>
            <w:vAlign w:val="center"/>
          </w:tcPr>
          <w:p w14:paraId="171E8615"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26.4</w:t>
            </w:r>
          </w:p>
        </w:tc>
        <w:tc>
          <w:tcPr>
            <w:tcW w:w="2061" w:type="dxa"/>
            <w:vAlign w:val="center"/>
          </w:tcPr>
          <w:p w14:paraId="090A9A84"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21.9 / 30.9</w:t>
            </w:r>
          </w:p>
        </w:tc>
        <w:tc>
          <w:tcPr>
            <w:tcW w:w="1444" w:type="dxa"/>
            <w:vAlign w:val="center"/>
          </w:tcPr>
          <w:p w14:paraId="76D666FB"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17</w:t>
            </w:r>
          </w:p>
        </w:tc>
      </w:tr>
      <w:tr w:rsidR="00DF55C8" w:rsidRPr="00DF55C8" w14:paraId="488F8431" w14:textId="77777777" w:rsidTr="005E4D1E">
        <w:trPr>
          <w:cantSplit/>
          <w:trHeight w:val="638"/>
        </w:trPr>
        <w:tc>
          <w:tcPr>
            <w:tcW w:w="584" w:type="dxa"/>
            <w:vMerge/>
            <w:vAlign w:val="center"/>
          </w:tcPr>
          <w:p w14:paraId="32651BA5" w14:textId="77777777" w:rsidR="00DF55C8" w:rsidRPr="00DF55C8" w:rsidRDefault="00DF55C8" w:rsidP="00DF55C8">
            <w:pPr>
              <w:spacing w:after="160" w:line="259" w:lineRule="auto"/>
              <w:jc w:val="center"/>
              <w:rPr>
                <w:rFonts w:ascii="Calibri" w:eastAsia="Calibri" w:hAnsi="Calibri" w:cs="Times New Roman"/>
                <w:b/>
              </w:rPr>
            </w:pPr>
          </w:p>
        </w:tc>
        <w:tc>
          <w:tcPr>
            <w:tcW w:w="761" w:type="dxa"/>
            <w:vMerge/>
            <w:vAlign w:val="center"/>
          </w:tcPr>
          <w:p w14:paraId="6BE25D4F" w14:textId="77777777" w:rsidR="00DF55C8" w:rsidRPr="00DF55C8" w:rsidRDefault="00DF55C8" w:rsidP="00DF55C8">
            <w:pPr>
              <w:spacing w:after="160" w:line="259" w:lineRule="auto"/>
              <w:jc w:val="center"/>
              <w:rPr>
                <w:rFonts w:ascii="Calibri" w:eastAsia="Calibri" w:hAnsi="Calibri" w:cs="Times New Roman"/>
                <w:b/>
              </w:rPr>
            </w:pPr>
          </w:p>
        </w:tc>
        <w:tc>
          <w:tcPr>
            <w:tcW w:w="2250" w:type="dxa"/>
            <w:vAlign w:val="center"/>
          </w:tcPr>
          <w:p w14:paraId="66228DC4"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Land converted to Cropland</w:t>
            </w:r>
          </w:p>
        </w:tc>
        <w:tc>
          <w:tcPr>
            <w:tcW w:w="2250" w:type="dxa"/>
            <w:vAlign w:val="center"/>
          </w:tcPr>
          <w:p w14:paraId="56A591F6"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5.7</w:t>
            </w:r>
          </w:p>
        </w:tc>
        <w:tc>
          <w:tcPr>
            <w:tcW w:w="2061" w:type="dxa"/>
            <w:vAlign w:val="center"/>
          </w:tcPr>
          <w:p w14:paraId="28DD6A94"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2.6 / 8.8</w:t>
            </w:r>
          </w:p>
        </w:tc>
        <w:tc>
          <w:tcPr>
            <w:tcW w:w="1444" w:type="dxa"/>
            <w:vAlign w:val="center"/>
          </w:tcPr>
          <w:p w14:paraId="514E6BEF"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53</w:t>
            </w:r>
          </w:p>
        </w:tc>
      </w:tr>
      <w:tr w:rsidR="00DF55C8" w:rsidRPr="00DF55C8" w14:paraId="40B99EF7" w14:textId="77777777" w:rsidTr="005E4D1E">
        <w:trPr>
          <w:cantSplit/>
          <w:trHeight w:val="638"/>
        </w:trPr>
        <w:tc>
          <w:tcPr>
            <w:tcW w:w="584" w:type="dxa"/>
            <w:vMerge/>
            <w:vAlign w:val="center"/>
          </w:tcPr>
          <w:p w14:paraId="44CF39DF" w14:textId="77777777" w:rsidR="00DF55C8" w:rsidRPr="00DF55C8" w:rsidRDefault="00DF55C8" w:rsidP="00DF55C8">
            <w:pPr>
              <w:spacing w:after="160" w:line="259" w:lineRule="auto"/>
              <w:jc w:val="center"/>
              <w:rPr>
                <w:rFonts w:ascii="Calibri" w:eastAsia="Calibri" w:hAnsi="Calibri" w:cs="Times New Roman"/>
                <w:b/>
              </w:rPr>
            </w:pPr>
          </w:p>
        </w:tc>
        <w:tc>
          <w:tcPr>
            <w:tcW w:w="761" w:type="dxa"/>
            <w:vMerge/>
            <w:vAlign w:val="center"/>
          </w:tcPr>
          <w:p w14:paraId="5CEBF355" w14:textId="77777777" w:rsidR="00DF55C8" w:rsidRPr="00DF55C8" w:rsidRDefault="00DF55C8" w:rsidP="00DF55C8">
            <w:pPr>
              <w:spacing w:after="160" w:line="259" w:lineRule="auto"/>
              <w:jc w:val="center"/>
              <w:rPr>
                <w:rFonts w:ascii="Calibri" w:eastAsia="Calibri" w:hAnsi="Calibri" w:cs="Times New Roman"/>
                <w:b/>
              </w:rPr>
            </w:pPr>
          </w:p>
        </w:tc>
        <w:tc>
          <w:tcPr>
            <w:tcW w:w="2250" w:type="dxa"/>
            <w:vAlign w:val="center"/>
          </w:tcPr>
          <w:p w14:paraId="62E2DD1E"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Grassland remaining Grassland</w:t>
            </w:r>
          </w:p>
        </w:tc>
        <w:tc>
          <w:tcPr>
            <w:tcW w:w="2250" w:type="dxa"/>
            <w:vAlign w:val="center"/>
          </w:tcPr>
          <w:p w14:paraId="3449AE8D"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2.6</w:t>
            </w:r>
          </w:p>
        </w:tc>
        <w:tc>
          <w:tcPr>
            <w:tcW w:w="2061" w:type="dxa"/>
            <w:vAlign w:val="center"/>
          </w:tcPr>
          <w:p w14:paraId="09BA2B39"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0.9 / 4.3</w:t>
            </w:r>
          </w:p>
        </w:tc>
        <w:tc>
          <w:tcPr>
            <w:tcW w:w="1444" w:type="dxa"/>
            <w:vAlign w:val="center"/>
          </w:tcPr>
          <w:p w14:paraId="4618CE92"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66</w:t>
            </w:r>
          </w:p>
        </w:tc>
      </w:tr>
      <w:tr w:rsidR="00DF55C8" w:rsidRPr="00DF55C8" w14:paraId="7427E64B" w14:textId="77777777" w:rsidTr="005E4D1E">
        <w:trPr>
          <w:cantSplit/>
          <w:trHeight w:val="638"/>
        </w:trPr>
        <w:tc>
          <w:tcPr>
            <w:tcW w:w="584" w:type="dxa"/>
            <w:vMerge/>
            <w:vAlign w:val="center"/>
          </w:tcPr>
          <w:p w14:paraId="2C144119" w14:textId="77777777" w:rsidR="00DF55C8" w:rsidRPr="00DF55C8" w:rsidRDefault="00DF55C8" w:rsidP="00DF55C8">
            <w:pPr>
              <w:spacing w:after="160" w:line="259" w:lineRule="auto"/>
              <w:jc w:val="center"/>
              <w:rPr>
                <w:rFonts w:ascii="Calibri" w:eastAsia="Calibri" w:hAnsi="Calibri" w:cs="Times New Roman"/>
                <w:b/>
              </w:rPr>
            </w:pPr>
          </w:p>
        </w:tc>
        <w:tc>
          <w:tcPr>
            <w:tcW w:w="761" w:type="dxa"/>
            <w:vMerge/>
            <w:vAlign w:val="center"/>
          </w:tcPr>
          <w:p w14:paraId="20122DFB" w14:textId="77777777" w:rsidR="00DF55C8" w:rsidRPr="00DF55C8" w:rsidRDefault="00DF55C8" w:rsidP="00DF55C8">
            <w:pPr>
              <w:spacing w:after="160" w:line="259" w:lineRule="auto"/>
              <w:jc w:val="center"/>
              <w:rPr>
                <w:rFonts w:ascii="Calibri" w:eastAsia="Calibri" w:hAnsi="Calibri" w:cs="Times New Roman"/>
                <w:b/>
              </w:rPr>
            </w:pPr>
          </w:p>
        </w:tc>
        <w:tc>
          <w:tcPr>
            <w:tcW w:w="2250" w:type="dxa"/>
            <w:vAlign w:val="center"/>
          </w:tcPr>
          <w:p w14:paraId="747ABE1D"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Land converted to Grassland</w:t>
            </w:r>
          </w:p>
        </w:tc>
        <w:tc>
          <w:tcPr>
            <w:tcW w:w="2250" w:type="dxa"/>
            <w:vAlign w:val="center"/>
          </w:tcPr>
          <w:p w14:paraId="23DC46C3"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(2.0)</w:t>
            </w:r>
          </w:p>
        </w:tc>
        <w:tc>
          <w:tcPr>
            <w:tcW w:w="2061" w:type="dxa"/>
            <w:vAlign w:val="center"/>
          </w:tcPr>
          <w:p w14:paraId="549373CA"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(4.1) / 0.1</w:t>
            </w:r>
          </w:p>
        </w:tc>
        <w:tc>
          <w:tcPr>
            <w:tcW w:w="1444" w:type="dxa"/>
            <w:vAlign w:val="center"/>
          </w:tcPr>
          <w:p w14:paraId="37CDFB21"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107</w:t>
            </w:r>
          </w:p>
        </w:tc>
      </w:tr>
      <w:tr w:rsidR="00DF55C8" w:rsidRPr="00DF55C8" w14:paraId="2D1E81C2" w14:textId="77777777" w:rsidTr="005E4D1E">
        <w:trPr>
          <w:cantSplit/>
          <w:trHeight w:val="602"/>
        </w:trPr>
        <w:tc>
          <w:tcPr>
            <w:tcW w:w="584" w:type="dxa"/>
            <w:vMerge/>
            <w:vAlign w:val="center"/>
          </w:tcPr>
          <w:p w14:paraId="39BACC20" w14:textId="77777777" w:rsidR="00DF55C8" w:rsidRPr="00DF55C8" w:rsidRDefault="00DF55C8" w:rsidP="00DF55C8">
            <w:pPr>
              <w:spacing w:after="160" w:line="259" w:lineRule="auto"/>
              <w:jc w:val="center"/>
              <w:rPr>
                <w:rFonts w:ascii="Calibri" w:eastAsia="Calibri" w:hAnsi="Calibri" w:cs="Times New Roman"/>
                <w:b/>
              </w:rPr>
            </w:pPr>
          </w:p>
        </w:tc>
        <w:tc>
          <w:tcPr>
            <w:tcW w:w="761" w:type="dxa"/>
            <w:textDirection w:val="btLr"/>
            <w:vAlign w:val="center"/>
          </w:tcPr>
          <w:p w14:paraId="4E35AB49" w14:textId="77777777" w:rsidR="00DF55C8" w:rsidRPr="00DF55C8" w:rsidRDefault="00DF55C8" w:rsidP="00DF55C8">
            <w:pPr>
              <w:spacing w:after="160" w:line="259" w:lineRule="auto"/>
              <w:ind w:left="113" w:right="113"/>
              <w:jc w:val="center"/>
              <w:rPr>
                <w:rFonts w:ascii="Calibri" w:eastAsia="Calibri" w:hAnsi="Calibri" w:cs="Times New Roman"/>
                <w:b/>
              </w:rPr>
            </w:pPr>
            <w:r w:rsidRPr="00DF55C8">
              <w:rPr>
                <w:rFonts w:ascii="Calibri" w:eastAsia="Calibri" w:hAnsi="Calibri" w:cs="Times New Roman"/>
                <w:b/>
              </w:rPr>
              <w:t>CH</w:t>
            </w:r>
            <w:r w:rsidRPr="00DF55C8">
              <w:rPr>
                <w:rFonts w:ascii="Calibri" w:eastAsia="Calibri" w:hAnsi="Calibri" w:cs="Times New Roman"/>
                <w:b/>
                <w:vertAlign w:val="subscript"/>
              </w:rPr>
              <w:t>4</w:t>
            </w:r>
          </w:p>
        </w:tc>
        <w:tc>
          <w:tcPr>
            <w:tcW w:w="2250" w:type="dxa"/>
            <w:vAlign w:val="center"/>
          </w:tcPr>
          <w:p w14:paraId="7BF8EA2E"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Rice cultivation</w:t>
            </w:r>
          </w:p>
        </w:tc>
        <w:tc>
          <w:tcPr>
            <w:tcW w:w="2250" w:type="dxa"/>
            <w:vAlign w:val="center"/>
          </w:tcPr>
          <w:p w14:paraId="173CDEAD"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1.8</w:t>
            </w:r>
          </w:p>
        </w:tc>
        <w:tc>
          <w:tcPr>
            <w:tcW w:w="2061" w:type="dxa"/>
            <w:vAlign w:val="center"/>
          </w:tcPr>
          <w:p w14:paraId="15373EFC"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0.8 / 2.8</w:t>
            </w:r>
          </w:p>
        </w:tc>
        <w:tc>
          <w:tcPr>
            <w:tcW w:w="1444" w:type="dxa"/>
            <w:vAlign w:val="center"/>
          </w:tcPr>
          <w:p w14:paraId="0377FC81"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55</w:t>
            </w:r>
          </w:p>
        </w:tc>
      </w:tr>
      <w:tr w:rsidR="00DF55C8" w:rsidRPr="00DF55C8" w14:paraId="5EAC5CC0" w14:textId="77777777" w:rsidTr="005E4D1E">
        <w:trPr>
          <w:cantSplit/>
          <w:trHeight w:val="602"/>
        </w:trPr>
        <w:tc>
          <w:tcPr>
            <w:tcW w:w="3595" w:type="dxa"/>
            <w:gridSpan w:val="3"/>
            <w:vAlign w:val="center"/>
          </w:tcPr>
          <w:p w14:paraId="0664BF5B" w14:textId="77777777" w:rsidR="00DF55C8" w:rsidRPr="00DF55C8" w:rsidRDefault="00DF55C8" w:rsidP="00DF55C8">
            <w:pPr>
              <w:spacing w:after="160" w:line="259" w:lineRule="auto"/>
              <w:jc w:val="center"/>
              <w:rPr>
                <w:rFonts w:ascii="Calibri" w:eastAsia="Calibri" w:hAnsi="Calibri" w:cs="Times New Roman"/>
                <w:b/>
              </w:rPr>
            </w:pPr>
            <w:r w:rsidRPr="00DF55C8">
              <w:rPr>
                <w:rFonts w:ascii="Calibri" w:eastAsia="Calibri" w:hAnsi="Calibri" w:cs="Times New Roman"/>
                <w:b/>
              </w:rPr>
              <w:t>Tier 1 and 2 Total</w:t>
            </w:r>
          </w:p>
        </w:tc>
        <w:tc>
          <w:tcPr>
            <w:tcW w:w="2250" w:type="dxa"/>
            <w:vAlign w:val="center"/>
          </w:tcPr>
          <w:p w14:paraId="620DAB4C"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34.5</w:t>
            </w:r>
          </w:p>
        </w:tc>
        <w:tc>
          <w:tcPr>
            <w:tcW w:w="2061" w:type="dxa"/>
            <w:vAlign w:val="center"/>
          </w:tcPr>
          <w:p w14:paraId="41716703"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28.3 / 40.7</w:t>
            </w:r>
          </w:p>
        </w:tc>
        <w:tc>
          <w:tcPr>
            <w:tcW w:w="1444" w:type="dxa"/>
            <w:vAlign w:val="center"/>
          </w:tcPr>
          <w:p w14:paraId="3689C737" w14:textId="77777777" w:rsidR="00DF55C8" w:rsidRPr="00DF55C8" w:rsidRDefault="00DF55C8" w:rsidP="00DF55C8">
            <w:pPr>
              <w:spacing w:after="160" w:line="259" w:lineRule="auto"/>
              <w:jc w:val="center"/>
              <w:rPr>
                <w:rFonts w:ascii="Calibri" w:eastAsia="Calibri" w:hAnsi="Calibri" w:cs="Times New Roman"/>
              </w:rPr>
            </w:pPr>
            <w:r w:rsidRPr="00DF55C8">
              <w:rPr>
                <w:rFonts w:ascii="Calibri" w:eastAsia="Calibri" w:hAnsi="Calibri" w:cs="Times New Roman"/>
              </w:rPr>
              <w:t>18</w:t>
            </w:r>
          </w:p>
        </w:tc>
      </w:tr>
    </w:tbl>
    <w:p w14:paraId="156F0E70" w14:textId="77777777" w:rsidR="00DF55C8" w:rsidRPr="00DF55C8" w:rsidRDefault="00DF55C8" w:rsidP="00DF55C8">
      <w:pPr>
        <w:rPr>
          <w:rFonts w:ascii="Calibri" w:eastAsia="Calibri" w:hAnsi="Calibri" w:cs="Times New Roman"/>
          <w:i/>
          <w:sz w:val="18"/>
          <w:szCs w:val="18"/>
        </w:rPr>
      </w:pPr>
      <w:r w:rsidRPr="00DF55C8">
        <w:rPr>
          <w:rFonts w:ascii="Calibri" w:eastAsia="Calibri" w:hAnsi="Calibri" w:cs="Times New Roman"/>
          <w:i/>
          <w:sz w:val="18"/>
          <w:szCs w:val="18"/>
        </w:rPr>
        <w:t>*Soil N</w:t>
      </w:r>
      <w:r w:rsidRPr="00DF55C8">
        <w:rPr>
          <w:rFonts w:ascii="Calibri" w:eastAsia="Calibri" w:hAnsi="Calibri" w:cs="Times New Roman"/>
          <w:i/>
          <w:sz w:val="18"/>
          <w:szCs w:val="18"/>
          <w:vertAlign w:val="subscript"/>
        </w:rPr>
        <w:t>2</w:t>
      </w:r>
      <w:r w:rsidRPr="00DF55C8">
        <w:rPr>
          <w:rFonts w:ascii="Calibri" w:eastAsia="Calibri" w:hAnsi="Calibri" w:cs="Times New Roman"/>
          <w:i/>
          <w:sz w:val="18"/>
          <w:szCs w:val="18"/>
        </w:rPr>
        <w:t>O emissions are quantified through a combination of Tier 3 and Tier 1 approaches. Direct N</w:t>
      </w:r>
      <w:r w:rsidRPr="00DF55C8">
        <w:rPr>
          <w:rFonts w:ascii="Calibri" w:eastAsia="Calibri" w:hAnsi="Calibri" w:cs="Times New Roman"/>
          <w:i/>
          <w:sz w:val="18"/>
          <w:szCs w:val="18"/>
          <w:vertAlign w:val="subscript"/>
        </w:rPr>
        <w:t>2</w:t>
      </w:r>
      <w:r w:rsidRPr="00DF55C8">
        <w:rPr>
          <w:rFonts w:ascii="Calibri" w:eastAsia="Calibri" w:hAnsi="Calibri" w:cs="Times New Roman"/>
          <w:i/>
          <w:sz w:val="18"/>
          <w:szCs w:val="18"/>
        </w:rPr>
        <w:t>O emissions for DayCent soils are estimated with a Tier 3 approach, and DayCent outputs for N volatilization and NO</w:t>
      </w:r>
      <w:r w:rsidRPr="00DF55C8">
        <w:rPr>
          <w:rFonts w:ascii="Calibri" w:eastAsia="Calibri" w:hAnsi="Calibri" w:cs="Times New Roman"/>
          <w:i/>
          <w:sz w:val="18"/>
          <w:szCs w:val="18"/>
          <w:vertAlign w:val="subscript"/>
        </w:rPr>
        <w:t>3</w:t>
      </w:r>
      <w:r w:rsidRPr="00DF55C8">
        <w:rPr>
          <w:rFonts w:ascii="Calibri" w:eastAsia="Calibri" w:hAnsi="Calibri" w:cs="Times New Roman"/>
          <w:i/>
          <w:sz w:val="18"/>
          <w:szCs w:val="18"/>
        </w:rPr>
        <w:t xml:space="preserve"> leaching/runoff are combined with Tier 1 factors to derive indirect emissions. For soils not covered by DayCent, an exclusively Tier 1 approach is used for both direct and indirect N</w:t>
      </w:r>
      <w:r w:rsidRPr="00DF55C8">
        <w:rPr>
          <w:rFonts w:ascii="Calibri" w:eastAsia="Calibri" w:hAnsi="Calibri" w:cs="Times New Roman"/>
          <w:i/>
          <w:sz w:val="18"/>
          <w:szCs w:val="18"/>
          <w:vertAlign w:val="subscript"/>
        </w:rPr>
        <w:t>2</w:t>
      </w:r>
      <w:r w:rsidRPr="00DF55C8">
        <w:rPr>
          <w:rFonts w:ascii="Calibri" w:eastAsia="Calibri" w:hAnsi="Calibri" w:cs="Times New Roman"/>
          <w:i/>
          <w:sz w:val="18"/>
          <w:szCs w:val="18"/>
        </w:rPr>
        <w:t>O emissions. NGHGI N</w:t>
      </w:r>
      <w:r w:rsidRPr="00DF55C8">
        <w:rPr>
          <w:rFonts w:ascii="Calibri" w:eastAsia="Calibri" w:hAnsi="Calibri" w:cs="Times New Roman"/>
          <w:i/>
          <w:sz w:val="18"/>
          <w:szCs w:val="18"/>
          <w:vertAlign w:val="subscript"/>
        </w:rPr>
        <w:t>2</w:t>
      </w:r>
      <w:r w:rsidRPr="00DF55C8">
        <w:rPr>
          <w:rFonts w:ascii="Calibri" w:eastAsia="Calibri" w:hAnsi="Calibri" w:cs="Times New Roman"/>
          <w:i/>
          <w:sz w:val="18"/>
          <w:szCs w:val="18"/>
        </w:rPr>
        <w:t>O results are not reported by Tier 3 vs. Tier 1. Because DayCent covers 91% of direct N</w:t>
      </w:r>
      <w:r w:rsidRPr="00DF55C8">
        <w:rPr>
          <w:rFonts w:ascii="Calibri" w:eastAsia="Calibri" w:hAnsi="Calibri" w:cs="Times New Roman"/>
          <w:i/>
          <w:sz w:val="18"/>
          <w:szCs w:val="18"/>
          <w:vertAlign w:val="subscript"/>
        </w:rPr>
        <w:t>2</w:t>
      </w:r>
      <w:r w:rsidRPr="00DF55C8">
        <w:rPr>
          <w:rFonts w:ascii="Calibri" w:eastAsia="Calibri" w:hAnsi="Calibri" w:cs="Times New Roman"/>
          <w:i/>
          <w:sz w:val="18"/>
          <w:szCs w:val="18"/>
        </w:rPr>
        <w:t>O emissions, all N</w:t>
      </w:r>
      <w:r w:rsidRPr="00DF55C8">
        <w:rPr>
          <w:rFonts w:ascii="Calibri" w:eastAsia="Calibri" w:hAnsi="Calibri" w:cs="Times New Roman"/>
          <w:i/>
          <w:sz w:val="18"/>
          <w:szCs w:val="18"/>
          <w:vertAlign w:val="subscript"/>
        </w:rPr>
        <w:t>2</w:t>
      </w:r>
      <w:r w:rsidRPr="00DF55C8">
        <w:rPr>
          <w:rFonts w:ascii="Calibri" w:eastAsia="Calibri" w:hAnsi="Calibri" w:cs="Times New Roman"/>
          <w:i/>
          <w:sz w:val="18"/>
          <w:szCs w:val="18"/>
        </w:rPr>
        <w:t>O emissions are listed as Tier 3, for simplicity.</w:t>
      </w:r>
    </w:p>
    <w:p w14:paraId="6089AC9C" w14:textId="77777777" w:rsidR="00DF55C8" w:rsidRPr="00DF55C8" w:rsidRDefault="00DF55C8" w:rsidP="00DF55C8">
      <w:pPr>
        <w:rPr>
          <w:rFonts w:ascii="Calibri" w:eastAsia="Calibri" w:hAnsi="Calibri" w:cs="Times New Roman"/>
          <w:i/>
          <w:sz w:val="18"/>
          <w:szCs w:val="18"/>
        </w:rPr>
      </w:pPr>
    </w:p>
    <w:p w14:paraId="212F5542" w14:textId="77777777" w:rsidR="00DF55C8" w:rsidRPr="00DF55C8" w:rsidRDefault="00DF55C8" w:rsidP="00DF55C8">
      <w:pPr>
        <w:rPr>
          <w:rFonts w:ascii="Calibri" w:eastAsia="Calibri" w:hAnsi="Calibri" w:cs="Times New Roman"/>
          <w:b/>
        </w:rPr>
      </w:pPr>
      <w:r w:rsidRPr="00DF55C8">
        <w:rPr>
          <w:rFonts w:ascii="Calibri" w:eastAsia="Calibri" w:hAnsi="Calibri" w:cs="Times New Roman"/>
          <w:b/>
        </w:rPr>
        <w:t>Table 2: Description of Tier 1, 2, and 3 CO</w:t>
      </w:r>
      <w:r w:rsidRPr="00DF55C8">
        <w:rPr>
          <w:rFonts w:ascii="Calibri" w:eastAsia="Calibri" w:hAnsi="Calibri" w:cs="Times New Roman"/>
          <w:b/>
          <w:vertAlign w:val="subscript"/>
        </w:rPr>
        <w:t>2</w:t>
      </w:r>
      <w:r w:rsidRPr="00DF55C8">
        <w:rPr>
          <w:rFonts w:ascii="Calibri" w:eastAsia="Calibri" w:hAnsi="Calibri" w:cs="Times New Roman"/>
          <w:b/>
        </w:rPr>
        <w:t>, N</w:t>
      </w:r>
      <w:r w:rsidRPr="00DF55C8">
        <w:rPr>
          <w:rFonts w:ascii="Calibri" w:eastAsia="Calibri" w:hAnsi="Calibri" w:cs="Times New Roman"/>
          <w:b/>
          <w:vertAlign w:val="subscript"/>
        </w:rPr>
        <w:t>2</w:t>
      </w:r>
      <w:r w:rsidRPr="00DF55C8">
        <w:rPr>
          <w:rFonts w:ascii="Calibri" w:eastAsia="Calibri" w:hAnsi="Calibri" w:cs="Times New Roman"/>
          <w:b/>
        </w:rPr>
        <w:t>O, and CH</w:t>
      </w:r>
      <w:r w:rsidRPr="00DF55C8">
        <w:rPr>
          <w:rFonts w:ascii="Calibri" w:eastAsia="Calibri" w:hAnsi="Calibri" w:cs="Times New Roman"/>
          <w:b/>
          <w:vertAlign w:val="subscript"/>
        </w:rPr>
        <w:t>4</w:t>
      </w:r>
      <w:r w:rsidRPr="00DF55C8">
        <w:rPr>
          <w:rFonts w:ascii="Calibri" w:eastAsia="Calibri" w:hAnsi="Calibri" w:cs="Times New Roman"/>
          <w:b/>
        </w:rPr>
        <w:t xml:space="preserve"> fluxes in Cropland and Grassland</w:t>
      </w:r>
    </w:p>
    <w:tbl>
      <w:tblPr>
        <w:tblStyle w:val="TableGrid1"/>
        <w:tblW w:w="0" w:type="auto"/>
        <w:tblLook w:val="04A0" w:firstRow="1" w:lastRow="0" w:firstColumn="1" w:lastColumn="0" w:noHBand="0" w:noVBand="1"/>
      </w:tblPr>
      <w:tblGrid>
        <w:gridCol w:w="2447"/>
        <w:gridCol w:w="3604"/>
        <w:gridCol w:w="3299"/>
      </w:tblGrid>
      <w:tr w:rsidR="00DF55C8" w:rsidRPr="00DF55C8" w14:paraId="08F192B6" w14:textId="77777777" w:rsidTr="00DF55C8">
        <w:tc>
          <w:tcPr>
            <w:tcW w:w="2447" w:type="dxa"/>
            <w:tcBorders>
              <w:top w:val="single" w:sz="4" w:space="0" w:color="auto"/>
              <w:left w:val="single" w:sz="4" w:space="0" w:color="auto"/>
              <w:bottom w:val="single" w:sz="4" w:space="0" w:color="auto"/>
              <w:right w:val="single" w:sz="4" w:space="0" w:color="auto"/>
            </w:tcBorders>
          </w:tcPr>
          <w:p w14:paraId="2FE67E00" w14:textId="77777777" w:rsidR="00DF55C8" w:rsidRPr="00DF55C8" w:rsidRDefault="00DF55C8" w:rsidP="00DF55C8">
            <w:pPr>
              <w:spacing w:after="160" w:line="259" w:lineRule="auto"/>
              <w:rPr>
                <w:rFonts w:ascii="Calibri" w:eastAsia="Calibri" w:hAnsi="Calibri" w:cs="Times New Roman"/>
                <w:b/>
              </w:rPr>
            </w:pPr>
          </w:p>
        </w:tc>
        <w:tc>
          <w:tcPr>
            <w:tcW w:w="3604" w:type="dxa"/>
            <w:tcBorders>
              <w:top w:val="single" w:sz="4" w:space="0" w:color="auto"/>
              <w:left w:val="single" w:sz="4" w:space="0" w:color="auto"/>
              <w:bottom w:val="single" w:sz="4" w:space="0" w:color="auto"/>
              <w:right w:val="single" w:sz="4" w:space="0" w:color="auto"/>
            </w:tcBorders>
          </w:tcPr>
          <w:p w14:paraId="387C823E" w14:textId="77777777" w:rsidR="00DF55C8" w:rsidRPr="00DF55C8" w:rsidRDefault="00DF55C8" w:rsidP="00DF55C8">
            <w:pPr>
              <w:spacing w:after="160" w:line="259" w:lineRule="auto"/>
              <w:rPr>
                <w:rFonts w:ascii="Calibri" w:eastAsia="Calibri" w:hAnsi="Calibri" w:cs="Times New Roman"/>
                <w:b/>
              </w:rPr>
            </w:pPr>
            <w:r w:rsidRPr="00DF55C8">
              <w:rPr>
                <w:rFonts w:ascii="Calibri" w:eastAsia="Calibri" w:hAnsi="Calibri" w:cs="Times New Roman"/>
                <w:b/>
              </w:rPr>
              <w:t>Tiers 1 &amp; 2</w:t>
            </w:r>
          </w:p>
        </w:tc>
        <w:tc>
          <w:tcPr>
            <w:tcW w:w="3299" w:type="dxa"/>
            <w:tcBorders>
              <w:top w:val="single" w:sz="4" w:space="0" w:color="auto"/>
              <w:left w:val="single" w:sz="4" w:space="0" w:color="auto"/>
              <w:bottom w:val="single" w:sz="4" w:space="0" w:color="auto"/>
              <w:right w:val="single" w:sz="4" w:space="0" w:color="auto"/>
            </w:tcBorders>
            <w:shd w:val="clear" w:color="auto" w:fill="FFC000"/>
          </w:tcPr>
          <w:p w14:paraId="1B9D5FDD" w14:textId="77777777" w:rsidR="00DF55C8" w:rsidRPr="00DF55C8" w:rsidRDefault="00DF55C8" w:rsidP="00DF55C8">
            <w:pPr>
              <w:spacing w:after="160" w:line="259" w:lineRule="auto"/>
              <w:rPr>
                <w:rFonts w:ascii="Calibri" w:eastAsia="Calibri" w:hAnsi="Calibri" w:cs="Times New Roman"/>
                <w:b/>
              </w:rPr>
            </w:pPr>
            <w:r w:rsidRPr="00DF55C8">
              <w:rPr>
                <w:rFonts w:ascii="Calibri" w:eastAsia="Calibri" w:hAnsi="Calibri" w:cs="Times New Roman"/>
                <w:b/>
              </w:rPr>
              <w:t>Tier 3</w:t>
            </w:r>
          </w:p>
          <w:p w14:paraId="7F7364DE" w14:textId="77777777" w:rsidR="00DF55C8" w:rsidRPr="00DF55C8" w:rsidRDefault="00DF55C8" w:rsidP="00DF55C8">
            <w:pPr>
              <w:spacing w:after="160" w:line="259" w:lineRule="auto"/>
              <w:rPr>
                <w:rFonts w:ascii="Calibri" w:eastAsia="Calibri" w:hAnsi="Calibri" w:cs="Times New Roman"/>
                <w:b/>
              </w:rPr>
            </w:pPr>
          </w:p>
        </w:tc>
      </w:tr>
      <w:tr w:rsidR="00DF55C8" w:rsidRPr="00DF55C8" w14:paraId="6342E7BD" w14:textId="77777777" w:rsidTr="00DF55C8">
        <w:tc>
          <w:tcPr>
            <w:tcW w:w="2447" w:type="dxa"/>
            <w:tcBorders>
              <w:top w:val="single" w:sz="4" w:space="0" w:color="auto"/>
            </w:tcBorders>
          </w:tcPr>
          <w:p w14:paraId="3695FF8C" w14:textId="77777777" w:rsidR="00DF55C8" w:rsidRPr="00DF55C8" w:rsidRDefault="00DF55C8" w:rsidP="00DF55C8">
            <w:pPr>
              <w:spacing w:after="160" w:line="259" w:lineRule="auto"/>
              <w:rPr>
                <w:rFonts w:ascii="Calibri" w:eastAsia="Calibri" w:hAnsi="Calibri" w:cs="Times New Roman"/>
              </w:rPr>
            </w:pPr>
            <w:r w:rsidRPr="00DF55C8">
              <w:rPr>
                <w:rFonts w:ascii="Calibri" w:eastAsia="Calibri" w:hAnsi="Calibri" w:cs="Times New Roman"/>
              </w:rPr>
              <w:t>Carbon fluxes</w:t>
            </w:r>
          </w:p>
        </w:tc>
        <w:tc>
          <w:tcPr>
            <w:tcW w:w="3604" w:type="dxa"/>
            <w:tcBorders>
              <w:top w:val="single" w:sz="4" w:space="0" w:color="auto"/>
            </w:tcBorders>
          </w:tcPr>
          <w:p w14:paraId="337976E0" w14:textId="77777777" w:rsidR="00DF55C8" w:rsidRPr="00DF55C8" w:rsidRDefault="00DF55C8" w:rsidP="00DF55C8">
            <w:pPr>
              <w:spacing w:after="160" w:line="259" w:lineRule="auto"/>
              <w:rPr>
                <w:rFonts w:ascii="Calibri" w:eastAsia="Calibri" w:hAnsi="Calibri" w:cs="Times New Roman"/>
              </w:rPr>
            </w:pPr>
            <w:r w:rsidRPr="00DF55C8">
              <w:rPr>
                <w:rFonts w:ascii="Calibri" w:eastAsia="Calibri" w:hAnsi="Calibri" w:cs="Times New Roman"/>
              </w:rPr>
              <w:t>Mineral soils:</w:t>
            </w:r>
          </w:p>
          <w:p w14:paraId="55D2411F" w14:textId="77777777" w:rsidR="00DF55C8" w:rsidRPr="00DF55C8" w:rsidRDefault="00DF55C8" w:rsidP="000B2554">
            <w:pPr>
              <w:numPr>
                <w:ilvl w:val="0"/>
                <w:numId w:val="26"/>
              </w:numPr>
              <w:spacing w:after="160" w:line="259" w:lineRule="auto"/>
              <w:contextualSpacing/>
              <w:rPr>
                <w:rFonts w:ascii="Calibri" w:eastAsia="Calibri" w:hAnsi="Calibri" w:cs="Times New Roman"/>
              </w:rPr>
            </w:pPr>
            <w:r w:rsidRPr="00DF55C8">
              <w:rPr>
                <w:rFonts w:ascii="Calibri" w:eastAsia="Calibri" w:hAnsi="Calibri" w:cs="Times New Roman"/>
                <w:b/>
                <w:bCs/>
              </w:rPr>
              <w:t xml:space="preserve">Greater than </w:t>
            </w:r>
            <w:r w:rsidRPr="00DF55C8">
              <w:rPr>
                <w:rFonts w:ascii="Calibri" w:eastAsia="Calibri" w:hAnsi="Calibri" w:cs="Times New Roman"/>
              </w:rPr>
              <w:t>35% coarse fragment by volume, used to produce other crops or have land use changes to cropland and grassland outside of specific crops* list</w:t>
            </w:r>
          </w:p>
          <w:p w14:paraId="7E19229E" w14:textId="77777777" w:rsidR="00DF55C8" w:rsidRPr="00DF55C8" w:rsidRDefault="00DF55C8" w:rsidP="000B2554">
            <w:pPr>
              <w:numPr>
                <w:ilvl w:val="0"/>
                <w:numId w:val="26"/>
              </w:numPr>
              <w:spacing w:after="160" w:line="259" w:lineRule="auto"/>
              <w:contextualSpacing/>
              <w:rPr>
                <w:rFonts w:ascii="Calibri" w:eastAsia="Calibri" w:hAnsi="Calibri" w:cs="Times New Roman"/>
              </w:rPr>
            </w:pPr>
            <w:r w:rsidRPr="00DF55C8">
              <w:rPr>
                <w:rFonts w:ascii="Calibri" w:eastAsia="Calibri" w:hAnsi="Calibri" w:cs="Times New Roman"/>
              </w:rPr>
              <w:t>Partly/completely drained for agricultural production</w:t>
            </w:r>
          </w:p>
          <w:p w14:paraId="2551F7DE" w14:textId="77777777" w:rsidR="00DF55C8" w:rsidRPr="00DF55C8" w:rsidRDefault="00DF55C8" w:rsidP="000B2554">
            <w:pPr>
              <w:numPr>
                <w:ilvl w:val="0"/>
                <w:numId w:val="26"/>
              </w:numPr>
              <w:spacing w:after="160" w:line="259" w:lineRule="auto"/>
              <w:contextualSpacing/>
              <w:rPr>
                <w:rFonts w:ascii="Calibri" w:eastAsia="Calibri" w:hAnsi="Calibri" w:cs="Times New Roman"/>
              </w:rPr>
            </w:pPr>
            <w:r w:rsidRPr="00DF55C8">
              <w:rPr>
                <w:rFonts w:ascii="Calibri" w:eastAsia="Calibri" w:hAnsi="Calibri" w:cs="Times New Roman"/>
              </w:rPr>
              <w:t>On federal lands</w:t>
            </w:r>
          </w:p>
          <w:p w14:paraId="549ECBD9" w14:textId="77777777" w:rsidR="00DF55C8" w:rsidRPr="00DF55C8" w:rsidRDefault="00DF55C8" w:rsidP="000B2554">
            <w:pPr>
              <w:numPr>
                <w:ilvl w:val="0"/>
                <w:numId w:val="26"/>
              </w:numPr>
              <w:spacing w:after="160" w:line="259" w:lineRule="auto"/>
              <w:contextualSpacing/>
              <w:rPr>
                <w:rFonts w:ascii="Calibri" w:eastAsia="Calibri" w:hAnsi="Calibri" w:cs="Times New Roman"/>
              </w:rPr>
            </w:pPr>
            <w:r w:rsidRPr="00DF55C8">
              <w:rPr>
                <w:rFonts w:ascii="Calibri" w:eastAsia="Calibri" w:hAnsi="Calibri" w:cs="Times New Roman"/>
              </w:rPr>
              <w:t>Biosolid amendments</w:t>
            </w:r>
          </w:p>
          <w:p w14:paraId="6AFF399E" w14:textId="77777777" w:rsidR="00DF55C8" w:rsidRPr="00DF55C8" w:rsidRDefault="00DF55C8" w:rsidP="00DF55C8">
            <w:pPr>
              <w:spacing w:after="160" w:line="259" w:lineRule="auto"/>
              <w:rPr>
                <w:rFonts w:ascii="Calibri" w:eastAsia="Calibri" w:hAnsi="Calibri" w:cs="Times New Roman"/>
              </w:rPr>
            </w:pPr>
          </w:p>
          <w:p w14:paraId="5C5250EB" w14:textId="77777777" w:rsidR="00DF55C8" w:rsidRPr="00DF55C8" w:rsidRDefault="00DF55C8" w:rsidP="00DF55C8">
            <w:pPr>
              <w:spacing w:after="160" w:line="259" w:lineRule="auto"/>
              <w:rPr>
                <w:rFonts w:ascii="Calibri" w:eastAsia="Calibri" w:hAnsi="Calibri" w:cs="Times New Roman"/>
              </w:rPr>
            </w:pPr>
            <w:r w:rsidRPr="00DF55C8">
              <w:rPr>
                <w:rFonts w:ascii="Calibri" w:eastAsia="Calibri" w:hAnsi="Calibri" w:cs="Times New Roman"/>
              </w:rPr>
              <w:t>Organic soils:</w:t>
            </w:r>
          </w:p>
          <w:p w14:paraId="0F4EEB77" w14:textId="05BEDDD6" w:rsidR="00DF55C8" w:rsidRPr="00CC0ACC" w:rsidRDefault="00DF55C8" w:rsidP="000B2554">
            <w:pPr>
              <w:numPr>
                <w:ilvl w:val="0"/>
                <w:numId w:val="28"/>
              </w:numPr>
              <w:spacing w:after="160" w:line="259" w:lineRule="auto"/>
              <w:contextualSpacing/>
              <w:rPr>
                <w:rFonts w:ascii="Calibri" w:eastAsia="Calibri" w:hAnsi="Calibri" w:cs="Times New Roman"/>
              </w:rPr>
            </w:pPr>
            <w:r w:rsidRPr="00DF55C8">
              <w:rPr>
                <w:rFonts w:ascii="Calibri" w:eastAsia="Calibri" w:hAnsi="Calibri" w:cs="Times New Roman"/>
              </w:rPr>
              <w:t>Drained (undrained is considered as having no loss of organic C or soil N</w:t>
            </w:r>
            <w:r w:rsidRPr="00DF55C8">
              <w:rPr>
                <w:rFonts w:ascii="Calibri" w:eastAsia="Calibri" w:hAnsi="Calibri" w:cs="Times New Roman"/>
                <w:vertAlign w:val="subscript"/>
              </w:rPr>
              <w:t>2</w:t>
            </w:r>
            <w:r w:rsidRPr="00DF55C8">
              <w:rPr>
                <w:rFonts w:ascii="Calibri" w:eastAsia="Calibri" w:hAnsi="Calibri" w:cs="Times New Roman"/>
              </w:rPr>
              <w:t>O)</w:t>
            </w:r>
          </w:p>
        </w:tc>
        <w:tc>
          <w:tcPr>
            <w:tcW w:w="3299" w:type="dxa"/>
            <w:tcBorders>
              <w:top w:val="single" w:sz="4" w:space="0" w:color="auto"/>
            </w:tcBorders>
            <w:shd w:val="clear" w:color="auto" w:fill="FFC000"/>
          </w:tcPr>
          <w:p w14:paraId="61ABF2A5" w14:textId="77777777" w:rsidR="00DF55C8" w:rsidRPr="00DF55C8" w:rsidRDefault="00DF55C8" w:rsidP="00DF55C8">
            <w:pPr>
              <w:spacing w:after="160" w:line="259" w:lineRule="auto"/>
              <w:rPr>
                <w:rFonts w:ascii="Calibri" w:eastAsia="Calibri" w:hAnsi="Calibri" w:cs="Times New Roman"/>
              </w:rPr>
            </w:pPr>
            <w:r w:rsidRPr="00DF55C8">
              <w:rPr>
                <w:rFonts w:ascii="Calibri" w:eastAsia="Calibri" w:hAnsi="Calibri" w:cs="Times New Roman"/>
              </w:rPr>
              <w:t>Mineral soils:</w:t>
            </w:r>
          </w:p>
          <w:p w14:paraId="1C88898C" w14:textId="77777777" w:rsidR="00DF55C8" w:rsidRPr="00DF55C8" w:rsidRDefault="00DF55C8" w:rsidP="000B2554">
            <w:pPr>
              <w:numPr>
                <w:ilvl w:val="0"/>
                <w:numId w:val="27"/>
              </w:numPr>
              <w:spacing w:after="160" w:line="259" w:lineRule="auto"/>
              <w:contextualSpacing/>
              <w:rPr>
                <w:rFonts w:ascii="Calibri" w:eastAsia="Calibri" w:hAnsi="Calibri" w:cs="Times New Roman"/>
              </w:rPr>
            </w:pPr>
            <w:r w:rsidRPr="00DF55C8">
              <w:rPr>
                <w:rFonts w:ascii="Calibri" w:eastAsia="Calibri" w:hAnsi="Calibri" w:cs="Times New Roman"/>
                <w:b/>
                <w:bCs/>
              </w:rPr>
              <w:t xml:space="preserve">Less than </w:t>
            </w:r>
            <w:r w:rsidRPr="00DF55C8">
              <w:rPr>
                <w:rFonts w:ascii="Calibri" w:eastAsia="Calibri" w:hAnsi="Calibri" w:cs="Times New Roman"/>
              </w:rPr>
              <w:t>35% coarse fragment by volume and used to produce specific crops*; non-federal grasslands; land use change between grassland and cropland</w:t>
            </w:r>
          </w:p>
          <w:p w14:paraId="3D117F06" w14:textId="77777777" w:rsidR="00DF55C8" w:rsidRPr="00DF55C8" w:rsidRDefault="00DF55C8" w:rsidP="00DF55C8">
            <w:pPr>
              <w:spacing w:after="160" w:line="259" w:lineRule="auto"/>
              <w:rPr>
                <w:rFonts w:ascii="Calibri" w:eastAsia="Calibri" w:hAnsi="Calibri" w:cs="Times New Roman"/>
              </w:rPr>
            </w:pPr>
          </w:p>
        </w:tc>
      </w:tr>
      <w:tr w:rsidR="00DF55C8" w:rsidRPr="00DF55C8" w14:paraId="67079911" w14:textId="77777777" w:rsidTr="00DF55C8">
        <w:tc>
          <w:tcPr>
            <w:tcW w:w="2447" w:type="dxa"/>
          </w:tcPr>
          <w:p w14:paraId="18C12058" w14:textId="77777777" w:rsidR="00DF55C8" w:rsidRPr="00DF55C8" w:rsidRDefault="00DF55C8" w:rsidP="00DF55C8">
            <w:pPr>
              <w:spacing w:after="160" w:line="259" w:lineRule="auto"/>
              <w:rPr>
                <w:rFonts w:ascii="Calibri" w:eastAsia="Calibri" w:hAnsi="Calibri" w:cs="Times New Roman"/>
              </w:rPr>
            </w:pPr>
            <w:r w:rsidRPr="00DF55C8">
              <w:rPr>
                <w:rFonts w:ascii="Calibri" w:eastAsia="Calibri" w:hAnsi="Calibri" w:cs="Times New Roman"/>
              </w:rPr>
              <w:lastRenderedPageBreak/>
              <w:t>Nitrogen fluxes</w:t>
            </w:r>
          </w:p>
        </w:tc>
        <w:tc>
          <w:tcPr>
            <w:tcW w:w="3604" w:type="dxa"/>
          </w:tcPr>
          <w:p w14:paraId="44028BE9" w14:textId="77777777" w:rsidR="00DF55C8" w:rsidRPr="00DF55C8" w:rsidRDefault="00DF55C8" w:rsidP="00DF55C8">
            <w:pPr>
              <w:spacing w:after="160" w:line="259" w:lineRule="auto"/>
              <w:rPr>
                <w:rFonts w:ascii="Calibri" w:eastAsia="Calibri" w:hAnsi="Calibri" w:cs="Times New Roman"/>
              </w:rPr>
            </w:pPr>
            <w:r w:rsidRPr="00DF55C8">
              <w:rPr>
                <w:rFonts w:ascii="Calibri" w:eastAsia="Calibri" w:hAnsi="Calibri" w:cs="Times New Roman"/>
              </w:rPr>
              <w:t>Direct N</w:t>
            </w:r>
            <w:r w:rsidRPr="00DF55C8">
              <w:rPr>
                <w:rFonts w:ascii="Calibri" w:eastAsia="Calibri" w:hAnsi="Calibri" w:cs="Times New Roman"/>
                <w:vertAlign w:val="subscript"/>
              </w:rPr>
              <w:t>2</w:t>
            </w:r>
            <w:r w:rsidRPr="00DF55C8">
              <w:rPr>
                <w:rFonts w:ascii="Calibri" w:eastAsia="Calibri" w:hAnsi="Calibri" w:cs="Times New Roman"/>
              </w:rPr>
              <w:t>O emissions due to:</w:t>
            </w:r>
          </w:p>
          <w:p w14:paraId="30BE4F79" w14:textId="77777777" w:rsidR="00DF55C8" w:rsidRPr="00DF55C8" w:rsidRDefault="00DF55C8" w:rsidP="000B2554">
            <w:pPr>
              <w:numPr>
                <w:ilvl w:val="0"/>
                <w:numId w:val="27"/>
              </w:numPr>
              <w:spacing w:after="160" w:line="259" w:lineRule="auto"/>
              <w:contextualSpacing/>
              <w:rPr>
                <w:rFonts w:ascii="Calibri" w:eastAsia="Calibri" w:hAnsi="Calibri" w:cs="Times New Roman"/>
              </w:rPr>
            </w:pPr>
            <w:r w:rsidRPr="00DF55C8">
              <w:rPr>
                <w:rFonts w:ascii="Calibri" w:eastAsia="Calibri" w:hAnsi="Calibri" w:cs="Times New Roman"/>
              </w:rPr>
              <w:t>Partial or complete drainage of organic soils in cropland and grassland</w:t>
            </w:r>
          </w:p>
          <w:p w14:paraId="0FFBA908" w14:textId="77777777" w:rsidR="00DF55C8" w:rsidRPr="00DF55C8" w:rsidRDefault="00DF55C8" w:rsidP="00DF55C8">
            <w:pPr>
              <w:spacing w:after="160" w:line="259" w:lineRule="auto"/>
              <w:rPr>
                <w:rFonts w:ascii="Calibri" w:eastAsia="Calibri" w:hAnsi="Calibri" w:cs="Times New Roman"/>
              </w:rPr>
            </w:pPr>
          </w:p>
          <w:p w14:paraId="449043BD" w14:textId="77777777" w:rsidR="00DF55C8" w:rsidRPr="00DF55C8" w:rsidRDefault="00DF55C8" w:rsidP="00DF55C8">
            <w:pPr>
              <w:spacing w:after="160" w:line="259" w:lineRule="auto"/>
              <w:rPr>
                <w:rFonts w:ascii="Calibri" w:eastAsia="Calibri" w:hAnsi="Calibri" w:cs="Times New Roman"/>
              </w:rPr>
            </w:pPr>
            <w:r w:rsidRPr="00DF55C8">
              <w:rPr>
                <w:rFonts w:ascii="Calibri" w:eastAsia="Calibri" w:hAnsi="Calibri" w:cs="Times New Roman"/>
              </w:rPr>
              <w:t>Direct and indirect N</w:t>
            </w:r>
            <w:r w:rsidRPr="00DF55C8">
              <w:rPr>
                <w:rFonts w:ascii="Calibri" w:eastAsia="Calibri" w:hAnsi="Calibri" w:cs="Times New Roman"/>
                <w:vertAlign w:val="subscript"/>
              </w:rPr>
              <w:t>2</w:t>
            </w:r>
            <w:r w:rsidRPr="00DF55C8">
              <w:rPr>
                <w:rFonts w:ascii="Calibri" w:eastAsia="Calibri" w:hAnsi="Calibri" w:cs="Times New Roman"/>
              </w:rPr>
              <w:t>O emissions on mineral soils with:</w:t>
            </w:r>
          </w:p>
          <w:p w14:paraId="6D838D76" w14:textId="77777777" w:rsidR="00DF55C8" w:rsidRPr="00DF55C8" w:rsidRDefault="00DF55C8" w:rsidP="000B2554">
            <w:pPr>
              <w:numPr>
                <w:ilvl w:val="0"/>
                <w:numId w:val="27"/>
              </w:numPr>
              <w:spacing w:after="160" w:line="259" w:lineRule="auto"/>
              <w:contextualSpacing/>
              <w:rPr>
                <w:rFonts w:ascii="Calibri" w:eastAsia="Calibri" w:hAnsi="Calibri" w:cs="Times New Roman"/>
              </w:rPr>
            </w:pPr>
            <w:r w:rsidRPr="00DF55C8">
              <w:rPr>
                <w:rFonts w:ascii="Calibri" w:eastAsia="Calibri" w:hAnsi="Calibri" w:cs="Times New Roman"/>
                <w:b/>
                <w:bCs/>
              </w:rPr>
              <w:t xml:space="preserve">Greater than </w:t>
            </w:r>
            <w:r w:rsidRPr="00DF55C8">
              <w:rPr>
                <w:rFonts w:ascii="Calibri" w:eastAsia="Calibri" w:hAnsi="Calibri" w:cs="Times New Roman"/>
              </w:rPr>
              <w:t>35% coarse fragment by volume, used to produce other crops or have land use changes to cropland and grassland outside of specific crops* list that are not simulated via DayCent</w:t>
            </w:r>
          </w:p>
          <w:p w14:paraId="6AD6E5F8" w14:textId="77777777" w:rsidR="00DF55C8" w:rsidRPr="00DF55C8" w:rsidRDefault="00DF55C8" w:rsidP="00DF55C8">
            <w:pPr>
              <w:spacing w:after="160" w:line="259" w:lineRule="auto"/>
              <w:rPr>
                <w:rFonts w:ascii="Calibri" w:eastAsia="Calibri" w:hAnsi="Calibri" w:cs="Times New Roman"/>
              </w:rPr>
            </w:pPr>
          </w:p>
          <w:p w14:paraId="51414FE8" w14:textId="77777777" w:rsidR="00DF55C8" w:rsidRPr="00DF55C8" w:rsidRDefault="00DF55C8" w:rsidP="00DF55C8">
            <w:pPr>
              <w:spacing w:after="160" w:line="259" w:lineRule="auto"/>
              <w:rPr>
                <w:rFonts w:ascii="Calibri" w:eastAsia="Calibri" w:hAnsi="Calibri" w:cs="Times New Roman"/>
              </w:rPr>
            </w:pPr>
            <w:r w:rsidRPr="00DF55C8">
              <w:rPr>
                <w:rFonts w:ascii="Calibri" w:eastAsia="Calibri" w:hAnsi="Calibri" w:cs="Times New Roman"/>
              </w:rPr>
              <w:t>Indirect N</w:t>
            </w:r>
            <w:r w:rsidRPr="00DF55C8">
              <w:rPr>
                <w:rFonts w:ascii="Calibri" w:eastAsia="Calibri" w:hAnsi="Calibri" w:cs="Times New Roman"/>
                <w:vertAlign w:val="subscript"/>
              </w:rPr>
              <w:t>2</w:t>
            </w:r>
            <w:r w:rsidRPr="00DF55C8">
              <w:rPr>
                <w:rFonts w:ascii="Calibri" w:eastAsia="Calibri" w:hAnsi="Calibri" w:cs="Times New Roman"/>
              </w:rPr>
              <w:t>O emissions due to:</w:t>
            </w:r>
          </w:p>
          <w:p w14:paraId="51A35803" w14:textId="77777777" w:rsidR="00DF55C8" w:rsidRPr="00DF55C8" w:rsidRDefault="00DF55C8" w:rsidP="000B2554">
            <w:pPr>
              <w:numPr>
                <w:ilvl w:val="0"/>
                <w:numId w:val="27"/>
              </w:numPr>
              <w:spacing w:after="160" w:line="259" w:lineRule="auto"/>
              <w:contextualSpacing/>
              <w:rPr>
                <w:rFonts w:ascii="Calibri" w:eastAsia="Calibri" w:hAnsi="Calibri" w:cs="Times New Roman"/>
              </w:rPr>
            </w:pPr>
            <w:r w:rsidRPr="00DF55C8">
              <w:rPr>
                <w:rFonts w:ascii="Calibri" w:eastAsia="Calibri" w:hAnsi="Calibri" w:cs="Times New Roman"/>
              </w:rPr>
              <w:t xml:space="preserve">PRP (pasture, range paddock) manure application on federal grasslands </w:t>
            </w:r>
          </w:p>
          <w:p w14:paraId="0274580A" w14:textId="77777777" w:rsidR="00DF55C8" w:rsidRPr="00DF55C8" w:rsidRDefault="00DF55C8" w:rsidP="000B2554">
            <w:pPr>
              <w:numPr>
                <w:ilvl w:val="0"/>
                <w:numId w:val="27"/>
              </w:numPr>
              <w:spacing w:after="160" w:line="259" w:lineRule="auto"/>
              <w:contextualSpacing/>
              <w:rPr>
                <w:rFonts w:ascii="Calibri" w:eastAsia="Calibri" w:hAnsi="Calibri" w:cs="Times New Roman"/>
              </w:rPr>
            </w:pPr>
            <w:r w:rsidRPr="00DF55C8">
              <w:rPr>
                <w:rFonts w:ascii="Calibri" w:eastAsia="Calibri" w:hAnsi="Calibri" w:cs="Times New Roman"/>
              </w:rPr>
              <w:t xml:space="preserve">Management of cropland and grassland simulated with DayCent </w:t>
            </w:r>
          </w:p>
          <w:p w14:paraId="44622F28" w14:textId="77777777" w:rsidR="00DF55C8" w:rsidRPr="00DF55C8" w:rsidRDefault="00DF55C8" w:rsidP="00DF55C8">
            <w:pPr>
              <w:spacing w:after="160" w:line="259" w:lineRule="auto"/>
              <w:rPr>
                <w:rFonts w:ascii="Calibri" w:eastAsia="Calibri" w:hAnsi="Calibri" w:cs="Times New Roman"/>
              </w:rPr>
            </w:pPr>
          </w:p>
        </w:tc>
        <w:tc>
          <w:tcPr>
            <w:tcW w:w="3299" w:type="dxa"/>
            <w:shd w:val="clear" w:color="auto" w:fill="FFC000"/>
          </w:tcPr>
          <w:p w14:paraId="05B7DBDE" w14:textId="77777777" w:rsidR="00DF55C8" w:rsidRPr="00DF55C8" w:rsidRDefault="00DF55C8" w:rsidP="00DF55C8">
            <w:pPr>
              <w:spacing w:after="160" w:line="259" w:lineRule="auto"/>
              <w:rPr>
                <w:rFonts w:ascii="Calibri" w:eastAsia="Calibri" w:hAnsi="Calibri" w:cs="Times New Roman"/>
                <w:bCs/>
              </w:rPr>
            </w:pPr>
            <w:r w:rsidRPr="00DF55C8">
              <w:rPr>
                <w:rFonts w:ascii="Calibri" w:eastAsia="Calibri" w:hAnsi="Calibri" w:cs="Times New Roman"/>
                <w:bCs/>
              </w:rPr>
              <w:t xml:space="preserve">Direct </w:t>
            </w:r>
            <w:r w:rsidRPr="00DF55C8">
              <w:rPr>
                <w:rFonts w:ascii="Calibri" w:eastAsia="Calibri" w:hAnsi="Calibri" w:cs="Times New Roman"/>
              </w:rPr>
              <w:t>N</w:t>
            </w:r>
            <w:r w:rsidRPr="00DF55C8">
              <w:rPr>
                <w:rFonts w:ascii="Calibri" w:eastAsia="Calibri" w:hAnsi="Calibri" w:cs="Times New Roman"/>
                <w:vertAlign w:val="subscript"/>
              </w:rPr>
              <w:t>2</w:t>
            </w:r>
            <w:r w:rsidRPr="00DF55C8">
              <w:rPr>
                <w:rFonts w:ascii="Calibri" w:eastAsia="Calibri" w:hAnsi="Calibri" w:cs="Times New Roman"/>
              </w:rPr>
              <w:t>O</w:t>
            </w:r>
            <w:r w:rsidRPr="00DF55C8">
              <w:rPr>
                <w:rFonts w:ascii="Calibri" w:eastAsia="Calibri" w:hAnsi="Calibri" w:cs="Times New Roman"/>
                <w:bCs/>
              </w:rPr>
              <w:t xml:space="preserve"> emissions from mineral soils with:</w:t>
            </w:r>
          </w:p>
          <w:p w14:paraId="797A7EF4" w14:textId="77777777" w:rsidR="00DF55C8" w:rsidRPr="00DF55C8" w:rsidRDefault="00DF55C8" w:rsidP="000B2554">
            <w:pPr>
              <w:numPr>
                <w:ilvl w:val="0"/>
                <w:numId w:val="27"/>
              </w:numPr>
              <w:spacing w:after="160" w:line="259" w:lineRule="auto"/>
              <w:contextualSpacing/>
              <w:rPr>
                <w:rFonts w:ascii="Calibri" w:eastAsia="Calibri" w:hAnsi="Calibri" w:cs="Times New Roman"/>
              </w:rPr>
            </w:pPr>
            <w:r w:rsidRPr="00DF55C8">
              <w:rPr>
                <w:rFonts w:ascii="Calibri" w:eastAsia="Calibri" w:hAnsi="Calibri" w:cs="Times New Roman"/>
                <w:b/>
                <w:bCs/>
              </w:rPr>
              <w:t xml:space="preserve">Less than </w:t>
            </w:r>
            <w:r w:rsidRPr="00DF55C8">
              <w:rPr>
                <w:rFonts w:ascii="Calibri" w:eastAsia="Calibri" w:hAnsi="Calibri" w:cs="Times New Roman"/>
              </w:rPr>
              <w:t xml:space="preserve">35% coarse fragment by volume and used to produce specific crops*; non-federal grasslands; land use change between grassland and cropland. Estimates due to mineral N available from: synthetic fertilizers, livestock manure, crop residues, soil organic matter, </w:t>
            </w:r>
            <w:proofErr w:type="spellStart"/>
            <w:r w:rsidRPr="00DF55C8">
              <w:rPr>
                <w:rFonts w:ascii="Calibri" w:eastAsia="Calibri" w:hAnsi="Calibri" w:cs="Times New Roman"/>
              </w:rPr>
              <w:t>asymbiotic</w:t>
            </w:r>
            <w:proofErr w:type="spellEnd"/>
            <w:r w:rsidRPr="00DF55C8">
              <w:rPr>
                <w:rFonts w:ascii="Calibri" w:eastAsia="Calibri" w:hAnsi="Calibri" w:cs="Times New Roman"/>
              </w:rPr>
              <w:t xml:space="preserve"> fixation</w:t>
            </w:r>
          </w:p>
          <w:p w14:paraId="6B655664" w14:textId="77777777" w:rsidR="00DF55C8" w:rsidRPr="00DF55C8" w:rsidRDefault="00DF55C8" w:rsidP="00DF55C8">
            <w:pPr>
              <w:spacing w:after="160" w:line="259" w:lineRule="auto"/>
              <w:rPr>
                <w:rFonts w:ascii="Calibri" w:eastAsia="Calibri" w:hAnsi="Calibri" w:cs="Times New Roman"/>
              </w:rPr>
            </w:pPr>
          </w:p>
          <w:p w14:paraId="29B02EFE" w14:textId="77777777" w:rsidR="00DF55C8" w:rsidRPr="00DF55C8" w:rsidRDefault="00DF55C8" w:rsidP="00DF55C8">
            <w:pPr>
              <w:spacing w:after="160" w:line="259" w:lineRule="auto"/>
              <w:rPr>
                <w:rFonts w:ascii="Calibri" w:eastAsia="Calibri" w:hAnsi="Calibri" w:cs="Times New Roman"/>
              </w:rPr>
            </w:pPr>
          </w:p>
        </w:tc>
      </w:tr>
      <w:tr w:rsidR="00DF55C8" w:rsidRPr="00DF55C8" w14:paraId="4BD37D84" w14:textId="77777777" w:rsidTr="00DF55C8">
        <w:tc>
          <w:tcPr>
            <w:tcW w:w="2447" w:type="dxa"/>
          </w:tcPr>
          <w:p w14:paraId="2988165E" w14:textId="77777777" w:rsidR="00DF55C8" w:rsidRPr="00DF55C8" w:rsidRDefault="00DF55C8" w:rsidP="00DF55C8">
            <w:pPr>
              <w:spacing w:after="160" w:line="259" w:lineRule="auto"/>
              <w:rPr>
                <w:rFonts w:ascii="Calibri" w:eastAsia="Calibri" w:hAnsi="Calibri" w:cs="Times New Roman"/>
              </w:rPr>
            </w:pPr>
            <w:r w:rsidRPr="00DF55C8">
              <w:rPr>
                <w:rFonts w:ascii="Calibri" w:eastAsia="Calibri" w:hAnsi="Calibri" w:cs="Times New Roman"/>
              </w:rPr>
              <w:t>Methane fluxes</w:t>
            </w:r>
          </w:p>
        </w:tc>
        <w:tc>
          <w:tcPr>
            <w:tcW w:w="3604" w:type="dxa"/>
          </w:tcPr>
          <w:p w14:paraId="64CECAEB" w14:textId="77777777" w:rsidR="00DF55C8" w:rsidRPr="00DF55C8" w:rsidRDefault="00DF55C8" w:rsidP="00DF55C8">
            <w:pPr>
              <w:spacing w:after="160" w:line="259" w:lineRule="auto"/>
              <w:rPr>
                <w:rFonts w:ascii="Calibri" w:eastAsia="Calibri" w:hAnsi="Calibri" w:cs="Times New Roman"/>
              </w:rPr>
            </w:pPr>
            <w:r w:rsidRPr="00DF55C8">
              <w:rPr>
                <w:rFonts w:ascii="Calibri" w:eastAsia="Calibri" w:hAnsi="Calibri" w:cs="Times New Roman"/>
              </w:rPr>
              <w:t xml:space="preserve">Rice grown on organic soils (i.e., </w:t>
            </w:r>
            <w:proofErr w:type="spellStart"/>
            <w:r w:rsidRPr="00DF55C8">
              <w:rPr>
                <w:rFonts w:ascii="Calibri" w:eastAsia="Calibri" w:hAnsi="Calibri" w:cs="Times New Roman"/>
              </w:rPr>
              <w:t>Histosols</w:t>
            </w:r>
            <w:proofErr w:type="spellEnd"/>
            <w:r w:rsidRPr="00DF55C8">
              <w:rPr>
                <w:rFonts w:ascii="Calibri" w:eastAsia="Calibri" w:hAnsi="Calibri" w:cs="Times New Roman"/>
              </w:rPr>
              <w:t>)</w:t>
            </w:r>
          </w:p>
          <w:p w14:paraId="6C4B911B" w14:textId="77777777" w:rsidR="00DF55C8" w:rsidRPr="00DF55C8" w:rsidRDefault="00DF55C8" w:rsidP="00DF55C8">
            <w:pPr>
              <w:spacing w:after="160" w:line="259" w:lineRule="auto"/>
              <w:rPr>
                <w:rFonts w:ascii="Calibri" w:eastAsia="Calibri" w:hAnsi="Calibri" w:cs="Times New Roman"/>
              </w:rPr>
            </w:pPr>
          </w:p>
          <w:p w14:paraId="2A0A9CB1" w14:textId="77777777" w:rsidR="00DF55C8" w:rsidRPr="00DF55C8" w:rsidRDefault="00DF55C8" w:rsidP="00DF55C8">
            <w:pPr>
              <w:spacing w:after="160" w:line="259" w:lineRule="auto"/>
              <w:rPr>
                <w:rFonts w:ascii="Calibri" w:eastAsia="Calibri" w:hAnsi="Calibri" w:cs="Times New Roman"/>
              </w:rPr>
            </w:pPr>
            <w:r w:rsidRPr="00DF55C8">
              <w:rPr>
                <w:rFonts w:ascii="Calibri" w:eastAsia="Calibri" w:hAnsi="Calibri" w:cs="Times New Roman"/>
              </w:rPr>
              <w:t xml:space="preserve">Mineral soils with </w:t>
            </w:r>
            <w:r w:rsidRPr="00DF55C8">
              <w:rPr>
                <w:rFonts w:ascii="Calibri" w:eastAsia="Calibri" w:hAnsi="Calibri" w:cs="Times New Roman"/>
                <w:b/>
                <w:bCs/>
              </w:rPr>
              <w:t xml:space="preserve">greater than </w:t>
            </w:r>
            <w:r w:rsidRPr="00DF55C8">
              <w:rPr>
                <w:rFonts w:ascii="Calibri" w:eastAsia="Calibri" w:hAnsi="Calibri" w:cs="Times New Roman"/>
              </w:rPr>
              <w:t>35% coarse fragment by volume</w:t>
            </w:r>
          </w:p>
          <w:p w14:paraId="7429EAB8" w14:textId="77777777" w:rsidR="00DF55C8" w:rsidRPr="00DF55C8" w:rsidRDefault="00DF55C8" w:rsidP="00DF55C8">
            <w:pPr>
              <w:spacing w:after="160" w:line="259" w:lineRule="auto"/>
              <w:rPr>
                <w:rFonts w:ascii="Calibri" w:eastAsia="Calibri" w:hAnsi="Calibri" w:cs="Times New Roman"/>
              </w:rPr>
            </w:pPr>
          </w:p>
          <w:p w14:paraId="071E8C6F" w14:textId="77777777" w:rsidR="00DF55C8" w:rsidRPr="00DF55C8" w:rsidRDefault="00DF55C8" w:rsidP="00DF55C8">
            <w:pPr>
              <w:spacing w:after="160" w:line="259" w:lineRule="auto"/>
              <w:rPr>
                <w:rFonts w:ascii="Calibri" w:eastAsia="Calibri" w:hAnsi="Calibri" w:cs="Times New Roman"/>
              </w:rPr>
            </w:pPr>
            <w:r w:rsidRPr="00DF55C8">
              <w:rPr>
                <w:rFonts w:ascii="Calibri" w:eastAsia="Calibri" w:hAnsi="Calibri" w:cs="Times New Roman"/>
              </w:rPr>
              <w:t>Rice grown in rotation with crops that are not simulated by DayCent</w:t>
            </w:r>
          </w:p>
        </w:tc>
        <w:tc>
          <w:tcPr>
            <w:tcW w:w="3299" w:type="dxa"/>
            <w:shd w:val="clear" w:color="auto" w:fill="FFC000"/>
          </w:tcPr>
          <w:p w14:paraId="39FE2DE8" w14:textId="77777777" w:rsidR="00DF55C8" w:rsidRPr="00DF55C8" w:rsidRDefault="00DF55C8" w:rsidP="00DF55C8">
            <w:pPr>
              <w:spacing w:after="160" w:line="259" w:lineRule="auto"/>
              <w:rPr>
                <w:rFonts w:ascii="Calibri" w:eastAsia="Calibri" w:hAnsi="Calibri" w:cs="Times New Roman"/>
              </w:rPr>
            </w:pPr>
            <w:r w:rsidRPr="00DF55C8">
              <w:rPr>
                <w:rFonts w:ascii="Calibri" w:eastAsia="Calibri" w:hAnsi="Calibri" w:cs="Times New Roman"/>
              </w:rPr>
              <w:t>Mineral soils with:</w:t>
            </w:r>
          </w:p>
          <w:p w14:paraId="6733DDDE" w14:textId="77777777" w:rsidR="00DF55C8" w:rsidRPr="00DF55C8" w:rsidRDefault="00DF55C8" w:rsidP="000B2554">
            <w:pPr>
              <w:numPr>
                <w:ilvl w:val="0"/>
                <w:numId w:val="27"/>
              </w:numPr>
              <w:spacing w:after="160" w:line="259" w:lineRule="auto"/>
              <w:contextualSpacing/>
              <w:rPr>
                <w:rFonts w:ascii="Calibri" w:eastAsia="Calibri" w:hAnsi="Calibri" w:cs="Times New Roman"/>
              </w:rPr>
            </w:pPr>
            <w:r w:rsidRPr="00DF55C8">
              <w:rPr>
                <w:rFonts w:ascii="Calibri" w:eastAsia="Calibri" w:hAnsi="Calibri" w:cs="Times New Roman"/>
                <w:b/>
              </w:rPr>
              <w:t>Less than</w:t>
            </w:r>
            <w:r w:rsidRPr="00DF55C8">
              <w:rPr>
                <w:rFonts w:ascii="Calibri" w:eastAsia="Calibri" w:hAnsi="Calibri" w:cs="Times New Roman"/>
              </w:rPr>
              <w:t xml:space="preserve"> 35 percent coarse fragments by volume and rice grown continuously or in rotation with a specific crop* </w:t>
            </w:r>
          </w:p>
        </w:tc>
      </w:tr>
    </w:tbl>
    <w:p w14:paraId="0B831210" w14:textId="77777777" w:rsidR="00DF55C8" w:rsidRPr="00DF55C8" w:rsidRDefault="00DF55C8" w:rsidP="00DF55C8">
      <w:pPr>
        <w:rPr>
          <w:rFonts w:ascii="Calibri" w:eastAsia="Calibri" w:hAnsi="Calibri" w:cs="Times New Roman"/>
          <w:sz w:val="18"/>
          <w:szCs w:val="18"/>
        </w:rPr>
      </w:pPr>
      <w:r w:rsidRPr="00DF55C8">
        <w:rPr>
          <w:rFonts w:ascii="Calibri" w:eastAsia="Calibri" w:hAnsi="Calibri" w:cs="Times New Roman"/>
          <w:i/>
          <w:iCs/>
          <w:sz w:val="18"/>
          <w:szCs w:val="18"/>
        </w:rPr>
        <w:t>* Specific crops: alfalfa hay, barley, corn, cotton, dry beans, grass hay, grass-clover hay, oats, onions, peanuts, potatoes, rice, sorghum, soybeans, sugar beets, sunflowers, tomatoes, wheat</w:t>
      </w:r>
    </w:p>
    <w:p w14:paraId="3E58B2E0" w14:textId="77777777" w:rsidR="00DF55C8" w:rsidRDefault="00DF55C8" w:rsidP="00DF55C8">
      <w:pPr>
        <w:rPr>
          <w:rFonts w:ascii="Calibri" w:eastAsia="Calibri" w:hAnsi="Calibri" w:cs="Times New Roman"/>
        </w:rPr>
      </w:pPr>
    </w:p>
    <w:p w14:paraId="065114E4" w14:textId="77777777" w:rsidR="003660E2" w:rsidRDefault="003660E2" w:rsidP="00DF55C8">
      <w:pPr>
        <w:rPr>
          <w:rFonts w:ascii="Calibri" w:eastAsia="Calibri" w:hAnsi="Calibri" w:cs="Times New Roman"/>
        </w:rPr>
      </w:pPr>
    </w:p>
    <w:p w14:paraId="6F9B2081" w14:textId="77777777" w:rsidR="003660E2" w:rsidRPr="00DF55C8" w:rsidRDefault="003660E2" w:rsidP="00DF55C8">
      <w:pPr>
        <w:rPr>
          <w:rFonts w:ascii="Calibri" w:eastAsia="Calibri" w:hAnsi="Calibri" w:cs="Times New Roman"/>
        </w:rPr>
      </w:pPr>
    </w:p>
    <w:p w14:paraId="6BD304A7"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lastRenderedPageBreak/>
        <w:t>Getting Started</w:t>
      </w:r>
    </w:p>
    <w:p w14:paraId="19666D3C"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Do you have the required knowledge to complete Section 1 (experience with Century/DayCent or similar biogeochemical soil models), or would you like to skip to Section 2?</w:t>
      </w:r>
    </w:p>
    <w:p w14:paraId="0979664D" w14:textId="77777777" w:rsidR="00DF55C8" w:rsidRPr="00DF55C8" w:rsidRDefault="00DF55C8" w:rsidP="00DF55C8">
      <w:pPr>
        <w:ind w:firstLine="720"/>
        <w:rPr>
          <w:rFonts w:ascii="Calibri" w:eastAsia="Calibri" w:hAnsi="Calibri" w:cs="Times New Roman"/>
        </w:rPr>
      </w:pPr>
      <w:r w:rsidRPr="00DF55C8">
        <w:rPr>
          <w:rFonts w:ascii="Calibri" w:eastAsia="MS Gothic" w:hAnsi="Calibri" w:cs="Calibri"/>
          <w:b/>
          <w:sz w:val="18"/>
          <w:szCs w:val="18"/>
        </w:rPr>
        <w:t xml:space="preserve">○     </w:t>
      </w:r>
      <w:r w:rsidRPr="00DF55C8">
        <w:rPr>
          <w:rFonts w:ascii="Calibri" w:eastAsia="Calibri" w:hAnsi="Calibri" w:cs="Times New Roman"/>
        </w:rPr>
        <w:t>Start Section 1 (you may complete Section 2 after completion of Section 1)</w:t>
      </w:r>
    </w:p>
    <w:p w14:paraId="115640BD" w14:textId="77777777" w:rsidR="00DF55C8" w:rsidRPr="00DF55C8" w:rsidRDefault="00DF55C8" w:rsidP="00DF55C8">
      <w:pPr>
        <w:ind w:firstLine="720"/>
        <w:rPr>
          <w:rFonts w:ascii="Calibri" w:eastAsia="Calibri" w:hAnsi="Calibri" w:cs="Times New Roman"/>
        </w:rPr>
      </w:pPr>
      <w:r w:rsidRPr="00DF55C8">
        <w:rPr>
          <w:rFonts w:ascii="Calibri" w:eastAsia="MS Gothic" w:hAnsi="Calibri" w:cs="Calibri"/>
          <w:b/>
          <w:sz w:val="18"/>
          <w:szCs w:val="18"/>
        </w:rPr>
        <w:t xml:space="preserve">○     </w:t>
      </w:r>
      <w:r w:rsidRPr="00DF55C8">
        <w:rPr>
          <w:rFonts w:ascii="Calibri" w:eastAsia="Calibri" w:hAnsi="Calibri" w:cs="Times New Roman"/>
        </w:rPr>
        <w:t>Jump to Section 2</w:t>
      </w:r>
    </w:p>
    <w:p w14:paraId="34FE3EF2" w14:textId="77777777" w:rsidR="00DF55C8" w:rsidRPr="00DF55C8" w:rsidRDefault="00DF55C8" w:rsidP="00DF55C8">
      <w:pPr>
        <w:rPr>
          <w:rFonts w:ascii="Calibri" w:eastAsia="Calibri" w:hAnsi="Calibri" w:cs="Times New Roman"/>
        </w:rPr>
      </w:pPr>
    </w:p>
    <w:p w14:paraId="18C18ACE"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t xml:space="preserve">Section 1, Prompt 1 </w:t>
      </w:r>
    </w:p>
    <w:p w14:paraId="53F6BFDA"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t>Directions</w:t>
      </w:r>
    </w:p>
    <w:p w14:paraId="3C2ADED2"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The following elements have been accounted for in the Cropland and Grassland Tier 3 uncertainty estimates of the U.S. NGHGI. Please indicate your best estimate of the percentage each element contributes to the total Tier 3 uncertainty shown in Table 1.</w:t>
      </w:r>
    </w:p>
    <w:p w14:paraId="53B2E2D9" w14:textId="77777777" w:rsidR="00DF55C8" w:rsidRPr="00DF55C8" w:rsidRDefault="00DF55C8" w:rsidP="00DF55C8">
      <w:pPr>
        <w:rPr>
          <w:rFonts w:ascii="Calibri" w:eastAsia="Calibri" w:hAnsi="Calibri" w:cs="Times New Roman"/>
        </w:rPr>
      </w:pPr>
      <w:r w:rsidRPr="00DF55C8">
        <w:rPr>
          <w:rFonts w:ascii="Calibri" w:eastAsia="Calibri" w:hAnsi="Calibri" w:cs="Times New Roman"/>
          <w:b/>
        </w:rPr>
        <w:t>For example</w:t>
      </w:r>
      <w:r w:rsidRPr="00DF55C8">
        <w:rPr>
          <w:rFonts w:ascii="Calibri" w:eastAsia="Calibri" w:hAnsi="Calibri" w:cs="Times New Roman"/>
        </w:rPr>
        <w:t>: If you think that the first listed element, “Fertilization management,” contributes 10% to total uncertainty, you are suggesting that it represents about 8.95 MMT CO</w:t>
      </w:r>
      <w:r w:rsidRPr="00DF55C8">
        <w:rPr>
          <w:rFonts w:ascii="Calibri" w:eastAsia="Calibri" w:hAnsi="Calibri" w:cs="Times New Roman"/>
          <w:vertAlign w:val="subscript"/>
        </w:rPr>
        <w:t>2</w:t>
      </w:r>
      <w:r w:rsidRPr="00DF55C8">
        <w:rPr>
          <w:rFonts w:ascii="Calibri" w:eastAsia="Calibri" w:hAnsi="Calibri" w:cs="Times New Roman"/>
        </w:rPr>
        <w:t>e of the total Tier 3 89.5 MMT CO</w:t>
      </w:r>
      <w:r w:rsidRPr="00DF55C8">
        <w:rPr>
          <w:rFonts w:ascii="Calibri" w:eastAsia="Calibri" w:hAnsi="Calibri" w:cs="Times New Roman"/>
          <w:vertAlign w:val="subscript"/>
        </w:rPr>
        <w:t>2</w:t>
      </w:r>
      <w:r w:rsidRPr="00DF55C8">
        <w:rPr>
          <w:rFonts w:ascii="Calibri" w:eastAsia="Calibri" w:hAnsi="Calibri" w:cs="Times New Roman"/>
        </w:rPr>
        <w:t>e of uncertainty in one direction (260.9 ± 89.5). The total of your entries must sum to 100% or less.</w:t>
      </w:r>
    </w:p>
    <w:p w14:paraId="10B58064"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Each element listed below has a hyperlink to a more detailed description (click on the blue underlined text). Unless indicated otherwise, the uncertainty effect you indicate will be assumed to be symmetric about the mean. If you have reason to believe certain factors have a non-symmetric effect, however, please indicate your lower bound and upper bound estimate in the box and make note of it below in the Comments field. You may also use the Comments field to elaborate on your responses, and to note the source of your estimate (e.g., citation of published paper, conversations with expert, primary/secondary research, etc.).</w:t>
      </w:r>
    </w:p>
    <w:p w14:paraId="1E0B42D7" w14:textId="77777777" w:rsidR="00DF55C8" w:rsidRPr="00DF55C8" w:rsidRDefault="00DF55C8" w:rsidP="00CC0ACC">
      <w:pPr>
        <w:rPr>
          <w:rFonts w:ascii="Calibri" w:eastAsia="Calibri" w:hAnsi="Calibri" w:cs="Calibri"/>
        </w:rPr>
      </w:pPr>
      <w:r w:rsidRPr="00DF55C8">
        <w:rPr>
          <w:rFonts w:ascii="Calibri" w:eastAsia="Calibri" w:hAnsi="Calibri" w:cs="Times New Roman"/>
        </w:rPr>
        <w:t xml:space="preserve">Please indicate your estimates below. Total percentages should sum to 100% or less. Remember to click </w:t>
      </w:r>
      <w:r w:rsidRPr="00DF55C8">
        <w:rPr>
          <w:rFonts w:ascii="Calibri" w:eastAsia="Calibri" w:hAnsi="Calibri" w:cs="Calibri"/>
        </w:rPr>
        <w:t>on the blue hyperlinked elements for additional details.</w:t>
      </w:r>
    </w:p>
    <w:p w14:paraId="310FE2A9" w14:textId="77777777" w:rsidR="00DF55C8" w:rsidRPr="00DF55C8" w:rsidRDefault="00DF55C8" w:rsidP="00CC0ACC">
      <w:pPr>
        <w:rPr>
          <w:rFonts w:ascii="Calibri" w:eastAsia="Calibri" w:hAnsi="Calibri" w:cs="Calibri"/>
          <w:b/>
        </w:rPr>
      </w:pP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b/>
        </w:rPr>
        <w:t>Element</w:t>
      </w:r>
      <w:r w:rsidRPr="00DF55C8">
        <w:rPr>
          <w:rFonts w:ascii="Calibri" w:eastAsia="Calibri" w:hAnsi="Calibri" w:cs="Calibri"/>
          <w:b/>
        </w:rPr>
        <w:tab/>
      </w:r>
      <w:r w:rsidRPr="00DF55C8">
        <w:rPr>
          <w:rFonts w:ascii="Calibri" w:eastAsia="Calibri" w:hAnsi="Calibri" w:cs="Calibri"/>
          <w:b/>
        </w:rPr>
        <w:tab/>
      </w:r>
      <w:r w:rsidRPr="00DF55C8">
        <w:rPr>
          <w:rFonts w:ascii="Calibri" w:eastAsia="Calibri" w:hAnsi="Calibri" w:cs="Calibri"/>
          <w:b/>
        </w:rPr>
        <w:tab/>
      </w:r>
      <w:r w:rsidRPr="00DF55C8">
        <w:rPr>
          <w:rFonts w:ascii="Calibri" w:eastAsia="Calibri" w:hAnsi="Calibri" w:cs="Calibri"/>
          <w:b/>
        </w:rPr>
        <w:tab/>
        <w:t>Percentage (0-100%)</w:t>
      </w:r>
    </w:p>
    <w:p w14:paraId="49773BD8" w14:textId="77777777" w:rsidR="00DF55C8" w:rsidRPr="00DF55C8" w:rsidRDefault="00DF55C8" w:rsidP="00CC0ACC">
      <w:pPr>
        <w:rPr>
          <w:rFonts w:ascii="Calibri" w:eastAsia="Calibri" w:hAnsi="Calibri" w:cs="Calibri"/>
          <w:u w:val="single"/>
        </w:rPr>
      </w:pPr>
      <w:r w:rsidRPr="00DF55C8">
        <w:rPr>
          <w:rFonts w:ascii="Calibri" w:eastAsia="Calibri" w:hAnsi="Calibri" w:cs="Calibri"/>
          <w:u w:val="single"/>
        </w:rPr>
        <w:t xml:space="preserve">DayCent inputs </w:t>
      </w:r>
    </w:p>
    <w:p w14:paraId="7E3FAE1F" w14:textId="77777777" w:rsidR="00DF55C8" w:rsidRPr="00DF55C8" w:rsidRDefault="00DF55C8" w:rsidP="000B2554">
      <w:pPr>
        <w:numPr>
          <w:ilvl w:val="0"/>
          <w:numId w:val="23"/>
        </w:numPr>
        <w:contextualSpacing/>
        <w:rPr>
          <w:rFonts w:ascii="Calibri" w:eastAsia="Calibri" w:hAnsi="Calibri" w:cs="Calibri"/>
        </w:rPr>
      </w:pPr>
      <w:r w:rsidRPr="00DF55C8">
        <w:rPr>
          <w:rFonts w:ascii="Calibri" w:eastAsia="Calibri" w:hAnsi="Calibri" w:cs="Calibri"/>
        </w:rPr>
        <w:t>Fertilization management</w:t>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t>___________</w:t>
      </w:r>
    </w:p>
    <w:p w14:paraId="064CE108" w14:textId="6D7287DE" w:rsidR="00DF55C8" w:rsidRPr="00DF55C8" w:rsidRDefault="00DF55C8" w:rsidP="00CC0ACC">
      <w:pPr>
        <w:ind w:left="720"/>
        <w:rPr>
          <w:rFonts w:ascii="Calibri" w:eastAsia="Calibri" w:hAnsi="Calibri" w:cs="Calibri"/>
          <w:color w:val="000000"/>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N fertilization rates by state or region (depending on data availability) are derived from annual USDA Agricultural Resource Management Surveys up to 2012. Lack of activity data at smaller scales like counties may lead to a bias in estimates for individual NRI points and other measurement areas. There are also uncertainties in the amount of N applied to each crop type, the extent to which N is applied to grasslands, and the effect of nutrient management practices.]</w:t>
      </w:r>
    </w:p>
    <w:p w14:paraId="4E619A8A" w14:textId="77777777" w:rsidR="00DF55C8" w:rsidRPr="00DF55C8" w:rsidRDefault="00DF55C8" w:rsidP="000B2554">
      <w:pPr>
        <w:numPr>
          <w:ilvl w:val="0"/>
          <w:numId w:val="23"/>
        </w:numPr>
        <w:contextualSpacing/>
        <w:rPr>
          <w:rFonts w:ascii="Calibri" w:eastAsia="Calibri" w:hAnsi="Calibri" w:cs="Calibri"/>
        </w:rPr>
      </w:pPr>
      <w:r w:rsidRPr="00DF55C8">
        <w:rPr>
          <w:rFonts w:ascii="Calibri" w:eastAsia="Calibri" w:hAnsi="Calibri" w:cs="Calibri"/>
        </w:rPr>
        <w:t>Manure and other organic fertilizer applications</w:t>
      </w:r>
      <w:r w:rsidRPr="00DF55C8">
        <w:rPr>
          <w:rFonts w:ascii="Calibri" w:eastAsia="Calibri" w:hAnsi="Calibri" w:cs="Calibri"/>
        </w:rPr>
        <w:tab/>
        <w:t>___________</w:t>
      </w:r>
    </w:p>
    <w:p w14:paraId="71C65FB8" w14:textId="29427842" w:rsidR="00DF55C8" w:rsidRPr="00CC0ACC" w:rsidRDefault="00DF55C8" w:rsidP="00CC0ACC">
      <w:pPr>
        <w:ind w:left="720"/>
        <w:rPr>
          <w:rFonts w:ascii="Calibri" w:eastAsia="Calibri" w:hAnsi="Calibri" w:cs="Calibri"/>
          <w:color w:val="000000"/>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 xml:space="preserve">Manure application rates were taken from a 1997 estimate and then scaled before/after 1997 to derive estimates of manure application rates over time. Estimates of total national annual N additions from commercial organic fertilizers other than manure N are </w:t>
      </w:r>
      <w:r w:rsidRPr="00DF55C8">
        <w:rPr>
          <w:rFonts w:ascii="Calibri" w:eastAsia="Calibri" w:hAnsi="Calibri" w:cs="Calibri"/>
          <w:color w:val="000000"/>
        </w:rPr>
        <w:lastRenderedPageBreak/>
        <w:t>derived from organic fertilizer statistics. Some assumptions are made – e.g., dried manure N is considered non-commercial manure and biosolids are assumed to be applied only to grasslands. Additionally, there are uncertainties in the amount of land amended with manure.]</w:t>
      </w:r>
    </w:p>
    <w:p w14:paraId="62530496" w14:textId="77777777" w:rsidR="00DF55C8" w:rsidRPr="00DF55C8" w:rsidRDefault="00DF55C8" w:rsidP="000B2554">
      <w:pPr>
        <w:numPr>
          <w:ilvl w:val="0"/>
          <w:numId w:val="23"/>
        </w:numPr>
        <w:contextualSpacing/>
        <w:rPr>
          <w:rFonts w:ascii="Calibri" w:eastAsia="Calibri" w:hAnsi="Calibri" w:cs="Calibri"/>
        </w:rPr>
      </w:pPr>
      <w:r w:rsidRPr="00DF55C8">
        <w:rPr>
          <w:rFonts w:ascii="Calibri" w:eastAsia="Calibri" w:hAnsi="Calibri" w:cs="Calibri"/>
        </w:rPr>
        <w:t>Tillage (conventional, reduced, no-till)</w:t>
      </w:r>
      <w:r w:rsidRPr="00DF55C8">
        <w:rPr>
          <w:rFonts w:ascii="Calibri" w:eastAsia="Calibri" w:hAnsi="Calibri" w:cs="Calibri"/>
        </w:rPr>
        <w:tab/>
      </w:r>
      <w:r w:rsidRPr="00DF55C8">
        <w:rPr>
          <w:rFonts w:ascii="Calibri" w:eastAsia="Calibri" w:hAnsi="Calibri" w:cs="Calibri"/>
        </w:rPr>
        <w:tab/>
        <w:t>___________</w:t>
      </w:r>
    </w:p>
    <w:p w14:paraId="313B1784" w14:textId="56EA9E4F" w:rsidR="00DF55C8" w:rsidRPr="00CC0ACC" w:rsidRDefault="00DF55C8" w:rsidP="00CC0ACC">
      <w:pPr>
        <w:ind w:left="720"/>
        <w:rPr>
          <w:rFonts w:ascii="Calibri" w:eastAsia="Calibri" w:hAnsi="Calibri" w:cs="Calibri"/>
          <w:color w:val="000000"/>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Three tillage practices are considered in the LULUCF inventory: conventional, reduced, and no-till. The most recent data on U.S. tillage activity is from 2004 (Conservation Technology Information Center, 2004). The definition of tillage practices and equipment is based on the 1995 USDA Cropping Practices Survey. Thus uncertainty stems from changes in uptake rates of various tillage practices since 2004 and changes in tillage practices and technologies. There is also a lack of direct data on how many no-till fields are under continuous no-till vs. intermittent tillage. This is estimated through expert elicitation.]</w:t>
      </w:r>
    </w:p>
    <w:p w14:paraId="4301DE5F" w14:textId="77777777" w:rsidR="00DF55C8" w:rsidRPr="00DF55C8" w:rsidRDefault="00DF55C8" w:rsidP="000B2554">
      <w:pPr>
        <w:numPr>
          <w:ilvl w:val="0"/>
          <w:numId w:val="23"/>
        </w:numPr>
        <w:contextualSpacing/>
        <w:rPr>
          <w:rFonts w:ascii="Calibri" w:eastAsia="Calibri" w:hAnsi="Calibri" w:cs="Calibri"/>
        </w:rPr>
      </w:pPr>
      <w:r w:rsidRPr="00DF55C8">
        <w:rPr>
          <w:rFonts w:ascii="Calibri" w:eastAsia="Calibri" w:hAnsi="Calibri" w:cs="Calibri"/>
        </w:rPr>
        <w:t>Enhanced Vegetation Index (EVI) data</w:t>
      </w:r>
      <w:r w:rsidRPr="00DF55C8">
        <w:rPr>
          <w:rFonts w:ascii="Calibri" w:eastAsia="Calibri" w:hAnsi="Calibri" w:cs="Calibri"/>
        </w:rPr>
        <w:tab/>
      </w:r>
      <w:r w:rsidRPr="00DF55C8">
        <w:rPr>
          <w:rFonts w:ascii="Calibri" w:eastAsia="Calibri" w:hAnsi="Calibri" w:cs="Calibri"/>
        </w:rPr>
        <w:tab/>
        <w:t>___________</w:t>
      </w:r>
    </w:p>
    <w:p w14:paraId="39BCBDED" w14:textId="77777777" w:rsidR="00DF55C8" w:rsidRPr="00DF55C8" w:rsidRDefault="00DF55C8" w:rsidP="00CC0ACC">
      <w:pPr>
        <w:ind w:left="720"/>
        <w:rPr>
          <w:rFonts w:ascii="Calibri" w:eastAsia="Calibri" w:hAnsi="Calibri" w:cs="Calibri"/>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EVI data is used in conjunction with the NASA-CASA production algorithm to stimulate maximum daily net primary production (NPP), though it only applies for a few major crops. For these crops, EVI data pixels are taken at a 250m spatial resolution and may have mixed land uses and crop types. Although adjustments are made to only consider those pixels with 90 percent purity for a crop, there remains 10% uncertainty. Also for those pixels not meeting the 90% threshold or for non-major crops, NPP is simulated with a single standard value, which is less precise.]</w:t>
      </w:r>
    </w:p>
    <w:p w14:paraId="18CEF7A7" w14:textId="77777777" w:rsidR="00DF55C8" w:rsidRPr="00DF55C8" w:rsidRDefault="00DF55C8" w:rsidP="00CC0ACC">
      <w:pPr>
        <w:rPr>
          <w:rFonts w:ascii="Calibri" w:eastAsia="Calibri" w:hAnsi="Calibri" w:cs="Calibri"/>
          <w:u w:val="single"/>
        </w:rPr>
      </w:pPr>
      <w:r w:rsidRPr="00DF55C8">
        <w:rPr>
          <w:rFonts w:ascii="Calibri" w:eastAsia="Calibri" w:hAnsi="Calibri" w:cs="Calibri"/>
          <w:u w:val="single"/>
        </w:rPr>
        <w:t>DayCent processes/parameters (represents 80% or more of uncertainty in accordance with the literature, but you may indicate a different total number per your expert opinion)</w:t>
      </w:r>
    </w:p>
    <w:p w14:paraId="56FF913E" w14:textId="77777777" w:rsidR="00DF55C8" w:rsidRPr="00DF55C8" w:rsidRDefault="00DF55C8" w:rsidP="000B2554">
      <w:pPr>
        <w:numPr>
          <w:ilvl w:val="0"/>
          <w:numId w:val="23"/>
        </w:numPr>
        <w:contextualSpacing/>
        <w:rPr>
          <w:rFonts w:ascii="Calibri" w:eastAsia="Calibri" w:hAnsi="Calibri" w:cs="Calibri"/>
        </w:rPr>
      </w:pPr>
      <w:r w:rsidRPr="00DF55C8">
        <w:rPr>
          <w:rFonts w:ascii="Calibri" w:eastAsia="Calibri" w:hAnsi="Calibri" w:cs="Calibri"/>
        </w:rPr>
        <w:t>Plant growth and phenology</w:t>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t>___________</w:t>
      </w:r>
    </w:p>
    <w:p w14:paraId="66A3F4EC" w14:textId="5BDC8195" w:rsidR="00DF55C8" w:rsidRPr="00CC0ACC" w:rsidRDefault="00DF55C8" w:rsidP="00CC0ACC">
      <w:pPr>
        <w:ind w:left="720"/>
        <w:rPr>
          <w:rFonts w:ascii="Calibri" w:eastAsia="Calibri" w:hAnsi="Calibri" w:cs="Calibri"/>
          <w:color w:val="000000"/>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 xml:space="preserve">This </w:t>
      </w:r>
      <w:proofErr w:type="spellStart"/>
      <w:r w:rsidRPr="00DF55C8">
        <w:rPr>
          <w:rFonts w:ascii="Calibri" w:eastAsia="Calibri" w:hAnsi="Calibri" w:cs="Calibri"/>
          <w:color w:val="000000"/>
        </w:rPr>
        <w:t>submodel</w:t>
      </w:r>
      <w:proofErr w:type="spellEnd"/>
      <w:r w:rsidRPr="00DF55C8">
        <w:rPr>
          <w:rFonts w:ascii="Calibri" w:eastAsia="Calibri" w:hAnsi="Calibri" w:cs="Calibri"/>
          <w:color w:val="000000"/>
        </w:rPr>
        <w:t xml:space="preserve"> simulates plant growth by estimating the amount, type and timing of various inputs to soil, and also represents the influence of the plant on various soil processes like soil water, </w:t>
      </w:r>
      <w:proofErr w:type="spellStart"/>
      <w:r w:rsidRPr="00DF55C8">
        <w:rPr>
          <w:rFonts w:ascii="Calibri" w:eastAsia="Calibri" w:hAnsi="Calibri" w:cs="Calibri"/>
          <w:color w:val="000000"/>
        </w:rPr>
        <w:t>N</w:t>
      </w:r>
      <w:proofErr w:type="spellEnd"/>
      <w:r w:rsidRPr="00DF55C8">
        <w:rPr>
          <w:rFonts w:ascii="Calibri" w:eastAsia="Calibri" w:hAnsi="Calibri" w:cs="Calibri"/>
          <w:color w:val="000000"/>
        </w:rPr>
        <w:t xml:space="preserve"> balance, and temperature.]</w:t>
      </w:r>
    </w:p>
    <w:p w14:paraId="3AF7E95C" w14:textId="77777777" w:rsidR="00DF55C8" w:rsidRPr="00DF55C8" w:rsidRDefault="00DF55C8" w:rsidP="000B2554">
      <w:pPr>
        <w:numPr>
          <w:ilvl w:val="0"/>
          <w:numId w:val="23"/>
        </w:numPr>
        <w:contextualSpacing/>
        <w:rPr>
          <w:rFonts w:ascii="Calibri" w:eastAsia="Calibri" w:hAnsi="Calibri" w:cs="Calibri"/>
        </w:rPr>
      </w:pPr>
      <w:r w:rsidRPr="00DF55C8">
        <w:rPr>
          <w:rFonts w:ascii="Calibri" w:eastAsia="Calibri" w:hAnsi="Calibri" w:cs="Calibri"/>
        </w:rPr>
        <w:t>Organic matter formation and decomposition</w:t>
      </w:r>
      <w:r w:rsidRPr="00DF55C8">
        <w:rPr>
          <w:rFonts w:ascii="Calibri" w:eastAsia="Calibri" w:hAnsi="Calibri" w:cs="Calibri"/>
        </w:rPr>
        <w:tab/>
        <w:t>___________</w:t>
      </w:r>
    </w:p>
    <w:p w14:paraId="13D4962D" w14:textId="13BD6D60" w:rsidR="00DF55C8" w:rsidRPr="00CC0ACC" w:rsidRDefault="00DF55C8" w:rsidP="00CC0ACC">
      <w:pPr>
        <w:ind w:left="720"/>
        <w:rPr>
          <w:rFonts w:ascii="Calibri" w:eastAsia="Calibri" w:hAnsi="Calibri" w:cs="Calibri"/>
          <w:color w:val="000000"/>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Soil organic C and N dynamics are assessed for the top 30 cm of the soil profile but not below. Additionally, organic C and N stocks are represented by two plant litter pools and three soil pools that exhibit increasing recalcitrance and humification.]</w:t>
      </w:r>
    </w:p>
    <w:p w14:paraId="5D9202C7" w14:textId="77777777" w:rsidR="00DF55C8" w:rsidRPr="00DF55C8" w:rsidRDefault="00DF55C8" w:rsidP="000B2554">
      <w:pPr>
        <w:numPr>
          <w:ilvl w:val="0"/>
          <w:numId w:val="23"/>
        </w:numPr>
        <w:contextualSpacing/>
        <w:rPr>
          <w:rFonts w:ascii="Calibri" w:eastAsia="Calibri" w:hAnsi="Calibri" w:cs="Calibri"/>
        </w:rPr>
      </w:pPr>
      <w:r w:rsidRPr="00DF55C8">
        <w:rPr>
          <w:rFonts w:ascii="Calibri" w:eastAsia="Calibri" w:hAnsi="Calibri" w:cs="Calibri"/>
        </w:rPr>
        <w:t>Soil and water temperature regimes by layer</w:t>
      </w:r>
      <w:r w:rsidRPr="00DF55C8">
        <w:rPr>
          <w:rFonts w:ascii="Calibri" w:eastAsia="Calibri" w:hAnsi="Calibri" w:cs="Calibri"/>
        </w:rPr>
        <w:tab/>
        <w:t>___________</w:t>
      </w:r>
    </w:p>
    <w:p w14:paraId="147C46E2" w14:textId="7728C1DB" w:rsidR="00DF55C8" w:rsidRPr="00DF55C8" w:rsidRDefault="00DF55C8" w:rsidP="00CC0ACC">
      <w:pPr>
        <w:ind w:left="720"/>
        <w:rPr>
          <w:rFonts w:ascii="Calibri" w:eastAsia="Calibri" w:hAnsi="Calibri" w:cs="Calibri"/>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 xml:space="preserve">This DayCent </w:t>
      </w:r>
      <w:proofErr w:type="spellStart"/>
      <w:r w:rsidRPr="00DF55C8">
        <w:rPr>
          <w:rFonts w:ascii="Calibri" w:eastAsia="Calibri" w:hAnsi="Calibri" w:cs="Calibri"/>
          <w:color w:val="000000"/>
        </w:rPr>
        <w:t>submodel</w:t>
      </w:r>
      <w:proofErr w:type="spellEnd"/>
      <w:r w:rsidRPr="00DF55C8">
        <w:rPr>
          <w:rFonts w:ascii="Calibri" w:eastAsia="Calibri" w:hAnsi="Calibri" w:cs="Calibri"/>
          <w:color w:val="000000"/>
        </w:rPr>
        <w:t xml:space="preserve"> simulates water flows and changes in soil water availability. The moisture content of soils are based on a simulation of multiple factors like precipitation, transpiration, and drainage.]</w:t>
      </w:r>
    </w:p>
    <w:p w14:paraId="7EB80605" w14:textId="77777777" w:rsidR="00DF55C8" w:rsidRPr="00DF55C8" w:rsidRDefault="00DF55C8" w:rsidP="000B2554">
      <w:pPr>
        <w:numPr>
          <w:ilvl w:val="0"/>
          <w:numId w:val="23"/>
        </w:numPr>
        <w:contextualSpacing/>
        <w:rPr>
          <w:rFonts w:ascii="Calibri" w:eastAsia="Calibri" w:hAnsi="Calibri" w:cs="Calibri"/>
        </w:rPr>
      </w:pPr>
      <w:r w:rsidRPr="00DF55C8">
        <w:rPr>
          <w:rFonts w:ascii="Calibri" w:eastAsia="Calibri" w:hAnsi="Calibri" w:cs="Calibri"/>
        </w:rPr>
        <w:t>Nitrification and denitrification processes</w:t>
      </w:r>
      <w:r w:rsidRPr="00DF55C8">
        <w:rPr>
          <w:rFonts w:ascii="Calibri" w:eastAsia="Calibri" w:hAnsi="Calibri" w:cs="Calibri"/>
        </w:rPr>
        <w:tab/>
        <w:t>___________</w:t>
      </w:r>
    </w:p>
    <w:p w14:paraId="4B100EAC" w14:textId="7B22C211" w:rsidR="00DF55C8" w:rsidRPr="00CC0ACC" w:rsidRDefault="00DF55C8" w:rsidP="00CC0ACC">
      <w:pPr>
        <w:ind w:left="720"/>
        <w:rPr>
          <w:rFonts w:ascii="Calibri" w:eastAsia="Calibri" w:hAnsi="Calibri" w:cs="Calibri"/>
          <w:color w:val="000000"/>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Soil mineral N dynamics are modeled based on N inputs like fertilizer inputs, soil organic matter mineralization, and residue N inputs. Additionally, nitrification and denitrification are simulated based on other factors like water filled pore space, which vary. Nitrification is also only calculated for the top 15 cm whereas denitrification is calculated for the entire soil profile.]</w:t>
      </w:r>
    </w:p>
    <w:p w14:paraId="420FCB01" w14:textId="77777777" w:rsidR="00DF55C8" w:rsidRPr="00DF55C8" w:rsidRDefault="00DF55C8" w:rsidP="000B2554">
      <w:pPr>
        <w:numPr>
          <w:ilvl w:val="0"/>
          <w:numId w:val="23"/>
        </w:numPr>
        <w:contextualSpacing/>
        <w:rPr>
          <w:rFonts w:ascii="Calibri" w:eastAsia="Calibri" w:hAnsi="Calibri" w:cs="Calibri"/>
        </w:rPr>
      </w:pPr>
      <w:r w:rsidRPr="00DF55C8">
        <w:rPr>
          <w:rFonts w:ascii="Calibri" w:eastAsia="Calibri" w:hAnsi="Calibri" w:cs="Calibri"/>
        </w:rPr>
        <w:t>Methanogenesis</w:t>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t>___________</w:t>
      </w:r>
    </w:p>
    <w:p w14:paraId="72EBBC21" w14:textId="77777777" w:rsidR="00DF55C8" w:rsidRPr="00DF55C8" w:rsidRDefault="00DF55C8" w:rsidP="00CC0ACC">
      <w:pPr>
        <w:ind w:left="720"/>
        <w:rPr>
          <w:rFonts w:ascii="Calibri" w:eastAsia="Calibri" w:hAnsi="Calibri" w:cs="Calibri"/>
        </w:rPr>
      </w:pPr>
      <w:r w:rsidRPr="00DF55C8">
        <w:rPr>
          <w:rFonts w:ascii="Calibri" w:eastAsia="Calibri" w:hAnsi="Calibri" w:cs="Calibri"/>
        </w:rPr>
        <w:lastRenderedPageBreak/>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 xml:space="preserve">The methanogenesis </w:t>
      </w:r>
      <w:proofErr w:type="spellStart"/>
      <w:r w:rsidRPr="00DF55C8">
        <w:rPr>
          <w:rFonts w:ascii="Calibri" w:eastAsia="Calibri" w:hAnsi="Calibri" w:cs="Calibri"/>
          <w:color w:val="000000"/>
        </w:rPr>
        <w:t>submodel</w:t>
      </w:r>
      <w:proofErr w:type="spellEnd"/>
      <w:r w:rsidRPr="00DF55C8">
        <w:rPr>
          <w:rFonts w:ascii="Calibri" w:eastAsia="Calibri" w:hAnsi="Calibri" w:cs="Calibri"/>
          <w:color w:val="000000"/>
        </w:rPr>
        <w:t xml:space="preserve"> is controlled by several varying factors – temperature, carbon substrate activity, and redox potential.]</w:t>
      </w:r>
    </w:p>
    <w:p w14:paraId="589D24DD" w14:textId="77777777" w:rsidR="00DF55C8" w:rsidRPr="00DF55C8" w:rsidRDefault="00DF55C8" w:rsidP="00CC0ACC">
      <w:pPr>
        <w:rPr>
          <w:rFonts w:ascii="Calibri" w:eastAsia="Calibri" w:hAnsi="Calibri" w:cs="Calibri"/>
          <w:u w:val="single"/>
        </w:rPr>
      </w:pPr>
      <w:r w:rsidRPr="00DF55C8">
        <w:rPr>
          <w:rFonts w:ascii="Calibri" w:eastAsia="Calibri" w:hAnsi="Calibri" w:cs="Calibri"/>
          <w:u w:val="single"/>
        </w:rPr>
        <w:t>Other</w:t>
      </w:r>
    </w:p>
    <w:p w14:paraId="1F9C1B43" w14:textId="77777777" w:rsidR="00DF55C8" w:rsidRPr="00DF55C8" w:rsidRDefault="00DF55C8" w:rsidP="000B2554">
      <w:pPr>
        <w:numPr>
          <w:ilvl w:val="0"/>
          <w:numId w:val="23"/>
        </w:numPr>
        <w:contextualSpacing/>
        <w:rPr>
          <w:rFonts w:ascii="Calibri" w:eastAsia="Calibri" w:hAnsi="Calibri" w:cs="Calibri"/>
        </w:rPr>
      </w:pPr>
      <w:r w:rsidRPr="00DF55C8">
        <w:rPr>
          <w:rFonts w:ascii="Calibri" w:eastAsia="Calibri" w:hAnsi="Calibri" w:cs="Calibri"/>
        </w:rPr>
        <w:t>Surrogate data method</w:t>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t>___________</w:t>
      </w:r>
    </w:p>
    <w:p w14:paraId="0BBD3FEB" w14:textId="6AEE030F" w:rsidR="00DF55C8" w:rsidRPr="00CC0ACC" w:rsidRDefault="00DF55C8" w:rsidP="00CC0ACC">
      <w:pPr>
        <w:ind w:left="720"/>
        <w:rPr>
          <w:rFonts w:ascii="Calibri" w:eastAsia="Calibri" w:hAnsi="Calibri" w:cs="Calibri"/>
          <w:color w:val="000000"/>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Because NRI data have not been published since 2012, a linear regression is used to extrapolate 2012 data to 2016, based on surrogate data. Surrogate data are predictor variables that explain trends in the emission patterns, and include commodity statistics and weather data. The regression is an autoregressive moving average error model. This regression method contributes additional uncertainty to the 2013-2016 calculations.]</w:t>
      </w:r>
    </w:p>
    <w:p w14:paraId="7649C12E" w14:textId="77777777" w:rsidR="00DF55C8" w:rsidRPr="00DF55C8" w:rsidRDefault="00DF55C8" w:rsidP="000B2554">
      <w:pPr>
        <w:numPr>
          <w:ilvl w:val="0"/>
          <w:numId w:val="23"/>
        </w:numPr>
        <w:contextualSpacing/>
        <w:rPr>
          <w:rFonts w:ascii="Calibri" w:eastAsia="Calibri" w:hAnsi="Calibri" w:cs="Calibri"/>
        </w:rPr>
      </w:pPr>
      <w:r w:rsidRPr="00DF55C8">
        <w:rPr>
          <w:rFonts w:ascii="Calibri" w:eastAsia="Calibri" w:hAnsi="Calibri" w:cs="Calibri"/>
        </w:rPr>
        <w:t>Expansion factors</w:t>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t>___________</w:t>
      </w:r>
    </w:p>
    <w:p w14:paraId="0685055D" w14:textId="77777777" w:rsidR="00DF55C8" w:rsidRPr="00DF55C8" w:rsidRDefault="00DF55C8" w:rsidP="00DF55C8">
      <w:pPr>
        <w:ind w:left="720"/>
        <w:contextualSpacing/>
        <w:rPr>
          <w:rFonts w:ascii="Calibri" w:eastAsia="Calibri" w:hAnsi="Calibri" w:cs="Calibri"/>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Because NRI data have not been published since 2012, a linear regression is used to extrapolate 2012 data to 2016, based on surrogate data. Surrogate data are predictor variables that explain trends in the emission patterns, and include commodity statistics and weather data. The regression is an autoregressive moving average error model. This regression method contributes additional uncertainty to the 2013-2016 calculations.]</w:t>
      </w:r>
    </w:p>
    <w:p w14:paraId="382B79CE" w14:textId="77777777" w:rsidR="00DF55C8" w:rsidRPr="00DF55C8" w:rsidRDefault="00DF55C8" w:rsidP="00DF55C8">
      <w:pPr>
        <w:ind w:left="720"/>
        <w:contextualSpacing/>
        <w:rPr>
          <w:rFonts w:ascii="Calibri" w:eastAsia="Calibri" w:hAnsi="Calibri" w:cs="Times New Roman"/>
        </w:rPr>
      </w:pPr>
    </w:p>
    <w:p w14:paraId="76ECB670" w14:textId="77777777" w:rsidR="00DF55C8" w:rsidRPr="00DF55C8" w:rsidRDefault="00DF55C8" w:rsidP="00DF55C8">
      <w:pPr>
        <w:rPr>
          <w:rFonts w:ascii="Calibri" w:eastAsia="Calibri" w:hAnsi="Calibri" w:cs="Times New Roman"/>
        </w:rPr>
      </w:pPr>
      <w:r w:rsidRPr="00DF55C8">
        <w:rPr>
          <w:rFonts w:ascii="Calibri" w:eastAsia="Calibri" w:hAnsi="Calibri" w:cs="Times New Roman"/>
          <w:noProof/>
        </w:rPr>
        <mc:AlternateContent>
          <mc:Choice Requires="wps">
            <w:drawing>
              <wp:anchor distT="45720" distB="45720" distL="114300" distR="114300" simplePos="0" relativeHeight="251660288" behindDoc="0" locked="0" layoutInCell="1" allowOverlap="1" wp14:anchorId="7F463677" wp14:editId="43A4803F">
                <wp:simplePos x="0" y="0"/>
                <wp:positionH relativeFrom="margin">
                  <wp:align>left</wp:align>
                </wp:positionH>
                <wp:positionV relativeFrom="paragraph">
                  <wp:posOffset>160020</wp:posOffset>
                </wp:positionV>
                <wp:extent cx="4686300" cy="9429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42975"/>
                        </a:xfrm>
                        <a:prstGeom prst="rect">
                          <a:avLst/>
                        </a:prstGeom>
                        <a:solidFill>
                          <a:srgbClr val="FFFFFF"/>
                        </a:solidFill>
                        <a:ln w="9525">
                          <a:solidFill>
                            <a:srgbClr val="000000"/>
                          </a:solidFill>
                          <a:miter lim="800000"/>
                          <a:headEnd/>
                          <a:tailEnd/>
                        </a:ln>
                      </wps:spPr>
                      <wps:txbx>
                        <w:txbxContent>
                          <w:p w14:paraId="6B95F68A" w14:textId="77777777" w:rsidR="00876770" w:rsidRDefault="00876770" w:rsidP="00DF55C8">
                            <w:r>
                              <w:t xml:space="preserve">Please enter any comments, additional knowledge, or justification that you have regarding this question and/or your estimate. </w:t>
                            </w:r>
                          </w:p>
                          <w:p w14:paraId="731FF4F4" w14:textId="77777777" w:rsidR="00876770" w:rsidRDefault="00876770" w:rsidP="00DF55C8"/>
                          <w:p w14:paraId="2C053957"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463677" id="_x0000_t202" coordsize="21600,21600" o:spt="202" path="m,l,21600r21600,l21600,xe">
                <v:stroke joinstyle="miter"/>
                <v:path gradientshapeok="t" o:connecttype="rect"/>
              </v:shapetype>
              <v:shape id="Text Box 2" o:spid="_x0000_s1026" type="#_x0000_t202" style="position:absolute;margin-left:0;margin-top:12.6pt;width:369pt;height:74.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">
                <v:textbox>
                  <w:txbxContent>
                    <w:p w14:paraId="6B95F68A" w14:textId="77777777" w:rsidR="00876770" w:rsidRDefault="00876770" w:rsidP="00DF55C8">
                      <w:r>
                        <w:t xml:space="preserve">Please enter any comments, additional knowledge, or justification that you have regarding this question and/or your estimate. </w:t>
                      </w:r>
                    </w:p>
                    <w:p w14:paraId="731FF4F4" w14:textId="77777777" w:rsidR="00876770" w:rsidRDefault="00876770" w:rsidP="00DF55C8"/>
                    <w:p w14:paraId="2C053957" w14:textId="77777777" w:rsidR="00876770" w:rsidRDefault="00876770" w:rsidP="00DF55C8"/>
                  </w:txbxContent>
                </v:textbox>
                <w10:wrap type="square" anchorx="margin"/>
              </v:shape>
            </w:pict>
          </mc:Fallback>
        </mc:AlternateContent>
      </w:r>
    </w:p>
    <w:p w14:paraId="721FE863" w14:textId="77777777" w:rsidR="00DF55C8" w:rsidRPr="00DF55C8" w:rsidRDefault="00DF55C8" w:rsidP="00DF55C8">
      <w:pPr>
        <w:rPr>
          <w:rFonts w:ascii="Calibri" w:eastAsia="Calibri" w:hAnsi="Calibri" w:cs="Times New Roman"/>
        </w:rPr>
      </w:pPr>
    </w:p>
    <w:p w14:paraId="4D2307FD" w14:textId="77777777" w:rsidR="00DF55C8" w:rsidRPr="00DF55C8" w:rsidRDefault="00DF55C8" w:rsidP="00DF55C8">
      <w:pPr>
        <w:rPr>
          <w:rFonts w:ascii="Calibri" w:eastAsia="Calibri" w:hAnsi="Calibri" w:cs="Times New Roman"/>
        </w:rPr>
      </w:pPr>
    </w:p>
    <w:p w14:paraId="53F64FA6" w14:textId="77777777" w:rsidR="00DF55C8" w:rsidRPr="00DF55C8" w:rsidRDefault="00DF55C8" w:rsidP="00DF55C8">
      <w:pPr>
        <w:rPr>
          <w:rFonts w:ascii="Calibri" w:eastAsia="Calibri" w:hAnsi="Calibri" w:cs="Times New Roman"/>
        </w:rPr>
      </w:pPr>
    </w:p>
    <w:p w14:paraId="2B5A6BDF" w14:textId="77777777" w:rsidR="00DF55C8" w:rsidRPr="00DF55C8" w:rsidRDefault="00DF55C8" w:rsidP="00DF55C8">
      <w:pPr>
        <w:rPr>
          <w:rFonts w:ascii="Calibri" w:eastAsia="Calibri" w:hAnsi="Calibri" w:cs="Times New Roman"/>
        </w:rPr>
      </w:pPr>
    </w:p>
    <w:p w14:paraId="46E91850" w14:textId="77777777" w:rsidR="00DF55C8" w:rsidRPr="00DF55C8" w:rsidRDefault="00DF55C8" w:rsidP="00DF55C8">
      <w:pPr>
        <w:rPr>
          <w:rFonts w:ascii="Calibri" w:eastAsia="Calibri" w:hAnsi="Calibri" w:cs="Times New Roman"/>
        </w:rPr>
      </w:pPr>
      <w:r w:rsidRPr="00DF55C8">
        <w:rPr>
          <w:rFonts w:ascii="Calibri" w:eastAsia="Calibri" w:hAnsi="Calibri" w:cs="Times New Roman"/>
          <w:noProof/>
        </w:rPr>
        <mc:AlternateContent>
          <mc:Choice Requires="wps">
            <w:drawing>
              <wp:anchor distT="45720" distB="45720" distL="114300" distR="114300" simplePos="0" relativeHeight="251665408" behindDoc="0" locked="0" layoutInCell="1" allowOverlap="1" wp14:anchorId="18D8DBF6" wp14:editId="527B357F">
                <wp:simplePos x="0" y="0"/>
                <wp:positionH relativeFrom="margin">
                  <wp:align>left</wp:align>
                </wp:positionH>
                <wp:positionV relativeFrom="paragraph">
                  <wp:posOffset>111760</wp:posOffset>
                </wp:positionV>
                <wp:extent cx="4686300" cy="1219200"/>
                <wp:effectExtent l="0" t="0" r="1905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219200"/>
                        </a:xfrm>
                        <a:prstGeom prst="rect">
                          <a:avLst/>
                        </a:prstGeom>
                        <a:solidFill>
                          <a:srgbClr val="FFFFFF"/>
                        </a:solidFill>
                        <a:ln w="9525">
                          <a:solidFill>
                            <a:srgbClr val="000000"/>
                          </a:solidFill>
                          <a:miter lim="800000"/>
                          <a:headEnd/>
                          <a:tailEnd/>
                        </a:ln>
                      </wps:spPr>
                      <wps:txbx>
                        <w:txbxContent>
                          <w:p w14:paraId="3B9A33C7" w14:textId="77777777" w:rsidR="00876770" w:rsidRDefault="00876770" w:rsidP="00DF55C8">
                            <w:r>
                              <w:t>We are also interested in literature or other research that has informed your responses expressed here. Please share any recommended reading, including links if you have them.</w:t>
                            </w:r>
                          </w:p>
                          <w:p w14:paraId="25C139E1"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D8DBF6" id="_x0000_s1027" type="#_x0000_t202" style="position:absolute;margin-left:0;margin-top:8.8pt;width:369pt;height:96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">
                <v:textbox>
                  <w:txbxContent>
                    <w:p w14:paraId="3B9A33C7" w14:textId="77777777" w:rsidR="00876770" w:rsidRDefault="00876770" w:rsidP="00DF55C8">
                      <w:r>
                        <w:t>We are also interested in literature or other research that has informed your responses expressed here. Please share any recommended reading, including links if you have them.</w:t>
                      </w:r>
                    </w:p>
                    <w:p w14:paraId="25C139E1" w14:textId="77777777" w:rsidR="00876770" w:rsidRDefault="00876770" w:rsidP="00DF55C8"/>
                  </w:txbxContent>
                </v:textbox>
                <w10:wrap type="square" anchorx="margin"/>
              </v:shape>
            </w:pict>
          </mc:Fallback>
        </mc:AlternateContent>
      </w:r>
    </w:p>
    <w:p w14:paraId="775687C8" w14:textId="77777777" w:rsidR="00DF55C8" w:rsidRPr="00DF55C8" w:rsidRDefault="00DF55C8" w:rsidP="00DF55C8">
      <w:pPr>
        <w:rPr>
          <w:rFonts w:ascii="Calibri" w:eastAsia="Calibri" w:hAnsi="Calibri" w:cs="Times New Roman"/>
        </w:rPr>
      </w:pPr>
    </w:p>
    <w:p w14:paraId="4DA3F1E0" w14:textId="77777777" w:rsidR="00DF55C8" w:rsidRPr="00DF55C8" w:rsidRDefault="00DF55C8" w:rsidP="00DF55C8">
      <w:pPr>
        <w:rPr>
          <w:rFonts w:ascii="Calibri" w:eastAsia="Calibri" w:hAnsi="Calibri" w:cs="Times New Roman"/>
        </w:rPr>
      </w:pPr>
    </w:p>
    <w:p w14:paraId="2582FFB5" w14:textId="77777777" w:rsidR="00DF55C8" w:rsidRPr="00DF55C8" w:rsidRDefault="00DF55C8" w:rsidP="00DF55C8">
      <w:pPr>
        <w:rPr>
          <w:rFonts w:ascii="Calibri" w:eastAsia="Calibri" w:hAnsi="Calibri" w:cs="Times New Roman"/>
        </w:rPr>
      </w:pPr>
    </w:p>
    <w:p w14:paraId="2D989AB9" w14:textId="77777777" w:rsidR="00DF55C8" w:rsidRPr="00DF55C8" w:rsidRDefault="00DF55C8" w:rsidP="00DF55C8">
      <w:pPr>
        <w:rPr>
          <w:rFonts w:ascii="Calibri" w:eastAsia="Calibri" w:hAnsi="Calibri" w:cs="Times New Roman"/>
        </w:rPr>
      </w:pPr>
    </w:p>
    <w:p w14:paraId="5274681F" w14:textId="77777777" w:rsidR="00DF55C8" w:rsidRPr="00DF55C8" w:rsidRDefault="00DF55C8" w:rsidP="00DF55C8">
      <w:pPr>
        <w:rPr>
          <w:rFonts w:ascii="Calibri" w:eastAsia="Calibri" w:hAnsi="Calibri" w:cs="Times New Roman"/>
        </w:rPr>
      </w:pPr>
    </w:p>
    <w:p w14:paraId="56CB60F3"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t xml:space="preserve">Section 1, Prompt 2 </w:t>
      </w:r>
    </w:p>
    <w:p w14:paraId="53533580"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t>Directions</w:t>
      </w:r>
    </w:p>
    <w:p w14:paraId="3A384691"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Additionally, there are elements that have not been included in the 95% confidence interval for each land type in Table 1. That is, these elements are considered “certain” for purposes of estimating the 95% confidence interval in Table 1. For these elements, if their true variance were incorporated into the analysis, what additional uncertainty do you think they contribute to the 95% confidence interval?</w:t>
      </w:r>
    </w:p>
    <w:p w14:paraId="1BF80511"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 xml:space="preserve">For example: If you believe that the first listed element, “Soil properties,” contributes 10% to the total uncertainty, this means it represents an expansion of the current 95% confidence interval by 5% (of the </w:t>
      </w:r>
      <w:r w:rsidRPr="00DF55C8">
        <w:rPr>
          <w:rFonts w:ascii="Calibri" w:eastAsia="Calibri" w:hAnsi="Calibri" w:cs="Times New Roman"/>
        </w:rPr>
        <w:lastRenderedPageBreak/>
        <w:t>mean, in MMT CO</w:t>
      </w:r>
      <w:r w:rsidRPr="00DF55C8">
        <w:rPr>
          <w:rFonts w:ascii="Calibri" w:eastAsia="Calibri" w:hAnsi="Calibri" w:cs="Times New Roman"/>
          <w:vertAlign w:val="subscript"/>
        </w:rPr>
        <w:t>2</w:t>
      </w:r>
      <w:r w:rsidRPr="00DF55C8">
        <w:rPr>
          <w:rFonts w:ascii="Calibri" w:eastAsia="Calibri" w:hAnsi="Calibri" w:cs="Times New Roman"/>
        </w:rPr>
        <w:t>e) in each direction (upper limit and lower limit), in accordance with a symmetric distribution. This would suggest that, for Cropland Remaining Cropland, for instance, it adds 4.28 MMT CO</w:t>
      </w:r>
      <w:r w:rsidRPr="00DF55C8">
        <w:rPr>
          <w:rFonts w:ascii="Calibri" w:eastAsia="Calibri" w:hAnsi="Calibri" w:cs="Times New Roman"/>
          <w:vertAlign w:val="subscript"/>
        </w:rPr>
        <w:t>2</w:t>
      </w:r>
      <w:r w:rsidRPr="00DF55C8">
        <w:rPr>
          <w:rFonts w:ascii="Calibri" w:eastAsia="Calibri" w:hAnsi="Calibri" w:cs="Times New Roman"/>
        </w:rPr>
        <w:t>e above and below the current uncertainty range. If possible, please note the source of your estimate in the Comment boxes provided (e.g., citation of published paper, conversations with expert, primary/secondary research, etc.).</w:t>
      </w:r>
    </w:p>
    <w:p w14:paraId="14E70F3B"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Please indicate your estimates here:</w:t>
      </w:r>
    </w:p>
    <w:p w14:paraId="7F400ACB" w14:textId="77777777" w:rsidR="00DF55C8" w:rsidRPr="00DF55C8" w:rsidRDefault="00DF55C8" w:rsidP="00DF55C8">
      <w:pPr>
        <w:rPr>
          <w:rFonts w:ascii="Calibri" w:eastAsia="Calibri" w:hAnsi="Calibri" w:cs="Times New Roman"/>
          <w:b/>
        </w:rPr>
      </w:pPr>
      <w:r w:rsidRPr="00DF55C8">
        <w:rPr>
          <w:rFonts w:ascii="Calibri" w:eastAsia="Calibri" w:hAnsi="Calibri" w:cs="Times New Roman"/>
        </w:rPr>
        <w:tab/>
      </w:r>
      <w:r w:rsidRPr="00DF55C8">
        <w:rPr>
          <w:rFonts w:ascii="Calibri" w:eastAsia="Calibri" w:hAnsi="Calibri" w:cs="Times New Roman"/>
          <w:b/>
        </w:rPr>
        <w:tab/>
        <w:t>Element</w:t>
      </w:r>
      <w:r w:rsidRPr="00DF55C8">
        <w:rPr>
          <w:rFonts w:ascii="Calibri" w:eastAsia="Calibri" w:hAnsi="Calibri" w:cs="Times New Roman"/>
          <w:b/>
        </w:rPr>
        <w:tab/>
      </w:r>
      <w:r w:rsidRPr="00DF55C8">
        <w:rPr>
          <w:rFonts w:ascii="Calibri" w:eastAsia="Calibri" w:hAnsi="Calibri" w:cs="Times New Roman"/>
          <w:b/>
        </w:rPr>
        <w:tab/>
      </w:r>
      <w:r w:rsidRPr="00DF55C8">
        <w:rPr>
          <w:rFonts w:ascii="Calibri" w:eastAsia="Calibri" w:hAnsi="Calibri" w:cs="Times New Roman"/>
          <w:b/>
        </w:rPr>
        <w:tab/>
      </w:r>
      <w:r w:rsidRPr="00DF55C8">
        <w:rPr>
          <w:rFonts w:ascii="Calibri" w:eastAsia="Calibri" w:hAnsi="Calibri" w:cs="Times New Roman"/>
          <w:b/>
        </w:rPr>
        <w:tab/>
        <w:t>Percentage (0-100%)</w:t>
      </w:r>
    </w:p>
    <w:p w14:paraId="56EB0F12" w14:textId="77777777" w:rsidR="00DF55C8" w:rsidRPr="00DF55C8" w:rsidRDefault="00DF55C8" w:rsidP="00DF55C8">
      <w:pPr>
        <w:rPr>
          <w:rFonts w:ascii="Calibri" w:eastAsia="Calibri" w:hAnsi="Calibri" w:cs="Calibri"/>
        </w:rPr>
      </w:pPr>
      <w:r w:rsidRPr="00DF55C8">
        <w:rPr>
          <w:rFonts w:ascii="Calibri" w:eastAsia="Calibri" w:hAnsi="Calibri" w:cs="Calibri"/>
        </w:rPr>
        <w:t>All land use and GHG flux categories</w:t>
      </w:r>
    </w:p>
    <w:p w14:paraId="12AE132A" w14:textId="77777777" w:rsidR="00DF55C8" w:rsidRPr="00DF55C8" w:rsidRDefault="00DF55C8" w:rsidP="000B2554">
      <w:pPr>
        <w:numPr>
          <w:ilvl w:val="0"/>
          <w:numId w:val="24"/>
        </w:numPr>
        <w:contextualSpacing/>
        <w:rPr>
          <w:rFonts w:ascii="Calibri" w:eastAsia="Calibri" w:hAnsi="Calibri" w:cs="Calibri"/>
        </w:rPr>
      </w:pPr>
      <w:r w:rsidRPr="00DF55C8">
        <w:rPr>
          <w:rFonts w:ascii="Calibri" w:eastAsia="Calibri" w:hAnsi="Calibri" w:cs="Calibri"/>
        </w:rPr>
        <w:t>Soil properties</w:t>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t>___________</w:t>
      </w:r>
    </w:p>
    <w:p w14:paraId="1CF8E02C" w14:textId="4982289D" w:rsidR="00DF55C8" w:rsidRPr="00CC0ACC" w:rsidRDefault="00DF55C8" w:rsidP="00CC0ACC">
      <w:pPr>
        <w:ind w:left="720"/>
        <w:rPr>
          <w:rFonts w:ascii="Calibri" w:eastAsia="Calibri" w:hAnsi="Calibri" w:cs="Calibri"/>
          <w:color w:val="000000"/>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Soil texture and natural drainage capacity are the primary soil variables used in DayCent. They are collected through field measurements, as well as aerial photography and remote sensing imagery. Field measurements are derived from the Soil Survey Geographic Database and exhibit uncertainty due to errors in data mapping, collection, and processing; aerial photography, and remote sensing imagery reflect welcome technological advances in data collection, but are still approximations of ground data.]</w:t>
      </w:r>
    </w:p>
    <w:p w14:paraId="12BCB607" w14:textId="77777777" w:rsidR="00DF55C8" w:rsidRPr="00DF55C8" w:rsidRDefault="00DF55C8" w:rsidP="000B2554">
      <w:pPr>
        <w:numPr>
          <w:ilvl w:val="0"/>
          <w:numId w:val="24"/>
        </w:numPr>
        <w:contextualSpacing/>
        <w:rPr>
          <w:rFonts w:ascii="Calibri" w:eastAsia="Calibri" w:hAnsi="Calibri" w:cs="Calibri"/>
        </w:rPr>
      </w:pPr>
      <w:r w:rsidRPr="00DF55C8">
        <w:rPr>
          <w:rFonts w:ascii="Calibri" w:eastAsia="Calibri" w:hAnsi="Calibri" w:cs="Calibri"/>
        </w:rPr>
        <w:t>NRI time series</w:t>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t>___________</w:t>
      </w:r>
    </w:p>
    <w:p w14:paraId="4E5F9D1B" w14:textId="0745D8C2" w:rsidR="00DF55C8" w:rsidRPr="00CC0ACC" w:rsidRDefault="00DF55C8" w:rsidP="00CC0ACC">
      <w:pPr>
        <w:ind w:left="720"/>
        <w:rPr>
          <w:rFonts w:ascii="Calibri" w:eastAsia="Calibri" w:hAnsi="Calibri" w:cs="Calibri"/>
          <w:color w:val="000000"/>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Cropland Remaining Cropland and Grassland Remaining Grassland may be overestimated in the early part of the time series because NRI surveys were only classified according to land use histories beginning in 1979; therefore, classifications from 1990-1998 were based on less than 20 years. NRI data points also likely exhibit some measurement uncertainty.]</w:t>
      </w:r>
    </w:p>
    <w:p w14:paraId="451AF1A5" w14:textId="77777777" w:rsidR="00DF55C8" w:rsidRPr="00DF55C8" w:rsidRDefault="00DF55C8" w:rsidP="000B2554">
      <w:pPr>
        <w:numPr>
          <w:ilvl w:val="0"/>
          <w:numId w:val="24"/>
        </w:numPr>
        <w:contextualSpacing/>
        <w:rPr>
          <w:rFonts w:ascii="Calibri" w:eastAsia="Calibri" w:hAnsi="Calibri" w:cs="Calibri"/>
        </w:rPr>
      </w:pPr>
      <w:r w:rsidRPr="00DF55C8">
        <w:rPr>
          <w:rFonts w:ascii="Calibri" w:eastAsia="Calibri" w:hAnsi="Calibri" w:cs="Calibri"/>
        </w:rPr>
        <w:t>Daily weather data</w:t>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t>___________</w:t>
      </w:r>
    </w:p>
    <w:p w14:paraId="35B522CE" w14:textId="77777777" w:rsidR="00DF55C8" w:rsidRPr="00DF55C8" w:rsidRDefault="00DF55C8" w:rsidP="00CC0ACC">
      <w:pPr>
        <w:ind w:left="720"/>
        <w:rPr>
          <w:rFonts w:ascii="Calibri" w:eastAsia="Calibri" w:hAnsi="Calibri" w:cs="Calibri"/>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The daily weather data is based on interpolated data because all NRI points do not have weather station data. Interpolation is generally accurate for mean weather predictions but can fail to adequately predict weather variance and extreme weather events.]</w:t>
      </w:r>
    </w:p>
    <w:p w14:paraId="010506D7" w14:textId="77777777" w:rsidR="00DF55C8" w:rsidRPr="00DF55C8" w:rsidRDefault="00DF55C8" w:rsidP="00DF55C8">
      <w:pPr>
        <w:rPr>
          <w:rFonts w:ascii="Calibri" w:eastAsia="Calibri" w:hAnsi="Calibri" w:cs="Calibri"/>
        </w:rPr>
      </w:pPr>
      <w:r w:rsidRPr="00DF55C8">
        <w:rPr>
          <w:rFonts w:ascii="Calibri" w:eastAsia="Calibri" w:hAnsi="Calibri" w:cs="Calibri"/>
        </w:rPr>
        <w:t>Grassland Remaining Grassland</w:t>
      </w:r>
    </w:p>
    <w:p w14:paraId="38E41CF4" w14:textId="77777777" w:rsidR="00DF55C8" w:rsidRPr="00DF55C8" w:rsidRDefault="00DF55C8" w:rsidP="000B2554">
      <w:pPr>
        <w:numPr>
          <w:ilvl w:val="0"/>
          <w:numId w:val="24"/>
        </w:numPr>
        <w:contextualSpacing/>
        <w:rPr>
          <w:rFonts w:ascii="Calibri" w:eastAsia="Calibri" w:hAnsi="Calibri" w:cs="Calibri"/>
        </w:rPr>
      </w:pPr>
      <w:r w:rsidRPr="00DF55C8">
        <w:rPr>
          <w:rFonts w:ascii="Calibri" w:eastAsia="Calibri" w:hAnsi="Calibri" w:cs="Calibri"/>
        </w:rPr>
        <w:t>Grazing intensity</w:t>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t>___________</w:t>
      </w:r>
    </w:p>
    <w:p w14:paraId="495B4C68" w14:textId="3E52C024" w:rsidR="00DF55C8" w:rsidRPr="00CC0ACC" w:rsidRDefault="00DF55C8" w:rsidP="00CC0ACC">
      <w:pPr>
        <w:ind w:left="720"/>
        <w:rPr>
          <w:rFonts w:ascii="Calibri" w:eastAsia="Calibri" w:hAnsi="Calibri" w:cs="Calibri"/>
          <w:color w:val="000000"/>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An input schedule file is used to simulate the timing of grazing intensity and other management activities, though this is only an estimation.]</w:t>
      </w:r>
    </w:p>
    <w:p w14:paraId="4E8F08D9" w14:textId="77777777" w:rsidR="00DF55C8" w:rsidRPr="00DF55C8" w:rsidRDefault="00DF55C8" w:rsidP="000B2554">
      <w:pPr>
        <w:numPr>
          <w:ilvl w:val="0"/>
          <w:numId w:val="24"/>
        </w:numPr>
        <w:contextualSpacing/>
        <w:rPr>
          <w:rFonts w:ascii="Calibri" w:eastAsia="Calibri" w:hAnsi="Calibri" w:cs="Calibri"/>
        </w:rPr>
      </w:pPr>
      <w:r w:rsidRPr="00DF55C8">
        <w:rPr>
          <w:rFonts w:ascii="Calibri" w:eastAsia="Calibri" w:hAnsi="Calibri" w:cs="Calibri"/>
        </w:rPr>
        <w:t>Burning</w:t>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t>___________</w:t>
      </w:r>
    </w:p>
    <w:p w14:paraId="60534938" w14:textId="77777777" w:rsidR="00DF55C8" w:rsidRPr="00DF55C8" w:rsidRDefault="00DF55C8" w:rsidP="00CC0ACC">
      <w:pPr>
        <w:ind w:left="720"/>
        <w:rPr>
          <w:rFonts w:ascii="Calibri" w:eastAsia="Calibri" w:hAnsi="Calibri" w:cs="Calibri"/>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The frequency of burning events can be scheduled in DayCent using an input schedule file, but unpredictable burning events may also influence land use changes.]</w:t>
      </w:r>
    </w:p>
    <w:p w14:paraId="762CC1C2" w14:textId="77777777" w:rsidR="00DF55C8" w:rsidRPr="00DF55C8" w:rsidRDefault="00DF55C8" w:rsidP="00DF55C8">
      <w:pPr>
        <w:rPr>
          <w:rFonts w:ascii="Calibri" w:eastAsia="Calibri" w:hAnsi="Calibri" w:cs="Calibri"/>
        </w:rPr>
      </w:pPr>
      <w:r w:rsidRPr="00DF55C8">
        <w:rPr>
          <w:rFonts w:ascii="Calibri" w:eastAsia="Calibri" w:hAnsi="Calibri" w:cs="Calibri"/>
        </w:rPr>
        <w:t>Cropland Remaining Cropland and Land Converted to Cropland</w:t>
      </w:r>
    </w:p>
    <w:p w14:paraId="2E121634" w14:textId="77777777" w:rsidR="00DF55C8" w:rsidRPr="00DF55C8" w:rsidRDefault="00DF55C8" w:rsidP="000B2554">
      <w:pPr>
        <w:numPr>
          <w:ilvl w:val="0"/>
          <w:numId w:val="24"/>
        </w:numPr>
        <w:contextualSpacing/>
        <w:rPr>
          <w:rFonts w:ascii="Calibri" w:eastAsia="Calibri" w:hAnsi="Calibri" w:cs="Calibri"/>
        </w:rPr>
      </w:pPr>
      <w:r w:rsidRPr="00DF55C8">
        <w:rPr>
          <w:rFonts w:ascii="Calibri" w:eastAsia="Calibri" w:hAnsi="Calibri" w:cs="Calibri"/>
        </w:rPr>
        <w:t>Crop types</w:t>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t>___________</w:t>
      </w:r>
    </w:p>
    <w:p w14:paraId="729FAF89" w14:textId="6B7666B2" w:rsidR="00DF55C8" w:rsidRPr="00DF55C8" w:rsidRDefault="00DF55C8" w:rsidP="00CC0ACC">
      <w:pPr>
        <w:ind w:left="720"/>
        <w:rPr>
          <w:rFonts w:ascii="Calibri" w:eastAsia="Calibri" w:hAnsi="Calibri" w:cs="Calibri"/>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Crop type information is taken from a survey of point locations taken within county or township boundaries. Uncertainty stems from the extrapolation of data from the point locations to the county.]</w:t>
      </w:r>
    </w:p>
    <w:p w14:paraId="731DFEF2" w14:textId="77777777" w:rsidR="00DF55C8" w:rsidRPr="00DF55C8" w:rsidRDefault="00DF55C8" w:rsidP="000B2554">
      <w:pPr>
        <w:numPr>
          <w:ilvl w:val="0"/>
          <w:numId w:val="24"/>
        </w:numPr>
        <w:contextualSpacing/>
        <w:rPr>
          <w:rFonts w:ascii="Calibri" w:eastAsia="Calibri" w:hAnsi="Calibri" w:cs="Calibri"/>
        </w:rPr>
      </w:pPr>
      <w:r w:rsidRPr="00DF55C8">
        <w:rPr>
          <w:rFonts w:ascii="Calibri" w:eastAsia="Calibri" w:hAnsi="Calibri" w:cs="Calibri"/>
        </w:rPr>
        <w:t>Crop sequences (rotation)</w:t>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t>___________</w:t>
      </w:r>
    </w:p>
    <w:p w14:paraId="544CBC37" w14:textId="01278365" w:rsidR="00DF55C8" w:rsidRPr="00CC0ACC" w:rsidRDefault="00DF55C8" w:rsidP="00CC0ACC">
      <w:pPr>
        <w:ind w:left="720"/>
        <w:rPr>
          <w:rFonts w:ascii="Calibri" w:eastAsia="Calibri" w:hAnsi="Calibri" w:cs="Calibri"/>
          <w:color w:val="000000"/>
        </w:rPr>
      </w:pPr>
      <w:r w:rsidRPr="00DF55C8">
        <w:rPr>
          <w:rFonts w:ascii="Calibri" w:eastAsia="Calibri" w:hAnsi="Calibri" w:cs="Calibri"/>
        </w:rPr>
        <w:lastRenderedPageBreak/>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Rotation sequence is taken from a survey of point locations taken within county or township boundaries. Uncertainty stems from the extrapolation of data from the point locations to the county.]</w:t>
      </w:r>
    </w:p>
    <w:p w14:paraId="1EDD6864" w14:textId="77777777" w:rsidR="00DF55C8" w:rsidRPr="00DF55C8" w:rsidRDefault="00DF55C8" w:rsidP="000B2554">
      <w:pPr>
        <w:numPr>
          <w:ilvl w:val="0"/>
          <w:numId w:val="24"/>
        </w:numPr>
        <w:contextualSpacing/>
        <w:rPr>
          <w:rFonts w:ascii="Calibri" w:eastAsia="Calibri" w:hAnsi="Calibri" w:cs="Calibri"/>
        </w:rPr>
      </w:pPr>
      <w:r w:rsidRPr="00DF55C8">
        <w:rPr>
          <w:rFonts w:ascii="Calibri" w:eastAsia="Calibri" w:hAnsi="Calibri" w:cs="Calibri"/>
        </w:rPr>
        <w:t>Irrigation</w:t>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r>
      <w:r w:rsidRPr="00DF55C8">
        <w:rPr>
          <w:rFonts w:ascii="Calibri" w:eastAsia="Calibri" w:hAnsi="Calibri" w:cs="Calibri"/>
        </w:rPr>
        <w:tab/>
        <w:t>___________</w:t>
      </w:r>
    </w:p>
    <w:p w14:paraId="5ECF3216" w14:textId="65696F42" w:rsidR="00DF55C8" w:rsidRPr="00CC0ACC" w:rsidRDefault="00DF55C8" w:rsidP="00CC0ACC">
      <w:pPr>
        <w:ind w:left="720"/>
        <w:rPr>
          <w:rFonts w:ascii="Calibri" w:eastAsia="Calibri" w:hAnsi="Calibri" w:cs="Calibri"/>
          <w:color w:val="000000"/>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Use of irrigation is taken from a survey of point locations taken within county or township boundaries. Uncertainty stems from the extrapolation of data from the point locations to the county. It is also assumed that water is applied to field capacity, with intervals between irrigation events where the soils drain to about 60% of field capacity, since the NRI does not provide detailed information on the type and intensity of irrigation.]</w:t>
      </w:r>
    </w:p>
    <w:p w14:paraId="4DC15B12" w14:textId="77777777" w:rsidR="00DF55C8" w:rsidRPr="00DF55C8" w:rsidRDefault="00DF55C8" w:rsidP="000B2554">
      <w:pPr>
        <w:numPr>
          <w:ilvl w:val="0"/>
          <w:numId w:val="24"/>
        </w:numPr>
        <w:contextualSpacing/>
        <w:rPr>
          <w:rFonts w:ascii="Calibri" w:eastAsia="Calibri" w:hAnsi="Calibri" w:cs="Calibri"/>
        </w:rPr>
      </w:pPr>
      <w:r w:rsidRPr="00DF55C8">
        <w:rPr>
          <w:rFonts w:ascii="Calibri" w:eastAsia="Calibri" w:hAnsi="Calibri" w:cs="Calibri"/>
        </w:rPr>
        <w:t>Harvest, variable residue removal</w:t>
      </w:r>
      <w:r w:rsidRPr="00DF55C8">
        <w:rPr>
          <w:rFonts w:ascii="Calibri" w:eastAsia="Calibri" w:hAnsi="Calibri" w:cs="Calibri"/>
        </w:rPr>
        <w:tab/>
      </w:r>
      <w:r w:rsidRPr="00DF55C8">
        <w:rPr>
          <w:rFonts w:ascii="Calibri" w:eastAsia="Calibri" w:hAnsi="Calibri" w:cs="Calibri"/>
        </w:rPr>
        <w:tab/>
        <w:t>___________</w:t>
      </w:r>
    </w:p>
    <w:p w14:paraId="70B987B5" w14:textId="04A92491" w:rsidR="00DF55C8" w:rsidRPr="00DF55C8" w:rsidRDefault="00DF55C8" w:rsidP="00CC0ACC">
      <w:pPr>
        <w:ind w:left="720"/>
        <w:rPr>
          <w:rFonts w:ascii="Calibri" w:eastAsia="Calibri" w:hAnsi="Calibri" w:cs="Calibri"/>
          <w:color w:val="000000"/>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An input schedule file is used to simulate the timing of harvest events and other management activities, but these are only an estimation.]</w:t>
      </w:r>
    </w:p>
    <w:p w14:paraId="1898312E" w14:textId="77777777" w:rsidR="00DF55C8" w:rsidRPr="00DF55C8" w:rsidRDefault="00DF55C8" w:rsidP="000B2554">
      <w:pPr>
        <w:numPr>
          <w:ilvl w:val="0"/>
          <w:numId w:val="24"/>
        </w:numPr>
        <w:contextualSpacing/>
        <w:rPr>
          <w:rFonts w:ascii="Calibri" w:eastAsia="Calibri" w:hAnsi="Calibri" w:cs="Calibri"/>
        </w:rPr>
      </w:pPr>
      <w:r w:rsidRPr="00DF55C8">
        <w:rPr>
          <w:rFonts w:ascii="Calibri" w:eastAsia="Calibri" w:hAnsi="Calibri" w:cs="Calibri"/>
        </w:rPr>
        <w:t xml:space="preserve">Leaching, runoff, and </w:t>
      </w:r>
      <w:proofErr w:type="spellStart"/>
      <w:r w:rsidRPr="00DF55C8">
        <w:rPr>
          <w:rFonts w:ascii="Calibri" w:eastAsia="Calibri" w:hAnsi="Calibri" w:cs="Calibri"/>
        </w:rPr>
        <w:t>volatization</w:t>
      </w:r>
      <w:proofErr w:type="spellEnd"/>
    </w:p>
    <w:p w14:paraId="13AA3CE8" w14:textId="350AC7A5" w:rsidR="00DF55C8" w:rsidRPr="00CC0ACC" w:rsidRDefault="00DF55C8" w:rsidP="00CC0ACC">
      <w:pPr>
        <w:ind w:left="720"/>
        <w:rPr>
          <w:rFonts w:ascii="Calibri" w:eastAsia="Calibri" w:hAnsi="Calibri" w:cs="Calibri"/>
          <w:color w:val="000000"/>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For croplands and non-federal grasslands, DayCent estimates the amount of N lost through leaching, runoff and volatilization by assessing factors like environmental conditions, management impacts, and soil N availability. Indirect N</w:t>
      </w:r>
      <w:r w:rsidRPr="00DF55C8">
        <w:rPr>
          <w:rFonts w:ascii="Calibri" w:eastAsia="Calibri" w:hAnsi="Calibri" w:cs="Calibri"/>
          <w:color w:val="000000"/>
          <w:vertAlign w:val="subscript"/>
        </w:rPr>
        <w:t>2</w:t>
      </w:r>
      <w:r w:rsidRPr="00DF55C8">
        <w:rPr>
          <w:rFonts w:ascii="Calibri" w:eastAsia="Calibri" w:hAnsi="Calibri" w:cs="Calibri"/>
          <w:color w:val="000000"/>
        </w:rPr>
        <w:t>O emissions are not estimated, however, if the amount of precipitation plus irrigation is less than 80 percent of potential evapotranspiration. Uncertainty stems from variability in fertilizer and organic amendment activity data. Additionally, there is a lack of measurement data on the volatilization of N gases that contribute to indirect soil N</w:t>
      </w:r>
      <w:r w:rsidRPr="00DF55C8">
        <w:rPr>
          <w:rFonts w:ascii="Calibri" w:eastAsia="Calibri" w:hAnsi="Calibri" w:cs="Calibri"/>
          <w:color w:val="000000"/>
          <w:vertAlign w:val="subscript"/>
        </w:rPr>
        <w:t>2</w:t>
      </w:r>
      <w:r w:rsidRPr="00DF55C8">
        <w:rPr>
          <w:rFonts w:ascii="Calibri" w:eastAsia="Calibri" w:hAnsi="Calibri" w:cs="Calibri"/>
          <w:color w:val="000000"/>
        </w:rPr>
        <w:t>O emissions, which also contributes to uncertainty.]</w:t>
      </w:r>
    </w:p>
    <w:p w14:paraId="04EF4F00" w14:textId="77777777" w:rsidR="00DF55C8" w:rsidRPr="00DF55C8" w:rsidRDefault="00DF55C8" w:rsidP="000B2554">
      <w:pPr>
        <w:numPr>
          <w:ilvl w:val="0"/>
          <w:numId w:val="24"/>
        </w:numPr>
        <w:contextualSpacing/>
        <w:rPr>
          <w:rFonts w:ascii="Calibri" w:eastAsia="Calibri" w:hAnsi="Calibri" w:cs="Calibri"/>
        </w:rPr>
      </w:pPr>
      <w:r w:rsidRPr="00DF55C8">
        <w:rPr>
          <w:rFonts w:ascii="Calibri" w:eastAsia="Calibri" w:hAnsi="Calibri" w:cs="Calibri"/>
        </w:rPr>
        <w:t>Flooding/drainage for rice cultivation</w:t>
      </w:r>
      <w:r w:rsidRPr="00DF55C8">
        <w:rPr>
          <w:rFonts w:ascii="Calibri" w:eastAsia="Calibri" w:hAnsi="Calibri" w:cs="Calibri"/>
        </w:rPr>
        <w:tab/>
      </w:r>
      <w:r w:rsidRPr="00DF55C8">
        <w:rPr>
          <w:rFonts w:ascii="Calibri" w:eastAsia="Calibri" w:hAnsi="Calibri" w:cs="Calibri"/>
        </w:rPr>
        <w:tab/>
        <w:t>___________</w:t>
      </w:r>
    </w:p>
    <w:p w14:paraId="4FB705CB" w14:textId="29616F26" w:rsidR="00DF55C8" w:rsidRPr="00CC0ACC" w:rsidRDefault="00DF55C8" w:rsidP="00CC0ACC">
      <w:pPr>
        <w:ind w:left="720"/>
        <w:rPr>
          <w:rFonts w:ascii="Calibri" w:eastAsia="Calibri" w:hAnsi="Calibri" w:cs="Calibri"/>
          <w:color w:val="000000"/>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Rice cultivation water management data is not available, so all rice fields are assumed to have continuous flooding, even though it is known that rice crop production does include a minor amount of land with mid-season drainage of alternate wet-dry periods. Additionally, no data are available on winter flooding for a subset of states, so the average amount of winter flooding is assumed to be constant, and identical to that of Arkansas.]</w:t>
      </w:r>
    </w:p>
    <w:p w14:paraId="3B661CE1" w14:textId="77777777" w:rsidR="00DF55C8" w:rsidRPr="00DF55C8" w:rsidRDefault="00DF55C8" w:rsidP="000B2554">
      <w:pPr>
        <w:numPr>
          <w:ilvl w:val="0"/>
          <w:numId w:val="24"/>
        </w:numPr>
        <w:contextualSpacing/>
        <w:rPr>
          <w:rFonts w:ascii="Calibri" w:eastAsia="Calibri" w:hAnsi="Calibri" w:cs="Calibri"/>
        </w:rPr>
      </w:pPr>
      <w:r w:rsidRPr="00DF55C8">
        <w:rPr>
          <w:rFonts w:ascii="Calibri" w:eastAsia="Calibri" w:hAnsi="Calibri" w:cs="Calibri"/>
        </w:rPr>
        <w:t>Organic amendments for rice cultivation</w:t>
      </w:r>
      <w:r w:rsidRPr="00DF55C8">
        <w:rPr>
          <w:rFonts w:ascii="Calibri" w:eastAsia="Calibri" w:hAnsi="Calibri" w:cs="Calibri"/>
        </w:rPr>
        <w:tab/>
        <w:t>___________</w:t>
      </w:r>
    </w:p>
    <w:p w14:paraId="576EBF4D" w14:textId="77777777" w:rsidR="00DF55C8" w:rsidRPr="00DF55C8" w:rsidRDefault="00DF55C8" w:rsidP="00DF55C8">
      <w:pPr>
        <w:ind w:left="720"/>
        <w:contextualSpacing/>
        <w:rPr>
          <w:rFonts w:ascii="Calibri" w:eastAsia="Calibri" w:hAnsi="Calibri" w:cs="Calibri"/>
        </w:rPr>
      </w:pPr>
      <w:r w:rsidRPr="00DF55C8">
        <w:rPr>
          <w:rFonts w:ascii="Calibri" w:eastAsia="Calibri" w:hAnsi="Calibri" w:cs="Calibri"/>
        </w:rPr>
        <w:t>[</w:t>
      </w:r>
      <w:r w:rsidRPr="00DF55C8">
        <w:rPr>
          <w:rFonts w:ascii="Calibri" w:eastAsia="Calibri" w:hAnsi="Calibri" w:cs="Calibri"/>
          <w:b/>
        </w:rPr>
        <w:t>Hyperlink description</w:t>
      </w:r>
      <w:r w:rsidRPr="00DF55C8">
        <w:rPr>
          <w:rFonts w:ascii="Calibri" w:eastAsia="Calibri" w:hAnsi="Calibri" w:cs="Calibri"/>
        </w:rPr>
        <w:t xml:space="preserve">: </w:t>
      </w:r>
      <w:r w:rsidRPr="00DF55C8">
        <w:rPr>
          <w:rFonts w:ascii="Calibri" w:eastAsia="Calibri" w:hAnsi="Calibri" w:cs="Calibri"/>
          <w:color w:val="000000"/>
        </w:rPr>
        <w:t>In the U.S., rice straw - the only organic amendment considered for rice cultivation - is not typically harvested from fields so it is simulated in DayCent using crop yield data.]</w:t>
      </w:r>
    </w:p>
    <w:p w14:paraId="4EADC576" w14:textId="77777777" w:rsidR="00DF55C8" w:rsidRPr="00DF55C8" w:rsidRDefault="00DF55C8" w:rsidP="00DF55C8">
      <w:pPr>
        <w:rPr>
          <w:rFonts w:ascii="Calibri" w:eastAsia="Calibri" w:hAnsi="Calibri" w:cs="Times New Roman"/>
          <w:i/>
        </w:rPr>
      </w:pPr>
    </w:p>
    <w:p w14:paraId="7B7D2D8F" w14:textId="77777777" w:rsidR="00DF55C8" w:rsidRPr="00DF55C8" w:rsidRDefault="00DF55C8" w:rsidP="00DF55C8">
      <w:pPr>
        <w:rPr>
          <w:rFonts w:ascii="Calibri" w:eastAsia="Calibri" w:hAnsi="Calibri" w:cs="Times New Roman"/>
          <w:u w:val="single"/>
        </w:rPr>
      </w:pPr>
      <w:r w:rsidRPr="00DF55C8">
        <w:rPr>
          <w:rFonts w:ascii="Calibri" w:eastAsia="Calibri" w:hAnsi="Calibri" w:cs="Times New Roman"/>
          <w:noProof/>
        </w:rPr>
        <mc:AlternateContent>
          <mc:Choice Requires="wps">
            <w:drawing>
              <wp:anchor distT="45720" distB="45720" distL="114300" distR="114300" simplePos="0" relativeHeight="251659264" behindDoc="0" locked="0" layoutInCell="1" allowOverlap="1" wp14:anchorId="5BC02DC4" wp14:editId="76A88FDE">
                <wp:simplePos x="0" y="0"/>
                <wp:positionH relativeFrom="margin">
                  <wp:align>left</wp:align>
                </wp:positionH>
                <wp:positionV relativeFrom="paragraph">
                  <wp:posOffset>42545</wp:posOffset>
                </wp:positionV>
                <wp:extent cx="4686300" cy="9429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42975"/>
                        </a:xfrm>
                        <a:prstGeom prst="rect">
                          <a:avLst/>
                        </a:prstGeom>
                        <a:solidFill>
                          <a:srgbClr val="FFFFFF"/>
                        </a:solidFill>
                        <a:ln w="9525">
                          <a:solidFill>
                            <a:srgbClr val="000000"/>
                          </a:solidFill>
                          <a:miter lim="800000"/>
                          <a:headEnd/>
                          <a:tailEnd/>
                        </a:ln>
                      </wps:spPr>
                      <wps:txbx>
                        <w:txbxContent>
                          <w:p w14:paraId="326506BB" w14:textId="77777777" w:rsidR="00876770" w:rsidRDefault="00876770" w:rsidP="00DF55C8">
                            <w:r>
                              <w:t xml:space="preserve">Please enter any comments, additional knowledge, or justification that you have regarding this question and/or your estimate. </w:t>
                            </w:r>
                          </w:p>
                          <w:p w14:paraId="68BFFD83" w14:textId="77777777" w:rsidR="00876770" w:rsidRDefault="00876770" w:rsidP="00DF55C8"/>
                          <w:p w14:paraId="286D7E2B"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02DC4" id="_x0000_s1028" type="#_x0000_t202" style="position:absolute;margin-left:0;margin-top:3.35pt;width:369pt;height:74.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">
                <v:textbox>
                  <w:txbxContent>
                    <w:p w14:paraId="326506BB" w14:textId="77777777" w:rsidR="00876770" w:rsidRDefault="00876770" w:rsidP="00DF55C8">
                      <w:r>
                        <w:t xml:space="preserve">Please enter any comments, additional knowledge, or justification that you have regarding this question and/or your estimate. </w:t>
                      </w:r>
                    </w:p>
                    <w:p w14:paraId="68BFFD83" w14:textId="77777777" w:rsidR="00876770" w:rsidRDefault="00876770" w:rsidP="00DF55C8"/>
                    <w:p w14:paraId="286D7E2B" w14:textId="77777777" w:rsidR="00876770" w:rsidRDefault="00876770" w:rsidP="00DF55C8"/>
                  </w:txbxContent>
                </v:textbox>
                <w10:wrap type="square" anchorx="margin"/>
              </v:shape>
            </w:pict>
          </mc:Fallback>
        </mc:AlternateContent>
      </w:r>
    </w:p>
    <w:p w14:paraId="0C49C428" w14:textId="77777777" w:rsidR="00DF55C8" w:rsidRPr="00DF55C8" w:rsidRDefault="00DF55C8" w:rsidP="00DF55C8">
      <w:pPr>
        <w:rPr>
          <w:rFonts w:ascii="Calibri" w:eastAsia="Calibri" w:hAnsi="Calibri" w:cs="Times New Roman"/>
          <w:u w:val="single"/>
        </w:rPr>
      </w:pPr>
    </w:p>
    <w:p w14:paraId="04F6FA17" w14:textId="77777777" w:rsidR="00DF55C8" w:rsidRPr="00DF55C8" w:rsidRDefault="00DF55C8" w:rsidP="00DF55C8">
      <w:pPr>
        <w:rPr>
          <w:rFonts w:ascii="Calibri" w:eastAsia="Calibri" w:hAnsi="Calibri" w:cs="Times New Roman"/>
          <w:u w:val="single"/>
        </w:rPr>
      </w:pPr>
    </w:p>
    <w:p w14:paraId="11E509BE" w14:textId="77777777" w:rsidR="00DF55C8" w:rsidRPr="00DF55C8" w:rsidRDefault="00DF55C8" w:rsidP="00DF55C8">
      <w:pPr>
        <w:rPr>
          <w:rFonts w:ascii="Calibri" w:eastAsia="Calibri" w:hAnsi="Calibri" w:cs="Times New Roman"/>
          <w:u w:val="single"/>
        </w:rPr>
      </w:pPr>
    </w:p>
    <w:p w14:paraId="1AB37925" w14:textId="77777777" w:rsidR="00DF55C8" w:rsidRPr="00DF55C8" w:rsidRDefault="00DF55C8" w:rsidP="00DF55C8">
      <w:pPr>
        <w:rPr>
          <w:rFonts w:ascii="Calibri" w:eastAsia="Calibri" w:hAnsi="Calibri" w:cs="Times New Roman"/>
          <w:u w:val="single"/>
        </w:rPr>
      </w:pPr>
      <w:r w:rsidRPr="00DF55C8">
        <w:rPr>
          <w:rFonts w:ascii="Calibri" w:eastAsia="Calibri" w:hAnsi="Calibri" w:cs="Times New Roman"/>
          <w:noProof/>
        </w:rPr>
        <w:lastRenderedPageBreak/>
        <mc:AlternateContent>
          <mc:Choice Requires="wps">
            <w:drawing>
              <wp:anchor distT="45720" distB="45720" distL="114300" distR="114300" simplePos="0" relativeHeight="251664384" behindDoc="0" locked="0" layoutInCell="1" allowOverlap="1" wp14:anchorId="3BA4256B" wp14:editId="233C57C2">
                <wp:simplePos x="0" y="0"/>
                <wp:positionH relativeFrom="margin">
                  <wp:align>left</wp:align>
                </wp:positionH>
                <wp:positionV relativeFrom="paragraph">
                  <wp:posOffset>38735</wp:posOffset>
                </wp:positionV>
                <wp:extent cx="4686300" cy="1219200"/>
                <wp:effectExtent l="0" t="0" r="1905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219200"/>
                        </a:xfrm>
                        <a:prstGeom prst="rect">
                          <a:avLst/>
                        </a:prstGeom>
                        <a:solidFill>
                          <a:srgbClr val="FFFFFF"/>
                        </a:solidFill>
                        <a:ln w="9525">
                          <a:solidFill>
                            <a:srgbClr val="000000"/>
                          </a:solidFill>
                          <a:miter lim="800000"/>
                          <a:headEnd/>
                          <a:tailEnd/>
                        </a:ln>
                      </wps:spPr>
                      <wps:txbx>
                        <w:txbxContent>
                          <w:p w14:paraId="626C229E" w14:textId="77777777" w:rsidR="00876770" w:rsidRDefault="00876770" w:rsidP="00DF55C8">
                            <w:r>
                              <w:t>We are also interested in literature or other research that has informed your responses expressed here. Please share any recommended reading, including links if you have them.</w:t>
                            </w:r>
                          </w:p>
                          <w:p w14:paraId="6978F458"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A4256B" id="_x0000_s1029" type="#_x0000_t202" style="position:absolute;margin-left:0;margin-top:3.05pt;width:369pt;height:96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">
                <v:textbox>
                  <w:txbxContent>
                    <w:p w14:paraId="626C229E" w14:textId="77777777" w:rsidR="00876770" w:rsidRDefault="00876770" w:rsidP="00DF55C8">
                      <w:r>
                        <w:t>We are also interested in literature or other research that has informed your responses expressed here. Please share any recommended reading, including links if you have them.</w:t>
                      </w:r>
                    </w:p>
                    <w:p w14:paraId="6978F458" w14:textId="77777777" w:rsidR="00876770" w:rsidRDefault="00876770" w:rsidP="00DF55C8"/>
                  </w:txbxContent>
                </v:textbox>
                <w10:wrap type="square" anchorx="margin"/>
              </v:shape>
            </w:pict>
          </mc:Fallback>
        </mc:AlternateContent>
      </w:r>
    </w:p>
    <w:p w14:paraId="723B3FFA" w14:textId="77777777" w:rsidR="00DF55C8" w:rsidRPr="00DF55C8" w:rsidRDefault="00DF55C8" w:rsidP="00DF55C8">
      <w:pPr>
        <w:rPr>
          <w:rFonts w:ascii="Calibri" w:eastAsia="Calibri" w:hAnsi="Calibri" w:cs="Times New Roman"/>
          <w:u w:val="single"/>
        </w:rPr>
      </w:pPr>
    </w:p>
    <w:p w14:paraId="66125B38" w14:textId="77777777" w:rsidR="00DF55C8" w:rsidRPr="00DF55C8" w:rsidRDefault="00DF55C8" w:rsidP="00DF55C8">
      <w:pPr>
        <w:rPr>
          <w:rFonts w:ascii="Calibri" w:eastAsia="Calibri" w:hAnsi="Calibri" w:cs="Times New Roman"/>
        </w:rPr>
      </w:pPr>
    </w:p>
    <w:p w14:paraId="694267DB" w14:textId="77777777" w:rsidR="00DF55C8" w:rsidRPr="00DF55C8" w:rsidRDefault="00DF55C8" w:rsidP="00DF55C8">
      <w:pPr>
        <w:rPr>
          <w:rFonts w:ascii="Calibri" w:eastAsia="Calibri" w:hAnsi="Calibri" w:cs="Times New Roman"/>
        </w:rPr>
      </w:pPr>
    </w:p>
    <w:p w14:paraId="339727B5" w14:textId="77777777" w:rsidR="00DF55C8" w:rsidRPr="00DF55C8" w:rsidRDefault="00DF55C8" w:rsidP="00DF55C8">
      <w:pPr>
        <w:rPr>
          <w:rFonts w:ascii="Calibri" w:eastAsia="Calibri" w:hAnsi="Calibri" w:cs="Times New Roman"/>
        </w:rPr>
      </w:pPr>
    </w:p>
    <w:p w14:paraId="48DB1ADA" w14:textId="77777777" w:rsidR="00DF55C8" w:rsidRPr="00DF55C8" w:rsidRDefault="00DF55C8" w:rsidP="00DF55C8">
      <w:pPr>
        <w:rPr>
          <w:rFonts w:ascii="Calibri" w:eastAsia="Calibri" w:hAnsi="Calibri" w:cs="Times New Roman"/>
          <w:u w:val="single"/>
        </w:rPr>
      </w:pPr>
    </w:p>
    <w:p w14:paraId="18A1FDB5"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t xml:space="preserve">Section 1, Prompt 3 </w:t>
      </w:r>
    </w:p>
    <w:p w14:paraId="198EBA6F"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t>Directions</w:t>
      </w:r>
    </w:p>
    <w:p w14:paraId="1392F836"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 xml:space="preserve">The LULUCF inventory also lists planned/suggested improvements to future versions. For each of the following proposed improvements, rank its ability to reduce U.S. soil GHG emissions uncertainty or address omitted fluxes, as described in the previous prompts. Please rate the elements according to their importance. </w:t>
      </w:r>
    </w:p>
    <w:p w14:paraId="0848F8D3" w14:textId="77777777" w:rsidR="00DF55C8" w:rsidRPr="00DF55C8" w:rsidRDefault="00DF55C8" w:rsidP="00DF55C8">
      <w:pPr>
        <w:rPr>
          <w:rFonts w:ascii="Calibri" w:eastAsia="Calibri" w:hAnsi="Calibri" w:cs="Times New Roman"/>
          <w:b/>
        </w:rPr>
      </w:pPr>
      <w:r w:rsidRPr="00DF55C8">
        <w:rPr>
          <w:rFonts w:ascii="Calibri" w:eastAsia="Calibri" w:hAnsi="Calibri" w:cs="Times New Roman"/>
          <w:b/>
        </w:rPr>
        <w:t>CO</w:t>
      </w:r>
      <w:r w:rsidRPr="00DF55C8">
        <w:rPr>
          <w:rFonts w:ascii="Calibri" w:eastAsia="Calibri" w:hAnsi="Calibri" w:cs="Times New Roman"/>
          <w:b/>
          <w:vertAlign w:val="subscript"/>
        </w:rPr>
        <w:t>2</w:t>
      </w:r>
      <w:r w:rsidRPr="00DF55C8">
        <w:rPr>
          <w:rFonts w:ascii="Calibri" w:eastAsia="Calibri" w:hAnsi="Calibri" w:cs="Times New Roman"/>
          <w:b/>
        </w:rPr>
        <w:t>, N</w:t>
      </w:r>
      <w:r w:rsidRPr="00DF55C8">
        <w:rPr>
          <w:rFonts w:ascii="Calibri" w:eastAsia="Calibri" w:hAnsi="Calibri" w:cs="Times New Roman"/>
          <w:b/>
          <w:vertAlign w:val="subscript"/>
        </w:rPr>
        <w:t>2</w:t>
      </w:r>
      <w:r w:rsidRPr="00DF55C8">
        <w:rPr>
          <w:rFonts w:ascii="Calibri" w:eastAsia="Calibri" w:hAnsi="Calibri" w:cs="Times New Roman"/>
          <w:b/>
        </w:rPr>
        <w:t>O and CH</w:t>
      </w:r>
      <w:r w:rsidRPr="00DF55C8">
        <w:rPr>
          <w:rFonts w:ascii="Calibri" w:eastAsia="Calibri" w:hAnsi="Calibri" w:cs="Times New Roman"/>
          <w:b/>
          <w:vertAlign w:val="subscript"/>
        </w:rPr>
        <w:t xml:space="preserve">4 </w:t>
      </w:r>
      <w:r w:rsidRPr="00DF55C8">
        <w:rPr>
          <w:rFonts w:ascii="Calibri" w:eastAsia="Calibri" w:hAnsi="Calibri" w:cs="Times New Roman"/>
          <w:b/>
        </w:rPr>
        <w:t>fluxes</w:t>
      </w:r>
    </w:p>
    <w:tbl>
      <w:tblPr>
        <w:tblStyle w:val="GridTable4-Accent61"/>
        <w:tblW w:w="0" w:type="auto"/>
        <w:tblLook w:val="06A0" w:firstRow="1" w:lastRow="0" w:firstColumn="1" w:lastColumn="0" w:noHBand="1" w:noVBand="1"/>
      </w:tblPr>
      <w:tblGrid>
        <w:gridCol w:w="1483"/>
        <w:gridCol w:w="2922"/>
        <w:gridCol w:w="990"/>
        <w:gridCol w:w="990"/>
        <w:gridCol w:w="990"/>
        <w:gridCol w:w="990"/>
        <w:gridCol w:w="985"/>
      </w:tblGrid>
      <w:tr w:rsidR="00DF55C8" w:rsidRPr="00DF55C8" w14:paraId="6A6B521B" w14:textId="77777777" w:rsidTr="00DF5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Pr>
          <w:p w14:paraId="727E7BE2" w14:textId="77777777" w:rsidR="00DF55C8" w:rsidRPr="00DF55C8" w:rsidRDefault="00DF55C8" w:rsidP="00DF55C8">
            <w:pPr>
              <w:rPr>
                <w:rFonts w:ascii="Calibri" w:eastAsia="Calibri" w:hAnsi="Calibri" w:cs="Calibri"/>
                <w:sz w:val="18"/>
                <w:szCs w:val="18"/>
              </w:rPr>
            </w:pPr>
          </w:p>
        </w:tc>
        <w:tc>
          <w:tcPr>
            <w:tcW w:w="2922" w:type="dxa"/>
          </w:tcPr>
          <w:p w14:paraId="79638702"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[Hyperlink description]</w:t>
            </w:r>
          </w:p>
        </w:tc>
        <w:tc>
          <w:tcPr>
            <w:tcW w:w="990" w:type="dxa"/>
          </w:tcPr>
          <w:p w14:paraId="7A3F45F1"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Not important</w:t>
            </w:r>
          </w:p>
        </w:tc>
        <w:tc>
          <w:tcPr>
            <w:tcW w:w="990" w:type="dxa"/>
          </w:tcPr>
          <w:p w14:paraId="686B363E"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Slightly important</w:t>
            </w:r>
          </w:p>
        </w:tc>
        <w:tc>
          <w:tcPr>
            <w:tcW w:w="990" w:type="dxa"/>
          </w:tcPr>
          <w:p w14:paraId="740CE6ED"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Important</w:t>
            </w:r>
          </w:p>
        </w:tc>
        <w:tc>
          <w:tcPr>
            <w:tcW w:w="990" w:type="dxa"/>
          </w:tcPr>
          <w:p w14:paraId="2E03FC59"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Very important</w:t>
            </w:r>
          </w:p>
        </w:tc>
        <w:tc>
          <w:tcPr>
            <w:tcW w:w="985" w:type="dxa"/>
          </w:tcPr>
          <w:p w14:paraId="69F4ABAF"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Extremely important</w:t>
            </w:r>
          </w:p>
        </w:tc>
      </w:tr>
      <w:tr w:rsidR="00DF55C8" w:rsidRPr="00DF55C8" w14:paraId="72F974F0" w14:textId="77777777" w:rsidTr="005E4D1E">
        <w:tc>
          <w:tcPr>
            <w:cnfStyle w:val="001000000000" w:firstRow="0" w:lastRow="0" w:firstColumn="1" w:lastColumn="0" w:oddVBand="0" w:evenVBand="0" w:oddHBand="0" w:evenHBand="0" w:firstRowFirstColumn="0" w:firstRowLastColumn="0" w:lastRowFirstColumn="0" w:lastRowLastColumn="0"/>
            <w:tcW w:w="1483" w:type="dxa"/>
          </w:tcPr>
          <w:p w14:paraId="3239C77A" w14:textId="77777777" w:rsidR="00DF55C8" w:rsidRPr="00DF55C8" w:rsidRDefault="00DF55C8" w:rsidP="00DF55C8">
            <w:pPr>
              <w:rPr>
                <w:rFonts w:ascii="Calibri" w:eastAsia="Calibri" w:hAnsi="Calibri" w:cs="Calibri"/>
                <w:sz w:val="18"/>
                <w:szCs w:val="18"/>
              </w:rPr>
            </w:pPr>
            <w:r w:rsidRPr="00DF55C8">
              <w:rPr>
                <w:rFonts w:ascii="Calibri" w:eastAsia="Calibri" w:hAnsi="Calibri" w:cs="Calibri"/>
                <w:sz w:val="18"/>
                <w:szCs w:val="18"/>
              </w:rPr>
              <w:t>Improved simulation of plant production</w:t>
            </w:r>
          </w:p>
        </w:tc>
        <w:tc>
          <w:tcPr>
            <w:tcW w:w="2922" w:type="dxa"/>
          </w:tcPr>
          <w:p w14:paraId="6DA65BD9" w14:textId="77777777" w:rsidR="00DF55C8" w:rsidRPr="00DF55C8" w:rsidRDefault="00DF55C8" w:rsidP="00DF55C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color w:val="000000"/>
                <w:sz w:val="18"/>
                <w:szCs w:val="18"/>
              </w:rPr>
              <w:t>Through additional model calibration, crop parameters influenced by temperature effects on plant production will be improved.</w:t>
            </w:r>
          </w:p>
        </w:tc>
        <w:tc>
          <w:tcPr>
            <w:tcW w:w="990" w:type="dxa"/>
            <w:vAlign w:val="center"/>
          </w:tcPr>
          <w:p w14:paraId="221E8D7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F55C8">
              <w:rPr>
                <w:rFonts w:ascii="Calibri" w:eastAsia="MS Gothic" w:hAnsi="Calibri" w:cs="Calibri"/>
                <w:b/>
              </w:rPr>
              <w:t>○</w:t>
            </w:r>
          </w:p>
        </w:tc>
        <w:tc>
          <w:tcPr>
            <w:tcW w:w="990" w:type="dxa"/>
            <w:vAlign w:val="center"/>
          </w:tcPr>
          <w:p w14:paraId="0924FA6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6AA6E66E"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FE2FFD3"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85" w:type="dxa"/>
            <w:vAlign w:val="center"/>
          </w:tcPr>
          <w:p w14:paraId="627D10C6"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56D3D986" w14:textId="77777777" w:rsidTr="005E4D1E">
        <w:tc>
          <w:tcPr>
            <w:cnfStyle w:val="001000000000" w:firstRow="0" w:lastRow="0" w:firstColumn="1" w:lastColumn="0" w:oddVBand="0" w:evenVBand="0" w:oddHBand="0" w:evenHBand="0" w:firstRowFirstColumn="0" w:firstRowLastColumn="0" w:lastRowFirstColumn="0" w:lastRowLastColumn="0"/>
            <w:tcW w:w="1483" w:type="dxa"/>
          </w:tcPr>
          <w:p w14:paraId="67080270" w14:textId="77777777" w:rsidR="00DF55C8" w:rsidRPr="00DF55C8" w:rsidRDefault="00DF55C8" w:rsidP="00DF55C8">
            <w:pPr>
              <w:rPr>
                <w:rFonts w:ascii="Calibri" w:eastAsia="Calibri" w:hAnsi="Calibri" w:cs="Calibri"/>
                <w:sz w:val="18"/>
                <w:szCs w:val="18"/>
              </w:rPr>
            </w:pPr>
            <w:r w:rsidRPr="00DF55C8">
              <w:rPr>
                <w:rFonts w:ascii="Calibri" w:eastAsia="Calibri" w:hAnsi="Calibri" w:cs="Calibri"/>
                <w:sz w:val="18"/>
                <w:szCs w:val="18"/>
              </w:rPr>
              <w:t>Additional experimental site studies</w:t>
            </w:r>
          </w:p>
        </w:tc>
        <w:tc>
          <w:tcPr>
            <w:tcW w:w="2922" w:type="dxa"/>
          </w:tcPr>
          <w:p w14:paraId="39526837" w14:textId="77777777" w:rsidR="00DF55C8" w:rsidRPr="00DF55C8" w:rsidRDefault="00DF55C8" w:rsidP="00DF55C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color w:val="000000"/>
                <w:sz w:val="18"/>
                <w:szCs w:val="18"/>
              </w:rPr>
              <w:t>Additional experimental site studies will help reduce model structural uncertainty through additional calibration and improve estimates of model structural uncertainty.</w:t>
            </w:r>
          </w:p>
        </w:tc>
        <w:tc>
          <w:tcPr>
            <w:tcW w:w="990" w:type="dxa"/>
            <w:vAlign w:val="center"/>
          </w:tcPr>
          <w:p w14:paraId="2974E48B"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047064D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66D861DE"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62F677B"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85" w:type="dxa"/>
            <w:vAlign w:val="center"/>
          </w:tcPr>
          <w:p w14:paraId="33A1876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1739F8F7" w14:textId="77777777" w:rsidTr="005E4D1E">
        <w:tc>
          <w:tcPr>
            <w:cnfStyle w:val="001000000000" w:firstRow="0" w:lastRow="0" w:firstColumn="1" w:lastColumn="0" w:oddVBand="0" w:evenVBand="0" w:oddHBand="0" w:evenHBand="0" w:firstRowFirstColumn="0" w:firstRowLastColumn="0" w:lastRowFirstColumn="0" w:lastRowLastColumn="0"/>
            <w:tcW w:w="1483" w:type="dxa"/>
          </w:tcPr>
          <w:p w14:paraId="184CCD7D" w14:textId="77777777" w:rsidR="00DF55C8" w:rsidRPr="00DF55C8" w:rsidRDefault="00DF55C8" w:rsidP="00DF55C8">
            <w:pPr>
              <w:rPr>
                <w:rFonts w:ascii="Calibri" w:eastAsia="Calibri" w:hAnsi="Calibri" w:cs="Calibri"/>
                <w:sz w:val="18"/>
                <w:szCs w:val="18"/>
              </w:rPr>
            </w:pPr>
            <w:r w:rsidRPr="00DF55C8">
              <w:rPr>
                <w:rFonts w:ascii="Calibri" w:eastAsia="Calibri" w:hAnsi="Calibri" w:cs="Calibri"/>
                <w:sz w:val="18"/>
                <w:szCs w:val="18"/>
              </w:rPr>
              <w:t>Conservation Effects Assessment Project (CEAP)</w:t>
            </w:r>
          </w:p>
        </w:tc>
        <w:tc>
          <w:tcPr>
            <w:tcW w:w="2922" w:type="dxa"/>
          </w:tcPr>
          <w:p w14:paraId="5573E5C9" w14:textId="77777777" w:rsidR="00DF55C8" w:rsidRPr="00DF55C8" w:rsidRDefault="00DF55C8" w:rsidP="00DF55C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color w:val="000000"/>
                <w:sz w:val="18"/>
                <w:szCs w:val="18"/>
              </w:rPr>
              <w:t>Currently, the NGHGI uses primarily NRI data, but a proposed improvement is to incorporate Conservation Effects Assessment Project (CEAP) data. CEAP gathers U.S. data on conservation management practices. This data would provide more detailed information on landowner uptake of elements like fertilizer rates, tillage practices, erosion control, crop rotations, and dozens of other conservation practices. CEAP data is based on farmer surveys as well as NRI data.</w:t>
            </w:r>
          </w:p>
        </w:tc>
        <w:tc>
          <w:tcPr>
            <w:tcW w:w="990" w:type="dxa"/>
            <w:vAlign w:val="center"/>
          </w:tcPr>
          <w:p w14:paraId="5A4344C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61B1A02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765A555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028965B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85" w:type="dxa"/>
            <w:vAlign w:val="center"/>
          </w:tcPr>
          <w:p w14:paraId="6C0F04D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5F2D492C" w14:textId="77777777" w:rsidTr="005E4D1E">
        <w:tc>
          <w:tcPr>
            <w:cnfStyle w:val="001000000000" w:firstRow="0" w:lastRow="0" w:firstColumn="1" w:lastColumn="0" w:oddVBand="0" w:evenVBand="0" w:oddHBand="0" w:evenHBand="0" w:firstRowFirstColumn="0" w:firstRowLastColumn="0" w:lastRowFirstColumn="0" w:lastRowLastColumn="0"/>
            <w:tcW w:w="1483" w:type="dxa"/>
          </w:tcPr>
          <w:p w14:paraId="2610D727" w14:textId="77777777" w:rsidR="00DF55C8" w:rsidRPr="00DF55C8" w:rsidRDefault="00DF55C8" w:rsidP="00DF55C8">
            <w:pPr>
              <w:rPr>
                <w:rFonts w:ascii="Calibri" w:eastAsia="Calibri" w:hAnsi="Calibri" w:cs="Calibri"/>
                <w:sz w:val="18"/>
                <w:szCs w:val="18"/>
              </w:rPr>
            </w:pPr>
            <w:r w:rsidRPr="00DF55C8">
              <w:rPr>
                <w:rFonts w:ascii="Calibri" w:eastAsia="Calibri" w:hAnsi="Calibri" w:cs="Calibri"/>
                <w:sz w:val="18"/>
                <w:szCs w:val="18"/>
              </w:rPr>
              <w:t>Crop residue burning</w:t>
            </w:r>
          </w:p>
        </w:tc>
        <w:tc>
          <w:tcPr>
            <w:tcW w:w="2922" w:type="dxa"/>
          </w:tcPr>
          <w:p w14:paraId="6F1AA837" w14:textId="77777777" w:rsidR="00DF55C8" w:rsidRPr="00DF55C8" w:rsidRDefault="00DF55C8" w:rsidP="00DF55C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color w:val="000000"/>
                <w:sz w:val="18"/>
                <w:szCs w:val="18"/>
              </w:rPr>
              <w:t>Additional data that captures amount of crop residues burned will be incorporated.</w:t>
            </w:r>
          </w:p>
        </w:tc>
        <w:tc>
          <w:tcPr>
            <w:tcW w:w="990" w:type="dxa"/>
            <w:vAlign w:val="center"/>
          </w:tcPr>
          <w:p w14:paraId="6CB436E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8AAE53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2F27D90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26BDB2EB"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85" w:type="dxa"/>
            <w:vAlign w:val="center"/>
          </w:tcPr>
          <w:p w14:paraId="56859EE3"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6279B9B4" w14:textId="77777777" w:rsidTr="005E4D1E">
        <w:tc>
          <w:tcPr>
            <w:cnfStyle w:val="001000000000" w:firstRow="0" w:lastRow="0" w:firstColumn="1" w:lastColumn="0" w:oddVBand="0" w:evenVBand="0" w:oddHBand="0" w:evenHBand="0" w:firstRowFirstColumn="0" w:firstRowLastColumn="0" w:lastRowFirstColumn="0" w:lastRowLastColumn="0"/>
            <w:tcW w:w="1483" w:type="dxa"/>
          </w:tcPr>
          <w:p w14:paraId="675D0D99" w14:textId="77777777" w:rsidR="00DF55C8" w:rsidRPr="00DF55C8" w:rsidRDefault="00DF55C8" w:rsidP="00DF55C8">
            <w:pPr>
              <w:rPr>
                <w:rFonts w:ascii="Calibri" w:eastAsia="Calibri" w:hAnsi="Calibri" w:cs="Calibri"/>
                <w:sz w:val="18"/>
                <w:szCs w:val="18"/>
              </w:rPr>
            </w:pPr>
            <w:r w:rsidRPr="00DF55C8">
              <w:rPr>
                <w:rFonts w:ascii="Calibri" w:eastAsia="Calibri" w:hAnsi="Calibri" w:cs="Calibri"/>
                <w:sz w:val="18"/>
                <w:szCs w:val="18"/>
              </w:rPr>
              <w:t>Soil organic stock changes to a depth beyond 30 cm</w:t>
            </w:r>
          </w:p>
        </w:tc>
        <w:tc>
          <w:tcPr>
            <w:tcW w:w="2922" w:type="dxa"/>
          </w:tcPr>
          <w:p w14:paraId="77DFA702" w14:textId="77777777" w:rsidR="00DF55C8" w:rsidRPr="00DF55C8" w:rsidRDefault="00DF55C8" w:rsidP="00DF55C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color w:val="000000"/>
                <w:sz w:val="18"/>
                <w:szCs w:val="18"/>
              </w:rPr>
              <w:t>Current measurements and modeling used in the NGHGI only look at the top 30 cm.</w:t>
            </w:r>
          </w:p>
        </w:tc>
        <w:tc>
          <w:tcPr>
            <w:tcW w:w="990" w:type="dxa"/>
            <w:vAlign w:val="center"/>
          </w:tcPr>
          <w:p w14:paraId="5A16DE4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3A5B237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56B560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1CF47C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85" w:type="dxa"/>
            <w:vAlign w:val="center"/>
          </w:tcPr>
          <w:p w14:paraId="5802120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5FA1EDDB" w14:textId="77777777" w:rsidTr="005E4D1E">
        <w:tc>
          <w:tcPr>
            <w:cnfStyle w:val="001000000000" w:firstRow="0" w:lastRow="0" w:firstColumn="1" w:lastColumn="0" w:oddVBand="0" w:evenVBand="0" w:oddHBand="0" w:evenHBand="0" w:firstRowFirstColumn="0" w:firstRowLastColumn="0" w:lastRowFirstColumn="0" w:lastRowLastColumn="0"/>
            <w:tcW w:w="1483" w:type="dxa"/>
          </w:tcPr>
          <w:p w14:paraId="72D62C91" w14:textId="77777777" w:rsidR="00DF55C8" w:rsidRPr="00DF55C8" w:rsidRDefault="00DF55C8" w:rsidP="00DF55C8">
            <w:pPr>
              <w:rPr>
                <w:rFonts w:ascii="Calibri" w:eastAsia="Calibri" w:hAnsi="Calibri" w:cs="Calibri"/>
                <w:sz w:val="18"/>
                <w:szCs w:val="18"/>
              </w:rPr>
            </w:pPr>
            <w:r w:rsidRPr="00DF55C8">
              <w:rPr>
                <w:rFonts w:ascii="Calibri" w:eastAsia="Calibri" w:hAnsi="Calibri" w:cs="Calibri"/>
                <w:sz w:val="18"/>
                <w:szCs w:val="18"/>
              </w:rPr>
              <w:lastRenderedPageBreak/>
              <w:t>Missing fluxes soil GHG emissions from Alaska and Hawaii</w:t>
            </w:r>
          </w:p>
        </w:tc>
        <w:tc>
          <w:tcPr>
            <w:tcW w:w="2922" w:type="dxa"/>
          </w:tcPr>
          <w:p w14:paraId="1D78B263" w14:textId="77777777" w:rsidR="00DF55C8" w:rsidRPr="00DF55C8" w:rsidRDefault="00DF55C8" w:rsidP="00DF55C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color w:val="000000"/>
                <w:sz w:val="18"/>
                <w:szCs w:val="18"/>
              </w:rPr>
              <w:t>Alaska is currently not represented in U.S. soil GHG emissions, and Hawaii is only partially represented for carbon emissions, but not all N</w:t>
            </w:r>
            <w:r w:rsidRPr="00DF55C8">
              <w:rPr>
                <w:rFonts w:ascii="Calibri" w:eastAsia="Calibri" w:hAnsi="Calibri" w:cs="Calibri"/>
                <w:color w:val="000000"/>
                <w:sz w:val="18"/>
                <w:szCs w:val="18"/>
                <w:vertAlign w:val="subscript"/>
              </w:rPr>
              <w:t>2</w:t>
            </w:r>
            <w:r w:rsidRPr="00DF55C8">
              <w:rPr>
                <w:rFonts w:ascii="Calibri" w:eastAsia="Calibri" w:hAnsi="Calibri" w:cs="Calibri"/>
                <w:color w:val="000000"/>
                <w:sz w:val="18"/>
                <w:szCs w:val="18"/>
              </w:rPr>
              <w:t>O emissions.</w:t>
            </w:r>
          </w:p>
        </w:tc>
        <w:tc>
          <w:tcPr>
            <w:tcW w:w="990" w:type="dxa"/>
            <w:vAlign w:val="center"/>
          </w:tcPr>
          <w:p w14:paraId="3A602F3F"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7014EF8"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283F33B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BAFF97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85" w:type="dxa"/>
            <w:vAlign w:val="center"/>
          </w:tcPr>
          <w:p w14:paraId="4901A84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4F772016" w14:textId="77777777" w:rsidTr="005E4D1E">
        <w:tc>
          <w:tcPr>
            <w:cnfStyle w:val="001000000000" w:firstRow="0" w:lastRow="0" w:firstColumn="1" w:lastColumn="0" w:oddVBand="0" w:evenVBand="0" w:oddHBand="0" w:evenHBand="0" w:firstRowFirstColumn="0" w:firstRowLastColumn="0" w:lastRowFirstColumn="0" w:lastRowLastColumn="0"/>
            <w:tcW w:w="1483" w:type="dxa"/>
          </w:tcPr>
          <w:p w14:paraId="622ED5A1" w14:textId="77777777" w:rsidR="00DF55C8" w:rsidRPr="00DF55C8" w:rsidRDefault="00DF55C8" w:rsidP="00DF55C8">
            <w:pPr>
              <w:rPr>
                <w:rFonts w:ascii="Calibri" w:eastAsia="Calibri" w:hAnsi="Calibri" w:cs="Calibri"/>
                <w:sz w:val="18"/>
                <w:szCs w:val="18"/>
              </w:rPr>
            </w:pPr>
            <w:r w:rsidRPr="00DF55C8">
              <w:rPr>
                <w:rFonts w:ascii="Calibri" w:eastAsia="Calibri" w:hAnsi="Calibri" w:cs="Calibri"/>
                <w:sz w:val="18"/>
                <w:szCs w:val="18"/>
              </w:rPr>
              <w:t>Include above-ground biomass C changes</w:t>
            </w:r>
          </w:p>
        </w:tc>
        <w:tc>
          <w:tcPr>
            <w:tcW w:w="2922" w:type="dxa"/>
          </w:tcPr>
          <w:p w14:paraId="39C670FB" w14:textId="77777777" w:rsidR="00DF55C8" w:rsidRPr="00DF55C8" w:rsidRDefault="00DF55C8" w:rsidP="00DF55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DF55C8">
              <w:rPr>
                <w:rFonts w:ascii="Calibri" w:eastAsia="Times New Roman" w:hAnsi="Calibri" w:cs="Calibri"/>
                <w:color w:val="000000"/>
                <w:sz w:val="18"/>
                <w:szCs w:val="18"/>
              </w:rPr>
              <w:t>There is a lack of reporting of woody biomass, dead organic matter, and litter C stock changes on U.S. croplands and grasslands (outside of forest land conversions). This includes any carbon sequestered or emitted by woodlands on grasslands, agroforestry, or any other above-ground biomass. Note that changes in carbon stored in herbaceous biomass is accounted for when cropland or grassland is converted to another land use category. </w:t>
            </w:r>
          </w:p>
        </w:tc>
        <w:tc>
          <w:tcPr>
            <w:tcW w:w="990" w:type="dxa"/>
            <w:vAlign w:val="center"/>
          </w:tcPr>
          <w:p w14:paraId="0CE931D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6928D03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DC92ED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0A16CBEB"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85" w:type="dxa"/>
            <w:vAlign w:val="center"/>
          </w:tcPr>
          <w:p w14:paraId="2799B9B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bl>
    <w:p w14:paraId="2816CE13" w14:textId="77777777" w:rsidR="00DF55C8" w:rsidRPr="00DF55C8" w:rsidRDefault="00DF55C8" w:rsidP="00DF55C8">
      <w:pPr>
        <w:rPr>
          <w:rFonts w:ascii="Calibri" w:eastAsia="Calibri" w:hAnsi="Calibri" w:cs="Times New Roman"/>
        </w:rPr>
      </w:pPr>
    </w:p>
    <w:p w14:paraId="0DEC7FD4" w14:textId="77777777" w:rsidR="00DF55C8" w:rsidRPr="00DF55C8" w:rsidRDefault="00DF55C8" w:rsidP="00DF55C8">
      <w:pPr>
        <w:rPr>
          <w:rFonts w:ascii="Calibri" w:eastAsia="Calibri" w:hAnsi="Calibri" w:cs="Times New Roman"/>
          <w:b/>
        </w:rPr>
      </w:pPr>
      <w:r w:rsidRPr="00DF55C8">
        <w:rPr>
          <w:rFonts w:ascii="Calibri" w:eastAsia="Calibri" w:hAnsi="Calibri" w:cs="Times New Roman"/>
          <w:b/>
        </w:rPr>
        <w:t>N</w:t>
      </w:r>
      <w:r w:rsidRPr="00DF55C8">
        <w:rPr>
          <w:rFonts w:ascii="Calibri" w:eastAsia="Calibri" w:hAnsi="Calibri" w:cs="Times New Roman"/>
          <w:b/>
          <w:vertAlign w:val="subscript"/>
        </w:rPr>
        <w:t>2</w:t>
      </w:r>
      <w:r w:rsidRPr="00DF55C8">
        <w:rPr>
          <w:rFonts w:ascii="Calibri" w:eastAsia="Calibri" w:hAnsi="Calibri" w:cs="Times New Roman"/>
          <w:b/>
        </w:rPr>
        <w:t xml:space="preserve">O fluxes </w:t>
      </w:r>
    </w:p>
    <w:tbl>
      <w:tblPr>
        <w:tblStyle w:val="GridTable4-Accent61"/>
        <w:tblW w:w="0" w:type="auto"/>
        <w:tblLook w:val="06A0" w:firstRow="1" w:lastRow="0" w:firstColumn="1" w:lastColumn="0" w:noHBand="1" w:noVBand="1"/>
      </w:tblPr>
      <w:tblGrid>
        <w:gridCol w:w="1483"/>
        <w:gridCol w:w="2922"/>
        <w:gridCol w:w="990"/>
        <w:gridCol w:w="990"/>
        <w:gridCol w:w="990"/>
        <w:gridCol w:w="990"/>
        <w:gridCol w:w="985"/>
      </w:tblGrid>
      <w:tr w:rsidR="00DF55C8" w:rsidRPr="00DF55C8" w14:paraId="7C1201CA" w14:textId="77777777" w:rsidTr="00DF5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Pr>
          <w:p w14:paraId="44F0A216" w14:textId="77777777" w:rsidR="00DF55C8" w:rsidRPr="00DF55C8" w:rsidRDefault="00DF55C8" w:rsidP="00DF55C8">
            <w:pPr>
              <w:rPr>
                <w:rFonts w:ascii="Calibri" w:eastAsia="Calibri" w:hAnsi="Calibri" w:cs="Calibri"/>
                <w:sz w:val="18"/>
                <w:szCs w:val="18"/>
              </w:rPr>
            </w:pPr>
          </w:p>
        </w:tc>
        <w:tc>
          <w:tcPr>
            <w:tcW w:w="2922" w:type="dxa"/>
          </w:tcPr>
          <w:p w14:paraId="5E86F710"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[Hyperlink description]</w:t>
            </w:r>
          </w:p>
        </w:tc>
        <w:tc>
          <w:tcPr>
            <w:tcW w:w="990" w:type="dxa"/>
          </w:tcPr>
          <w:p w14:paraId="7AC10F2E"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Not important</w:t>
            </w:r>
          </w:p>
        </w:tc>
        <w:tc>
          <w:tcPr>
            <w:tcW w:w="990" w:type="dxa"/>
          </w:tcPr>
          <w:p w14:paraId="5B7046E7"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Slightly important</w:t>
            </w:r>
          </w:p>
        </w:tc>
        <w:tc>
          <w:tcPr>
            <w:tcW w:w="990" w:type="dxa"/>
          </w:tcPr>
          <w:p w14:paraId="7D5CFB09"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Important</w:t>
            </w:r>
          </w:p>
        </w:tc>
        <w:tc>
          <w:tcPr>
            <w:tcW w:w="990" w:type="dxa"/>
          </w:tcPr>
          <w:p w14:paraId="7317706B"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Very important</w:t>
            </w:r>
          </w:p>
        </w:tc>
        <w:tc>
          <w:tcPr>
            <w:tcW w:w="985" w:type="dxa"/>
          </w:tcPr>
          <w:p w14:paraId="6540A54A"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Extremely important</w:t>
            </w:r>
          </w:p>
        </w:tc>
      </w:tr>
      <w:tr w:rsidR="00DF55C8" w:rsidRPr="00DF55C8" w14:paraId="0F1B3DA6" w14:textId="77777777" w:rsidTr="005E4D1E">
        <w:tc>
          <w:tcPr>
            <w:cnfStyle w:val="001000000000" w:firstRow="0" w:lastRow="0" w:firstColumn="1" w:lastColumn="0" w:oddVBand="0" w:evenVBand="0" w:oddHBand="0" w:evenHBand="0" w:firstRowFirstColumn="0" w:firstRowLastColumn="0" w:lastRowFirstColumn="0" w:lastRowLastColumn="0"/>
            <w:tcW w:w="1483" w:type="dxa"/>
          </w:tcPr>
          <w:p w14:paraId="59DB9087" w14:textId="77777777" w:rsidR="00DF55C8" w:rsidRPr="00DF55C8" w:rsidRDefault="00DF55C8" w:rsidP="00DF55C8">
            <w:pPr>
              <w:rPr>
                <w:rFonts w:ascii="Calibri" w:eastAsia="Calibri" w:hAnsi="Calibri" w:cs="Calibri"/>
                <w:sz w:val="18"/>
                <w:szCs w:val="18"/>
              </w:rPr>
            </w:pPr>
            <w:r w:rsidRPr="00DF55C8">
              <w:rPr>
                <w:rFonts w:ascii="Calibri" w:eastAsia="Calibri" w:hAnsi="Calibri" w:cs="Calibri"/>
                <w:sz w:val="18"/>
                <w:szCs w:val="18"/>
              </w:rPr>
              <w:t>Represent the influence of nitrification inhibitors and slow-release fertilizers on N</w:t>
            </w:r>
            <w:r w:rsidRPr="00DF55C8">
              <w:rPr>
                <w:rFonts w:ascii="Calibri" w:eastAsia="Calibri" w:hAnsi="Calibri" w:cs="Calibri"/>
                <w:sz w:val="18"/>
                <w:szCs w:val="18"/>
                <w:vertAlign w:val="subscript"/>
              </w:rPr>
              <w:t>2</w:t>
            </w:r>
            <w:r w:rsidRPr="00DF55C8">
              <w:rPr>
                <w:rFonts w:ascii="Calibri" w:eastAsia="Calibri" w:hAnsi="Calibri" w:cs="Calibri"/>
                <w:sz w:val="18"/>
                <w:szCs w:val="18"/>
              </w:rPr>
              <w:t xml:space="preserve">O emissions </w:t>
            </w:r>
          </w:p>
        </w:tc>
        <w:tc>
          <w:tcPr>
            <w:tcW w:w="2922" w:type="dxa"/>
          </w:tcPr>
          <w:p w14:paraId="5744657B" w14:textId="77777777" w:rsidR="00DF55C8" w:rsidRPr="00DF55C8" w:rsidRDefault="00DF55C8" w:rsidP="00DF55C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color w:val="000000"/>
                <w:sz w:val="18"/>
                <w:szCs w:val="18"/>
              </w:rPr>
              <w:t>Model development is underway to represent nitrification inhibitors and slow-release fertilizers like polymer-coated fertilizers, both of which may impact the rate at which N</w:t>
            </w:r>
            <w:r w:rsidRPr="00DF55C8">
              <w:rPr>
                <w:rFonts w:ascii="Calibri" w:eastAsia="Calibri" w:hAnsi="Calibri" w:cs="Calibri"/>
                <w:color w:val="000000"/>
                <w:sz w:val="18"/>
                <w:szCs w:val="18"/>
                <w:vertAlign w:val="subscript"/>
              </w:rPr>
              <w:t>2</w:t>
            </w:r>
            <w:r w:rsidRPr="00DF55C8">
              <w:rPr>
                <w:rFonts w:ascii="Calibri" w:eastAsia="Calibri" w:hAnsi="Calibri" w:cs="Calibri"/>
                <w:color w:val="000000"/>
                <w:sz w:val="18"/>
                <w:szCs w:val="18"/>
              </w:rPr>
              <w:t>O is emitted.</w:t>
            </w:r>
          </w:p>
        </w:tc>
        <w:tc>
          <w:tcPr>
            <w:tcW w:w="990" w:type="dxa"/>
            <w:vAlign w:val="center"/>
          </w:tcPr>
          <w:p w14:paraId="75F602B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F55C8">
              <w:rPr>
                <w:rFonts w:ascii="Calibri" w:eastAsia="MS Gothic" w:hAnsi="Calibri" w:cs="Calibri"/>
                <w:b/>
              </w:rPr>
              <w:t>○</w:t>
            </w:r>
          </w:p>
        </w:tc>
        <w:tc>
          <w:tcPr>
            <w:tcW w:w="990" w:type="dxa"/>
            <w:vAlign w:val="center"/>
          </w:tcPr>
          <w:p w14:paraId="79D3EB7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1FC45B6"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60B341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85" w:type="dxa"/>
            <w:vAlign w:val="center"/>
          </w:tcPr>
          <w:p w14:paraId="06DAB33F"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69978895" w14:textId="77777777" w:rsidTr="005E4D1E">
        <w:tc>
          <w:tcPr>
            <w:cnfStyle w:val="001000000000" w:firstRow="0" w:lastRow="0" w:firstColumn="1" w:lastColumn="0" w:oddVBand="0" w:evenVBand="0" w:oddHBand="0" w:evenHBand="0" w:firstRowFirstColumn="0" w:firstRowLastColumn="0" w:lastRowFirstColumn="0" w:lastRowLastColumn="0"/>
            <w:tcW w:w="1483" w:type="dxa"/>
          </w:tcPr>
          <w:p w14:paraId="2318C0E7" w14:textId="77777777" w:rsidR="00DF55C8" w:rsidRPr="00DF55C8" w:rsidRDefault="00DF55C8" w:rsidP="00DF55C8">
            <w:pPr>
              <w:rPr>
                <w:rFonts w:ascii="Calibri" w:eastAsia="Calibri" w:hAnsi="Calibri" w:cs="Calibri"/>
                <w:sz w:val="18"/>
                <w:szCs w:val="18"/>
              </w:rPr>
            </w:pPr>
            <w:r w:rsidRPr="00DF55C8">
              <w:rPr>
                <w:rFonts w:ascii="Calibri" w:eastAsia="Calibri" w:hAnsi="Calibri" w:cs="Calibri"/>
                <w:sz w:val="18"/>
                <w:szCs w:val="18"/>
              </w:rPr>
              <w:t>Improved representation of drainage and freeze-thaw cycles</w:t>
            </w:r>
          </w:p>
        </w:tc>
        <w:tc>
          <w:tcPr>
            <w:tcW w:w="2922" w:type="dxa"/>
          </w:tcPr>
          <w:p w14:paraId="07AD2F38" w14:textId="77777777" w:rsidR="00DF55C8" w:rsidRPr="00DF55C8" w:rsidRDefault="00DF55C8" w:rsidP="00DF55C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DF55C8">
              <w:rPr>
                <w:rFonts w:ascii="Calibri" w:eastAsia="Times New Roman" w:hAnsi="Calibri" w:cs="Calibri"/>
                <w:color w:val="000000"/>
                <w:sz w:val="18"/>
                <w:szCs w:val="18"/>
              </w:rPr>
              <w:t>Increased soil moisture is thought to increase N</w:t>
            </w:r>
            <w:r w:rsidRPr="00DF55C8">
              <w:rPr>
                <w:rFonts w:ascii="Calibri" w:eastAsia="Times New Roman" w:hAnsi="Calibri" w:cs="Calibri"/>
                <w:color w:val="000000"/>
                <w:sz w:val="18"/>
                <w:szCs w:val="18"/>
                <w:vertAlign w:val="subscript"/>
              </w:rPr>
              <w:t>2</w:t>
            </w:r>
            <w:r w:rsidRPr="00DF55C8">
              <w:rPr>
                <w:rFonts w:ascii="Calibri" w:eastAsia="Times New Roman" w:hAnsi="Calibri" w:cs="Calibri"/>
                <w:color w:val="000000"/>
                <w:sz w:val="18"/>
                <w:szCs w:val="18"/>
              </w:rPr>
              <w:t>O emissions, and properly representing drainage and freeze-thaw cycles will improve model accuracy.</w:t>
            </w:r>
          </w:p>
        </w:tc>
        <w:tc>
          <w:tcPr>
            <w:tcW w:w="990" w:type="dxa"/>
            <w:vAlign w:val="center"/>
          </w:tcPr>
          <w:p w14:paraId="19F92DE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076266A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65092B46"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2BCDFA0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85" w:type="dxa"/>
            <w:vAlign w:val="center"/>
          </w:tcPr>
          <w:p w14:paraId="17FD4046"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57E748DE" w14:textId="77777777" w:rsidTr="005E4D1E">
        <w:tc>
          <w:tcPr>
            <w:cnfStyle w:val="001000000000" w:firstRow="0" w:lastRow="0" w:firstColumn="1" w:lastColumn="0" w:oddVBand="0" w:evenVBand="0" w:oddHBand="0" w:evenHBand="0" w:firstRowFirstColumn="0" w:firstRowLastColumn="0" w:lastRowFirstColumn="0" w:lastRowLastColumn="0"/>
            <w:tcW w:w="1483" w:type="dxa"/>
          </w:tcPr>
          <w:p w14:paraId="755F9D15" w14:textId="77777777" w:rsidR="00DF55C8" w:rsidRPr="00DF55C8" w:rsidRDefault="00DF55C8" w:rsidP="00DF55C8">
            <w:pPr>
              <w:rPr>
                <w:rFonts w:ascii="Calibri" w:eastAsia="Calibri" w:hAnsi="Calibri" w:cs="Calibri"/>
                <w:sz w:val="18"/>
                <w:szCs w:val="18"/>
              </w:rPr>
            </w:pPr>
            <w:r w:rsidRPr="00DF55C8">
              <w:rPr>
                <w:rFonts w:ascii="Calibri" w:eastAsia="Calibri" w:hAnsi="Calibri" w:cs="Calibri"/>
                <w:sz w:val="18"/>
                <w:szCs w:val="18"/>
              </w:rPr>
              <w:t>Improved representation of emissions from small grain cropping</w:t>
            </w:r>
          </w:p>
        </w:tc>
        <w:tc>
          <w:tcPr>
            <w:tcW w:w="2922" w:type="dxa"/>
          </w:tcPr>
          <w:p w14:paraId="701A307A" w14:textId="77777777" w:rsidR="00DF55C8" w:rsidRPr="00DF55C8" w:rsidRDefault="00DF55C8" w:rsidP="00DF55C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color w:val="000000"/>
                <w:sz w:val="18"/>
                <w:szCs w:val="18"/>
              </w:rPr>
              <w:t>DayCent currently overestimates emissions from small grain cropping and needs more testing and refinement for a better representation.</w:t>
            </w:r>
          </w:p>
        </w:tc>
        <w:tc>
          <w:tcPr>
            <w:tcW w:w="990" w:type="dxa"/>
            <w:vAlign w:val="center"/>
          </w:tcPr>
          <w:p w14:paraId="37C2B048"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42F18CA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47ADBBFB"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6F1179C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85" w:type="dxa"/>
            <w:vAlign w:val="center"/>
          </w:tcPr>
          <w:p w14:paraId="0C7AA3B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bl>
    <w:p w14:paraId="5EE35EFD" w14:textId="77777777" w:rsidR="00DF55C8" w:rsidRPr="00DF55C8" w:rsidRDefault="00DF55C8" w:rsidP="00DF55C8">
      <w:pPr>
        <w:rPr>
          <w:rFonts w:ascii="Calibri" w:eastAsia="Calibri" w:hAnsi="Calibri" w:cs="Times New Roman"/>
          <w:color w:val="70AD47"/>
          <w:u w:val="single"/>
        </w:rPr>
      </w:pPr>
      <w:r w:rsidRPr="00DF55C8">
        <w:rPr>
          <w:rFonts w:ascii="Calibri" w:eastAsia="Calibri" w:hAnsi="Calibri" w:cs="Times New Roman"/>
          <w:noProof/>
          <w:color w:val="70AD47"/>
          <w:u w:val="single"/>
        </w:rPr>
        <mc:AlternateContent>
          <mc:Choice Requires="wps">
            <w:drawing>
              <wp:anchor distT="45720" distB="45720" distL="114300" distR="114300" simplePos="0" relativeHeight="251679744" behindDoc="0" locked="0" layoutInCell="1" allowOverlap="1" wp14:anchorId="5CFF77CE" wp14:editId="4FA3FADE">
                <wp:simplePos x="0" y="0"/>
                <wp:positionH relativeFrom="margin">
                  <wp:posOffset>0</wp:posOffset>
                </wp:positionH>
                <wp:positionV relativeFrom="paragraph">
                  <wp:posOffset>331470</wp:posOffset>
                </wp:positionV>
                <wp:extent cx="4686300" cy="942975"/>
                <wp:effectExtent l="0" t="0" r="1905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42975"/>
                        </a:xfrm>
                        <a:prstGeom prst="rect">
                          <a:avLst/>
                        </a:prstGeom>
                        <a:solidFill>
                          <a:srgbClr val="FFFFFF"/>
                        </a:solidFill>
                        <a:ln w="9525">
                          <a:solidFill>
                            <a:srgbClr val="000000"/>
                          </a:solidFill>
                          <a:miter lim="800000"/>
                          <a:headEnd/>
                          <a:tailEnd/>
                        </a:ln>
                      </wps:spPr>
                      <wps:txbx>
                        <w:txbxContent>
                          <w:p w14:paraId="79ADE8E2" w14:textId="77777777" w:rsidR="00876770" w:rsidRDefault="00876770" w:rsidP="00DF55C8">
                            <w:r w:rsidRPr="00DA753C">
                              <w:t>For any of these elements, indicate limiting factors or constraints that would not allow these improvements to reduce overall uncertainty:</w:t>
                            </w:r>
                          </w:p>
                          <w:p w14:paraId="1FCC2D80"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FF77CE" id="_x0000_s1030" type="#_x0000_t202" style="position:absolute;margin-left:0;margin-top:26.1pt;width:369pt;height:74.2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">
                <v:textbox>
                  <w:txbxContent>
                    <w:p w14:paraId="79ADE8E2" w14:textId="77777777" w:rsidR="00876770" w:rsidRDefault="00876770" w:rsidP="00DF55C8">
                      <w:r w:rsidRPr="00DA753C">
                        <w:t>For any of these elements, indicate limiting factors or constraints that would not allow these improvements to reduce overall uncertainty:</w:t>
                      </w:r>
                    </w:p>
                    <w:p w14:paraId="1FCC2D80" w14:textId="77777777" w:rsidR="00876770" w:rsidRDefault="00876770" w:rsidP="00DF55C8"/>
                  </w:txbxContent>
                </v:textbox>
                <w10:wrap type="square" anchorx="margin"/>
              </v:shape>
            </w:pict>
          </mc:Fallback>
        </mc:AlternateContent>
      </w:r>
      <w:r w:rsidRPr="00DF55C8">
        <w:rPr>
          <w:rFonts w:ascii="Calibri" w:eastAsia="Calibri" w:hAnsi="Calibri" w:cs="Times New Roman"/>
          <w:noProof/>
          <w:color w:val="70AD47"/>
          <w:u w:val="single"/>
        </w:rPr>
        <mc:AlternateContent>
          <mc:Choice Requires="wps">
            <w:drawing>
              <wp:anchor distT="45720" distB="45720" distL="114300" distR="114300" simplePos="0" relativeHeight="251680768" behindDoc="0" locked="0" layoutInCell="1" allowOverlap="1" wp14:anchorId="60DBF91A" wp14:editId="71F04E35">
                <wp:simplePos x="0" y="0"/>
                <wp:positionH relativeFrom="margin">
                  <wp:posOffset>0</wp:posOffset>
                </wp:positionH>
                <wp:positionV relativeFrom="paragraph">
                  <wp:posOffset>1470660</wp:posOffset>
                </wp:positionV>
                <wp:extent cx="4686300" cy="1219200"/>
                <wp:effectExtent l="0" t="0" r="19050"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219200"/>
                        </a:xfrm>
                        <a:prstGeom prst="rect">
                          <a:avLst/>
                        </a:prstGeom>
                        <a:solidFill>
                          <a:srgbClr val="FFFFFF"/>
                        </a:solidFill>
                        <a:ln w="9525">
                          <a:solidFill>
                            <a:srgbClr val="000000"/>
                          </a:solidFill>
                          <a:miter lim="800000"/>
                          <a:headEnd/>
                          <a:tailEnd/>
                        </a:ln>
                      </wps:spPr>
                      <wps:txbx>
                        <w:txbxContent>
                          <w:p w14:paraId="7A02CB7D" w14:textId="77777777" w:rsidR="00876770" w:rsidRDefault="00876770" w:rsidP="00DF55C8">
                            <w:r>
                              <w:t>Are there any other major omissions or biases that you think are present in the Tier 3 U.S. soil GHG emissions estimates? Please use the space below to comment.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BF91A" id="_x0000_s1031" type="#_x0000_t202" style="position:absolute;margin-left:0;margin-top:115.8pt;width:369pt;height:96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">
                <v:textbox>
                  <w:txbxContent>
                    <w:p w14:paraId="7A02CB7D" w14:textId="77777777" w:rsidR="00876770" w:rsidRDefault="00876770" w:rsidP="00DF55C8">
                      <w:r>
                        <w:t>Are there any other major omissions or biases that you think are present in the Tier 3 U.S. soil GHG emissions estimates? Please use the space below to comment.</w:t>
                      </w:r>
                    </w:p>
                  </w:txbxContent>
                </v:textbox>
                <w10:wrap type="square" anchorx="margin"/>
              </v:shape>
            </w:pict>
          </mc:Fallback>
        </mc:AlternateContent>
      </w:r>
    </w:p>
    <w:p w14:paraId="53BFF0CB" w14:textId="77777777" w:rsidR="00DF55C8" w:rsidRPr="00DF55C8" w:rsidRDefault="00DF55C8" w:rsidP="00DF55C8">
      <w:pPr>
        <w:rPr>
          <w:rFonts w:ascii="Calibri" w:eastAsia="Calibri" w:hAnsi="Calibri" w:cs="Times New Roman"/>
        </w:rPr>
      </w:pPr>
    </w:p>
    <w:p w14:paraId="05857045" w14:textId="77777777" w:rsidR="00DF55C8" w:rsidRPr="00DF55C8" w:rsidRDefault="00DF55C8" w:rsidP="00DF55C8">
      <w:pPr>
        <w:rPr>
          <w:rFonts w:ascii="Calibri" w:eastAsia="Calibri" w:hAnsi="Calibri" w:cs="Times New Roman"/>
          <w:color w:val="70AD47"/>
          <w:u w:val="single"/>
        </w:rPr>
      </w:pPr>
    </w:p>
    <w:p w14:paraId="6B30B658" w14:textId="77777777" w:rsidR="00DF55C8" w:rsidRDefault="00DF55C8" w:rsidP="00DF55C8">
      <w:pPr>
        <w:rPr>
          <w:rFonts w:ascii="Calibri" w:eastAsia="Calibri" w:hAnsi="Calibri" w:cs="Times New Roman"/>
          <w:color w:val="70AD47"/>
          <w:u w:val="single"/>
        </w:rPr>
      </w:pPr>
    </w:p>
    <w:p w14:paraId="11240AFE" w14:textId="77777777" w:rsidR="003660E2" w:rsidRDefault="003660E2" w:rsidP="00DF55C8">
      <w:pPr>
        <w:rPr>
          <w:rFonts w:ascii="Calibri" w:eastAsia="Calibri" w:hAnsi="Calibri" w:cs="Times New Roman"/>
          <w:color w:val="70AD47"/>
          <w:u w:val="single"/>
        </w:rPr>
      </w:pPr>
    </w:p>
    <w:p w14:paraId="2EC660F5" w14:textId="77777777" w:rsidR="003660E2" w:rsidRPr="00DF55C8" w:rsidRDefault="003660E2" w:rsidP="00DF55C8">
      <w:pPr>
        <w:rPr>
          <w:rFonts w:ascii="Calibri" w:eastAsia="Calibri" w:hAnsi="Calibri" w:cs="Times New Roman"/>
          <w:color w:val="70AD47"/>
          <w:u w:val="single"/>
        </w:rPr>
      </w:pPr>
    </w:p>
    <w:p w14:paraId="46D03F69" w14:textId="77777777" w:rsidR="00DF55C8" w:rsidRPr="00DF55C8" w:rsidRDefault="00DF55C8" w:rsidP="00DF55C8">
      <w:pPr>
        <w:rPr>
          <w:rFonts w:ascii="Calibri" w:eastAsia="Calibri" w:hAnsi="Calibri" w:cs="Times New Roman"/>
          <w:color w:val="70AD47"/>
          <w:u w:val="single"/>
        </w:rPr>
      </w:pPr>
    </w:p>
    <w:p w14:paraId="3E1D7949" w14:textId="77777777" w:rsidR="00DF55C8" w:rsidRPr="00DF55C8" w:rsidRDefault="00DF55C8" w:rsidP="00DF55C8">
      <w:pPr>
        <w:rPr>
          <w:rFonts w:ascii="Calibri" w:eastAsia="Calibri" w:hAnsi="Calibri" w:cs="Times New Roman"/>
          <w:color w:val="70AD47"/>
          <w:u w:val="single"/>
        </w:rPr>
      </w:pPr>
    </w:p>
    <w:p w14:paraId="463F9979"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lastRenderedPageBreak/>
        <w:t>Section 2: Ranking Research Activities to Address Uncertainty in the LULUCF Inventory – Cropland and Grassland</w:t>
      </w:r>
    </w:p>
    <w:p w14:paraId="10EF91C6" w14:textId="77777777" w:rsidR="00DF55C8" w:rsidRPr="00DF55C8" w:rsidRDefault="00DF55C8" w:rsidP="00DF55C8">
      <w:pPr>
        <w:rPr>
          <w:rFonts w:ascii="Calibri" w:eastAsia="Calibri" w:hAnsi="Calibri" w:cs="Times New Roman"/>
        </w:rPr>
      </w:pPr>
      <w:r w:rsidRPr="00DF55C8">
        <w:rPr>
          <w:rFonts w:ascii="Calibri" w:eastAsia="Calibri" w:hAnsi="Calibri" w:cs="Times New Roman"/>
          <w:b/>
          <w:u w:val="single"/>
        </w:rPr>
        <w:t>Background</w:t>
      </w:r>
    </w:p>
    <w:p w14:paraId="51B81219"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Soils are the largest terrestrial pool of carbon, home to a dynamic ecosystem that hosts complex interactions between soil processes and biota. While the research community has a good understanding of soil organic C formation and cycling, knowledge continues to evolve in light of new data and research. Even less is known about soil nitrogen and methane fluxes as compared to carbon fluxes, despite the longer atmospheric lifetime of N</w:t>
      </w:r>
      <w:r w:rsidRPr="00DF55C8">
        <w:rPr>
          <w:rFonts w:ascii="Calibri" w:eastAsia="Calibri" w:hAnsi="Calibri" w:cs="Times New Roman"/>
          <w:vertAlign w:val="subscript"/>
        </w:rPr>
        <w:t>2</w:t>
      </w:r>
      <w:r w:rsidRPr="00DF55C8">
        <w:rPr>
          <w:rFonts w:ascii="Calibri" w:eastAsia="Calibri" w:hAnsi="Calibri" w:cs="Times New Roman"/>
        </w:rPr>
        <w:t>O, and the much larger Global Warming Potential of both N</w:t>
      </w:r>
      <w:r w:rsidRPr="00DF55C8">
        <w:rPr>
          <w:rFonts w:ascii="Calibri" w:eastAsia="Calibri" w:hAnsi="Calibri" w:cs="Times New Roman"/>
          <w:vertAlign w:val="subscript"/>
        </w:rPr>
        <w:t>2</w:t>
      </w:r>
      <w:r w:rsidRPr="00DF55C8">
        <w:rPr>
          <w:rFonts w:ascii="Calibri" w:eastAsia="Calibri" w:hAnsi="Calibri" w:cs="Times New Roman"/>
        </w:rPr>
        <w:t>O and CH</w:t>
      </w:r>
      <w:r w:rsidRPr="00DF55C8">
        <w:rPr>
          <w:rFonts w:ascii="Calibri" w:eastAsia="Calibri" w:hAnsi="Calibri" w:cs="Times New Roman"/>
          <w:vertAlign w:val="subscript"/>
        </w:rPr>
        <w:t>4</w:t>
      </w:r>
      <w:r w:rsidRPr="00DF55C8">
        <w:rPr>
          <w:rFonts w:ascii="Calibri" w:eastAsia="Calibri" w:hAnsi="Calibri" w:cs="Times New Roman"/>
        </w:rPr>
        <w:t>.</w:t>
      </w:r>
    </w:p>
    <w:p w14:paraId="1D9B39A0"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Biogeochemical models need to be updated with improved data inputs and structural adjustments to reflect new understanding of the soil CO</w:t>
      </w:r>
      <w:r w:rsidRPr="00DF55C8">
        <w:rPr>
          <w:rFonts w:ascii="Calibri" w:eastAsia="Calibri" w:hAnsi="Calibri" w:cs="Times New Roman"/>
          <w:vertAlign w:val="subscript"/>
        </w:rPr>
        <w:t>2</w:t>
      </w:r>
      <w:r w:rsidRPr="00DF55C8">
        <w:rPr>
          <w:rFonts w:ascii="Calibri" w:eastAsia="Calibri" w:hAnsi="Calibri" w:cs="Times New Roman"/>
        </w:rPr>
        <w:t>, N</w:t>
      </w:r>
      <w:r w:rsidRPr="00DF55C8">
        <w:rPr>
          <w:rFonts w:ascii="Calibri" w:eastAsia="Calibri" w:hAnsi="Calibri" w:cs="Times New Roman"/>
          <w:vertAlign w:val="subscript"/>
        </w:rPr>
        <w:t>2</w:t>
      </w:r>
      <w:r w:rsidRPr="00DF55C8">
        <w:rPr>
          <w:rFonts w:ascii="Calibri" w:eastAsia="Calibri" w:hAnsi="Calibri" w:cs="Times New Roman"/>
        </w:rPr>
        <w:t>O, and CH</w:t>
      </w:r>
      <w:r w:rsidRPr="00DF55C8">
        <w:rPr>
          <w:rFonts w:ascii="Calibri" w:eastAsia="Calibri" w:hAnsi="Calibri" w:cs="Times New Roman"/>
          <w:vertAlign w:val="subscript"/>
        </w:rPr>
        <w:t>4</w:t>
      </w:r>
      <w:r w:rsidRPr="00DF55C8">
        <w:rPr>
          <w:rFonts w:ascii="Calibri" w:eastAsia="Calibri" w:hAnsi="Calibri" w:cs="Times New Roman"/>
        </w:rPr>
        <w:t xml:space="preserve"> dynamics and new empirical data. New data is needed across land cover, management, climate, and soil type strata. We are soliciting expert input to prioritize research, model development, model inter-comparison, and empirical data collection activities, specifically with a view towards reducing uncertainty and increasing accuracy of U.S. national soil GHG emissions estimates.</w:t>
      </w:r>
    </w:p>
    <w:p w14:paraId="66FE8238"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t>General directions</w:t>
      </w:r>
    </w:p>
    <w:p w14:paraId="4CD6890B"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Our project team conducted an extensive literature review encompassing over 70 papers from 2010 to 2018 related to soil modeling and GHG emissions estimates. From this review, we identified key soil science research needs, model structural refinements, and additional empirical data inputs that can benefit the accuracy and predictive capacity of soil models to generate GHG emissions estimates. Based on this review, we have developed 3 separate Prompts for identifying priorities in:</w:t>
      </w:r>
    </w:p>
    <w:p w14:paraId="5D5437A5" w14:textId="77777777" w:rsidR="00DF55C8" w:rsidRPr="00DF55C8" w:rsidRDefault="00DF55C8" w:rsidP="000B2554">
      <w:pPr>
        <w:numPr>
          <w:ilvl w:val="0"/>
          <w:numId w:val="32"/>
        </w:numPr>
        <w:contextualSpacing/>
        <w:rPr>
          <w:rFonts w:ascii="Calibri" w:eastAsia="Calibri" w:hAnsi="Calibri" w:cs="Times New Roman"/>
        </w:rPr>
      </w:pPr>
      <w:r w:rsidRPr="00DF55C8">
        <w:rPr>
          <w:rFonts w:ascii="Calibri" w:eastAsia="Calibri" w:hAnsi="Calibri" w:cs="Times New Roman"/>
        </w:rPr>
        <w:t>Primary soil research;</w:t>
      </w:r>
    </w:p>
    <w:p w14:paraId="02E7AE2E" w14:textId="77777777" w:rsidR="00DF55C8" w:rsidRPr="00DF55C8" w:rsidRDefault="00DF55C8" w:rsidP="000B2554">
      <w:pPr>
        <w:numPr>
          <w:ilvl w:val="0"/>
          <w:numId w:val="32"/>
        </w:numPr>
        <w:contextualSpacing/>
        <w:rPr>
          <w:rFonts w:ascii="Calibri" w:eastAsia="Calibri" w:hAnsi="Calibri" w:cs="Times New Roman"/>
        </w:rPr>
      </w:pPr>
      <w:r w:rsidRPr="00DF55C8">
        <w:rPr>
          <w:rFonts w:ascii="Calibri" w:eastAsia="Calibri" w:hAnsi="Calibri" w:cs="Times New Roman"/>
        </w:rPr>
        <w:t xml:space="preserve">Soil model development and intermodel comparison, and; </w:t>
      </w:r>
    </w:p>
    <w:p w14:paraId="0D11CA25" w14:textId="77777777" w:rsidR="00DF55C8" w:rsidRPr="00DF55C8" w:rsidRDefault="00DF55C8" w:rsidP="000B2554">
      <w:pPr>
        <w:numPr>
          <w:ilvl w:val="0"/>
          <w:numId w:val="32"/>
        </w:numPr>
        <w:rPr>
          <w:rFonts w:ascii="Calibri" w:eastAsia="Calibri" w:hAnsi="Calibri" w:cs="Times New Roman"/>
        </w:rPr>
      </w:pPr>
      <w:r w:rsidRPr="00DF55C8">
        <w:rPr>
          <w:rFonts w:ascii="Calibri" w:eastAsia="Calibri" w:hAnsi="Calibri" w:cs="Times New Roman"/>
        </w:rPr>
        <w:t>Empirical data needs.</w:t>
      </w:r>
    </w:p>
    <w:p w14:paraId="7E84A017"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For each Prompt, please rate the different elements specifically based on how effectively they can improve soil GHG emissions estimates for national GHG accounting in the United States. We understand improvements in soil monitoring and soil science generally can benefit a broad range of applications, but your responses here should focus on the end goal of reducing uncertainty and increasing accuracy in national soil GHG emissions estimates. The collective rankings of all participants will be used to identify priority research areas and model improvements towards this end. Please consider elaborating on any of your responses in the Comments field – any level of detail is appreciated.</w:t>
      </w:r>
    </w:p>
    <w:p w14:paraId="40FEA176"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t>Section 2, Prompt 1 – Primary research needs</w:t>
      </w:r>
    </w:p>
    <w:p w14:paraId="0384F407"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t>Directions</w:t>
      </w:r>
    </w:p>
    <w:p w14:paraId="1E9260F3"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 xml:space="preserve">For each of the following elements, please rate according to importance. Note that primary research needs relevant to carbon fluxes are on this page, and primary research needs relevant to nitrogen and methane fluxes are on the next page.  </w:t>
      </w:r>
    </w:p>
    <w:p w14:paraId="709E0ACA" w14:textId="77777777" w:rsidR="00DF55C8" w:rsidRDefault="00DF55C8" w:rsidP="00DF55C8">
      <w:pPr>
        <w:rPr>
          <w:rFonts w:ascii="Calibri" w:eastAsia="Calibri" w:hAnsi="Calibri" w:cs="Times New Roman"/>
          <w:b/>
        </w:rPr>
      </w:pPr>
      <w:r w:rsidRPr="00DF55C8">
        <w:rPr>
          <w:rFonts w:ascii="Calibri" w:eastAsia="Calibri" w:hAnsi="Calibri" w:cs="Times New Roman"/>
          <w:b/>
        </w:rPr>
        <w:t>CARBON FLUXES</w:t>
      </w:r>
    </w:p>
    <w:p w14:paraId="2CB06DBE" w14:textId="77777777" w:rsidR="003660E2" w:rsidRPr="00DF55C8" w:rsidRDefault="003660E2" w:rsidP="00DF55C8">
      <w:pPr>
        <w:rPr>
          <w:rFonts w:ascii="Calibri" w:eastAsia="Calibri" w:hAnsi="Calibri" w:cs="Times New Roman"/>
          <w:b/>
        </w:rPr>
      </w:pPr>
    </w:p>
    <w:p w14:paraId="7A10D047" w14:textId="77777777" w:rsidR="00DF55C8" w:rsidRPr="00DF55C8" w:rsidRDefault="00DF55C8" w:rsidP="00DF55C8">
      <w:pPr>
        <w:rPr>
          <w:rFonts w:ascii="Calibri" w:eastAsia="Calibri" w:hAnsi="Calibri" w:cs="Times New Roman"/>
        </w:rPr>
      </w:pPr>
      <w:r w:rsidRPr="00DF55C8">
        <w:rPr>
          <w:rFonts w:ascii="Calibri" w:eastAsia="Calibri" w:hAnsi="Calibri" w:cs="Times New Roman"/>
          <w:b/>
        </w:rPr>
        <w:lastRenderedPageBreak/>
        <w:t>Microbial activity</w:t>
      </w:r>
    </w:p>
    <w:tbl>
      <w:tblPr>
        <w:tblStyle w:val="GridTable4-Accent61"/>
        <w:tblW w:w="9355" w:type="dxa"/>
        <w:tblLook w:val="06A0" w:firstRow="1" w:lastRow="0" w:firstColumn="1" w:lastColumn="0" w:noHBand="1" w:noVBand="1"/>
      </w:tblPr>
      <w:tblGrid>
        <w:gridCol w:w="4405"/>
        <w:gridCol w:w="990"/>
        <w:gridCol w:w="990"/>
        <w:gridCol w:w="990"/>
        <w:gridCol w:w="990"/>
        <w:gridCol w:w="990"/>
      </w:tblGrid>
      <w:tr w:rsidR="00DF55C8" w:rsidRPr="00DF55C8" w14:paraId="04C67DE8" w14:textId="77777777" w:rsidTr="00DF5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72133F62" w14:textId="77777777" w:rsidR="00DF55C8" w:rsidRPr="00DF55C8" w:rsidRDefault="00DF55C8" w:rsidP="00DF55C8">
            <w:pPr>
              <w:rPr>
                <w:rFonts w:ascii="Calibri" w:eastAsia="Calibri" w:hAnsi="Calibri" w:cs="Calibri"/>
                <w:sz w:val="18"/>
                <w:szCs w:val="18"/>
              </w:rPr>
            </w:pPr>
          </w:p>
        </w:tc>
        <w:tc>
          <w:tcPr>
            <w:tcW w:w="990" w:type="dxa"/>
          </w:tcPr>
          <w:p w14:paraId="67737BB9"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Not important</w:t>
            </w:r>
          </w:p>
        </w:tc>
        <w:tc>
          <w:tcPr>
            <w:tcW w:w="990" w:type="dxa"/>
          </w:tcPr>
          <w:p w14:paraId="545E626A"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Slightly important</w:t>
            </w:r>
          </w:p>
        </w:tc>
        <w:tc>
          <w:tcPr>
            <w:tcW w:w="990" w:type="dxa"/>
          </w:tcPr>
          <w:p w14:paraId="43F2602A"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Important</w:t>
            </w:r>
          </w:p>
        </w:tc>
        <w:tc>
          <w:tcPr>
            <w:tcW w:w="990" w:type="dxa"/>
          </w:tcPr>
          <w:p w14:paraId="445FF510"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Very important</w:t>
            </w:r>
          </w:p>
        </w:tc>
        <w:tc>
          <w:tcPr>
            <w:tcW w:w="990" w:type="dxa"/>
          </w:tcPr>
          <w:p w14:paraId="30493D6E"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Extremely important</w:t>
            </w:r>
          </w:p>
        </w:tc>
      </w:tr>
      <w:tr w:rsidR="00DF55C8" w:rsidRPr="00DF55C8" w14:paraId="2464260A"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4DD8D1B2"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Influence of microbial activity – and other physicochemical and biological influences – on decomposition of organic matter/carbon, nitrogen, and phosphorous cycling (Conant et al., 2011; Kuzyakov, 2010; Schmidt et al., 2011; Schimel &amp; Schaeffer, 2012).</w:t>
            </w:r>
          </w:p>
        </w:tc>
        <w:tc>
          <w:tcPr>
            <w:tcW w:w="990" w:type="dxa"/>
            <w:vAlign w:val="center"/>
          </w:tcPr>
          <w:p w14:paraId="11F17E2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F55C8">
              <w:rPr>
                <w:rFonts w:ascii="Calibri" w:eastAsia="MS Gothic" w:hAnsi="Calibri" w:cs="Calibri"/>
                <w:b/>
              </w:rPr>
              <w:t>○</w:t>
            </w:r>
          </w:p>
        </w:tc>
        <w:tc>
          <w:tcPr>
            <w:tcW w:w="990" w:type="dxa"/>
            <w:vAlign w:val="center"/>
          </w:tcPr>
          <w:p w14:paraId="78811B2B"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0BFC36A3"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65C8C1F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61C6D848"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5EF40630"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311405FB"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Relationship between microbial carbon use efficiency and temperature; how carbon use efficiency declines or improves in response to temperature; and the influence of carbon use efficiency on soil carbon losses. (Alison et al., 2010).</w:t>
            </w:r>
          </w:p>
        </w:tc>
        <w:tc>
          <w:tcPr>
            <w:tcW w:w="990" w:type="dxa"/>
            <w:vAlign w:val="center"/>
          </w:tcPr>
          <w:p w14:paraId="6836386F"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031FFAC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7CE37E53"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3E72298B"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3CB09FE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3544CB8C"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529E3707"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Role of microbial biomass in soil organic matter turnover as a fundamental process affecting soil-priming effects. Consideration of microbes as not only a pool but as a driver of the turnover (Kuzyakov, 2010).</w:t>
            </w:r>
          </w:p>
        </w:tc>
        <w:tc>
          <w:tcPr>
            <w:tcW w:w="990" w:type="dxa"/>
            <w:vAlign w:val="center"/>
          </w:tcPr>
          <w:p w14:paraId="1AB1EE5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371187E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36976BE8"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6A13659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052D488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1D2F716D"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2B41858A" w14:textId="77777777" w:rsidR="00DF55C8" w:rsidRPr="00CC0ACC" w:rsidRDefault="00DF55C8" w:rsidP="00DF55C8">
            <w:pPr>
              <w:rPr>
                <w:rFonts w:ascii="Calibri" w:eastAsia="Calibri" w:hAnsi="Calibri" w:cs="Calibri"/>
                <w:b w:val="0"/>
                <w:color w:val="706F65"/>
                <w:sz w:val="18"/>
                <w:szCs w:val="18"/>
                <w:shd w:val="clear" w:color="auto" w:fill="EBF0E3"/>
              </w:rPr>
            </w:pPr>
            <w:r w:rsidRPr="00CC0ACC">
              <w:rPr>
                <w:rFonts w:ascii="Calibri" w:eastAsia="Calibri" w:hAnsi="Calibri" w:cs="Calibri"/>
                <w:b w:val="0"/>
                <w:sz w:val="18"/>
                <w:szCs w:val="18"/>
              </w:rPr>
              <w:t>Microbial regulation of enzyme activities, particularly in response to temperature, precipitation, and other climatic events (Burns et al., 2013).</w:t>
            </w:r>
          </w:p>
        </w:tc>
        <w:tc>
          <w:tcPr>
            <w:tcW w:w="990" w:type="dxa"/>
            <w:vAlign w:val="center"/>
          </w:tcPr>
          <w:p w14:paraId="0BACC42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7DED7E1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1B0ABFC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066BE82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74B6A04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bl>
    <w:p w14:paraId="401F2DE7" w14:textId="77777777" w:rsidR="00DF55C8" w:rsidRPr="00DF55C8" w:rsidRDefault="00DF55C8" w:rsidP="00CC0ACC">
      <w:pPr>
        <w:spacing w:line="240" w:lineRule="auto"/>
        <w:ind w:left="720"/>
        <w:rPr>
          <w:rFonts w:ascii="Calibri" w:eastAsia="Calibri" w:hAnsi="Calibri" w:cs="Times New Roman"/>
        </w:rPr>
      </w:pPr>
    </w:p>
    <w:p w14:paraId="0E7C2274" w14:textId="77777777" w:rsidR="00DF55C8" w:rsidRPr="00DF55C8" w:rsidRDefault="00DF55C8" w:rsidP="00DF55C8">
      <w:pPr>
        <w:rPr>
          <w:rFonts w:ascii="Calibri" w:eastAsia="Calibri" w:hAnsi="Calibri" w:cs="Times New Roman"/>
          <w:b/>
        </w:rPr>
      </w:pPr>
      <w:r w:rsidRPr="00DF55C8">
        <w:rPr>
          <w:rFonts w:ascii="Calibri" w:eastAsia="Calibri" w:hAnsi="Calibri" w:cs="Times New Roman"/>
          <w:b/>
        </w:rPr>
        <w:t>Chemical characteristics</w:t>
      </w:r>
    </w:p>
    <w:tbl>
      <w:tblPr>
        <w:tblStyle w:val="GridTable4-Accent61"/>
        <w:tblW w:w="9355" w:type="dxa"/>
        <w:tblLook w:val="06A0" w:firstRow="1" w:lastRow="0" w:firstColumn="1" w:lastColumn="0" w:noHBand="1" w:noVBand="1"/>
      </w:tblPr>
      <w:tblGrid>
        <w:gridCol w:w="4405"/>
        <w:gridCol w:w="990"/>
        <w:gridCol w:w="990"/>
        <w:gridCol w:w="990"/>
        <w:gridCol w:w="990"/>
        <w:gridCol w:w="990"/>
      </w:tblGrid>
      <w:tr w:rsidR="00DF55C8" w:rsidRPr="00DF55C8" w14:paraId="039171E5" w14:textId="77777777" w:rsidTr="00DF5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4B4280B3" w14:textId="77777777" w:rsidR="00DF55C8" w:rsidRPr="00DF55C8" w:rsidRDefault="00DF55C8" w:rsidP="00DF55C8">
            <w:pPr>
              <w:rPr>
                <w:rFonts w:ascii="Calibri" w:eastAsia="Calibri" w:hAnsi="Calibri" w:cs="Calibri"/>
                <w:sz w:val="18"/>
                <w:szCs w:val="18"/>
              </w:rPr>
            </w:pPr>
          </w:p>
        </w:tc>
        <w:tc>
          <w:tcPr>
            <w:tcW w:w="990" w:type="dxa"/>
          </w:tcPr>
          <w:p w14:paraId="51503495"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Not important</w:t>
            </w:r>
          </w:p>
        </w:tc>
        <w:tc>
          <w:tcPr>
            <w:tcW w:w="990" w:type="dxa"/>
          </w:tcPr>
          <w:p w14:paraId="0CFE2501"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Slightly important</w:t>
            </w:r>
          </w:p>
        </w:tc>
        <w:tc>
          <w:tcPr>
            <w:tcW w:w="990" w:type="dxa"/>
          </w:tcPr>
          <w:p w14:paraId="0CDE47EC"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Important</w:t>
            </w:r>
          </w:p>
        </w:tc>
        <w:tc>
          <w:tcPr>
            <w:tcW w:w="990" w:type="dxa"/>
          </w:tcPr>
          <w:p w14:paraId="4679D0D2"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Very important</w:t>
            </w:r>
          </w:p>
        </w:tc>
        <w:tc>
          <w:tcPr>
            <w:tcW w:w="990" w:type="dxa"/>
          </w:tcPr>
          <w:p w14:paraId="4A4CE8F2"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Extremely important</w:t>
            </w:r>
          </w:p>
        </w:tc>
      </w:tr>
      <w:tr w:rsidR="00DF55C8" w:rsidRPr="00DF55C8" w14:paraId="44E5F41D"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7DCB19D5"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Formalizing through new models or modules the emerging understanding that soil organic matter is composed of inherently stable and chemically unique compounds, deviating from the traditional “humification” model that prioritizes physical/molecular properties of organic matter and sequences the decomposition of individual carbon pools in accordance with first order kinetics (Allison et al., 2010; Paustian et al., 2016; Schimel &amp; Schaeffer, 2012; Stockman et al., 2013).</w:t>
            </w:r>
          </w:p>
        </w:tc>
        <w:tc>
          <w:tcPr>
            <w:tcW w:w="990" w:type="dxa"/>
            <w:vAlign w:val="center"/>
          </w:tcPr>
          <w:p w14:paraId="73AAF0B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F55C8">
              <w:rPr>
                <w:rFonts w:ascii="Calibri" w:eastAsia="MS Gothic" w:hAnsi="Calibri" w:cs="Calibri"/>
                <w:b/>
              </w:rPr>
              <w:t>○</w:t>
            </w:r>
          </w:p>
        </w:tc>
        <w:tc>
          <w:tcPr>
            <w:tcW w:w="990" w:type="dxa"/>
            <w:vAlign w:val="center"/>
          </w:tcPr>
          <w:p w14:paraId="7FE0C14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6C6431F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ADE855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25AEFB28"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bl>
    <w:p w14:paraId="44D2DA6C" w14:textId="77777777" w:rsidR="00DF55C8" w:rsidRPr="00DF55C8" w:rsidRDefault="00DF55C8" w:rsidP="00CC0ACC">
      <w:pPr>
        <w:rPr>
          <w:rFonts w:ascii="Calibri" w:eastAsia="Calibri" w:hAnsi="Calibri" w:cs="Times New Roman"/>
        </w:rPr>
      </w:pPr>
    </w:p>
    <w:p w14:paraId="68122B90" w14:textId="77777777" w:rsidR="00DF55C8" w:rsidRPr="00DF55C8" w:rsidRDefault="00DF55C8" w:rsidP="00DF55C8">
      <w:pPr>
        <w:rPr>
          <w:rFonts w:ascii="Calibri" w:eastAsia="Calibri" w:hAnsi="Calibri" w:cs="Times New Roman"/>
          <w:b/>
        </w:rPr>
      </w:pPr>
      <w:r w:rsidRPr="00DF55C8">
        <w:rPr>
          <w:rFonts w:ascii="Calibri" w:eastAsia="Calibri" w:hAnsi="Calibri" w:cs="Times New Roman"/>
          <w:b/>
        </w:rPr>
        <w:t xml:space="preserve">Spatial and physical characteristics </w:t>
      </w:r>
    </w:p>
    <w:tbl>
      <w:tblPr>
        <w:tblStyle w:val="GridTable4-Accent61"/>
        <w:tblW w:w="9355" w:type="dxa"/>
        <w:tblLook w:val="06A0" w:firstRow="1" w:lastRow="0" w:firstColumn="1" w:lastColumn="0" w:noHBand="1" w:noVBand="1"/>
      </w:tblPr>
      <w:tblGrid>
        <w:gridCol w:w="4405"/>
        <w:gridCol w:w="990"/>
        <w:gridCol w:w="990"/>
        <w:gridCol w:w="990"/>
        <w:gridCol w:w="990"/>
        <w:gridCol w:w="990"/>
      </w:tblGrid>
      <w:tr w:rsidR="00DF55C8" w:rsidRPr="00DF55C8" w14:paraId="667D0FE1" w14:textId="77777777" w:rsidTr="00DF5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1C1E1459" w14:textId="77777777" w:rsidR="00DF55C8" w:rsidRPr="00DF55C8" w:rsidRDefault="00DF55C8" w:rsidP="00DF55C8">
            <w:pPr>
              <w:rPr>
                <w:rFonts w:ascii="Calibri" w:eastAsia="Calibri" w:hAnsi="Calibri" w:cs="Calibri"/>
                <w:sz w:val="18"/>
                <w:szCs w:val="18"/>
              </w:rPr>
            </w:pPr>
          </w:p>
        </w:tc>
        <w:tc>
          <w:tcPr>
            <w:tcW w:w="990" w:type="dxa"/>
          </w:tcPr>
          <w:p w14:paraId="48FF566D"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Not important</w:t>
            </w:r>
          </w:p>
        </w:tc>
        <w:tc>
          <w:tcPr>
            <w:tcW w:w="990" w:type="dxa"/>
          </w:tcPr>
          <w:p w14:paraId="06A36101"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Slightly important</w:t>
            </w:r>
          </w:p>
        </w:tc>
        <w:tc>
          <w:tcPr>
            <w:tcW w:w="990" w:type="dxa"/>
          </w:tcPr>
          <w:p w14:paraId="44CD08D4"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Important</w:t>
            </w:r>
          </w:p>
        </w:tc>
        <w:tc>
          <w:tcPr>
            <w:tcW w:w="990" w:type="dxa"/>
          </w:tcPr>
          <w:p w14:paraId="08D87FF7"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Very important</w:t>
            </w:r>
          </w:p>
        </w:tc>
        <w:tc>
          <w:tcPr>
            <w:tcW w:w="990" w:type="dxa"/>
          </w:tcPr>
          <w:p w14:paraId="74B1DD20"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Extremely important</w:t>
            </w:r>
          </w:p>
        </w:tc>
      </w:tr>
      <w:tr w:rsidR="00DF55C8" w:rsidRPr="00DF55C8" w14:paraId="5AAA7A06"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66D7234C"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The spatial architecture of the soil in the context of a soil ecosystem and how soil structure impacts microbial access to soil organic carbon (Paustian et al., 2016).</w:t>
            </w:r>
          </w:p>
        </w:tc>
        <w:tc>
          <w:tcPr>
            <w:tcW w:w="990" w:type="dxa"/>
            <w:vAlign w:val="center"/>
          </w:tcPr>
          <w:p w14:paraId="6671FE6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F55C8">
              <w:rPr>
                <w:rFonts w:ascii="Calibri" w:eastAsia="MS Gothic" w:hAnsi="Calibri" w:cs="Calibri"/>
                <w:b/>
              </w:rPr>
              <w:t>○</w:t>
            </w:r>
          </w:p>
        </w:tc>
        <w:tc>
          <w:tcPr>
            <w:tcW w:w="990" w:type="dxa"/>
            <w:vAlign w:val="center"/>
          </w:tcPr>
          <w:p w14:paraId="3E3A004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22865A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72CF84D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E2709A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1B901013"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59182C05"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The properties and dynamics of carbon in deep soils, beyond the top 30 cm (Dungait et al., 2012; Rumpel &amp; Kogel-Knabner, 2010; Schmidt et al., 2013).</w:t>
            </w:r>
          </w:p>
        </w:tc>
        <w:tc>
          <w:tcPr>
            <w:tcW w:w="990" w:type="dxa"/>
            <w:vAlign w:val="center"/>
          </w:tcPr>
          <w:p w14:paraId="0F5D8E9E"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334EBD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7049340E"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435EF4D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2CE3005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648A02BE"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00C56AEB"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Understanding the underlying processes that influence the accretion, turnover, and stability of soil organic matter in subsoil horizons (which have been observed to have a long turnover time) (Paustian, 2016; Rumpel &amp; Kogel-Knabner, 2010; Schmidt et al., 2013).</w:t>
            </w:r>
          </w:p>
        </w:tc>
        <w:tc>
          <w:tcPr>
            <w:tcW w:w="990" w:type="dxa"/>
            <w:vAlign w:val="center"/>
          </w:tcPr>
          <w:p w14:paraId="30A36DD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08B8F0D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39FBA45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05DC32A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6B8EE8E8"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bl>
    <w:p w14:paraId="1D98139C" w14:textId="77777777" w:rsidR="00DF55C8" w:rsidRDefault="00DF55C8" w:rsidP="00DF55C8">
      <w:pPr>
        <w:rPr>
          <w:rFonts w:ascii="Calibri" w:eastAsia="Calibri" w:hAnsi="Calibri" w:cs="Times New Roman"/>
        </w:rPr>
      </w:pPr>
    </w:p>
    <w:p w14:paraId="0B454467" w14:textId="77777777" w:rsidR="003660E2" w:rsidRPr="00DF55C8" w:rsidRDefault="003660E2" w:rsidP="00DF55C8">
      <w:pPr>
        <w:rPr>
          <w:rFonts w:ascii="Calibri" w:eastAsia="Calibri" w:hAnsi="Calibri" w:cs="Times New Roman"/>
        </w:rPr>
      </w:pPr>
    </w:p>
    <w:p w14:paraId="6E350051" w14:textId="77777777" w:rsidR="00DF55C8" w:rsidRPr="00DF55C8" w:rsidRDefault="00DF55C8" w:rsidP="00DF55C8">
      <w:pPr>
        <w:rPr>
          <w:rFonts w:ascii="Calibri" w:eastAsia="Calibri" w:hAnsi="Calibri" w:cs="Times New Roman"/>
          <w:b/>
        </w:rPr>
      </w:pPr>
      <w:r w:rsidRPr="00DF55C8">
        <w:rPr>
          <w:rFonts w:ascii="Calibri" w:eastAsia="Calibri" w:hAnsi="Calibri" w:cs="Times New Roman"/>
          <w:b/>
        </w:rPr>
        <w:lastRenderedPageBreak/>
        <w:t>Input/output dynamics</w:t>
      </w:r>
    </w:p>
    <w:tbl>
      <w:tblPr>
        <w:tblStyle w:val="GridTable4-Accent61"/>
        <w:tblW w:w="9355" w:type="dxa"/>
        <w:tblLook w:val="06A0" w:firstRow="1" w:lastRow="0" w:firstColumn="1" w:lastColumn="0" w:noHBand="1" w:noVBand="1"/>
      </w:tblPr>
      <w:tblGrid>
        <w:gridCol w:w="4405"/>
        <w:gridCol w:w="990"/>
        <w:gridCol w:w="990"/>
        <w:gridCol w:w="990"/>
        <w:gridCol w:w="990"/>
        <w:gridCol w:w="990"/>
      </w:tblGrid>
      <w:tr w:rsidR="00DF55C8" w:rsidRPr="00DF55C8" w14:paraId="5EED8E5F" w14:textId="77777777" w:rsidTr="00DF5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025A098F" w14:textId="77777777" w:rsidR="00DF55C8" w:rsidRPr="00DF55C8" w:rsidRDefault="00DF55C8" w:rsidP="00DF55C8">
            <w:pPr>
              <w:rPr>
                <w:rFonts w:ascii="Calibri" w:eastAsia="Calibri" w:hAnsi="Calibri" w:cs="Calibri"/>
                <w:sz w:val="18"/>
                <w:szCs w:val="18"/>
              </w:rPr>
            </w:pPr>
          </w:p>
        </w:tc>
        <w:tc>
          <w:tcPr>
            <w:tcW w:w="990" w:type="dxa"/>
          </w:tcPr>
          <w:p w14:paraId="532D563D"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Not important</w:t>
            </w:r>
          </w:p>
        </w:tc>
        <w:tc>
          <w:tcPr>
            <w:tcW w:w="990" w:type="dxa"/>
          </w:tcPr>
          <w:p w14:paraId="0D525136"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Slightly important</w:t>
            </w:r>
          </w:p>
        </w:tc>
        <w:tc>
          <w:tcPr>
            <w:tcW w:w="990" w:type="dxa"/>
          </w:tcPr>
          <w:p w14:paraId="2A023014"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Important</w:t>
            </w:r>
          </w:p>
        </w:tc>
        <w:tc>
          <w:tcPr>
            <w:tcW w:w="990" w:type="dxa"/>
          </w:tcPr>
          <w:p w14:paraId="30FB303B"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Very important</w:t>
            </w:r>
          </w:p>
        </w:tc>
        <w:tc>
          <w:tcPr>
            <w:tcW w:w="990" w:type="dxa"/>
          </w:tcPr>
          <w:p w14:paraId="2F760D6B"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Extremely important</w:t>
            </w:r>
          </w:p>
        </w:tc>
      </w:tr>
      <w:tr w:rsidR="00DF55C8" w:rsidRPr="00DF55C8" w14:paraId="4694E119"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5A7BBDCF"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The significance of roots and root exudates to the soil carbon stock changes; clarity on the mechanisms underlying retention of root-derived carbon; and impact of fresh root inputs on decomposition and community composition (Schmidt et al., 2011).</w:t>
            </w:r>
          </w:p>
        </w:tc>
        <w:tc>
          <w:tcPr>
            <w:tcW w:w="990" w:type="dxa"/>
            <w:vAlign w:val="center"/>
          </w:tcPr>
          <w:p w14:paraId="582D8C3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F55C8">
              <w:rPr>
                <w:rFonts w:ascii="Calibri" w:eastAsia="MS Gothic" w:hAnsi="Calibri" w:cs="Calibri"/>
                <w:b/>
              </w:rPr>
              <w:t>○</w:t>
            </w:r>
          </w:p>
        </w:tc>
        <w:tc>
          <w:tcPr>
            <w:tcW w:w="990" w:type="dxa"/>
            <w:vAlign w:val="center"/>
          </w:tcPr>
          <w:p w14:paraId="6669B20F"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7FE0E89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72483F26"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8AB8186"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1015742C"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588C59BE"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Impact of short- and long-term effects of biochar and other fire-derived organic matter amendments on soil carbon cycling and sequestration, including impacts on soil biota and soil chemical properties (Brevik et al., 2015; Lehmann et al., 2011).</w:t>
            </w:r>
          </w:p>
        </w:tc>
        <w:tc>
          <w:tcPr>
            <w:tcW w:w="990" w:type="dxa"/>
            <w:vAlign w:val="center"/>
          </w:tcPr>
          <w:p w14:paraId="1B5BA9D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268E579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3DC3438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0703503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252824B8"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35B2CE7A"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221680D8"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Decomposition pathways of biochar and other fire-derived organic matter (Schmidt et al., 2011).</w:t>
            </w:r>
          </w:p>
        </w:tc>
        <w:tc>
          <w:tcPr>
            <w:tcW w:w="990" w:type="dxa"/>
            <w:vAlign w:val="center"/>
          </w:tcPr>
          <w:p w14:paraId="5459B58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096252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6B1C47F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3700F5A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3ADC6F9E"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5129EA6D"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27A7DC23" w14:textId="77777777" w:rsidR="00DF55C8" w:rsidRPr="00CC0ACC" w:rsidRDefault="00DF55C8" w:rsidP="00DF55C8">
            <w:pPr>
              <w:rPr>
                <w:rFonts w:ascii="Tahoma" w:eastAsia="Calibri" w:hAnsi="Tahoma" w:cs="Tahoma"/>
                <w:b w:val="0"/>
                <w:color w:val="706F65"/>
                <w:sz w:val="18"/>
                <w:szCs w:val="18"/>
                <w:shd w:val="clear" w:color="auto" w:fill="EBF0E3"/>
              </w:rPr>
            </w:pPr>
            <w:r w:rsidRPr="00CC0ACC">
              <w:rPr>
                <w:rFonts w:ascii="Calibri" w:eastAsia="Calibri" w:hAnsi="Calibri" w:cs="Calibri"/>
                <w:b w:val="0"/>
                <w:sz w:val="18"/>
                <w:szCs w:val="18"/>
              </w:rPr>
              <w:t>Impact of soil erosion on the soil carbon cycle and its role in the storage or loss of carbon (Brevik et al., 2015).</w:t>
            </w:r>
          </w:p>
        </w:tc>
        <w:tc>
          <w:tcPr>
            <w:tcW w:w="990" w:type="dxa"/>
            <w:vAlign w:val="center"/>
          </w:tcPr>
          <w:p w14:paraId="6DB4FEEF"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53A4F6F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7AA2F0A3"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57F6A30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2BD979FF"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bl>
    <w:p w14:paraId="501339AE" w14:textId="77777777" w:rsidR="00DF55C8" w:rsidRPr="00DF55C8" w:rsidRDefault="00DF55C8" w:rsidP="00DF55C8">
      <w:pPr>
        <w:rPr>
          <w:rFonts w:ascii="Calibri" w:eastAsia="Calibri" w:hAnsi="Calibri" w:cs="Times New Roman"/>
        </w:rPr>
      </w:pPr>
    </w:p>
    <w:p w14:paraId="3D7FB967" w14:textId="77777777" w:rsidR="00DF55C8" w:rsidRPr="00DF55C8" w:rsidRDefault="00DF55C8" w:rsidP="00DF55C8">
      <w:pPr>
        <w:spacing w:line="240" w:lineRule="auto"/>
        <w:rPr>
          <w:rFonts w:ascii="Calibri" w:eastAsia="Calibri" w:hAnsi="Calibri" w:cs="Times New Roman"/>
          <w:b/>
        </w:rPr>
      </w:pPr>
      <w:r w:rsidRPr="00DF55C8">
        <w:rPr>
          <w:rFonts w:ascii="Calibri" w:eastAsia="Calibri" w:hAnsi="Calibri" w:cs="Times New Roman"/>
          <w:b/>
        </w:rPr>
        <w:t>Climatic effects</w:t>
      </w:r>
    </w:p>
    <w:tbl>
      <w:tblPr>
        <w:tblStyle w:val="GridTable4-Accent61"/>
        <w:tblW w:w="9355" w:type="dxa"/>
        <w:tblLook w:val="06A0" w:firstRow="1" w:lastRow="0" w:firstColumn="1" w:lastColumn="0" w:noHBand="1" w:noVBand="1"/>
      </w:tblPr>
      <w:tblGrid>
        <w:gridCol w:w="4405"/>
        <w:gridCol w:w="990"/>
        <w:gridCol w:w="990"/>
        <w:gridCol w:w="990"/>
        <w:gridCol w:w="990"/>
        <w:gridCol w:w="990"/>
      </w:tblGrid>
      <w:tr w:rsidR="00DF55C8" w:rsidRPr="00DF55C8" w14:paraId="4B7BD979" w14:textId="77777777" w:rsidTr="00DF5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67F86D2C" w14:textId="77777777" w:rsidR="00DF55C8" w:rsidRPr="00DF55C8" w:rsidRDefault="00DF55C8" w:rsidP="00DF55C8">
            <w:pPr>
              <w:rPr>
                <w:rFonts w:ascii="Calibri" w:eastAsia="Calibri" w:hAnsi="Calibri" w:cs="Calibri"/>
                <w:sz w:val="18"/>
                <w:szCs w:val="18"/>
              </w:rPr>
            </w:pPr>
          </w:p>
        </w:tc>
        <w:tc>
          <w:tcPr>
            <w:tcW w:w="990" w:type="dxa"/>
          </w:tcPr>
          <w:p w14:paraId="40811923"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Not important</w:t>
            </w:r>
          </w:p>
        </w:tc>
        <w:tc>
          <w:tcPr>
            <w:tcW w:w="990" w:type="dxa"/>
          </w:tcPr>
          <w:p w14:paraId="33AE19A0"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Slightly important</w:t>
            </w:r>
          </w:p>
        </w:tc>
        <w:tc>
          <w:tcPr>
            <w:tcW w:w="990" w:type="dxa"/>
          </w:tcPr>
          <w:p w14:paraId="3919D4A9"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Important</w:t>
            </w:r>
          </w:p>
        </w:tc>
        <w:tc>
          <w:tcPr>
            <w:tcW w:w="990" w:type="dxa"/>
          </w:tcPr>
          <w:p w14:paraId="2F002073"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Very important</w:t>
            </w:r>
          </w:p>
        </w:tc>
        <w:tc>
          <w:tcPr>
            <w:tcW w:w="990" w:type="dxa"/>
          </w:tcPr>
          <w:p w14:paraId="32E9B970"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Extremely important</w:t>
            </w:r>
          </w:p>
        </w:tc>
      </w:tr>
      <w:tr w:rsidR="00DF55C8" w:rsidRPr="00DF55C8" w14:paraId="44B3147B"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6952E45A"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Impact of warming temperatures on stores of carbon in permafrost, including the relationship between accelerated decomposition and increased nitrogen availability (Rumpel &amp; Kogel-Knabner, 2010; Schmidt et al., 2011).</w:t>
            </w:r>
          </w:p>
        </w:tc>
        <w:tc>
          <w:tcPr>
            <w:tcW w:w="990" w:type="dxa"/>
            <w:vAlign w:val="center"/>
          </w:tcPr>
          <w:p w14:paraId="2C0F320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F55C8">
              <w:rPr>
                <w:rFonts w:ascii="Calibri" w:eastAsia="MS Gothic" w:hAnsi="Calibri" w:cs="Calibri"/>
                <w:b/>
              </w:rPr>
              <w:t>○</w:t>
            </w:r>
          </w:p>
        </w:tc>
        <w:tc>
          <w:tcPr>
            <w:tcW w:w="990" w:type="dxa"/>
            <w:vAlign w:val="center"/>
          </w:tcPr>
          <w:p w14:paraId="5DFF0E8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CDC748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06E6C8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3747487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bl>
    <w:p w14:paraId="25258F12" w14:textId="77777777" w:rsidR="00DF55C8" w:rsidRPr="00DF55C8" w:rsidRDefault="00DF55C8" w:rsidP="00DF55C8">
      <w:pPr>
        <w:spacing w:after="0" w:line="240" w:lineRule="auto"/>
        <w:rPr>
          <w:rFonts w:ascii="Calibri" w:eastAsia="Calibri" w:hAnsi="Calibri" w:cs="Times New Roman"/>
        </w:rPr>
      </w:pPr>
    </w:p>
    <w:p w14:paraId="2CEE7DF5" w14:textId="77777777" w:rsidR="00DF55C8" w:rsidRPr="00DF55C8" w:rsidRDefault="00DF55C8" w:rsidP="00DF55C8">
      <w:pPr>
        <w:spacing w:after="0" w:line="240" w:lineRule="auto"/>
        <w:rPr>
          <w:rFonts w:ascii="Calibri" w:eastAsia="Calibri" w:hAnsi="Calibri" w:cs="Times New Roman"/>
          <w:i/>
        </w:rPr>
      </w:pPr>
    </w:p>
    <w:p w14:paraId="5462E05E" w14:textId="77777777" w:rsidR="00DF55C8" w:rsidRPr="00DF55C8" w:rsidRDefault="00DF55C8" w:rsidP="00DF55C8">
      <w:pPr>
        <w:spacing w:after="0" w:line="240" w:lineRule="auto"/>
        <w:rPr>
          <w:rFonts w:ascii="Calibri" w:eastAsia="Calibri" w:hAnsi="Calibri" w:cs="Times New Roman"/>
          <w:i/>
        </w:rPr>
      </w:pPr>
      <w:r w:rsidRPr="00DF55C8">
        <w:rPr>
          <w:rFonts w:ascii="Calibri" w:eastAsia="Calibri" w:hAnsi="Calibri" w:cs="Times New Roman"/>
          <w:noProof/>
        </w:rPr>
        <mc:AlternateContent>
          <mc:Choice Requires="wps">
            <w:drawing>
              <wp:anchor distT="45720" distB="45720" distL="114300" distR="114300" simplePos="0" relativeHeight="251671552" behindDoc="0" locked="0" layoutInCell="1" allowOverlap="1" wp14:anchorId="2AF53972" wp14:editId="1CA99D5D">
                <wp:simplePos x="0" y="0"/>
                <wp:positionH relativeFrom="margin">
                  <wp:posOffset>0</wp:posOffset>
                </wp:positionH>
                <wp:positionV relativeFrom="paragraph">
                  <wp:posOffset>216535</wp:posOffset>
                </wp:positionV>
                <wp:extent cx="4686300" cy="942975"/>
                <wp:effectExtent l="0" t="0" r="19050"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42975"/>
                        </a:xfrm>
                        <a:prstGeom prst="rect">
                          <a:avLst/>
                        </a:prstGeom>
                        <a:solidFill>
                          <a:srgbClr val="FFFFFF"/>
                        </a:solidFill>
                        <a:ln w="9525">
                          <a:solidFill>
                            <a:srgbClr val="000000"/>
                          </a:solidFill>
                          <a:miter lim="800000"/>
                          <a:headEnd/>
                          <a:tailEnd/>
                        </a:ln>
                      </wps:spPr>
                      <wps:txbx>
                        <w:txbxContent>
                          <w:p w14:paraId="79CBC9D1" w14:textId="77777777" w:rsidR="00876770" w:rsidRPr="00A45B79" w:rsidRDefault="00876770" w:rsidP="00DF55C8">
                            <w:r w:rsidRPr="00A45B79">
                              <w:t>Further research: Please indicate if there are other research issues you think should be considered</w:t>
                            </w:r>
                            <w:r>
                              <w:t>.</w:t>
                            </w:r>
                          </w:p>
                          <w:p w14:paraId="1A0A5542"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53972" id="_x0000_s1032" type="#_x0000_t202" style="position:absolute;margin-left:0;margin-top:17.05pt;width:369pt;height:74.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">
                <v:textbox>
                  <w:txbxContent>
                    <w:p w14:paraId="79CBC9D1" w14:textId="77777777" w:rsidR="00876770" w:rsidRPr="00A45B79" w:rsidRDefault="00876770" w:rsidP="00DF55C8">
                      <w:r w:rsidRPr="00A45B79">
                        <w:t>Further research: Please indicate if there are other research issues you think should be considered</w:t>
                      </w:r>
                      <w:r>
                        <w:t>.</w:t>
                      </w:r>
                    </w:p>
                    <w:p w14:paraId="1A0A5542" w14:textId="77777777" w:rsidR="00876770" w:rsidRDefault="00876770" w:rsidP="00DF55C8"/>
                  </w:txbxContent>
                </v:textbox>
                <w10:wrap type="square" anchorx="margin"/>
              </v:shape>
            </w:pict>
          </mc:Fallback>
        </mc:AlternateContent>
      </w:r>
    </w:p>
    <w:p w14:paraId="7046511C" w14:textId="77777777" w:rsidR="00DF55C8" w:rsidRPr="00DF55C8" w:rsidRDefault="00DF55C8" w:rsidP="00DF55C8">
      <w:pPr>
        <w:spacing w:after="0" w:line="240" w:lineRule="auto"/>
        <w:ind w:left="720"/>
        <w:rPr>
          <w:rFonts w:ascii="Calibri" w:eastAsia="Calibri" w:hAnsi="Calibri" w:cs="Times New Roman"/>
        </w:rPr>
      </w:pPr>
    </w:p>
    <w:p w14:paraId="54A28CA4" w14:textId="77777777" w:rsidR="00DF55C8" w:rsidRPr="00DF55C8" w:rsidRDefault="00DF55C8" w:rsidP="00DF55C8">
      <w:pPr>
        <w:spacing w:after="0" w:line="240" w:lineRule="auto"/>
        <w:ind w:left="720"/>
        <w:rPr>
          <w:rFonts w:ascii="Calibri" w:eastAsia="Calibri" w:hAnsi="Calibri" w:cs="Times New Roman"/>
        </w:rPr>
      </w:pPr>
    </w:p>
    <w:p w14:paraId="7AFA57F3" w14:textId="77777777" w:rsidR="00DF55C8" w:rsidRPr="00DF55C8" w:rsidRDefault="00DF55C8" w:rsidP="00DF55C8">
      <w:pPr>
        <w:spacing w:after="0" w:line="240" w:lineRule="auto"/>
        <w:ind w:left="720"/>
        <w:rPr>
          <w:rFonts w:ascii="Calibri" w:eastAsia="Calibri" w:hAnsi="Calibri" w:cs="Times New Roman"/>
        </w:rPr>
      </w:pPr>
    </w:p>
    <w:p w14:paraId="710D0673" w14:textId="77777777" w:rsidR="00DF55C8" w:rsidRPr="00DF55C8" w:rsidRDefault="00DF55C8" w:rsidP="00DF55C8">
      <w:pPr>
        <w:spacing w:after="0" w:line="240" w:lineRule="auto"/>
        <w:ind w:left="720"/>
        <w:rPr>
          <w:rFonts w:ascii="Calibri" w:eastAsia="Calibri" w:hAnsi="Calibri" w:cs="Times New Roman"/>
        </w:rPr>
      </w:pPr>
    </w:p>
    <w:p w14:paraId="1BBD6FAD" w14:textId="77777777" w:rsidR="00DF55C8" w:rsidRPr="00DF55C8" w:rsidRDefault="00DF55C8" w:rsidP="00DF55C8">
      <w:pPr>
        <w:spacing w:after="0" w:line="240" w:lineRule="auto"/>
        <w:ind w:left="720"/>
        <w:rPr>
          <w:rFonts w:ascii="Calibri" w:eastAsia="Calibri" w:hAnsi="Calibri" w:cs="Times New Roman"/>
        </w:rPr>
      </w:pPr>
    </w:p>
    <w:p w14:paraId="4D720A1A" w14:textId="77777777" w:rsidR="00DF55C8" w:rsidRPr="00DF55C8" w:rsidRDefault="00DF55C8" w:rsidP="00DF55C8">
      <w:pPr>
        <w:spacing w:after="0" w:line="240" w:lineRule="auto"/>
        <w:ind w:left="720"/>
        <w:rPr>
          <w:rFonts w:ascii="Calibri" w:eastAsia="Calibri" w:hAnsi="Calibri" w:cs="Times New Roman"/>
        </w:rPr>
      </w:pPr>
    </w:p>
    <w:p w14:paraId="2AFA6183" w14:textId="77777777" w:rsidR="00DF55C8" w:rsidRPr="00DF55C8" w:rsidRDefault="00DF55C8" w:rsidP="00DF55C8">
      <w:pPr>
        <w:spacing w:after="0" w:line="240" w:lineRule="auto"/>
        <w:ind w:left="720"/>
        <w:rPr>
          <w:rFonts w:ascii="Calibri" w:eastAsia="Calibri" w:hAnsi="Calibri" w:cs="Times New Roman"/>
        </w:rPr>
      </w:pPr>
    </w:p>
    <w:p w14:paraId="627B9ECD" w14:textId="77777777" w:rsidR="00DF55C8" w:rsidRPr="00DF55C8" w:rsidRDefault="00DF55C8" w:rsidP="00DF55C8">
      <w:pPr>
        <w:spacing w:after="0" w:line="240" w:lineRule="auto"/>
        <w:ind w:left="720"/>
        <w:rPr>
          <w:rFonts w:ascii="Calibri" w:eastAsia="Calibri" w:hAnsi="Calibri" w:cs="Times New Roman"/>
        </w:rPr>
      </w:pPr>
      <w:r w:rsidRPr="00DF55C8">
        <w:rPr>
          <w:rFonts w:ascii="Calibri" w:eastAsia="Calibri" w:hAnsi="Calibri" w:cs="Times New Roman"/>
          <w:noProof/>
        </w:rPr>
        <mc:AlternateContent>
          <mc:Choice Requires="wps">
            <w:drawing>
              <wp:anchor distT="45720" distB="45720" distL="114300" distR="114300" simplePos="0" relativeHeight="251672576" behindDoc="0" locked="0" layoutInCell="1" allowOverlap="1" wp14:anchorId="3206AF2F" wp14:editId="457B72F8">
                <wp:simplePos x="0" y="0"/>
                <wp:positionH relativeFrom="margin">
                  <wp:posOffset>0</wp:posOffset>
                </wp:positionH>
                <wp:positionV relativeFrom="paragraph">
                  <wp:posOffset>216535</wp:posOffset>
                </wp:positionV>
                <wp:extent cx="4686300" cy="942975"/>
                <wp:effectExtent l="0" t="0" r="19050"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42975"/>
                        </a:xfrm>
                        <a:prstGeom prst="rect">
                          <a:avLst/>
                        </a:prstGeom>
                        <a:solidFill>
                          <a:srgbClr val="FFFFFF"/>
                        </a:solidFill>
                        <a:ln w="9525">
                          <a:solidFill>
                            <a:srgbClr val="000000"/>
                          </a:solidFill>
                          <a:miter lim="800000"/>
                          <a:headEnd/>
                          <a:tailEnd/>
                        </a:ln>
                      </wps:spPr>
                      <wps:txbx>
                        <w:txbxContent>
                          <w:p w14:paraId="4C0ABB42" w14:textId="77777777" w:rsidR="00876770" w:rsidRPr="00A45B79" w:rsidRDefault="00876770" w:rsidP="00DF55C8">
                            <w:pPr>
                              <w:spacing w:after="0" w:line="240" w:lineRule="auto"/>
                            </w:pPr>
                            <w:r w:rsidRPr="00A45B79">
                              <w:t xml:space="preserve">Limiting factors: Please indicate whether there are any other research areas that require attention in order for research </w:t>
                            </w:r>
                            <w:r>
                              <w:t xml:space="preserve">that </w:t>
                            </w:r>
                            <w:r w:rsidRPr="00A45B79">
                              <w:t>you</w:t>
                            </w:r>
                            <w:r>
                              <w:t xml:space="preserve"> have</w:t>
                            </w:r>
                            <w:r w:rsidRPr="00A45B79">
                              <w:t xml:space="preserve"> prioritized here to be effective. We seek to uncover critical linkages across research areas to ensure effective research programs.</w:t>
                            </w:r>
                          </w:p>
                          <w:p w14:paraId="52BEB5F5"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6AF2F" id="_x0000_s1033" type="#_x0000_t202" style="position:absolute;left:0;text-align:left;margin-left:0;margin-top:17.05pt;width:369pt;height:74.2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">
                <v:textbox>
                  <w:txbxContent>
                    <w:p w14:paraId="4C0ABB42" w14:textId="77777777" w:rsidR="00876770" w:rsidRPr="00A45B79" w:rsidRDefault="00876770" w:rsidP="00DF55C8">
                      <w:pPr>
                        <w:spacing w:after="0" w:line="240" w:lineRule="auto"/>
                      </w:pPr>
                      <w:r w:rsidRPr="00A45B79">
                        <w:t xml:space="preserve">Limiting factors: Please indicate whether there are any other research areas that require attention in order for research </w:t>
                      </w:r>
                      <w:r>
                        <w:t xml:space="preserve">that </w:t>
                      </w:r>
                      <w:r w:rsidRPr="00A45B79">
                        <w:t>you</w:t>
                      </w:r>
                      <w:r>
                        <w:t xml:space="preserve"> have</w:t>
                      </w:r>
                      <w:r w:rsidRPr="00A45B79">
                        <w:t xml:space="preserve"> prioritized here to be effective. We seek to uncover critical linkages across research areas to ensure effective research programs.</w:t>
                      </w:r>
                    </w:p>
                    <w:p w14:paraId="52BEB5F5" w14:textId="77777777" w:rsidR="00876770" w:rsidRDefault="00876770" w:rsidP="00DF55C8"/>
                  </w:txbxContent>
                </v:textbox>
                <w10:wrap type="square" anchorx="margin"/>
              </v:shape>
            </w:pict>
          </mc:Fallback>
        </mc:AlternateContent>
      </w:r>
    </w:p>
    <w:p w14:paraId="3B8811DD" w14:textId="77777777" w:rsidR="00DF55C8" w:rsidRPr="00DF55C8" w:rsidRDefault="00DF55C8" w:rsidP="00DF55C8">
      <w:pPr>
        <w:spacing w:after="0" w:line="240" w:lineRule="auto"/>
        <w:ind w:left="720"/>
        <w:rPr>
          <w:rFonts w:ascii="Calibri" w:eastAsia="Calibri" w:hAnsi="Calibri" w:cs="Times New Roman"/>
        </w:rPr>
      </w:pPr>
    </w:p>
    <w:p w14:paraId="6E221AA2" w14:textId="77777777" w:rsidR="00DF55C8" w:rsidRPr="00DF55C8" w:rsidRDefault="00DF55C8" w:rsidP="00DF55C8">
      <w:pPr>
        <w:spacing w:after="0" w:line="240" w:lineRule="auto"/>
        <w:rPr>
          <w:rFonts w:ascii="Calibri" w:eastAsia="Calibri" w:hAnsi="Calibri" w:cs="Times New Roman"/>
        </w:rPr>
      </w:pPr>
    </w:p>
    <w:p w14:paraId="2D64A067" w14:textId="77777777" w:rsidR="00DF55C8" w:rsidRPr="00DF55C8" w:rsidRDefault="00DF55C8" w:rsidP="00DF55C8">
      <w:pPr>
        <w:spacing w:after="0" w:line="240" w:lineRule="auto"/>
        <w:rPr>
          <w:rFonts w:ascii="Calibri" w:eastAsia="Calibri" w:hAnsi="Calibri" w:cs="Times New Roman"/>
        </w:rPr>
      </w:pPr>
    </w:p>
    <w:p w14:paraId="086A6A76" w14:textId="77777777" w:rsidR="00DF55C8" w:rsidRPr="00DF55C8" w:rsidRDefault="00DF55C8" w:rsidP="00DF55C8">
      <w:pPr>
        <w:spacing w:after="0" w:line="240" w:lineRule="auto"/>
        <w:rPr>
          <w:rFonts w:ascii="Calibri" w:eastAsia="Calibri" w:hAnsi="Calibri" w:cs="Times New Roman"/>
        </w:rPr>
      </w:pPr>
    </w:p>
    <w:p w14:paraId="7582D894" w14:textId="77777777" w:rsidR="00DF55C8" w:rsidRPr="00DF55C8" w:rsidRDefault="00DF55C8" w:rsidP="00DF55C8">
      <w:pPr>
        <w:spacing w:after="0" w:line="240" w:lineRule="auto"/>
        <w:rPr>
          <w:rFonts w:ascii="Calibri" w:eastAsia="Calibri" w:hAnsi="Calibri" w:cs="Times New Roman"/>
        </w:rPr>
      </w:pPr>
    </w:p>
    <w:p w14:paraId="37BB89F2" w14:textId="77777777" w:rsidR="00DF55C8" w:rsidRPr="00DF55C8" w:rsidRDefault="00DF55C8" w:rsidP="00DF55C8">
      <w:pPr>
        <w:spacing w:after="0" w:line="240" w:lineRule="auto"/>
        <w:rPr>
          <w:rFonts w:ascii="Calibri" w:eastAsia="Calibri" w:hAnsi="Calibri" w:cs="Times New Roman"/>
        </w:rPr>
      </w:pPr>
    </w:p>
    <w:p w14:paraId="30A7DD36" w14:textId="77777777" w:rsidR="00DF55C8" w:rsidRPr="00DF55C8" w:rsidRDefault="00DF55C8" w:rsidP="00DF55C8">
      <w:pPr>
        <w:spacing w:after="0" w:line="240" w:lineRule="auto"/>
        <w:rPr>
          <w:rFonts w:ascii="Calibri" w:eastAsia="Calibri" w:hAnsi="Calibri" w:cs="Times New Roman"/>
        </w:rPr>
      </w:pPr>
    </w:p>
    <w:p w14:paraId="32DE215B" w14:textId="77777777" w:rsidR="00DF55C8" w:rsidRPr="00DF55C8" w:rsidRDefault="00DF55C8" w:rsidP="00DF55C8">
      <w:pPr>
        <w:spacing w:after="0" w:line="240" w:lineRule="auto"/>
        <w:rPr>
          <w:rFonts w:ascii="Calibri" w:eastAsia="Calibri" w:hAnsi="Calibri" w:cs="Times New Roman"/>
        </w:rPr>
      </w:pPr>
    </w:p>
    <w:p w14:paraId="0EB27781" w14:textId="77777777" w:rsidR="00DF55C8" w:rsidRPr="00DF55C8" w:rsidRDefault="00DF55C8" w:rsidP="00DF55C8">
      <w:pPr>
        <w:rPr>
          <w:rFonts w:ascii="Calibri" w:eastAsia="Calibri" w:hAnsi="Calibri" w:cs="Times New Roman"/>
        </w:rPr>
      </w:pPr>
      <w:r w:rsidRPr="00DF55C8">
        <w:rPr>
          <w:rFonts w:ascii="Calibri" w:eastAsia="Calibri" w:hAnsi="Calibri" w:cs="Times New Roman"/>
          <w:noProof/>
        </w:rPr>
        <w:lastRenderedPageBreak/>
        <mc:AlternateContent>
          <mc:Choice Requires="wps">
            <w:drawing>
              <wp:anchor distT="45720" distB="45720" distL="114300" distR="114300" simplePos="0" relativeHeight="251661312" behindDoc="0" locked="0" layoutInCell="1" allowOverlap="1" wp14:anchorId="2BF66637" wp14:editId="26BC28D2">
                <wp:simplePos x="0" y="0"/>
                <wp:positionH relativeFrom="margin">
                  <wp:posOffset>0</wp:posOffset>
                </wp:positionH>
                <wp:positionV relativeFrom="paragraph">
                  <wp:posOffset>36830</wp:posOffset>
                </wp:positionV>
                <wp:extent cx="4686300" cy="942975"/>
                <wp:effectExtent l="0" t="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42975"/>
                        </a:xfrm>
                        <a:prstGeom prst="rect">
                          <a:avLst/>
                        </a:prstGeom>
                        <a:solidFill>
                          <a:srgbClr val="FFFFFF"/>
                        </a:solidFill>
                        <a:ln w="9525">
                          <a:solidFill>
                            <a:srgbClr val="000000"/>
                          </a:solidFill>
                          <a:miter lim="800000"/>
                          <a:headEnd/>
                          <a:tailEnd/>
                        </a:ln>
                      </wps:spPr>
                      <wps:txbx>
                        <w:txbxContent>
                          <w:p w14:paraId="259E00A2" w14:textId="77777777" w:rsidR="00876770" w:rsidRDefault="00876770" w:rsidP="00DF55C8">
                            <w:r>
                              <w:t xml:space="preserve">Please enter any comments, additional knowledge or justification that you have regarding this question and/or your rankings. </w:t>
                            </w:r>
                          </w:p>
                          <w:p w14:paraId="398B1C7F" w14:textId="77777777" w:rsidR="00876770" w:rsidRDefault="00876770" w:rsidP="00DF55C8"/>
                          <w:p w14:paraId="28D0FF37"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66637" id="_x0000_s1034" type="#_x0000_t202" style="position:absolute;margin-left:0;margin-top:2.9pt;width:369pt;height:74.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">
                <v:textbox>
                  <w:txbxContent>
                    <w:p w14:paraId="259E00A2" w14:textId="77777777" w:rsidR="00876770" w:rsidRDefault="00876770" w:rsidP="00DF55C8">
                      <w:r>
                        <w:t xml:space="preserve">Please enter any comments, additional knowledge or justification that you have regarding this question and/or your rankings. </w:t>
                      </w:r>
                    </w:p>
                    <w:p w14:paraId="398B1C7F" w14:textId="77777777" w:rsidR="00876770" w:rsidRDefault="00876770" w:rsidP="00DF55C8"/>
                    <w:p w14:paraId="28D0FF37" w14:textId="77777777" w:rsidR="00876770" w:rsidRDefault="00876770" w:rsidP="00DF55C8"/>
                  </w:txbxContent>
                </v:textbox>
                <w10:wrap type="square" anchorx="margin"/>
              </v:shape>
            </w:pict>
          </mc:Fallback>
        </mc:AlternateContent>
      </w:r>
    </w:p>
    <w:p w14:paraId="6F9F425D" w14:textId="77777777" w:rsidR="00DF55C8" w:rsidRPr="00DF55C8" w:rsidRDefault="00DF55C8" w:rsidP="00DF55C8">
      <w:pPr>
        <w:rPr>
          <w:rFonts w:ascii="Calibri" w:eastAsia="Calibri" w:hAnsi="Calibri" w:cs="Times New Roman"/>
        </w:rPr>
      </w:pPr>
    </w:p>
    <w:p w14:paraId="4BC1D3F5" w14:textId="77777777" w:rsidR="00DF55C8" w:rsidRPr="00DF55C8" w:rsidRDefault="00DF55C8" w:rsidP="00DF55C8">
      <w:pPr>
        <w:rPr>
          <w:rFonts w:ascii="Calibri" w:eastAsia="Calibri" w:hAnsi="Calibri" w:cs="Times New Roman"/>
        </w:rPr>
      </w:pPr>
    </w:p>
    <w:p w14:paraId="65ED46AD" w14:textId="77777777" w:rsidR="00DF55C8" w:rsidRPr="00DF55C8" w:rsidRDefault="00DF55C8" w:rsidP="00DF55C8">
      <w:pPr>
        <w:rPr>
          <w:rFonts w:ascii="Calibri" w:eastAsia="Calibri" w:hAnsi="Calibri" w:cs="Times New Roman"/>
        </w:rPr>
      </w:pPr>
    </w:p>
    <w:p w14:paraId="5ABD5188" w14:textId="77777777" w:rsidR="00DF55C8" w:rsidRPr="00DF55C8" w:rsidRDefault="00DF55C8" w:rsidP="00DF55C8">
      <w:pPr>
        <w:rPr>
          <w:rFonts w:ascii="Calibri" w:eastAsia="Calibri" w:hAnsi="Calibri" w:cs="Times New Roman"/>
        </w:rPr>
      </w:pPr>
      <w:r w:rsidRPr="00DF55C8">
        <w:rPr>
          <w:rFonts w:ascii="Calibri" w:eastAsia="Calibri" w:hAnsi="Calibri" w:cs="Times New Roman"/>
          <w:noProof/>
        </w:rPr>
        <mc:AlternateContent>
          <mc:Choice Requires="wps">
            <w:drawing>
              <wp:anchor distT="45720" distB="45720" distL="114300" distR="114300" simplePos="0" relativeHeight="251666432" behindDoc="0" locked="0" layoutInCell="1" allowOverlap="1" wp14:anchorId="1B76B5CA" wp14:editId="3428D462">
                <wp:simplePos x="0" y="0"/>
                <wp:positionH relativeFrom="margin">
                  <wp:align>left</wp:align>
                </wp:positionH>
                <wp:positionV relativeFrom="paragraph">
                  <wp:posOffset>121285</wp:posOffset>
                </wp:positionV>
                <wp:extent cx="4686300" cy="1219200"/>
                <wp:effectExtent l="0" t="0" r="1905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219200"/>
                        </a:xfrm>
                        <a:prstGeom prst="rect">
                          <a:avLst/>
                        </a:prstGeom>
                        <a:solidFill>
                          <a:srgbClr val="FFFFFF"/>
                        </a:solidFill>
                        <a:ln w="9525">
                          <a:solidFill>
                            <a:srgbClr val="000000"/>
                          </a:solidFill>
                          <a:miter lim="800000"/>
                          <a:headEnd/>
                          <a:tailEnd/>
                        </a:ln>
                      </wps:spPr>
                      <wps:txbx>
                        <w:txbxContent>
                          <w:p w14:paraId="2CA09BB4" w14:textId="77777777" w:rsidR="00876770" w:rsidRDefault="00876770" w:rsidP="00DF55C8">
                            <w:r>
                              <w:t>We are also interested in literature or other research that has informed your responses expressed here. Please share any recommended reading, including links if you have them.</w:t>
                            </w:r>
                          </w:p>
                          <w:p w14:paraId="2882198A"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76B5CA" id="_x0000_s1035" type="#_x0000_t202" style="position:absolute;margin-left:0;margin-top:9.55pt;width:369pt;height:96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">
                <v:textbox>
                  <w:txbxContent>
                    <w:p w14:paraId="2CA09BB4" w14:textId="77777777" w:rsidR="00876770" w:rsidRDefault="00876770" w:rsidP="00DF55C8">
                      <w:r>
                        <w:t>We are also interested in literature or other research that has informed your responses expressed here. Please share any recommended reading, including links if you have them.</w:t>
                      </w:r>
                    </w:p>
                    <w:p w14:paraId="2882198A" w14:textId="77777777" w:rsidR="00876770" w:rsidRDefault="00876770" w:rsidP="00DF55C8"/>
                  </w:txbxContent>
                </v:textbox>
                <w10:wrap type="square" anchorx="margin"/>
              </v:shape>
            </w:pict>
          </mc:Fallback>
        </mc:AlternateContent>
      </w:r>
    </w:p>
    <w:p w14:paraId="2BEDC3D2" w14:textId="77777777" w:rsidR="00DF55C8" w:rsidRPr="00DF55C8" w:rsidRDefault="00DF55C8" w:rsidP="00DF55C8">
      <w:pPr>
        <w:rPr>
          <w:rFonts w:ascii="Calibri" w:eastAsia="Calibri" w:hAnsi="Calibri" w:cs="Times New Roman"/>
        </w:rPr>
      </w:pPr>
    </w:p>
    <w:p w14:paraId="5B7E1AF7" w14:textId="77777777" w:rsidR="00DF55C8" w:rsidRPr="00DF55C8" w:rsidRDefault="00DF55C8" w:rsidP="00DF55C8">
      <w:pPr>
        <w:rPr>
          <w:rFonts w:ascii="Calibri" w:eastAsia="Calibri" w:hAnsi="Calibri" w:cs="Times New Roman"/>
        </w:rPr>
      </w:pPr>
    </w:p>
    <w:p w14:paraId="0FDD611B" w14:textId="77777777" w:rsidR="00DF55C8" w:rsidRPr="00DF55C8" w:rsidRDefault="00DF55C8" w:rsidP="00DF55C8">
      <w:pPr>
        <w:rPr>
          <w:rFonts w:ascii="Calibri" w:eastAsia="Calibri" w:hAnsi="Calibri" w:cs="Times New Roman"/>
        </w:rPr>
      </w:pPr>
    </w:p>
    <w:p w14:paraId="3AE30773" w14:textId="77777777" w:rsidR="00DF55C8" w:rsidRPr="00DF55C8" w:rsidRDefault="00DF55C8" w:rsidP="00DF55C8">
      <w:pPr>
        <w:rPr>
          <w:rFonts w:ascii="Calibri" w:eastAsia="Calibri" w:hAnsi="Calibri" w:cs="Times New Roman"/>
        </w:rPr>
      </w:pPr>
    </w:p>
    <w:p w14:paraId="32A19AEC" w14:textId="77777777" w:rsidR="00DF55C8" w:rsidRPr="00DF55C8" w:rsidRDefault="00DF55C8" w:rsidP="00DF55C8">
      <w:pPr>
        <w:rPr>
          <w:rFonts w:ascii="Calibri" w:eastAsia="Calibri" w:hAnsi="Calibri" w:cs="Times New Roman"/>
        </w:rPr>
      </w:pPr>
    </w:p>
    <w:p w14:paraId="7CC128E5" w14:textId="77777777" w:rsidR="00DF55C8" w:rsidRPr="00DF55C8" w:rsidRDefault="00DF55C8" w:rsidP="00DF55C8">
      <w:pPr>
        <w:rPr>
          <w:rFonts w:ascii="Calibri" w:eastAsia="Calibri" w:hAnsi="Calibri" w:cs="Times New Roman"/>
          <w:b/>
        </w:rPr>
      </w:pPr>
    </w:p>
    <w:p w14:paraId="38EAF185" w14:textId="77777777" w:rsidR="00DF55C8" w:rsidRPr="00DF55C8" w:rsidRDefault="00DF55C8" w:rsidP="00DF55C8">
      <w:pPr>
        <w:rPr>
          <w:rFonts w:ascii="Calibri" w:eastAsia="Calibri" w:hAnsi="Calibri" w:cs="Times New Roman"/>
          <w:b/>
        </w:rPr>
      </w:pPr>
      <w:r w:rsidRPr="00DF55C8">
        <w:rPr>
          <w:rFonts w:ascii="Calibri" w:eastAsia="Calibri" w:hAnsi="Calibri" w:cs="Times New Roman"/>
          <w:b/>
        </w:rPr>
        <w:t>NITROGEN AND METHANE FLUXES</w:t>
      </w:r>
    </w:p>
    <w:p w14:paraId="28403C48" w14:textId="77777777" w:rsidR="00DF55C8" w:rsidRPr="00DF55C8" w:rsidRDefault="00DF55C8" w:rsidP="00DF55C8">
      <w:pPr>
        <w:rPr>
          <w:rFonts w:ascii="Calibri" w:eastAsia="Calibri" w:hAnsi="Calibri" w:cs="Times New Roman"/>
          <w:b/>
        </w:rPr>
      </w:pPr>
      <w:r w:rsidRPr="00DF55C8">
        <w:rPr>
          <w:rFonts w:ascii="Calibri" w:eastAsia="Calibri" w:hAnsi="Calibri" w:cs="Times New Roman"/>
          <w:b/>
        </w:rPr>
        <w:t>Soil biota and interactions</w:t>
      </w:r>
    </w:p>
    <w:tbl>
      <w:tblPr>
        <w:tblStyle w:val="GridTable4-Accent61"/>
        <w:tblW w:w="9355" w:type="dxa"/>
        <w:tblLook w:val="06A0" w:firstRow="1" w:lastRow="0" w:firstColumn="1" w:lastColumn="0" w:noHBand="1" w:noVBand="1"/>
      </w:tblPr>
      <w:tblGrid>
        <w:gridCol w:w="4405"/>
        <w:gridCol w:w="990"/>
        <w:gridCol w:w="990"/>
        <w:gridCol w:w="990"/>
        <w:gridCol w:w="990"/>
        <w:gridCol w:w="990"/>
      </w:tblGrid>
      <w:tr w:rsidR="00DF55C8" w:rsidRPr="00DF55C8" w14:paraId="252A3F38" w14:textId="77777777" w:rsidTr="00DF5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43555C24" w14:textId="77777777" w:rsidR="00DF55C8" w:rsidRPr="00DF55C8" w:rsidRDefault="00DF55C8" w:rsidP="00DF55C8">
            <w:pPr>
              <w:rPr>
                <w:rFonts w:ascii="Calibri" w:eastAsia="Calibri" w:hAnsi="Calibri" w:cs="Calibri"/>
                <w:sz w:val="18"/>
                <w:szCs w:val="18"/>
              </w:rPr>
            </w:pPr>
          </w:p>
        </w:tc>
        <w:tc>
          <w:tcPr>
            <w:tcW w:w="990" w:type="dxa"/>
          </w:tcPr>
          <w:p w14:paraId="3CBC9D95"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Not important</w:t>
            </w:r>
          </w:p>
        </w:tc>
        <w:tc>
          <w:tcPr>
            <w:tcW w:w="990" w:type="dxa"/>
          </w:tcPr>
          <w:p w14:paraId="2AF62211"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Slightly important</w:t>
            </w:r>
          </w:p>
        </w:tc>
        <w:tc>
          <w:tcPr>
            <w:tcW w:w="990" w:type="dxa"/>
          </w:tcPr>
          <w:p w14:paraId="3F859DD9"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Important</w:t>
            </w:r>
          </w:p>
        </w:tc>
        <w:tc>
          <w:tcPr>
            <w:tcW w:w="990" w:type="dxa"/>
          </w:tcPr>
          <w:p w14:paraId="0405661A"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Very important</w:t>
            </w:r>
          </w:p>
        </w:tc>
        <w:tc>
          <w:tcPr>
            <w:tcW w:w="990" w:type="dxa"/>
          </w:tcPr>
          <w:p w14:paraId="5E2AA5DF"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Extremely important</w:t>
            </w:r>
          </w:p>
        </w:tc>
      </w:tr>
      <w:tr w:rsidR="00DF55C8" w:rsidRPr="00DF55C8" w14:paraId="6DF89DE0"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60C80DB3"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Role of soil fungi in denitrification, through additional field studies or using new technologies (Butterbach-Bahl, 2013).</w:t>
            </w:r>
          </w:p>
        </w:tc>
        <w:tc>
          <w:tcPr>
            <w:tcW w:w="990" w:type="dxa"/>
            <w:vAlign w:val="center"/>
          </w:tcPr>
          <w:p w14:paraId="75C27B5E"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F55C8">
              <w:rPr>
                <w:rFonts w:ascii="Calibri" w:eastAsia="MS Gothic" w:hAnsi="Calibri" w:cs="Calibri"/>
                <w:b/>
              </w:rPr>
              <w:t>○</w:t>
            </w:r>
          </w:p>
        </w:tc>
        <w:tc>
          <w:tcPr>
            <w:tcW w:w="990" w:type="dxa"/>
            <w:vAlign w:val="center"/>
          </w:tcPr>
          <w:p w14:paraId="4103C23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483E24E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319730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25DA7BB"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42175385"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75CD9E9F"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Potential role of soil inhabiting archaea in producing N</w:t>
            </w:r>
            <w:r w:rsidRPr="00CC0ACC">
              <w:rPr>
                <w:rFonts w:ascii="Calibri" w:eastAsia="Calibri" w:hAnsi="Calibri" w:cs="Calibri"/>
                <w:b w:val="0"/>
                <w:sz w:val="18"/>
                <w:szCs w:val="18"/>
                <w:vertAlign w:val="subscript"/>
              </w:rPr>
              <w:t>2</w:t>
            </w:r>
            <w:r w:rsidRPr="00CC0ACC">
              <w:rPr>
                <w:rFonts w:ascii="Calibri" w:eastAsia="Calibri" w:hAnsi="Calibri" w:cs="Calibri"/>
                <w:b w:val="0"/>
                <w:sz w:val="18"/>
                <w:szCs w:val="18"/>
              </w:rPr>
              <w:t>O emissions (Butterbach-Bahl, 2013).</w:t>
            </w:r>
          </w:p>
        </w:tc>
        <w:tc>
          <w:tcPr>
            <w:tcW w:w="990" w:type="dxa"/>
            <w:vAlign w:val="center"/>
          </w:tcPr>
          <w:p w14:paraId="6C4B2A8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AAB651F"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3C53154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A64156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4C966E6E"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650C3B4D"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13EBDBD4"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Role of soil organism diversity in reducing loss of N through N</w:t>
            </w:r>
            <w:r w:rsidRPr="00CC0ACC">
              <w:rPr>
                <w:rFonts w:ascii="Calibri" w:eastAsia="Calibri" w:hAnsi="Calibri" w:cs="Calibri"/>
                <w:b w:val="0"/>
                <w:sz w:val="18"/>
                <w:szCs w:val="18"/>
                <w:vertAlign w:val="subscript"/>
              </w:rPr>
              <w:t>2</w:t>
            </w:r>
            <w:r w:rsidRPr="00CC0ACC">
              <w:rPr>
                <w:rFonts w:ascii="Calibri" w:eastAsia="Calibri" w:hAnsi="Calibri" w:cs="Calibri"/>
                <w:b w:val="0"/>
                <w:sz w:val="18"/>
                <w:szCs w:val="18"/>
              </w:rPr>
              <w:t>O emissions (Wagg, 2014).</w:t>
            </w:r>
            <w:r w:rsidRPr="00CC0ACC">
              <w:rPr>
                <w:rFonts w:ascii="Calibri" w:eastAsia="Calibri" w:hAnsi="Calibri" w:cs="Times New Roman"/>
                <w:b w:val="0"/>
              </w:rPr>
              <w:t xml:space="preserve"> </w:t>
            </w:r>
          </w:p>
        </w:tc>
        <w:tc>
          <w:tcPr>
            <w:tcW w:w="990" w:type="dxa"/>
            <w:vAlign w:val="center"/>
          </w:tcPr>
          <w:p w14:paraId="5A5D049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3D85237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37AF531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C12992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08A4F2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0E2AF4A6"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214BDD87" w14:textId="77777777" w:rsidR="00DF55C8" w:rsidRPr="00CC0ACC" w:rsidRDefault="00DF55C8" w:rsidP="00DF55C8">
            <w:pPr>
              <w:rPr>
                <w:rFonts w:ascii="Tahoma" w:eastAsia="Calibri" w:hAnsi="Tahoma" w:cs="Tahoma"/>
                <w:b w:val="0"/>
                <w:color w:val="706F65"/>
                <w:sz w:val="18"/>
                <w:szCs w:val="18"/>
                <w:shd w:val="clear" w:color="auto" w:fill="EBF0E3"/>
              </w:rPr>
            </w:pPr>
            <w:r w:rsidRPr="00CC0ACC">
              <w:rPr>
                <w:rFonts w:ascii="Calibri" w:eastAsia="Calibri" w:hAnsi="Calibri" w:cs="Calibri"/>
                <w:b w:val="0"/>
                <w:sz w:val="18"/>
                <w:szCs w:val="18"/>
              </w:rPr>
              <w:t>Mechanistic processes underlying the impact of biochar on reducing N</w:t>
            </w:r>
            <w:r w:rsidRPr="00CC0ACC">
              <w:rPr>
                <w:rFonts w:ascii="Calibri" w:eastAsia="Calibri" w:hAnsi="Calibri" w:cs="Calibri"/>
                <w:b w:val="0"/>
                <w:sz w:val="18"/>
                <w:szCs w:val="18"/>
                <w:vertAlign w:val="subscript"/>
              </w:rPr>
              <w:t>2</w:t>
            </w:r>
            <w:r w:rsidRPr="00CC0ACC">
              <w:rPr>
                <w:rFonts w:ascii="Calibri" w:eastAsia="Calibri" w:hAnsi="Calibri" w:cs="Calibri"/>
                <w:b w:val="0"/>
                <w:sz w:val="18"/>
                <w:szCs w:val="18"/>
              </w:rPr>
              <w:t>O emissions: factors including, but not limited to, microbial immobilization of inorganic N in soil, alleviation of anoxic conditions, increased sorption capacity of biochars, reduction of N uptake by plants, and formation and stability of soil aggregates (Cayuela et al., 2014; Clough et al., 2013; Singh et al., 2010).</w:t>
            </w:r>
          </w:p>
        </w:tc>
        <w:tc>
          <w:tcPr>
            <w:tcW w:w="990" w:type="dxa"/>
            <w:vAlign w:val="center"/>
          </w:tcPr>
          <w:p w14:paraId="767E54B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6785C88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126BA6A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46E5684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69DE3F3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bl>
    <w:p w14:paraId="20F84079" w14:textId="77777777" w:rsidR="00DF55C8" w:rsidRPr="00DF55C8" w:rsidRDefault="00DF55C8" w:rsidP="00DF55C8">
      <w:pPr>
        <w:rPr>
          <w:rFonts w:ascii="Calibri" w:eastAsia="Calibri" w:hAnsi="Calibri" w:cs="Times New Roman"/>
        </w:rPr>
      </w:pPr>
    </w:p>
    <w:p w14:paraId="6ECE3653" w14:textId="77777777" w:rsidR="00DF55C8" w:rsidRPr="00DF55C8" w:rsidRDefault="00DF55C8" w:rsidP="00DF55C8">
      <w:pPr>
        <w:rPr>
          <w:rFonts w:ascii="Calibri" w:eastAsia="Calibri" w:hAnsi="Calibri" w:cs="Times New Roman"/>
          <w:b/>
        </w:rPr>
      </w:pPr>
      <w:r w:rsidRPr="00DF55C8">
        <w:rPr>
          <w:rFonts w:ascii="Calibri" w:eastAsia="Calibri" w:hAnsi="Calibri" w:cs="Times New Roman"/>
          <w:b/>
        </w:rPr>
        <w:t>Structural influences</w:t>
      </w:r>
    </w:p>
    <w:tbl>
      <w:tblPr>
        <w:tblStyle w:val="GridTable4-Accent61"/>
        <w:tblW w:w="9355" w:type="dxa"/>
        <w:tblLook w:val="06A0" w:firstRow="1" w:lastRow="0" w:firstColumn="1" w:lastColumn="0" w:noHBand="1" w:noVBand="1"/>
      </w:tblPr>
      <w:tblGrid>
        <w:gridCol w:w="4405"/>
        <w:gridCol w:w="990"/>
        <w:gridCol w:w="990"/>
        <w:gridCol w:w="990"/>
        <w:gridCol w:w="990"/>
        <w:gridCol w:w="990"/>
      </w:tblGrid>
      <w:tr w:rsidR="00DF55C8" w:rsidRPr="00DF55C8" w14:paraId="0EDDD408" w14:textId="77777777" w:rsidTr="00DF5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7806FC38" w14:textId="77777777" w:rsidR="00DF55C8" w:rsidRPr="00DF55C8" w:rsidRDefault="00DF55C8" w:rsidP="00DF55C8">
            <w:pPr>
              <w:rPr>
                <w:rFonts w:ascii="Calibri" w:eastAsia="Calibri" w:hAnsi="Calibri" w:cs="Calibri"/>
                <w:sz w:val="18"/>
                <w:szCs w:val="18"/>
              </w:rPr>
            </w:pPr>
          </w:p>
        </w:tc>
        <w:tc>
          <w:tcPr>
            <w:tcW w:w="990" w:type="dxa"/>
          </w:tcPr>
          <w:p w14:paraId="3F06EA1A"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Not important</w:t>
            </w:r>
          </w:p>
        </w:tc>
        <w:tc>
          <w:tcPr>
            <w:tcW w:w="990" w:type="dxa"/>
          </w:tcPr>
          <w:p w14:paraId="074FC7BB"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Slightly important</w:t>
            </w:r>
          </w:p>
        </w:tc>
        <w:tc>
          <w:tcPr>
            <w:tcW w:w="990" w:type="dxa"/>
          </w:tcPr>
          <w:p w14:paraId="1AAE1412"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Important</w:t>
            </w:r>
          </w:p>
        </w:tc>
        <w:tc>
          <w:tcPr>
            <w:tcW w:w="990" w:type="dxa"/>
          </w:tcPr>
          <w:p w14:paraId="2344C6CA"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Very important</w:t>
            </w:r>
          </w:p>
        </w:tc>
        <w:tc>
          <w:tcPr>
            <w:tcW w:w="990" w:type="dxa"/>
          </w:tcPr>
          <w:p w14:paraId="208AFB77"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Extremely important</w:t>
            </w:r>
          </w:p>
        </w:tc>
      </w:tr>
      <w:tr w:rsidR="00DF55C8" w:rsidRPr="00DF55C8" w14:paraId="3117468F"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6F1BFB8A"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Importance of soil moisture in driving process-specific loss rates of N</w:t>
            </w:r>
            <w:r w:rsidRPr="00CC0ACC">
              <w:rPr>
                <w:rFonts w:ascii="Calibri" w:eastAsia="Calibri" w:hAnsi="Calibri" w:cs="Calibri"/>
                <w:b w:val="0"/>
                <w:sz w:val="18"/>
                <w:szCs w:val="18"/>
                <w:vertAlign w:val="subscript"/>
              </w:rPr>
              <w:t>2</w:t>
            </w:r>
            <w:r w:rsidRPr="00CC0ACC">
              <w:rPr>
                <w:rFonts w:ascii="Calibri" w:eastAsia="Calibri" w:hAnsi="Calibri" w:cs="Calibri"/>
                <w:b w:val="0"/>
                <w:sz w:val="18"/>
                <w:szCs w:val="18"/>
              </w:rPr>
              <w:t>O (e.g., anaerobic conditions like increased soil water content or soil compaction stimulates denitrification and N</w:t>
            </w:r>
            <w:r w:rsidRPr="00CC0ACC">
              <w:rPr>
                <w:rFonts w:ascii="Calibri" w:eastAsia="Calibri" w:hAnsi="Calibri" w:cs="Calibri"/>
                <w:b w:val="0"/>
                <w:sz w:val="18"/>
                <w:szCs w:val="18"/>
                <w:vertAlign w:val="subscript"/>
              </w:rPr>
              <w:t>2</w:t>
            </w:r>
            <w:r w:rsidRPr="00CC0ACC">
              <w:rPr>
                <w:rFonts w:ascii="Calibri" w:eastAsia="Calibri" w:hAnsi="Calibri" w:cs="Calibri"/>
                <w:b w:val="0"/>
                <w:sz w:val="18"/>
                <w:szCs w:val="18"/>
              </w:rPr>
              <w:t>O emissions, as has been observed in conservation agriculture practices like low-till or no-till) (Butterbach-Bahl, 2013; Met et al., 2018).</w:t>
            </w:r>
          </w:p>
        </w:tc>
        <w:tc>
          <w:tcPr>
            <w:tcW w:w="990" w:type="dxa"/>
            <w:vAlign w:val="center"/>
          </w:tcPr>
          <w:p w14:paraId="1F8DC5A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F55C8">
              <w:rPr>
                <w:rFonts w:ascii="Calibri" w:eastAsia="MS Gothic" w:hAnsi="Calibri" w:cs="Calibri"/>
                <w:b/>
              </w:rPr>
              <w:t>○</w:t>
            </w:r>
          </w:p>
        </w:tc>
        <w:tc>
          <w:tcPr>
            <w:tcW w:w="990" w:type="dxa"/>
            <w:vAlign w:val="center"/>
          </w:tcPr>
          <w:p w14:paraId="1CE4A6D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0AE1FDD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AD3281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31B61383"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5A73EB09"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64FA97BD"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Impact of soil texture on CH</w:t>
            </w:r>
            <w:r w:rsidRPr="00CC0ACC">
              <w:rPr>
                <w:rFonts w:ascii="Calibri" w:eastAsia="Calibri" w:hAnsi="Calibri" w:cs="Calibri"/>
                <w:b w:val="0"/>
                <w:sz w:val="18"/>
                <w:szCs w:val="18"/>
                <w:vertAlign w:val="subscript"/>
              </w:rPr>
              <w:t>4</w:t>
            </w:r>
            <w:r w:rsidRPr="00CC0ACC">
              <w:rPr>
                <w:rFonts w:ascii="Calibri" w:eastAsia="Calibri" w:hAnsi="Calibri" w:cs="Calibri"/>
                <w:b w:val="0"/>
                <w:sz w:val="18"/>
                <w:szCs w:val="18"/>
              </w:rPr>
              <w:t xml:space="preserve"> emissions – better understanding the diminished emissions observed in clay soils versus silt soils (Brye et al., 2013).</w:t>
            </w:r>
          </w:p>
        </w:tc>
        <w:tc>
          <w:tcPr>
            <w:tcW w:w="990" w:type="dxa"/>
            <w:vAlign w:val="center"/>
          </w:tcPr>
          <w:p w14:paraId="7C9C2BE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0E4D8C53"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00CF73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C75A3A6"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6813CB8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bl>
    <w:p w14:paraId="78CF9388" w14:textId="77777777" w:rsidR="00DF55C8" w:rsidRPr="00DF55C8" w:rsidRDefault="00DF55C8" w:rsidP="00DF55C8">
      <w:pPr>
        <w:rPr>
          <w:rFonts w:ascii="Calibri" w:eastAsia="Calibri" w:hAnsi="Calibri" w:cs="Times New Roman"/>
          <w:b/>
        </w:rPr>
      </w:pPr>
      <w:r w:rsidRPr="00DF55C8">
        <w:rPr>
          <w:rFonts w:ascii="Calibri" w:eastAsia="Calibri" w:hAnsi="Calibri" w:cs="Times New Roman"/>
          <w:b/>
        </w:rPr>
        <w:lastRenderedPageBreak/>
        <w:t>Climatic effects</w:t>
      </w:r>
    </w:p>
    <w:tbl>
      <w:tblPr>
        <w:tblStyle w:val="GridTable4-Accent61"/>
        <w:tblW w:w="9355" w:type="dxa"/>
        <w:tblLook w:val="06A0" w:firstRow="1" w:lastRow="0" w:firstColumn="1" w:lastColumn="0" w:noHBand="1" w:noVBand="1"/>
      </w:tblPr>
      <w:tblGrid>
        <w:gridCol w:w="4405"/>
        <w:gridCol w:w="990"/>
        <w:gridCol w:w="990"/>
        <w:gridCol w:w="990"/>
        <w:gridCol w:w="990"/>
        <w:gridCol w:w="990"/>
      </w:tblGrid>
      <w:tr w:rsidR="00DF55C8" w:rsidRPr="00DF55C8" w14:paraId="73AB75B9" w14:textId="77777777" w:rsidTr="00DF5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4E5BBDAB" w14:textId="77777777" w:rsidR="00DF55C8" w:rsidRPr="00DF55C8" w:rsidRDefault="00DF55C8" w:rsidP="00DF55C8">
            <w:pPr>
              <w:rPr>
                <w:rFonts w:ascii="Calibri" w:eastAsia="Calibri" w:hAnsi="Calibri" w:cs="Calibri"/>
                <w:sz w:val="18"/>
                <w:szCs w:val="18"/>
              </w:rPr>
            </w:pPr>
          </w:p>
        </w:tc>
        <w:tc>
          <w:tcPr>
            <w:tcW w:w="990" w:type="dxa"/>
          </w:tcPr>
          <w:p w14:paraId="30882D4D"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Not important</w:t>
            </w:r>
          </w:p>
        </w:tc>
        <w:tc>
          <w:tcPr>
            <w:tcW w:w="990" w:type="dxa"/>
          </w:tcPr>
          <w:p w14:paraId="733EB730"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Slightly important</w:t>
            </w:r>
          </w:p>
        </w:tc>
        <w:tc>
          <w:tcPr>
            <w:tcW w:w="990" w:type="dxa"/>
          </w:tcPr>
          <w:p w14:paraId="4806B2EF"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Important</w:t>
            </w:r>
          </w:p>
        </w:tc>
        <w:tc>
          <w:tcPr>
            <w:tcW w:w="990" w:type="dxa"/>
          </w:tcPr>
          <w:p w14:paraId="440B5676"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Very important</w:t>
            </w:r>
          </w:p>
        </w:tc>
        <w:tc>
          <w:tcPr>
            <w:tcW w:w="990" w:type="dxa"/>
          </w:tcPr>
          <w:p w14:paraId="0200CC54"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Extremely important</w:t>
            </w:r>
          </w:p>
        </w:tc>
      </w:tr>
      <w:tr w:rsidR="00DF55C8" w:rsidRPr="00DF55C8" w14:paraId="165D465B"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13D037CB"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Influence of temperature changes on the rate of N</w:t>
            </w:r>
            <w:r w:rsidRPr="00CC0ACC">
              <w:rPr>
                <w:rFonts w:ascii="Calibri" w:eastAsia="Calibri" w:hAnsi="Calibri" w:cs="Calibri"/>
                <w:b w:val="0"/>
                <w:sz w:val="18"/>
                <w:szCs w:val="18"/>
                <w:vertAlign w:val="subscript"/>
              </w:rPr>
              <w:t>2</w:t>
            </w:r>
            <w:r w:rsidRPr="00CC0ACC">
              <w:rPr>
                <w:rFonts w:ascii="Calibri" w:eastAsia="Calibri" w:hAnsi="Calibri" w:cs="Calibri"/>
                <w:b w:val="0"/>
                <w:sz w:val="18"/>
                <w:szCs w:val="18"/>
              </w:rPr>
              <w:t>O reaction. Specifically, why N</w:t>
            </w:r>
            <w:r w:rsidRPr="00CC0ACC">
              <w:rPr>
                <w:rFonts w:ascii="Calibri" w:eastAsia="Calibri" w:hAnsi="Calibri" w:cs="Calibri"/>
                <w:b w:val="0"/>
                <w:sz w:val="18"/>
                <w:szCs w:val="18"/>
                <w:vertAlign w:val="subscript"/>
              </w:rPr>
              <w:t>2</w:t>
            </w:r>
            <w:r w:rsidRPr="00CC0ACC">
              <w:rPr>
                <w:rFonts w:ascii="Calibri" w:eastAsia="Calibri" w:hAnsi="Calibri" w:cs="Calibri"/>
                <w:b w:val="0"/>
                <w:sz w:val="18"/>
                <w:szCs w:val="18"/>
              </w:rPr>
              <w:t>O release is accelerated by rising temperatures as compared to falling temperatures and how this impacts modeling (Butterbach-Bahl, 2013).</w:t>
            </w:r>
          </w:p>
        </w:tc>
        <w:tc>
          <w:tcPr>
            <w:tcW w:w="990" w:type="dxa"/>
            <w:vAlign w:val="center"/>
          </w:tcPr>
          <w:p w14:paraId="35F91B6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F55C8">
              <w:rPr>
                <w:rFonts w:ascii="Calibri" w:eastAsia="MS Gothic" w:hAnsi="Calibri" w:cs="Calibri"/>
                <w:b/>
              </w:rPr>
              <w:t>○</w:t>
            </w:r>
          </w:p>
        </w:tc>
        <w:tc>
          <w:tcPr>
            <w:tcW w:w="990" w:type="dxa"/>
            <w:vAlign w:val="center"/>
          </w:tcPr>
          <w:p w14:paraId="309DCC5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30B3D6E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7E4749F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0FED1C2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44A7D1A5"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1360CA28"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Permafrost biogeochemistry and its role in driving nitrogen availability, as well as the freeze/thaw process of permafrost soil microbes, which may contribute to N</w:t>
            </w:r>
            <w:r w:rsidRPr="00CC0ACC">
              <w:rPr>
                <w:rFonts w:ascii="Calibri" w:eastAsia="Calibri" w:hAnsi="Calibri" w:cs="Calibri"/>
                <w:b w:val="0"/>
                <w:sz w:val="18"/>
                <w:szCs w:val="18"/>
                <w:vertAlign w:val="subscript"/>
              </w:rPr>
              <w:t>2</w:t>
            </w:r>
            <w:r w:rsidRPr="00CC0ACC">
              <w:rPr>
                <w:rFonts w:ascii="Calibri" w:eastAsia="Calibri" w:hAnsi="Calibri" w:cs="Calibri"/>
                <w:b w:val="0"/>
                <w:sz w:val="18"/>
                <w:szCs w:val="18"/>
              </w:rPr>
              <w:t>O emissions (Butterbach-Bahl, 2013; Schmidt et al., 2011).</w:t>
            </w:r>
            <w:r w:rsidRPr="00CC0ACC">
              <w:rPr>
                <w:rFonts w:ascii="Calibri" w:eastAsia="Calibri" w:hAnsi="Calibri" w:cs="Times New Roman"/>
                <w:b w:val="0"/>
              </w:rPr>
              <w:t xml:space="preserve"> </w:t>
            </w:r>
          </w:p>
        </w:tc>
        <w:tc>
          <w:tcPr>
            <w:tcW w:w="990" w:type="dxa"/>
            <w:vAlign w:val="center"/>
          </w:tcPr>
          <w:p w14:paraId="033823BF"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BC0073E"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30E2997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0027113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75CC961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5235BBB0"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75227996" w14:textId="77777777" w:rsidR="00DF55C8" w:rsidRPr="00CC0ACC" w:rsidRDefault="00DF55C8" w:rsidP="00DF55C8">
            <w:pPr>
              <w:rPr>
                <w:rFonts w:ascii="Tahoma" w:eastAsia="Calibri" w:hAnsi="Tahoma" w:cs="Tahoma"/>
                <w:b w:val="0"/>
                <w:color w:val="706F65"/>
                <w:sz w:val="18"/>
                <w:szCs w:val="18"/>
                <w:shd w:val="clear" w:color="auto" w:fill="FCFAF4"/>
              </w:rPr>
            </w:pPr>
            <w:r w:rsidRPr="00CC0ACC">
              <w:rPr>
                <w:rFonts w:ascii="Calibri" w:eastAsia="Calibri" w:hAnsi="Calibri" w:cs="Calibri"/>
                <w:b w:val="0"/>
                <w:sz w:val="18"/>
                <w:szCs w:val="18"/>
              </w:rPr>
              <w:t>Influence of temperature change on CH</w:t>
            </w:r>
            <w:r w:rsidRPr="00CC0ACC">
              <w:rPr>
                <w:rFonts w:ascii="Calibri" w:eastAsia="Calibri" w:hAnsi="Calibri" w:cs="Calibri"/>
                <w:b w:val="0"/>
                <w:sz w:val="18"/>
                <w:szCs w:val="18"/>
                <w:vertAlign w:val="subscript"/>
              </w:rPr>
              <w:t>4</w:t>
            </w:r>
            <w:r w:rsidRPr="00CC0ACC">
              <w:rPr>
                <w:rFonts w:ascii="Calibri" w:eastAsia="Calibri" w:hAnsi="Calibri" w:cs="Calibri"/>
                <w:b w:val="0"/>
                <w:sz w:val="18"/>
                <w:szCs w:val="18"/>
              </w:rPr>
              <w:t xml:space="preserve"> fluxes from rice production. Reconciling sources of accelerated CH</w:t>
            </w:r>
            <w:r w:rsidRPr="00CC0ACC">
              <w:rPr>
                <w:rFonts w:ascii="Calibri" w:eastAsia="Calibri" w:hAnsi="Calibri" w:cs="Calibri"/>
                <w:b w:val="0"/>
                <w:sz w:val="18"/>
                <w:szCs w:val="18"/>
                <w:vertAlign w:val="subscript"/>
              </w:rPr>
              <w:t>4</w:t>
            </w:r>
            <w:r w:rsidRPr="00CC0ACC">
              <w:rPr>
                <w:rFonts w:ascii="Calibri" w:eastAsia="Calibri" w:hAnsi="Calibri" w:cs="Calibri"/>
                <w:b w:val="0"/>
                <w:sz w:val="18"/>
                <w:szCs w:val="18"/>
              </w:rPr>
              <w:t xml:space="preserve"> emissions, like higher rates of root decay, to sources of reduced CH</w:t>
            </w:r>
            <w:r w:rsidRPr="00CC0ACC">
              <w:rPr>
                <w:rFonts w:ascii="Calibri" w:eastAsia="Calibri" w:hAnsi="Calibri" w:cs="Calibri"/>
                <w:b w:val="0"/>
                <w:sz w:val="18"/>
                <w:szCs w:val="18"/>
                <w:vertAlign w:val="subscript"/>
              </w:rPr>
              <w:t>4</w:t>
            </w:r>
            <w:r w:rsidRPr="00CC0ACC">
              <w:rPr>
                <w:rFonts w:ascii="Calibri" w:eastAsia="Calibri" w:hAnsi="Calibri" w:cs="Calibri"/>
                <w:b w:val="0"/>
                <w:sz w:val="18"/>
                <w:szCs w:val="18"/>
              </w:rPr>
              <w:t xml:space="preserve"> emissions, like overheating, sterility, and diminished precipitation (Zhang et al., 2016).</w:t>
            </w:r>
          </w:p>
        </w:tc>
        <w:tc>
          <w:tcPr>
            <w:tcW w:w="990" w:type="dxa"/>
            <w:vAlign w:val="center"/>
          </w:tcPr>
          <w:p w14:paraId="469F56BE"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69CF9C8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5CB5ABC8"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408BFA56"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550F978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bl>
    <w:p w14:paraId="726E2301" w14:textId="77777777" w:rsidR="00DF55C8" w:rsidRPr="00DF55C8" w:rsidRDefault="00DF55C8" w:rsidP="00DF55C8">
      <w:pPr>
        <w:rPr>
          <w:rFonts w:ascii="Calibri" w:eastAsia="Calibri" w:hAnsi="Calibri" w:cs="Times New Roman"/>
        </w:rPr>
      </w:pPr>
    </w:p>
    <w:p w14:paraId="0641D5ED" w14:textId="77777777" w:rsidR="00DF55C8" w:rsidRPr="00DF55C8" w:rsidRDefault="00DF55C8" w:rsidP="00DF55C8">
      <w:pPr>
        <w:rPr>
          <w:rFonts w:ascii="Calibri" w:eastAsia="Calibri" w:hAnsi="Calibri" w:cs="Times New Roman"/>
          <w:b/>
        </w:rPr>
      </w:pPr>
      <w:r w:rsidRPr="00DF55C8">
        <w:rPr>
          <w:rFonts w:ascii="Calibri" w:eastAsia="Calibri" w:hAnsi="Calibri" w:cs="Times New Roman"/>
          <w:b/>
        </w:rPr>
        <w:t>Other</w:t>
      </w:r>
    </w:p>
    <w:tbl>
      <w:tblPr>
        <w:tblStyle w:val="GridTable4-Accent61"/>
        <w:tblW w:w="9355" w:type="dxa"/>
        <w:tblLook w:val="06A0" w:firstRow="1" w:lastRow="0" w:firstColumn="1" w:lastColumn="0" w:noHBand="1" w:noVBand="1"/>
      </w:tblPr>
      <w:tblGrid>
        <w:gridCol w:w="4405"/>
        <w:gridCol w:w="990"/>
        <w:gridCol w:w="990"/>
        <w:gridCol w:w="990"/>
        <w:gridCol w:w="990"/>
        <w:gridCol w:w="990"/>
      </w:tblGrid>
      <w:tr w:rsidR="00DF55C8" w:rsidRPr="00DF55C8" w14:paraId="2199C715" w14:textId="77777777" w:rsidTr="00DF5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26B8A29E" w14:textId="77777777" w:rsidR="00DF55C8" w:rsidRPr="00DF55C8" w:rsidRDefault="00DF55C8" w:rsidP="00DF55C8">
            <w:pPr>
              <w:rPr>
                <w:rFonts w:ascii="Calibri" w:eastAsia="Calibri" w:hAnsi="Calibri" w:cs="Calibri"/>
                <w:sz w:val="18"/>
                <w:szCs w:val="18"/>
              </w:rPr>
            </w:pPr>
          </w:p>
        </w:tc>
        <w:tc>
          <w:tcPr>
            <w:tcW w:w="990" w:type="dxa"/>
          </w:tcPr>
          <w:p w14:paraId="14433FBF"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Not important</w:t>
            </w:r>
          </w:p>
        </w:tc>
        <w:tc>
          <w:tcPr>
            <w:tcW w:w="990" w:type="dxa"/>
          </w:tcPr>
          <w:p w14:paraId="72F14CA3"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Slightly important</w:t>
            </w:r>
          </w:p>
        </w:tc>
        <w:tc>
          <w:tcPr>
            <w:tcW w:w="990" w:type="dxa"/>
          </w:tcPr>
          <w:p w14:paraId="2E1609A5"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Important</w:t>
            </w:r>
          </w:p>
        </w:tc>
        <w:tc>
          <w:tcPr>
            <w:tcW w:w="990" w:type="dxa"/>
          </w:tcPr>
          <w:p w14:paraId="1E7CBF4F"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Very important</w:t>
            </w:r>
          </w:p>
        </w:tc>
        <w:tc>
          <w:tcPr>
            <w:tcW w:w="990" w:type="dxa"/>
          </w:tcPr>
          <w:p w14:paraId="32C3EE4D"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Extremely important</w:t>
            </w:r>
          </w:p>
        </w:tc>
      </w:tr>
      <w:tr w:rsidR="00DF55C8" w:rsidRPr="00DF55C8" w14:paraId="00775CB2"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23773291"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CH</w:t>
            </w:r>
            <w:r w:rsidRPr="00CC0ACC">
              <w:rPr>
                <w:rFonts w:ascii="Calibri" w:eastAsia="Calibri" w:hAnsi="Calibri" w:cs="Calibri"/>
                <w:b w:val="0"/>
                <w:sz w:val="18"/>
                <w:szCs w:val="18"/>
                <w:vertAlign w:val="subscript"/>
              </w:rPr>
              <w:t>4</w:t>
            </w:r>
            <w:r w:rsidRPr="00CC0ACC">
              <w:rPr>
                <w:rFonts w:ascii="Calibri" w:eastAsia="Calibri" w:hAnsi="Calibri" w:cs="Calibri"/>
                <w:b w:val="0"/>
                <w:sz w:val="18"/>
                <w:szCs w:val="18"/>
              </w:rPr>
              <w:t xml:space="preserve"> and N</w:t>
            </w:r>
            <w:r w:rsidRPr="00CC0ACC">
              <w:rPr>
                <w:rFonts w:ascii="Calibri" w:eastAsia="Calibri" w:hAnsi="Calibri" w:cs="Calibri"/>
                <w:b w:val="0"/>
                <w:sz w:val="18"/>
                <w:szCs w:val="18"/>
                <w:vertAlign w:val="subscript"/>
              </w:rPr>
              <w:t>2</w:t>
            </w:r>
            <w:r w:rsidRPr="00CC0ACC">
              <w:rPr>
                <w:rFonts w:ascii="Calibri" w:eastAsia="Calibri" w:hAnsi="Calibri" w:cs="Calibri"/>
                <w:b w:val="0"/>
                <w:sz w:val="18"/>
                <w:szCs w:val="18"/>
              </w:rPr>
              <w:t>O emissions from aquaculture (currently this is an omitted flux in the NGHGI) (Reay et al., 2012).</w:t>
            </w:r>
          </w:p>
        </w:tc>
        <w:tc>
          <w:tcPr>
            <w:tcW w:w="990" w:type="dxa"/>
            <w:vAlign w:val="center"/>
          </w:tcPr>
          <w:p w14:paraId="2EDBB886"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F55C8">
              <w:rPr>
                <w:rFonts w:ascii="Calibri" w:eastAsia="MS Gothic" w:hAnsi="Calibri" w:cs="Calibri"/>
                <w:b/>
              </w:rPr>
              <w:t>○</w:t>
            </w:r>
          </w:p>
        </w:tc>
        <w:tc>
          <w:tcPr>
            <w:tcW w:w="990" w:type="dxa"/>
            <w:vAlign w:val="center"/>
          </w:tcPr>
          <w:p w14:paraId="3E42A9F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E7F7F4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C4203F6"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2B9EA6F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bl>
    <w:p w14:paraId="7E2BD6C7" w14:textId="77777777" w:rsidR="00DF55C8" w:rsidRPr="00DF55C8" w:rsidRDefault="00DF55C8" w:rsidP="00DF55C8">
      <w:pPr>
        <w:rPr>
          <w:rFonts w:ascii="Calibri" w:eastAsia="Calibri" w:hAnsi="Calibri" w:cs="Times New Roman"/>
        </w:rPr>
      </w:pPr>
    </w:p>
    <w:p w14:paraId="72DB8062" w14:textId="77777777" w:rsidR="00DF55C8" w:rsidRPr="00DF55C8" w:rsidRDefault="00DF55C8" w:rsidP="00DF55C8">
      <w:pPr>
        <w:spacing w:after="0" w:line="240" w:lineRule="auto"/>
        <w:rPr>
          <w:rFonts w:ascii="Calibri" w:eastAsia="Calibri" w:hAnsi="Calibri" w:cs="Times New Roman"/>
          <w:i/>
        </w:rPr>
      </w:pPr>
      <w:r w:rsidRPr="00DF55C8">
        <w:rPr>
          <w:rFonts w:ascii="Calibri" w:eastAsia="Calibri" w:hAnsi="Calibri" w:cs="Times New Roman"/>
          <w:noProof/>
        </w:rPr>
        <mc:AlternateContent>
          <mc:Choice Requires="wps">
            <w:drawing>
              <wp:anchor distT="45720" distB="45720" distL="114300" distR="114300" simplePos="0" relativeHeight="251673600" behindDoc="0" locked="0" layoutInCell="1" allowOverlap="1" wp14:anchorId="1D6890D1" wp14:editId="4F8853E7">
                <wp:simplePos x="0" y="0"/>
                <wp:positionH relativeFrom="margin">
                  <wp:posOffset>0</wp:posOffset>
                </wp:positionH>
                <wp:positionV relativeFrom="paragraph">
                  <wp:posOffset>216535</wp:posOffset>
                </wp:positionV>
                <wp:extent cx="4686300" cy="942975"/>
                <wp:effectExtent l="0" t="0" r="19050"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42975"/>
                        </a:xfrm>
                        <a:prstGeom prst="rect">
                          <a:avLst/>
                        </a:prstGeom>
                        <a:solidFill>
                          <a:srgbClr val="FFFFFF"/>
                        </a:solidFill>
                        <a:ln w="9525">
                          <a:solidFill>
                            <a:srgbClr val="000000"/>
                          </a:solidFill>
                          <a:miter lim="800000"/>
                          <a:headEnd/>
                          <a:tailEnd/>
                        </a:ln>
                      </wps:spPr>
                      <wps:txbx>
                        <w:txbxContent>
                          <w:p w14:paraId="706400E1" w14:textId="77777777" w:rsidR="00876770" w:rsidRPr="00A45B79" w:rsidRDefault="00876770" w:rsidP="00DF55C8">
                            <w:r w:rsidRPr="00A45B79">
                              <w:t>Further research: Please indicate if there are other research issues you think should be considered</w:t>
                            </w:r>
                            <w:r>
                              <w:t>.</w:t>
                            </w:r>
                          </w:p>
                          <w:p w14:paraId="4782A73B"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6890D1" id="_x0000_s1036" type="#_x0000_t202" style="position:absolute;margin-left:0;margin-top:17.05pt;width:369pt;height:74.2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">
                <v:textbox>
                  <w:txbxContent>
                    <w:p w14:paraId="706400E1" w14:textId="77777777" w:rsidR="00876770" w:rsidRPr="00A45B79" w:rsidRDefault="00876770" w:rsidP="00DF55C8">
                      <w:r w:rsidRPr="00A45B79">
                        <w:t>Further research: Please indicate if there are other research issues you think should be considered</w:t>
                      </w:r>
                      <w:r>
                        <w:t>.</w:t>
                      </w:r>
                    </w:p>
                    <w:p w14:paraId="4782A73B" w14:textId="77777777" w:rsidR="00876770" w:rsidRDefault="00876770" w:rsidP="00DF55C8"/>
                  </w:txbxContent>
                </v:textbox>
                <w10:wrap type="square" anchorx="margin"/>
              </v:shape>
            </w:pict>
          </mc:Fallback>
        </mc:AlternateContent>
      </w:r>
    </w:p>
    <w:p w14:paraId="69D93126" w14:textId="77777777" w:rsidR="00DF55C8" w:rsidRPr="00DF55C8" w:rsidRDefault="00DF55C8" w:rsidP="00DF55C8">
      <w:pPr>
        <w:spacing w:after="0" w:line="240" w:lineRule="auto"/>
        <w:ind w:left="720"/>
        <w:rPr>
          <w:rFonts w:ascii="Calibri" w:eastAsia="Calibri" w:hAnsi="Calibri" w:cs="Times New Roman"/>
        </w:rPr>
      </w:pPr>
    </w:p>
    <w:p w14:paraId="4C3F8141" w14:textId="77777777" w:rsidR="00DF55C8" w:rsidRPr="00DF55C8" w:rsidRDefault="00DF55C8" w:rsidP="00DF55C8">
      <w:pPr>
        <w:spacing w:after="0" w:line="240" w:lineRule="auto"/>
        <w:ind w:left="720"/>
        <w:rPr>
          <w:rFonts w:ascii="Calibri" w:eastAsia="Calibri" w:hAnsi="Calibri" w:cs="Times New Roman"/>
        </w:rPr>
      </w:pPr>
    </w:p>
    <w:p w14:paraId="3B4E7D85" w14:textId="77777777" w:rsidR="00DF55C8" w:rsidRPr="00DF55C8" w:rsidRDefault="00DF55C8" w:rsidP="00DF55C8">
      <w:pPr>
        <w:spacing w:after="0" w:line="240" w:lineRule="auto"/>
        <w:ind w:left="720"/>
        <w:rPr>
          <w:rFonts w:ascii="Calibri" w:eastAsia="Calibri" w:hAnsi="Calibri" w:cs="Times New Roman"/>
        </w:rPr>
      </w:pPr>
    </w:p>
    <w:p w14:paraId="4D32282A" w14:textId="77777777" w:rsidR="00DF55C8" w:rsidRPr="00DF55C8" w:rsidRDefault="00DF55C8" w:rsidP="00DF55C8">
      <w:pPr>
        <w:spacing w:after="0" w:line="240" w:lineRule="auto"/>
        <w:ind w:left="720"/>
        <w:rPr>
          <w:rFonts w:ascii="Calibri" w:eastAsia="Calibri" w:hAnsi="Calibri" w:cs="Times New Roman"/>
        </w:rPr>
      </w:pPr>
    </w:p>
    <w:p w14:paraId="183BACBA" w14:textId="77777777" w:rsidR="00DF55C8" w:rsidRPr="00DF55C8" w:rsidRDefault="00DF55C8" w:rsidP="00DF55C8">
      <w:pPr>
        <w:spacing w:after="0" w:line="240" w:lineRule="auto"/>
        <w:ind w:left="720"/>
        <w:rPr>
          <w:rFonts w:ascii="Calibri" w:eastAsia="Calibri" w:hAnsi="Calibri" w:cs="Times New Roman"/>
        </w:rPr>
      </w:pPr>
    </w:p>
    <w:p w14:paraId="445E0A67" w14:textId="77777777" w:rsidR="00DF55C8" w:rsidRPr="00DF55C8" w:rsidRDefault="00DF55C8" w:rsidP="00DF55C8">
      <w:pPr>
        <w:spacing w:after="0" w:line="240" w:lineRule="auto"/>
        <w:ind w:left="720"/>
        <w:rPr>
          <w:rFonts w:ascii="Calibri" w:eastAsia="Calibri" w:hAnsi="Calibri" w:cs="Times New Roman"/>
        </w:rPr>
      </w:pPr>
    </w:p>
    <w:p w14:paraId="66C1D90C" w14:textId="77777777" w:rsidR="00DF55C8" w:rsidRPr="00DF55C8" w:rsidRDefault="00DF55C8" w:rsidP="00DF55C8">
      <w:pPr>
        <w:spacing w:after="0" w:line="240" w:lineRule="auto"/>
        <w:ind w:left="720"/>
        <w:rPr>
          <w:rFonts w:ascii="Calibri" w:eastAsia="Calibri" w:hAnsi="Calibri" w:cs="Times New Roman"/>
        </w:rPr>
      </w:pPr>
    </w:p>
    <w:p w14:paraId="35B09413" w14:textId="77777777" w:rsidR="00DF55C8" w:rsidRPr="00DF55C8" w:rsidRDefault="00DF55C8" w:rsidP="00DF55C8">
      <w:pPr>
        <w:spacing w:after="0" w:line="240" w:lineRule="auto"/>
        <w:ind w:left="720"/>
        <w:rPr>
          <w:rFonts w:ascii="Calibri" w:eastAsia="Calibri" w:hAnsi="Calibri" w:cs="Times New Roman"/>
        </w:rPr>
      </w:pPr>
      <w:r w:rsidRPr="00DF55C8">
        <w:rPr>
          <w:rFonts w:ascii="Calibri" w:eastAsia="Calibri" w:hAnsi="Calibri" w:cs="Times New Roman"/>
          <w:noProof/>
        </w:rPr>
        <mc:AlternateContent>
          <mc:Choice Requires="wps">
            <w:drawing>
              <wp:anchor distT="45720" distB="45720" distL="114300" distR="114300" simplePos="0" relativeHeight="251674624" behindDoc="0" locked="0" layoutInCell="1" allowOverlap="1" wp14:anchorId="3C07A4AD" wp14:editId="0C455FEF">
                <wp:simplePos x="0" y="0"/>
                <wp:positionH relativeFrom="margin">
                  <wp:posOffset>0</wp:posOffset>
                </wp:positionH>
                <wp:positionV relativeFrom="paragraph">
                  <wp:posOffset>216535</wp:posOffset>
                </wp:positionV>
                <wp:extent cx="4686300" cy="942975"/>
                <wp:effectExtent l="0" t="0" r="19050"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42975"/>
                        </a:xfrm>
                        <a:prstGeom prst="rect">
                          <a:avLst/>
                        </a:prstGeom>
                        <a:solidFill>
                          <a:srgbClr val="FFFFFF"/>
                        </a:solidFill>
                        <a:ln w="9525">
                          <a:solidFill>
                            <a:srgbClr val="000000"/>
                          </a:solidFill>
                          <a:miter lim="800000"/>
                          <a:headEnd/>
                          <a:tailEnd/>
                        </a:ln>
                      </wps:spPr>
                      <wps:txbx>
                        <w:txbxContent>
                          <w:p w14:paraId="5FBCA87A" w14:textId="77777777" w:rsidR="00876770" w:rsidRPr="00A45B79" w:rsidRDefault="00876770" w:rsidP="00DF55C8">
                            <w:pPr>
                              <w:spacing w:after="0" w:line="240" w:lineRule="auto"/>
                            </w:pPr>
                            <w:r w:rsidRPr="00A45B79">
                              <w:t xml:space="preserve">Limiting factors: Please indicate whether there are any other research areas that require attention in order for research </w:t>
                            </w:r>
                            <w:r>
                              <w:t>that you have</w:t>
                            </w:r>
                            <w:r w:rsidRPr="00A45B79">
                              <w:t xml:space="preserve"> prioritized here to be effective. We seek to uncover critical linkages across research areas to ensure effective research programs.</w:t>
                            </w:r>
                          </w:p>
                          <w:p w14:paraId="63983E3D"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07A4AD" id="_x0000_s1037" type="#_x0000_t202" style="position:absolute;left:0;text-align:left;margin-left:0;margin-top:17.05pt;width:369pt;height:74.2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">
                <v:textbox>
                  <w:txbxContent>
                    <w:p w14:paraId="5FBCA87A" w14:textId="77777777" w:rsidR="00876770" w:rsidRPr="00A45B79" w:rsidRDefault="00876770" w:rsidP="00DF55C8">
                      <w:pPr>
                        <w:spacing w:after="0" w:line="240" w:lineRule="auto"/>
                      </w:pPr>
                      <w:r w:rsidRPr="00A45B79">
                        <w:t xml:space="preserve">Limiting factors: Please indicate whether there are any other research areas that require attention in order for research </w:t>
                      </w:r>
                      <w:r>
                        <w:t>that you have</w:t>
                      </w:r>
                      <w:r w:rsidRPr="00A45B79">
                        <w:t xml:space="preserve"> prioritized here to be effective. We seek to uncover critical linkages across research areas to ensure effective research programs.</w:t>
                      </w:r>
                    </w:p>
                    <w:p w14:paraId="63983E3D" w14:textId="77777777" w:rsidR="00876770" w:rsidRDefault="00876770" w:rsidP="00DF55C8"/>
                  </w:txbxContent>
                </v:textbox>
                <w10:wrap type="square" anchorx="margin"/>
              </v:shape>
            </w:pict>
          </mc:Fallback>
        </mc:AlternateContent>
      </w:r>
    </w:p>
    <w:p w14:paraId="522D7A43" w14:textId="77777777" w:rsidR="00DF55C8" w:rsidRPr="00DF55C8" w:rsidRDefault="00DF55C8" w:rsidP="00DF55C8">
      <w:pPr>
        <w:spacing w:after="0" w:line="240" w:lineRule="auto"/>
        <w:ind w:left="720"/>
        <w:rPr>
          <w:rFonts w:ascii="Calibri" w:eastAsia="Calibri" w:hAnsi="Calibri" w:cs="Times New Roman"/>
        </w:rPr>
      </w:pPr>
    </w:p>
    <w:p w14:paraId="35B8429E" w14:textId="77777777" w:rsidR="00DF55C8" w:rsidRPr="00DF55C8" w:rsidRDefault="00DF55C8" w:rsidP="00DF55C8">
      <w:pPr>
        <w:spacing w:after="0" w:line="240" w:lineRule="auto"/>
        <w:rPr>
          <w:rFonts w:ascii="Calibri" w:eastAsia="Calibri" w:hAnsi="Calibri" w:cs="Times New Roman"/>
        </w:rPr>
      </w:pPr>
    </w:p>
    <w:p w14:paraId="78E07EE9" w14:textId="77777777" w:rsidR="00DF55C8" w:rsidRPr="00DF55C8" w:rsidRDefault="00DF55C8" w:rsidP="00DF55C8">
      <w:pPr>
        <w:spacing w:after="0" w:line="240" w:lineRule="auto"/>
        <w:rPr>
          <w:rFonts w:ascii="Calibri" w:eastAsia="Calibri" w:hAnsi="Calibri" w:cs="Times New Roman"/>
        </w:rPr>
      </w:pPr>
    </w:p>
    <w:p w14:paraId="5771B6D7" w14:textId="77777777" w:rsidR="00DF55C8" w:rsidRPr="00DF55C8" w:rsidRDefault="00DF55C8" w:rsidP="00DF55C8">
      <w:pPr>
        <w:spacing w:after="0" w:line="240" w:lineRule="auto"/>
        <w:rPr>
          <w:rFonts w:ascii="Calibri" w:eastAsia="Calibri" w:hAnsi="Calibri" w:cs="Times New Roman"/>
        </w:rPr>
      </w:pPr>
    </w:p>
    <w:p w14:paraId="40803C3C" w14:textId="77777777" w:rsidR="00DF55C8" w:rsidRPr="00DF55C8" w:rsidRDefault="00DF55C8" w:rsidP="00DF55C8">
      <w:pPr>
        <w:spacing w:after="0" w:line="240" w:lineRule="auto"/>
        <w:rPr>
          <w:rFonts w:ascii="Calibri" w:eastAsia="Calibri" w:hAnsi="Calibri" w:cs="Times New Roman"/>
        </w:rPr>
      </w:pPr>
    </w:p>
    <w:p w14:paraId="12939361" w14:textId="77777777" w:rsidR="00DF55C8" w:rsidRPr="00DF55C8" w:rsidRDefault="00DF55C8" w:rsidP="00DF55C8">
      <w:pPr>
        <w:rPr>
          <w:rFonts w:ascii="Calibri" w:eastAsia="Calibri" w:hAnsi="Calibri" w:cs="Times New Roman"/>
        </w:rPr>
      </w:pPr>
    </w:p>
    <w:p w14:paraId="4289B1F3" w14:textId="77777777" w:rsidR="00DF55C8" w:rsidRPr="00DF55C8" w:rsidRDefault="00DF55C8" w:rsidP="00DF55C8">
      <w:pPr>
        <w:spacing w:after="0" w:line="240" w:lineRule="auto"/>
        <w:rPr>
          <w:rFonts w:ascii="Calibri" w:eastAsia="Calibri" w:hAnsi="Calibri" w:cs="Times New Roman"/>
        </w:rPr>
      </w:pPr>
      <w:r w:rsidRPr="00DF55C8">
        <w:rPr>
          <w:rFonts w:ascii="Calibri" w:eastAsia="Calibri" w:hAnsi="Calibri" w:cs="Times New Roman"/>
          <w:noProof/>
        </w:rPr>
        <mc:AlternateContent>
          <mc:Choice Requires="wps">
            <w:drawing>
              <wp:anchor distT="45720" distB="45720" distL="114300" distR="114300" simplePos="0" relativeHeight="251669504" behindDoc="0" locked="0" layoutInCell="1" allowOverlap="1" wp14:anchorId="5C7E1A8E" wp14:editId="6CCDA568">
                <wp:simplePos x="0" y="0"/>
                <wp:positionH relativeFrom="margin">
                  <wp:posOffset>0</wp:posOffset>
                </wp:positionH>
                <wp:positionV relativeFrom="paragraph">
                  <wp:posOffset>216535</wp:posOffset>
                </wp:positionV>
                <wp:extent cx="4686300" cy="9429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42975"/>
                        </a:xfrm>
                        <a:prstGeom prst="rect">
                          <a:avLst/>
                        </a:prstGeom>
                        <a:solidFill>
                          <a:srgbClr val="FFFFFF"/>
                        </a:solidFill>
                        <a:ln w="9525">
                          <a:solidFill>
                            <a:srgbClr val="000000"/>
                          </a:solidFill>
                          <a:miter lim="800000"/>
                          <a:headEnd/>
                          <a:tailEnd/>
                        </a:ln>
                      </wps:spPr>
                      <wps:txbx>
                        <w:txbxContent>
                          <w:p w14:paraId="12BBC6C4" w14:textId="77777777" w:rsidR="00876770" w:rsidRDefault="00876770" w:rsidP="00DF55C8">
                            <w:r>
                              <w:t xml:space="preserve">Please enter any comments, additional knowledge or justification that you have regarding this question and/or your rankings. </w:t>
                            </w:r>
                          </w:p>
                          <w:p w14:paraId="48C50CBE" w14:textId="77777777" w:rsidR="00876770" w:rsidRDefault="00876770" w:rsidP="00DF55C8"/>
                          <w:p w14:paraId="4A86B010"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E1A8E" id="Text Box 3" o:spid="_x0000_s1038" type="#_x0000_t202" style="position:absolute;margin-left:0;margin-top:17.05pt;width:369pt;height:74.2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">
                <v:textbox>
                  <w:txbxContent>
                    <w:p w14:paraId="12BBC6C4" w14:textId="77777777" w:rsidR="00876770" w:rsidRDefault="00876770" w:rsidP="00DF55C8">
                      <w:r>
                        <w:t xml:space="preserve">Please enter any comments, additional knowledge or justification that you have regarding this question and/or your rankings. </w:t>
                      </w:r>
                    </w:p>
                    <w:p w14:paraId="48C50CBE" w14:textId="77777777" w:rsidR="00876770" w:rsidRDefault="00876770" w:rsidP="00DF55C8"/>
                    <w:p w14:paraId="4A86B010" w14:textId="77777777" w:rsidR="00876770" w:rsidRDefault="00876770" w:rsidP="00DF55C8"/>
                  </w:txbxContent>
                </v:textbox>
                <w10:wrap type="square" anchorx="margin"/>
              </v:shape>
            </w:pict>
          </mc:Fallback>
        </mc:AlternateContent>
      </w:r>
    </w:p>
    <w:p w14:paraId="377C9C95" w14:textId="77777777" w:rsidR="00DF55C8" w:rsidRPr="00DF55C8" w:rsidRDefault="00DF55C8" w:rsidP="00DF55C8">
      <w:pPr>
        <w:rPr>
          <w:rFonts w:ascii="Calibri" w:eastAsia="Calibri" w:hAnsi="Calibri" w:cs="Times New Roman"/>
        </w:rPr>
      </w:pPr>
    </w:p>
    <w:p w14:paraId="428FC9C9" w14:textId="77777777" w:rsidR="00DF55C8" w:rsidRPr="00DF55C8" w:rsidRDefault="00DF55C8" w:rsidP="00DF55C8">
      <w:pPr>
        <w:rPr>
          <w:rFonts w:ascii="Calibri" w:eastAsia="Calibri" w:hAnsi="Calibri" w:cs="Times New Roman"/>
        </w:rPr>
      </w:pPr>
    </w:p>
    <w:p w14:paraId="213CECB4" w14:textId="77777777" w:rsidR="00DF55C8" w:rsidRPr="00DF55C8" w:rsidRDefault="00DF55C8" w:rsidP="00DF55C8">
      <w:pPr>
        <w:rPr>
          <w:rFonts w:ascii="Calibri" w:eastAsia="Calibri" w:hAnsi="Calibri" w:cs="Times New Roman"/>
        </w:rPr>
      </w:pPr>
    </w:p>
    <w:p w14:paraId="39517036" w14:textId="77777777" w:rsidR="00DF55C8" w:rsidRPr="00DF55C8" w:rsidRDefault="00DF55C8" w:rsidP="00DF55C8">
      <w:pPr>
        <w:rPr>
          <w:rFonts w:ascii="Calibri" w:eastAsia="Calibri" w:hAnsi="Calibri" w:cs="Times New Roman"/>
        </w:rPr>
      </w:pPr>
    </w:p>
    <w:p w14:paraId="044A91A6" w14:textId="77777777" w:rsidR="00DF55C8" w:rsidRPr="00DF55C8" w:rsidRDefault="00DF55C8" w:rsidP="00DF55C8">
      <w:pPr>
        <w:rPr>
          <w:rFonts w:ascii="Calibri" w:eastAsia="Calibri" w:hAnsi="Calibri" w:cs="Times New Roman"/>
        </w:rPr>
      </w:pPr>
      <w:r w:rsidRPr="00DF55C8">
        <w:rPr>
          <w:rFonts w:ascii="Calibri" w:eastAsia="Calibri" w:hAnsi="Calibri" w:cs="Times New Roman"/>
          <w:noProof/>
        </w:rPr>
        <w:lastRenderedPageBreak/>
        <mc:AlternateContent>
          <mc:Choice Requires="wps">
            <w:drawing>
              <wp:anchor distT="45720" distB="45720" distL="114300" distR="114300" simplePos="0" relativeHeight="251670528" behindDoc="0" locked="0" layoutInCell="1" allowOverlap="1" wp14:anchorId="284F6F3C" wp14:editId="0A6B0C5E">
                <wp:simplePos x="0" y="0"/>
                <wp:positionH relativeFrom="margin">
                  <wp:align>left</wp:align>
                </wp:positionH>
                <wp:positionV relativeFrom="paragraph">
                  <wp:posOffset>121285</wp:posOffset>
                </wp:positionV>
                <wp:extent cx="4686300" cy="12192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219200"/>
                        </a:xfrm>
                        <a:prstGeom prst="rect">
                          <a:avLst/>
                        </a:prstGeom>
                        <a:solidFill>
                          <a:srgbClr val="FFFFFF"/>
                        </a:solidFill>
                        <a:ln w="9525">
                          <a:solidFill>
                            <a:srgbClr val="000000"/>
                          </a:solidFill>
                          <a:miter lim="800000"/>
                          <a:headEnd/>
                          <a:tailEnd/>
                        </a:ln>
                      </wps:spPr>
                      <wps:txbx>
                        <w:txbxContent>
                          <w:p w14:paraId="74F69FA4" w14:textId="77777777" w:rsidR="00876770" w:rsidRDefault="00876770" w:rsidP="00DF55C8">
                            <w:r>
                              <w:t>We are also interested in literature or other research that has informed your responses expressed here. Please share any recommended reading, including links if you have them.</w:t>
                            </w:r>
                          </w:p>
                          <w:p w14:paraId="34575129"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F6F3C" id="_x0000_s1039" type="#_x0000_t202" style="position:absolute;margin-left:0;margin-top:9.55pt;width:369pt;height:96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">
                <v:textbox>
                  <w:txbxContent>
                    <w:p w14:paraId="74F69FA4" w14:textId="77777777" w:rsidR="00876770" w:rsidRDefault="00876770" w:rsidP="00DF55C8">
                      <w:r>
                        <w:t>We are also interested in literature or other research that has informed your responses expressed here. Please share any recommended reading, including links if you have them.</w:t>
                      </w:r>
                    </w:p>
                    <w:p w14:paraId="34575129" w14:textId="77777777" w:rsidR="00876770" w:rsidRDefault="00876770" w:rsidP="00DF55C8"/>
                  </w:txbxContent>
                </v:textbox>
                <w10:wrap type="square" anchorx="margin"/>
              </v:shape>
            </w:pict>
          </mc:Fallback>
        </mc:AlternateContent>
      </w:r>
    </w:p>
    <w:p w14:paraId="3BC25277" w14:textId="77777777" w:rsidR="00DF55C8" w:rsidRPr="00DF55C8" w:rsidRDefault="00DF55C8" w:rsidP="00DF55C8">
      <w:pPr>
        <w:rPr>
          <w:rFonts w:ascii="Calibri" w:eastAsia="Calibri" w:hAnsi="Calibri" w:cs="Times New Roman"/>
        </w:rPr>
      </w:pPr>
    </w:p>
    <w:p w14:paraId="28E26BCF" w14:textId="77777777" w:rsidR="00DF55C8" w:rsidRPr="00DF55C8" w:rsidRDefault="00DF55C8" w:rsidP="00DF55C8">
      <w:pPr>
        <w:rPr>
          <w:rFonts w:ascii="Calibri" w:eastAsia="Calibri" w:hAnsi="Calibri" w:cs="Times New Roman"/>
        </w:rPr>
      </w:pPr>
    </w:p>
    <w:p w14:paraId="114EB01B" w14:textId="77777777" w:rsidR="00DF55C8" w:rsidRPr="00DF55C8" w:rsidRDefault="00DF55C8" w:rsidP="00DF55C8">
      <w:pPr>
        <w:rPr>
          <w:rFonts w:ascii="Calibri" w:eastAsia="Calibri" w:hAnsi="Calibri" w:cs="Times New Roman"/>
        </w:rPr>
      </w:pPr>
    </w:p>
    <w:p w14:paraId="12C6AF5D" w14:textId="77777777" w:rsidR="00DF55C8" w:rsidRPr="00DF55C8" w:rsidRDefault="00DF55C8" w:rsidP="00DF55C8">
      <w:pPr>
        <w:rPr>
          <w:rFonts w:ascii="Calibri" w:eastAsia="Calibri" w:hAnsi="Calibri" w:cs="Times New Roman"/>
        </w:rPr>
      </w:pPr>
    </w:p>
    <w:p w14:paraId="6B42350F" w14:textId="77777777" w:rsidR="00DF55C8" w:rsidRPr="00DF55C8" w:rsidRDefault="00DF55C8" w:rsidP="00DF55C8">
      <w:pPr>
        <w:rPr>
          <w:rFonts w:ascii="Calibri" w:eastAsia="Calibri" w:hAnsi="Calibri" w:cs="Times New Roman"/>
        </w:rPr>
      </w:pPr>
    </w:p>
    <w:p w14:paraId="65FA7C14"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t>Section 2, Prompt 2 – Model development and intermodel comparison</w:t>
      </w:r>
    </w:p>
    <w:p w14:paraId="55770061"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t>Directions</w:t>
      </w:r>
    </w:p>
    <w:p w14:paraId="51565F68"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Model development and intermodel comparison activities: How important is each of the following model improvements in reducing uncertainty and increasing accuracy in national soil GHG emissions estimates?</w:t>
      </w:r>
    </w:p>
    <w:p w14:paraId="7996EE45" w14:textId="77777777" w:rsidR="00DF55C8" w:rsidRPr="00DF55C8" w:rsidRDefault="00DF55C8" w:rsidP="00DF55C8">
      <w:pPr>
        <w:tabs>
          <w:tab w:val="right" w:pos="9360"/>
        </w:tabs>
        <w:rPr>
          <w:rFonts w:ascii="Calibri" w:eastAsia="Calibri" w:hAnsi="Calibri" w:cs="Times New Roman"/>
        </w:rPr>
      </w:pPr>
      <w:r w:rsidRPr="00DF55C8">
        <w:rPr>
          <w:rFonts w:ascii="Calibri" w:eastAsia="Calibri" w:hAnsi="Calibri" w:cs="Times New Roman"/>
        </w:rPr>
        <w:t>For each of the following elements, please rank in accordance to importance:</w:t>
      </w:r>
      <w:r w:rsidRPr="00DF55C8">
        <w:rPr>
          <w:rFonts w:ascii="Calibri" w:eastAsia="Calibri" w:hAnsi="Calibri" w:cs="Times New Roman"/>
        </w:rPr>
        <w:tab/>
      </w:r>
    </w:p>
    <w:p w14:paraId="2E3FD6F0" w14:textId="77777777" w:rsidR="00DF55C8" w:rsidRPr="00DF55C8" w:rsidRDefault="00DF55C8" w:rsidP="00DF55C8">
      <w:pPr>
        <w:rPr>
          <w:rFonts w:ascii="Calibri" w:eastAsia="Calibri" w:hAnsi="Calibri" w:cs="Times New Roman"/>
          <w:b/>
        </w:rPr>
      </w:pPr>
      <w:r w:rsidRPr="00DF55C8">
        <w:rPr>
          <w:rFonts w:ascii="Calibri" w:eastAsia="Calibri" w:hAnsi="Calibri" w:cs="Times New Roman"/>
          <w:b/>
        </w:rPr>
        <w:t>Evolution in model structure</w:t>
      </w:r>
    </w:p>
    <w:tbl>
      <w:tblPr>
        <w:tblStyle w:val="GridTable4-Accent61"/>
        <w:tblW w:w="9355" w:type="dxa"/>
        <w:tblLook w:val="06A0" w:firstRow="1" w:lastRow="0" w:firstColumn="1" w:lastColumn="0" w:noHBand="1" w:noVBand="1"/>
      </w:tblPr>
      <w:tblGrid>
        <w:gridCol w:w="4405"/>
        <w:gridCol w:w="990"/>
        <w:gridCol w:w="990"/>
        <w:gridCol w:w="990"/>
        <w:gridCol w:w="990"/>
        <w:gridCol w:w="990"/>
      </w:tblGrid>
      <w:tr w:rsidR="00DF55C8" w:rsidRPr="00DF55C8" w14:paraId="57EA7225" w14:textId="77777777" w:rsidTr="00DF5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6225710E" w14:textId="77777777" w:rsidR="00DF55C8" w:rsidRPr="00DF55C8" w:rsidRDefault="00DF55C8" w:rsidP="00DF55C8">
            <w:pPr>
              <w:rPr>
                <w:rFonts w:ascii="Calibri" w:eastAsia="Calibri" w:hAnsi="Calibri" w:cs="Calibri"/>
                <w:sz w:val="18"/>
                <w:szCs w:val="18"/>
              </w:rPr>
            </w:pPr>
          </w:p>
        </w:tc>
        <w:tc>
          <w:tcPr>
            <w:tcW w:w="990" w:type="dxa"/>
          </w:tcPr>
          <w:p w14:paraId="516F04F2"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Not important</w:t>
            </w:r>
          </w:p>
        </w:tc>
        <w:tc>
          <w:tcPr>
            <w:tcW w:w="990" w:type="dxa"/>
          </w:tcPr>
          <w:p w14:paraId="2B1D901B"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Slightly important</w:t>
            </w:r>
          </w:p>
        </w:tc>
        <w:tc>
          <w:tcPr>
            <w:tcW w:w="990" w:type="dxa"/>
          </w:tcPr>
          <w:p w14:paraId="282E2DA2"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Important</w:t>
            </w:r>
          </w:p>
        </w:tc>
        <w:tc>
          <w:tcPr>
            <w:tcW w:w="990" w:type="dxa"/>
          </w:tcPr>
          <w:p w14:paraId="0E9960D1"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Very important</w:t>
            </w:r>
          </w:p>
        </w:tc>
        <w:tc>
          <w:tcPr>
            <w:tcW w:w="990" w:type="dxa"/>
          </w:tcPr>
          <w:p w14:paraId="2D23F7E9"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Extremely important</w:t>
            </w:r>
          </w:p>
        </w:tc>
      </w:tr>
      <w:tr w:rsidR="00DF55C8" w:rsidRPr="00DF55C8" w14:paraId="569DAA44"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5829E0BD" w14:textId="77777777" w:rsidR="00DF55C8" w:rsidRPr="00CC0ACC" w:rsidRDefault="00DF55C8" w:rsidP="00DF55C8">
            <w:pPr>
              <w:rPr>
                <w:rFonts w:ascii="Calibri" w:eastAsia="Calibri" w:hAnsi="Calibri" w:cs="Times New Roman"/>
                <w:b w:val="0"/>
                <w:sz w:val="18"/>
                <w:szCs w:val="18"/>
              </w:rPr>
            </w:pPr>
            <w:r w:rsidRPr="00CC0ACC">
              <w:rPr>
                <w:rFonts w:ascii="Calibri" w:eastAsia="Calibri" w:hAnsi="Calibri" w:cs="Times New Roman"/>
                <w:b w:val="0"/>
                <w:sz w:val="18"/>
                <w:szCs w:val="18"/>
              </w:rPr>
              <w:t>Shift from theoretical carbon pools to a mechanistic model that consider soil biological and physiochemical processes and drivers (Paustian et al., 2016; Stockmann, 2013).</w:t>
            </w:r>
          </w:p>
        </w:tc>
        <w:tc>
          <w:tcPr>
            <w:tcW w:w="990" w:type="dxa"/>
            <w:vAlign w:val="center"/>
          </w:tcPr>
          <w:p w14:paraId="599F90B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F55C8">
              <w:rPr>
                <w:rFonts w:ascii="Calibri" w:eastAsia="MS Gothic" w:hAnsi="Calibri" w:cs="Calibri"/>
                <w:b/>
              </w:rPr>
              <w:t>○</w:t>
            </w:r>
          </w:p>
        </w:tc>
        <w:tc>
          <w:tcPr>
            <w:tcW w:w="990" w:type="dxa"/>
            <w:vAlign w:val="center"/>
          </w:tcPr>
          <w:p w14:paraId="597ED4EE"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71BB874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4240857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404C9FD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58DB4B34"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7999C964" w14:textId="77777777" w:rsidR="00DF55C8" w:rsidRPr="00CC0ACC" w:rsidRDefault="00DF55C8" w:rsidP="00DF55C8">
            <w:pPr>
              <w:rPr>
                <w:rFonts w:ascii="Calibri" w:eastAsia="Calibri" w:hAnsi="Calibri" w:cs="Times New Roman"/>
                <w:b w:val="0"/>
                <w:sz w:val="18"/>
                <w:szCs w:val="18"/>
              </w:rPr>
            </w:pPr>
            <w:r w:rsidRPr="00CC0ACC">
              <w:rPr>
                <w:rFonts w:ascii="Calibri" w:eastAsia="Calibri" w:hAnsi="Calibri" w:cs="Times New Roman"/>
                <w:b w:val="0"/>
                <w:sz w:val="18"/>
                <w:szCs w:val="18"/>
              </w:rPr>
              <w:t xml:space="preserve">Shift towards landscape scale modelling of soil organic matter dynamics for more comprehensive view of the agricultural landscape, as opposed to soil-profile/plot scale (Fellman et al., 2010). </w:t>
            </w:r>
          </w:p>
        </w:tc>
        <w:tc>
          <w:tcPr>
            <w:tcW w:w="990" w:type="dxa"/>
            <w:vAlign w:val="center"/>
          </w:tcPr>
          <w:p w14:paraId="1BD0079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6C0659B"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6E06A9C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0ACE3AF"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3A76BB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6485E6B7"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6FE0E4ED" w14:textId="77777777" w:rsidR="00DF55C8" w:rsidRPr="00CC0ACC" w:rsidRDefault="00DF55C8" w:rsidP="00DF55C8">
            <w:pPr>
              <w:rPr>
                <w:rFonts w:ascii="Calibri" w:eastAsia="Calibri" w:hAnsi="Calibri" w:cs="Times New Roman"/>
                <w:b w:val="0"/>
                <w:sz w:val="18"/>
                <w:szCs w:val="18"/>
              </w:rPr>
            </w:pPr>
            <w:r w:rsidRPr="00CC0ACC">
              <w:rPr>
                <w:rFonts w:ascii="Calibri" w:eastAsia="Calibri" w:hAnsi="Calibri" w:cs="Times New Roman"/>
                <w:b w:val="0"/>
                <w:sz w:val="18"/>
                <w:szCs w:val="18"/>
              </w:rPr>
              <w:t xml:space="preserve">Model the entire soil profile, representing changes in processes and rate constants associated with depth of soil or carbon inputs (such as mineral associations and root and dissolved organic inputs). Include explicit depth resolution for decomposition and transport (Schmidt et al., 2011). </w:t>
            </w:r>
          </w:p>
        </w:tc>
        <w:tc>
          <w:tcPr>
            <w:tcW w:w="990" w:type="dxa"/>
            <w:vAlign w:val="center"/>
          </w:tcPr>
          <w:p w14:paraId="21BB4C8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2974081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6367893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1608C10E"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68E2EC08"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277B9EB0"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7FF0E553" w14:textId="77777777" w:rsidR="00DF55C8" w:rsidRPr="00CC0ACC" w:rsidRDefault="00DF55C8" w:rsidP="00DF55C8">
            <w:pPr>
              <w:rPr>
                <w:rFonts w:ascii="Calibri" w:eastAsia="Calibri" w:hAnsi="Calibri" w:cs="Times New Roman"/>
                <w:b w:val="0"/>
                <w:sz w:val="18"/>
                <w:szCs w:val="18"/>
              </w:rPr>
            </w:pPr>
            <w:r w:rsidRPr="00CC0ACC">
              <w:rPr>
                <w:rFonts w:ascii="Calibri" w:eastAsia="Calibri" w:hAnsi="Calibri" w:cs="Times New Roman"/>
                <w:b w:val="0"/>
                <w:sz w:val="18"/>
                <w:szCs w:val="18"/>
              </w:rPr>
              <w:t xml:space="preserve">Include more microbial mechanisms to allow determination of soil carbon responses to global climate change (e.g., vary microbial growth efficiency instead treating it as a fixed parameter) (Stockmann et al., 2013; Wider et al., 2013). </w:t>
            </w:r>
          </w:p>
        </w:tc>
        <w:tc>
          <w:tcPr>
            <w:tcW w:w="990" w:type="dxa"/>
            <w:vAlign w:val="center"/>
          </w:tcPr>
          <w:p w14:paraId="579AA21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6249B083"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40056F1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2B84064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02F260E3"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05E85ABD"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4C837E96" w14:textId="77777777" w:rsidR="00DF55C8" w:rsidRPr="00CC0ACC" w:rsidRDefault="00DF55C8" w:rsidP="00DF55C8">
            <w:pPr>
              <w:rPr>
                <w:rFonts w:ascii="Calibri" w:eastAsia="Calibri" w:hAnsi="Calibri" w:cs="Times New Roman"/>
                <w:b w:val="0"/>
                <w:sz w:val="18"/>
                <w:szCs w:val="18"/>
              </w:rPr>
            </w:pPr>
            <w:r w:rsidRPr="00CC0ACC">
              <w:rPr>
                <w:rFonts w:ascii="Calibri" w:eastAsia="Calibri" w:hAnsi="Calibri" w:cs="Times New Roman"/>
                <w:b w:val="0"/>
                <w:sz w:val="18"/>
                <w:szCs w:val="18"/>
              </w:rPr>
              <w:t xml:space="preserve">Replace the concept of increasing recalcitrance due to decomposition and synthesis with organic matter cycling into and out of microbial biomass (Schmidt et al., 2011). </w:t>
            </w:r>
          </w:p>
        </w:tc>
        <w:tc>
          <w:tcPr>
            <w:tcW w:w="990" w:type="dxa"/>
            <w:vAlign w:val="center"/>
          </w:tcPr>
          <w:p w14:paraId="6B9C174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5E3525D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37FA052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0DA52ED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1501ECDB"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098FFAC6"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3DEDBB95" w14:textId="77777777" w:rsidR="00DF55C8" w:rsidRPr="00CC0ACC" w:rsidRDefault="00DF55C8" w:rsidP="00DF55C8">
            <w:pPr>
              <w:rPr>
                <w:rFonts w:ascii="Calibri" w:eastAsia="Calibri" w:hAnsi="Calibri" w:cs="Times New Roman"/>
                <w:b w:val="0"/>
                <w:sz w:val="18"/>
                <w:szCs w:val="18"/>
              </w:rPr>
            </w:pPr>
            <w:r w:rsidRPr="00CC0ACC">
              <w:rPr>
                <w:rFonts w:ascii="Calibri" w:eastAsia="Calibri" w:hAnsi="Calibri" w:cs="Times New Roman"/>
                <w:b w:val="0"/>
                <w:sz w:val="18"/>
                <w:szCs w:val="18"/>
              </w:rPr>
              <w:t>Create and model microbial functional types, similar to how plant functional types are considered (Schmidt et al., 2011).</w:t>
            </w:r>
          </w:p>
        </w:tc>
        <w:tc>
          <w:tcPr>
            <w:tcW w:w="990" w:type="dxa"/>
            <w:vAlign w:val="center"/>
          </w:tcPr>
          <w:p w14:paraId="6442227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582FFE53"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443C959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63446B3E"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52D3271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69A45ED8"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739427BD" w14:textId="77777777" w:rsidR="00DF55C8" w:rsidRPr="00CC0ACC" w:rsidRDefault="00DF55C8" w:rsidP="00DF55C8">
            <w:pPr>
              <w:rPr>
                <w:rFonts w:ascii="Calibri" w:eastAsia="Calibri" w:hAnsi="Calibri" w:cs="Times New Roman"/>
                <w:b w:val="0"/>
                <w:sz w:val="18"/>
                <w:szCs w:val="18"/>
              </w:rPr>
            </w:pPr>
            <w:r w:rsidRPr="00CC0ACC">
              <w:rPr>
                <w:rFonts w:ascii="Calibri" w:eastAsia="Calibri" w:hAnsi="Calibri" w:cs="Times New Roman"/>
                <w:b w:val="0"/>
                <w:sz w:val="18"/>
                <w:szCs w:val="18"/>
              </w:rPr>
              <w:t>Model the decay rate as a function of substrate properties and spatial positions in microenvironment, microbial activity and soil conditions (Schmidt et al., 2011).</w:t>
            </w:r>
          </w:p>
        </w:tc>
        <w:tc>
          <w:tcPr>
            <w:tcW w:w="990" w:type="dxa"/>
            <w:vAlign w:val="center"/>
          </w:tcPr>
          <w:p w14:paraId="15C5652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50C5C3B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4DF1E858"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546B5FE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364AAB8F"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bl>
    <w:p w14:paraId="61D772C3" w14:textId="77777777" w:rsidR="00DF55C8" w:rsidRPr="00DF55C8" w:rsidRDefault="00DF55C8" w:rsidP="00DF55C8">
      <w:pPr>
        <w:rPr>
          <w:rFonts w:ascii="Calibri" w:eastAsia="Calibri" w:hAnsi="Calibri" w:cs="Times New Roman"/>
        </w:rPr>
      </w:pPr>
    </w:p>
    <w:p w14:paraId="215A8B11" w14:textId="77777777" w:rsidR="00DF55C8" w:rsidRPr="00DF55C8" w:rsidRDefault="00DF55C8" w:rsidP="00DF55C8">
      <w:pPr>
        <w:spacing w:line="240" w:lineRule="auto"/>
        <w:rPr>
          <w:rFonts w:ascii="Calibri" w:eastAsia="Calibri" w:hAnsi="Calibri" w:cs="Times New Roman"/>
          <w:b/>
        </w:rPr>
      </w:pPr>
      <w:r w:rsidRPr="00DF55C8">
        <w:rPr>
          <w:rFonts w:ascii="Calibri" w:eastAsia="Calibri" w:hAnsi="Calibri" w:cs="Times New Roman"/>
          <w:b/>
        </w:rPr>
        <w:lastRenderedPageBreak/>
        <w:t>Incremental improvements to existing models</w:t>
      </w:r>
    </w:p>
    <w:tbl>
      <w:tblPr>
        <w:tblStyle w:val="GridTable4-Accent61"/>
        <w:tblW w:w="9355" w:type="dxa"/>
        <w:tblLook w:val="06A0" w:firstRow="1" w:lastRow="0" w:firstColumn="1" w:lastColumn="0" w:noHBand="1" w:noVBand="1"/>
      </w:tblPr>
      <w:tblGrid>
        <w:gridCol w:w="4405"/>
        <w:gridCol w:w="990"/>
        <w:gridCol w:w="990"/>
        <w:gridCol w:w="990"/>
        <w:gridCol w:w="990"/>
        <w:gridCol w:w="990"/>
      </w:tblGrid>
      <w:tr w:rsidR="00DF55C8" w:rsidRPr="00DF55C8" w14:paraId="039D8AA9" w14:textId="77777777" w:rsidTr="00DF5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2995D80E" w14:textId="77777777" w:rsidR="00DF55C8" w:rsidRPr="00DF55C8" w:rsidRDefault="00DF55C8" w:rsidP="00DF55C8">
            <w:pPr>
              <w:rPr>
                <w:rFonts w:ascii="Calibri" w:eastAsia="Calibri" w:hAnsi="Calibri" w:cs="Calibri"/>
                <w:sz w:val="18"/>
                <w:szCs w:val="18"/>
              </w:rPr>
            </w:pPr>
          </w:p>
        </w:tc>
        <w:tc>
          <w:tcPr>
            <w:tcW w:w="990" w:type="dxa"/>
          </w:tcPr>
          <w:p w14:paraId="748E527F"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Not important</w:t>
            </w:r>
          </w:p>
        </w:tc>
        <w:tc>
          <w:tcPr>
            <w:tcW w:w="990" w:type="dxa"/>
          </w:tcPr>
          <w:p w14:paraId="12FFC1EF"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Slightly important</w:t>
            </w:r>
          </w:p>
        </w:tc>
        <w:tc>
          <w:tcPr>
            <w:tcW w:w="990" w:type="dxa"/>
          </w:tcPr>
          <w:p w14:paraId="78BFA199"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Important</w:t>
            </w:r>
          </w:p>
        </w:tc>
        <w:tc>
          <w:tcPr>
            <w:tcW w:w="990" w:type="dxa"/>
          </w:tcPr>
          <w:p w14:paraId="6AA75820"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Very important</w:t>
            </w:r>
          </w:p>
        </w:tc>
        <w:tc>
          <w:tcPr>
            <w:tcW w:w="990" w:type="dxa"/>
          </w:tcPr>
          <w:p w14:paraId="30ECB30B"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Extremely important</w:t>
            </w:r>
          </w:p>
        </w:tc>
      </w:tr>
      <w:tr w:rsidR="00DF55C8" w:rsidRPr="00DF55C8" w14:paraId="6797BA09"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4DDD2AD1"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Expand application of existing models with validated parameters to include more diverse soil systems like peatlands and other organic soils (Dungait et al., 2012).</w:t>
            </w:r>
          </w:p>
        </w:tc>
        <w:tc>
          <w:tcPr>
            <w:tcW w:w="990" w:type="dxa"/>
            <w:vAlign w:val="center"/>
          </w:tcPr>
          <w:p w14:paraId="38C0815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F55C8">
              <w:rPr>
                <w:rFonts w:ascii="Calibri" w:eastAsia="MS Gothic" w:hAnsi="Calibri" w:cs="Calibri"/>
                <w:b/>
              </w:rPr>
              <w:t>○</w:t>
            </w:r>
          </w:p>
        </w:tc>
        <w:tc>
          <w:tcPr>
            <w:tcW w:w="990" w:type="dxa"/>
            <w:vAlign w:val="center"/>
          </w:tcPr>
          <w:p w14:paraId="4C2E081F"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CFA653B"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4D0A455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E135B06"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68A19158"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42C8E8B3"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Model the interactions between litter decay and soil organic formation (Cotrufo et al., 2012; Dungait et al., 2012).</w:t>
            </w:r>
          </w:p>
        </w:tc>
        <w:tc>
          <w:tcPr>
            <w:tcW w:w="990" w:type="dxa"/>
            <w:vAlign w:val="center"/>
          </w:tcPr>
          <w:p w14:paraId="3093F76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378775E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62C3C576"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0B7B1AD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0CC1247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2D31A564"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1951D72E"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Include physical processes that follow non-normal probability distributions and density-dependent terms for organic matter and microbial biomass (Schmidt et al., 2011).</w:t>
            </w:r>
          </w:p>
        </w:tc>
        <w:tc>
          <w:tcPr>
            <w:tcW w:w="990" w:type="dxa"/>
            <w:vAlign w:val="center"/>
          </w:tcPr>
          <w:p w14:paraId="73B8BD0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1137992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1CFBDD5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056625F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3ACB881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07A5C2FB"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64A2B389" w14:textId="77777777" w:rsidR="00DF55C8" w:rsidRPr="00CC0ACC" w:rsidRDefault="00DF55C8" w:rsidP="00DF55C8">
            <w:pPr>
              <w:rPr>
                <w:rFonts w:ascii="Tahoma" w:eastAsia="Calibri" w:hAnsi="Tahoma" w:cs="Tahoma"/>
                <w:b w:val="0"/>
                <w:color w:val="706F65"/>
                <w:sz w:val="18"/>
                <w:szCs w:val="18"/>
                <w:shd w:val="clear" w:color="auto" w:fill="EBF0E3"/>
              </w:rPr>
            </w:pPr>
            <w:r w:rsidRPr="00CC0ACC">
              <w:rPr>
                <w:rFonts w:ascii="Calibri" w:eastAsia="Calibri" w:hAnsi="Calibri" w:cs="Calibri"/>
                <w:b w:val="0"/>
                <w:sz w:val="18"/>
                <w:szCs w:val="18"/>
              </w:rPr>
              <w:t>Include input pathway for fire-derived carbon (Schmidt et al., 2011).</w:t>
            </w:r>
          </w:p>
        </w:tc>
        <w:tc>
          <w:tcPr>
            <w:tcW w:w="990" w:type="dxa"/>
            <w:vAlign w:val="center"/>
          </w:tcPr>
          <w:p w14:paraId="50CE702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1AB24D4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454BA25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019ECB2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43E37253"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0AFDD21B"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7D35DA8A"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Add aromatic compounds to soil organic matter types (Schmidt et al., 2011).</w:t>
            </w:r>
          </w:p>
        </w:tc>
        <w:tc>
          <w:tcPr>
            <w:tcW w:w="990" w:type="dxa"/>
            <w:vAlign w:val="center"/>
          </w:tcPr>
          <w:p w14:paraId="160DEBA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2F16218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7F1163A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5927EFA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6C22B81B"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02FE5E09"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467217AC" w14:textId="77777777" w:rsidR="00DF55C8" w:rsidRPr="00CC0ACC" w:rsidRDefault="00DF55C8" w:rsidP="00DF55C8">
            <w:pPr>
              <w:rPr>
                <w:rFonts w:ascii="Tahoma" w:eastAsia="Calibri" w:hAnsi="Tahoma" w:cs="Tahoma"/>
                <w:b w:val="0"/>
                <w:color w:val="706F65"/>
                <w:sz w:val="18"/>
                <w:szCs w:val="18"/>
                <w:shd w:val="clear" w:color="auto" w:fill="EBF0E3"/>
              </w:rPr>
            </w:pPr>
            <w:r w:rsidRPr="00CC0ACC">
              <w:rPr>
                <w:rFonts w:ascii="Calibri" w:eastAsia="Calibri" w:hAnsi="Calibri" w:cs="Calibri"/>
                <w:b w:val="0"/>
                <w:sz w:val="18"/>
                <w:szCs w:val="18"/>
              </w:rPr>
              <w:t>Consider impact of freeze/thaw on CO</w:t>
            </w:r>
            <w:r w:rsidRPr="00CC0ACC">
              <w:rPr>
                <w:rFonts w:ascii="Calibri" w:eastAsia="Calibri" w:hAnsi="Calibri" w:cs="Calibri"/>
                <w:b w:val="0"/>
                <w:sz w:val="18"/>
                <w:szCs w:val="18"/>
                <w:vertAlign w:val="subscript"/>
              </w:rPr>
              <w:t>2</w:t>
            </w:r>
            <w:r w:rsidRPr="00CC0ACC">
              <w:rPr>
                <w:rFonts w:ascii="Calibri" w:eastAsia="Calibri" w:hAnsi="Calibri" w:cs="Calibri"/>
                <w:b w:val="0"/>
                <w:sz w:val="18"/>
                <w:szCs w:val="18"/>
              </w:rPr>
              <w:t xml:space="preserve"> and CH</w:t>
            </w:r>
            <w:r w:rsidRPr="00CC0ACC">
              <w:rPr>
                <w:rFonts w:ascii="Calibri" w:eastAsia="Calibri" w:hAnsi="Calibri" w:cs="Calibri"/>
                <w:b w:val="0"/>
                <w:sz w:val="18"/>
                <w:szCs w:val="18"/>
                <w:vertAlign w:val="subscript"/>
              </w:rPr>
              <w:t>4</w:t>
            </w:r>
            <w:r w:rsidRPr="00CC0ACC">
              <w:rPr>
                <w:rFonts w:ascii="Calibri" w:eastAsia="Calibri" w:hAnsi="Calibri" w:cs="Calibri"/>
                <w:b w:val="0"/>
                <w:sz w:val="18"/>
                <w:szCs w:val="18"/>
              </w:rPr>
              <w:t xml:space="preserve"> production. Develop soil columns to represent different stages of O2 limitation and freezing effects, such as inundation, permafrost thaw and thermakarst (Schmidt et al., 2011).</w:t>
            </w:r>
          </w:p>
        </w:tc>
        <w:tc>
          <w:tcPr>
            <w:tcW w:w="990" w:type="dxa"/>
            <w:vAlign w:val="center"/>
          </w:tcPr>
          <w:p w14:paraId="2202EE5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657F273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5A0F98F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236BC92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7910579F"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584EB5DA"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736A28B4"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Separately characterize above-ground and below-ground inputs (Schmidt et al., 2011).</w:t>
            </w:r>
          </w:p>
        </w:tc>
        <w:tc>
          <w:tcPr>
            <w:tcW w:w="990" w:type="dxa"/>
            <w:vAlign w:val="center"/>
          </w:tcPr>
          <w:p w14:paraId="4AA86C6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3A53119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1FD5CE5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6859408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430CACD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43B229C5"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5EA3438F" w14:textId="77777777" w:rsidR="00DF55C8" w:rsidRPr="00CC0ACC" w:rsidRDefault="00DF55C8" w:rsidP="00DF55C8">
            <w:pPr>
              <w:rPr>
                <w:rFonts w:ascii="Tahoma" w:eastAsia="Calibri" w:hAnsi="Tahoma" w:cs="Tahoma"/>
                <w:b w:val="0"/>
                <w:color w:val="706F65"/>
                <w:sz w:val="18"/>
                <w:szCs w:val="18"/>
                <w:shd w:val="clear" w:color="auto" w:fill="EBF0E3"/>
              </w:rPr>
            </w:pPr>
            <w:r w:rsidRPr="00CC0ACC">
              <w:rPr>
                <w:rFonts w:ascii="Calibri" w:eastAsia="Calibri" w:hAnsi="Calibri" w:cs="Calibri"/>
                <w:b w:val="0"/>
                <w:sz w:val="18"/>
                <w:szCs w:val="18"/>
              </w:rPr>
              <w:t>Incorporate simultaneous simulation of nitrification and denitrification, topographical effects on soil hydrology, and other N dynamics, to more accurately reflect the complexities in N cycling (Butterbach-Bahl, 2013).</w:t>
            </w:r>
          </w:p>
        </w:tc>
        <w:tc>
          <w:tcPr>
            <w:tcW w:w="990" w:type="dxa"/>
            <w:vAlign w:val="center"/>
          </w:tcPr>
          <w:p w14:paraId="3863BD36"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655E888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76A94B1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57B257DE"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6FE1C79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39592657"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24F93C9D"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Include CH</w:t>
            </w:r>
            <w:r w:rsidRPr="00CC0ACC">
              <w:rPr>
                <w:rFonts w:ascii="Calibri" w:eastAsia="Calibri" w:hAnsi="Calibri" w:cs="Calibri"/>
                <w:b w:val="0"/>
                <w:sz w:val="18"/>
                <w:szCs w:val="18"/>
                <w:vertAlign w:val="subscript"/>
              </w:rPr>
              <w:t>4</w:t>
            </w:r>
            <w:r w:rsidRPr="00CC0ACC">
              <w:rPr>
                <w:rFonts w:ascii="Calibri" w:eastAsia="Calibri" w:hAnsi="Calibri" w:cs="Calibri"/>
                <w:b w:val="0"/>
                <w:sz w:val="18"/>
                <w:szCs w:val="18"/>
              </w:rPr>
              <w:t xml:space="preserve"> fluxes from land use types other than rice agriculture, like natural and managed grassland systems (DelGrosso et al., 2000).</w:t>
            </w:r>
          </w:p>
        </w:tc>
        <w:tc>
          <w:tcPr>
            <w:tcW w:w="990" w:type="dxa"/>
            <w:vAlign w:val="center"/>
          </w:tcPr>
          <w:p w14:paraId="089728E8"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2A0905E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37343C8B"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6A03813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23817B0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143C3CD0"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2C20A1F0"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Water regimes of rice agricultural systems may be highly variable, but are often estimated through an assumption of homogenous water regimes. Shift to subgrid variability in water regimes to better capture CH</w:t>
            </w:r>
            <w:r w:rsidRPr="00CC0ACC">
              <w:rPr>
                <w:rFonts w:ascii="Calibri" w:eastAsia="Calibri" w:hAnsi="Calibri" w:cs="Calibri"/>
                <w:b w:val="0"/>
                <w:sz w:val="18"/>
                <w:szCs w:val="18"/>
                <w:vertAlign w:val="subscript"/>
              </w:rPr>
              <w:t>4</w:t>
            </w:r>
            <w:r w:rsidRPr="00CC0ACC">
              <w:rPr>
                <w:rFonts w:ascii="Calibri" w:eastAsia="Calibri" w:hAnsi="Calibri" w:cs="Calibri"/>
                <w:b w:val="0"/>
                <w:sz w:val="18"/>
                <w:szCs w:val="18"/>
              </w:rPr>
              <w:t xml:space="preserve"> emissions (Zhang et al., 2016).</w:t>
            </w:r>
          </w:p>
        </w:tc>
        <w:tc>
          <w:tcPr>
            <w:tcW w:w="990" w:type="dxa"/>
            <w:vAlign w:val="center"/>
          </w:tcPr>
          <w:p w14:paraId="7AF12ED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119F6A0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2BB2E90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09A1A52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1948ADB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4C831297"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65F5C569" w14:textId="77777777" w:rsidR="00DF55C8" w:rsidRPr="00CC0ACC" w:rsidRDefault="00DF55C8" w:rsidP="00DF55C8">
            <w:pPr>
              <w:rPr>
                <w:rFonts w:ascii="Tahoma" w:eastAsia="Calibri" w:hAnsi="Tahoma" w:cs="Tahoma"/>
                <w:b w:val="0"/>
                <w:color w:val="706F65"/>
                <w:sz w:val="18"/>
                <w:szCs w:val="18"/>
                <w:shd w:val="clear" w:color="auto" w:fill="EBF0E3"/>
              </w:rPr>
            </w:pPr>
            <w:r w:rsidRPr="00CC0ACC">
              <w:rPr>
                <w:rFonts w:ascii="Calibri" w:eastAsia="Calibri" w:hAnsi="Calibri" w:cs="Calibri"/>
                <w:b w:val="0"/>
                <w:sz w:val="18"/>
                <w:szCs w:val="18"/>
              </w:rPr>
              <w:t>Improve model representations of rice varieties and iron reduction/oxidation to better estimate CH</w:t>
            </w:r>
            <w:r w:rsidRPr="00CC0ACC">
              <w:rPr>
                <w:rFonts w:ascii="Calibri" w:eastAsia="Calibri" w:hAnsi="Calibri" w:cs="Calibri"/>
                <w:b w:val="0"/>
                <w:sz w:val="18"/>
                <w:szCs w:val="18"/>
                <w:vertAlign w:val="subscript"/>
              </w:rPr>
              <w:t>4</w:t>
            </w:r>
            <w:r w:rsidRPr="00CC0ACC">
              <w:rPr>
                <w:rFonts w:ascii="Calibri" w:eastAsia="Calibri" w:hAnsi="Calibri" w:cs="Calibri"/>
                <w:b w:val="0"/>
                <w:sz w:val="18"/>
                <w:szCs w:val="18"/>
              </w:rPr>
              <w:t xml:space="preserve"> emissions in rice fields (Zhang et al., 2016).</w:t>
            </w:r>
          </w:p>
        </w:tc>
        <w:tc>
          <w:tcPr>
            <w:tcW w:w="990" w:type="dxa"/>
            <w:vAlign w:val="center"/>
          </w:tcPr>
          <w:p w14:paraId="20A342C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3245D33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3BC5AA2B"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291E19C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02CEA45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0DA0712B"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5B6D1029" w14:textId="77777777" w:rsidR="00DF55C8" w:rsidRPr="00CC0ACC" w:rsidRDefault="00DF55C8" w:rsidP="00DF55C8">
            <w:pPr>
              <w:rPr>
                <w:rFonts w:ascii="Tahoma" w:eastAsia="Calibri" w:hAnsi="Tahoma" w:cs="Tahoma"/>
                <w:b w:val="0"/>
                <w:color w:val="706F65"/>
                <w:sz w:val="18"/>
                <w:szCs w:val="18"/>
                <w:shd w:val="clear" w:color="auto" w:fill="EBF0E3"/>
              </w:rPr>
            </w:pPr>
            <w:r w:rsidRPr="00CC0ACC">
              <w:rPr>
                <w:rFonts w:ascii="Calibri" w:eastAsia="Calibri" w:hAnsi="Calibri" w:cs="Calibri"/>
                <w:b w:val="0"/>
                <w:sz w:val="18"/>
                <w:szCs w:val="18"/>
              </w:rPr>
              <w:t>Incorporate water management types outside of continuous flooding when measuring CH</w:t>
            </w:r>
            <w:r w:rsidRPr="00CC0ACC">
              <w:rPr>
                <w:rFonts w:ascii="Calibri" w:eastAsia="Calibri" w:hAnsi="Calibri" w:cs="Calibri"/>
                <w:b w:val="0"/>
                <w:sz w:val="18"/>
                <w:szCs w:val="18"/>
                <w:vertAlign w:val="subscript"/>
              </w:rPr>
              <w:t>4</w:t>
            </w:r>
            <w:r w:rsidRPr="00CC0ACC">
              <w:rPr>
                <w:rFonts w:ascii="Calibri" w:eastAsia="Calibri" w:hAnsi="Calibri" w:cs="Calibri"/>
                <w:b w:val="0"/>
                <w:sz w:val="18"/>
                <w:szCs w:val="18"/>
              </w:rPr>
              <w:t xml:space="preserve"> (this is specific to DayCent) (U.S. National Greenhouse Gas Inventory, 2018).</w:t>
            </w:r>
          </w:p>
        </w:tc>
        <w:tc>
          <w:tcPr>
            <w:tcW w:w="990" w:type="dxa"/>
            <w:vAlign w:val="center"/>
          </w:tcPr>
          <w:p w14:paraId="0211D58E"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013A683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38BC4E8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2B1DBEB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2F2A879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bl>
    <w:p w14:paraId="3E029997" w14:textId="77777777" w:rsidR="00DF55C8" w:rsidRPr="00DF55C8" w:rsidRDefault="00DF55C8" w:rsidP="00CC0ACC">
      <w:pPr>
        <w:spacing w:line="240" w:lineRule="auto"/>
        <w:ind w:left="720"/>
        <w:rPr>
          <w:rFonts w:ascii="Calibri" w:eastAsia="Calibri" w:hAnsi="Calibri" w:cs="Times New Roman"/>
        </w:rPr>
      </w:pPr>
    </w:p>
    <w:p w14:paraId="04CB1086" w14:textId="77777777" w:rsidR="00DF55C8" w:rsidRPr="00DF55C8" w:rsidRDefault="00DF55C8" w:rsidP="00DF55C8">
      <w:pPr>
        <w:spacing w:line="240" w:lineRule="auto"/>
        <w:rPr>
          <w:rFonts w:ascii="Calibri" w:eastAsia="Calibri" w:hAnsi="Calibri" w:cs="Times New Roman"/>
          <w:b/>
        </w:rPr>
      </w:pPr>
      <w:r w:rsidRPr="00DF55C8">
        <w:rPr>
          <w:rFonts w:ascii="Calibri" w:eastAsia="Calibri" w:hAnsi="Calibri" w:cs="Times New Roman"/>
          <w:b/>
        </w:rPr>
        <w:t>Model construction and validation</w:t>
      </w:r>
    </w:p>
    <w:tbl>
      <w:tblPr>
        <w:tblStyle w:val="GridTable4-Accent61"/>
        <w:tblW w:w="9355" w:type="dxa"/>
        <w:tblLook w:val="06A0" w:firstRow="1" w:lastRow="0" w:firstColumn="1" w:lastColumn="0" w:noHBand="1" w:noVBand="1"/>
      </w:tblPr>
      <w:tblGrid>
        <w:gridCol w:w="4405"/>
        <w:gridCol w:w="990"/>
        <w:gridCol w:w="990"/>
        <w:gridCol w:w="990"/>
        <w:gridCol w:w="990"/>
        <w:gridCol w:w="990"/>
      </w:tblGrid>
      <w:tr w:rsidR="00DF55C8" w:rsidRPr="00DF55C8" w14:paraId="6EAF8D41" w14:textId="77777777" w:rsidTr="00DF5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7D458FE9" w14:textId="77777777" w:rsidR="00DF55C8" w:rsidRPr="00DF55C8" w:rsidRDefault="00DF55C8" w:rsidP="00DF55C8">
            <w:pPr>
              <w:rPr>
                <w:rFonts w:ascii="Calibri" w:eastAsia="Calibri" w:hAnsi="Calibri" w:cs="Calibri"/>
                <w:sz w:val="18"/>
                <w:szCs w:val="18"/>
              </w:rPr>
            </w:pPr>
          </w:p>
        </w:tc>
        <w:tc>
          <w:tcPr>
            <w:tcW w:w="990" w:type="dxa"/>
          </w:tcPr>
          <w:p w14:paraId="70AED66D"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Not important</w:t>
            </w:r>
          </w:p>
        </w:tc>
        <w:tc>
          <w:tcPr>
            <w:tcW w:w="990" w:type="dxa"/>
          </w:tcPr>
          <w:p w14:paraId="7E650C4E"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Slightly important</w:t>
            </w:r>
          </w:p>
        </w:tc>
        <w:tc>
          <w:tcPr>
            <w:tcW w:w="990" w:type="dxa"/>
          </w:tcPr>
          <w:p w14:paraId="0595FE28"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Important</w:t>
            </w:r>
          </w:p>
        </w:tc>
        <w:tc>
          <w:tcPr>
            <w:tcW w:w="990" w:type="dxa"/>
          </w:tcPr>
          <w:p w14:paraId="6643F4B5"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Very important</w:t>
            </w:r>
          </w:p>
        </w:tc>
        <w:tc>
          <w:tcPr>
            <w:tcW w:w="990" w:type="dxa"/>
          </w:tcPr>
          <w:p w14:paraId="580FBC16"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Extremely important</w:t>
            </w:r>
          </w:p>
        </w:tc>
      </w:tr>
      <w:tr w:rsidR="00DF55C8" w:rsidRPr="00DF55C8" w14:paraId="6A5E78BB"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5FCADAB7"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Increase collaboration among model developers, shifting to a community-centered, open-source approach and integrating databases and computational tools (Paustian et al., 2016; Schmidt et al., 2011).</w:t>
            </w:r>
          </w:p>
        </w:tc>
        <w:tc>
          <w:tcPr>
            <w:tcW w:w="990" w:type="dxa"/>
            <w:vAlign w:val="center"/>
          </w:tcPr>
          <w:p w14:paraId="0435921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F55C8">
              <w:rPr>
                <w:rFonts w:ascii="Calibri" w:eastAsia="MS Gothic" w:hAnsi="Calibri" w:cs="Calibri"/>
                <w:b/>
              </w:rPr>
              <w:t>○</w:t>
            </w:r>
          </w:p>
        </w:tc>
        <w:tc>
          <w:tcPr>
            <w:tcW w:w="990" w:type="dxa"/>
            <w:vAlign w:val="center"/>
          </w:tcPr>
          <w:p w14:paraId="163286F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2B70D9A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235A6AF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EC5EE93"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4DF8681E"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454A9D63"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 xml:space="preserve">Improve model validation with updated comparisons to empirical regression models that are based on field experiments (Brevik et al., 2015; Kuzyakov, 2010; </w:t>
            </w:r>
            <w:r w:rsidRPr="00CC0ACC">
              <w:rPr>
                <w:rFonts w:ascii="Calibri" w:eastAsia="Calibri" w:hAnsi="Calibri" w:cs="Calibri"/>
                <w:b w:val="0"/>
                <w:sz w:val="18"/>
                <w:szCs w:val="18"/>
              </w:rPr>
              <w:lastRenderedPageBreak/>
              <w:t>Paustian et al., 2016; Schmidt et al., 2011; Stockmann et al., 2013).</w:t>
            </w:r>
          </w:p>
        </w:tc>
        <w:tc>
          <w:tcPr>
            <w:tcW w:w="990" w:type="dxa"/>
            <w:vAlign w:val="center"/>
          </w:tcPr>
          <w:p w14:paraId="5A84B7AE"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lastRenderedPageBreak/>
              <w:t>○</w:t>
            </w:r>
          </w:p>
        </w:tc>
        <w:tc>
          <w:tcPr>
            <w:tcW w:w="990" w:type="dxa"/>
            <w:vAlign w:val="center"/>
          </w:tcPr>
          <w:p w14:paraId="30876A73"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60B884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3771496"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A5D725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3C06EE20"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4DBF320C"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Expand model inter-comparison programs (such as AgMIP) to identify cross-cutting sources of uncertainty and opportunities for model improvement and cross-pollination.</w:t>
            </w:r>
          </w:p>
        </w:tc>
        <w:tc>
          <w:tcPr>
            <w:tcW w:w="990" w:type="dxa"/>
            <w:vAlign w:val="center"/>
          </w:tcPr>
          <w:p w14:paraId="3AEFC67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1B9D570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7E1FE62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28CC6A3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45146F8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3C19C8E7"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70EA0CED" w14:textId="77777777" w:rsidR="00DF55C8" w:rsidRPr="00CC0ACC" w:rsidRDefault="00DF55C8" w:rsidP="00DF55C8">
            <w:pPr>
              <w:rPr>
                <w:rFonts w:ascii="Tahoma" w:eastAsia="Calibri" w:hAnsi="Tahoma" w:cs="Tahoma"/>
                <w:b w:val="0"/>
                <w:color w:val="706F65"/>
                <w:sz w:val="18"/>
                <w:szCs w:val="18"/>
                <w:shd w:val="clear" w:color="auto" w:fill="EBF0E3"/>
              </w:rPr>
            </w:pPr>
            <w:r w:rsidRPr="00CC0ACC">
              <w:rPr>
                <w:rFonts w:ascii="Calibri" w:eastAsia="Calibri" w:hAnsi="Calibri" w:cs="Calibri"/>
                <w:b w:val="0"/>
                <w:sz w:val="18"/>
                <w:szCs w:val="18"/>
              </w:rPr>
              <w:t>Reconcile bottom-up, process-based accounting of N</w:t>
            </w:r>
            <w:r w:rsidRPr="00CC0ACC">
              <w:rPr>
                <w:rFonts w:ascii="Calibri" w:eastAsia="Calibri" w:hAnsi="Calibri" w:cs="Calibri"/>
                <w:b w:val="0"/>
                <w:sz w:val="18"/>
                <w:szCs w:val="18"/>
                <w:vertAlign w:val="subscript"/>
              </w:rPr>
              <w:t>2</w:t>
            </w:r>
            <w:r w:rsidRPr="00CC0ACC">
              <w:rPr>
                <w:rFonts w:ascii="Calibri" w:eastAsia="Calibri" w:hAnsi="Calibri" w:cs="Calibri"/>
                <w:b w:val="0"/>
                <w:sz w:val="18"/>
                <w:szCs w:val="18"/>
              </w:rPr>
              <w:t>O fluxes with newer top-down methods (e.g., atmospheric inversions) that capture N cycling from the global and regional perspective (Butterbach-Bahl, 2013; Chen et al., 2016; DelGrosso et al., 2008; S. DelGrosso, personal communication, October 1, 2018; Nevison et al., 2018).</w:t>
            </w:r>
          </w:p>
        </w:tc>
        <w:tc>
          <w:tcPr>
            <w:tcW w:w="990" w:type="dxa"/>
            <w:vAlign w:val="center"/>
          </w:tcPr>
          <w:p w14:paraId="5DFECEF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1357B986"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2774F59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4CFE664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56A6125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bl>
    <w:p w14:paraId="443D1C16" w14:textId="77777777" w:rsidR="00DF55C8" w:rsidRPr="00DF55C8" w:rsidRDefault="00DF55C8" w:rsidP="00DF55C8">
      <w:pPr>
        <w:spacing w:after="0" w:line="240" w:lineRule="auto"/>
        <w:rPr>
          <w:rFonts w:ascii="Calibri" w:eastAsia="Calibri" w:hAnsi="Calibri" w:cs="Times New Roman"/>
        </w:rPr>
      </w:pPr>
    </w:p>
    <w:p w14:paraId="776B4D7B" w14:textId="77777777" w:rsidR="00DF55C8" w:rsidRPr="00DF55C8" w:rsidRDefault="00DF55C8" w:rsidP="00DF55C8">
      <w:pPr>
        <w:spacing w:after="0" w:line="240" w:lineRule="auto"/>
        <w:rPr>
          <w:rFonts w:ascii="Calibri" w:eastAsia="Calibri" w:hAnsi="Calibri" w:cs="Times New Roman"/>
          <w:i/>
        </w:rPr>
      </w:pPr>
      <w:r w:rsidRPr="00DF55C8">
        <w:rPr>
          <w:rFonts w:ascii="Calibri" w:eastAsia="Calibri" w:hAnsi="Calibri" w:cs="Times New Roman"/>
          <w:noProof/>
        </w:rPr>
        <mc:AlternateContent>
          <mc:Choice Requires="wps">
            <w:drawing>
              <wp:anchor distT="45720" distB="45720" distL="114300" distR="114300" simplePos="0" relativeHeight="251675648" behindDoc="0" locked="0" layoutInCell="1" allowOverlap="1" wp14:anchorId="47C63522" wp14:editId="19F14207">
                <wp:simplePos x="0" y="0"/>
                <wp:positionH relativeFrom="margin">
                  <wp:posOffset>0</wp:posOffset>
                </wp:positionH>
                <wp:positionV relativeFrom="paragraph">
                  <wp:posOffset>216535</wp:posOffset>
                </wp:positionV>
                <wp:extent cx="4686300" cy="942975"/>
                <wp:effectExtent l="0" t="0" r="19050"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42975"/>
                        </a:xfrm>
                        <a:prstGeom prst="rect">
                          <a:avLst/>
                        </a:prstGeom>
                        <a:solidFill>
                          <a:srgbClr val="FFFFFF"/>
                        </a:solidFill>
                        <a:ln w="9525">
                          <a:solidFill>
                            <a:srgbClr val="000000"/>
                          </a:solidFill>
                          <a:miter lim="800000"/>
                          <a:headEnd/>
                          <a:tailEnd/>
                        </a:ln>
                      </wps:spPr>
                      <wps:txbx>
                        <w:txbxContent>
                          <w:p w14:paraId="4210521B" w14:textId="77777777" w:rsidR="00876770" w:rsidRPr="00A45B79" w:rsidRDefault="00876770" w:rsidP="00DF55C8">
                            <w:r w:rsidRPr="00A45B79">
                              <w:t>Further research: Please indicate if there are other research issues you think should be considered</w:t>
                            </w:r>
                            <w:r>
                              <w:t>.</w:t>
                            </w:r>
                          </w:p>
                          <w:p w14:paraId="072AAE4D"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63522" id="_x0000_s1040" type="#_x0000_t202" style="position:absolute;margin-left:0;margin-top:17.05pt;width:369pt;height:74.2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">
                <v:textbox>
                  <w:txbxContent>
                    <w:p w14:paraId="4210521B" w14:textId="77777777" w:rsidR="00876770" w:rsidRPr="00A45B79" w:rsidRDefault="00876770" w:rsidP="00DF55C8">
                      <w:r w:rsidRPr="00A45B79">
                        <w:t>Further research: Please indicate if there are other research issues you think should be considered</w:t>
                      </w:r>
                      <w:r>
                        <w:t>.</w:t>
                      </w:r>
                    </w:p>
                    <w:p w14:paraId="072AAE4D" w14:textId="77777777" w:rsidR="00876770" w:rsidRDefault="00876770" w:rsidP="00DF55C8"/>
                  </w:txbxContent>
                </v:textbox>
                <w10:wrap type="square" anchorx="margin"/>
              </v:shape>
            </w:pict>
          </mc:Fallback>
        </mc:AlternateContent>
      </w:r>
    </w:p>
    <w:p w14:paraId="6A88718D" w14:textId="77777777" w:rsidR="00DF55C8" w:rsidRPr="00DF55C8" w:rsidRDefault="00DF55C8" w:rsidP="00DF55C8">
      <w:pPr>
        <w:spacing w:after="0" w:line="240" w:lineRule="auto"/>
        <w:ind w:left="720"/>
        <w:rPr>
          <w:rFonts w:ascii="Calibri" w:eastAsia="Calibri" w:hAnsi="Calibri" w:cs="Times New Roman"/>
        </w:rPr>
      </w:pPr>
    </w:p>
    <w:p w14:paraId="0F791075" w14:textId="77777777" w:rsidR="00DF55C8" w:rsidRPr="00DF55C8" w:rsidRDefault="00DF55C8" w:rsidP="00DF55C8">
      <w:pPr>
        <w:spacing w:after="0" w:line="240" w:lineRule="auto"/>
        <w:ind w:left="720"/>
        <w:rPr>
          <w:rFonts w:ascii="Calibri" w:eastAsia="Calibri" w:hAnsi="Calibri" w:cs="Times New Roman"/>
        </w:rPr>
      </w:pPr>
    </w:p>
    <w:p w14:paraId="32791100" w14:textId="77777777" w:rsidR="00DF55C8" w:rsidRPr="00DF55C8" w:rsidRDefault="00DF55C8" w:rsidP="00DF55C8">
      <w:pPr>
        <w:spacing w:after="0" w:line="240" w:lineRule="auto"/>
        <w:ind w:left="720"/>
        <w:rPr>
          <w:rFonts w:ascii="Calibri" w:eastAsia="Calibri" w:hAnsi="Calibri" w:cs="Times New Roman"/>
        </w:rPr>
      </w:pPr>
    </w:p>
    <w:p w14:paraId="698E0530" w14:textId="77777777" w:rsidR="00DF55C8" w:rsidRPr="00DF55C8" w:rsidRDefault="00DF55C8" w:rsidP="00DF55C8">
      <w:pPr>
        <w:spacing w:after="0" w:line="240" w:lineRule="auto"/>
        <w:ind w:left="720"/>
        <w:rPr>
          <w:rFonts w:ascii="Calibri" w:eastAsia="Calibri" w:hAnsi="Calibri" w:cs="Times New Roman"/>
        </w:rPr>
      </w:pPr>
    </w:p>
    <w:p w14:paraId="0869FAA0" w14:textId="77777777" w:rsidR="00DF55C8" w:rsidRPr="00DF55C8" w:rsidRDefault="00DF55C8" w:rsidP="00DF55C8">
      <w:pPr>
        <w:spacing w:after="0" w:line="240" w:lineRule="auto"/>
        <w:ind w:left="720"/>
        <w:rPr>
          <w:rFonts w:ascii="Calibri" w:eastAsia="Calibri" w:hAnsi="Calibri" w:cs="Times New Roman"/>
        </w:rPr>
      </w:pPr>
    </w:p>
    <w:p w14:paraId="64C08D16" w14:textId="77777777" w:rsidR="00DF55C8" w:rsidRPr="00DF55C8" w:rsidRDefault="00DF55C8" w:rsidP="00DF55C8">
      <w:pPr>
        <w:spacing w:after="0" w:line="240" w:lineRule="auto"/>
        <w:ind w:left="720"/>
        <w:rPr>
          <w:rFonts w:ascii="Calibri" w:eastAsia="Calibri" w:hAnsi="Calibri" w:cs="Times New Roman"/>
        </w:rPr>
      </w:pPr>
    </w:p>
    <w:p w14:paraId="49F17157" w14:textId="77777777" w:rsidR="00DF55C8" w:rsidRPr="00DF55C8" w:rsidRDefault="00DF55C8" w:rsidP="00DF55C8">
      <w:pPr>
        <w:spacing w:after="0" w:line="240" w:lineRule="auto"/>
        <w:rPr>
          <w:rFonts w:ascii="Calibri" w:eastAsia="Calibri" w:hAnsi="Calibri" w:cs="Times New Roman"/>
        </w:rPr>
      </w:pPr>
      <w:r w:rsidRPr="00DF55C8">
        <w:rPr>
          <w:rFonts w:ascii="Calibri" w:eastAsia="Calibri" w:hAnsi="Calibri" w:cs="Times New Roman"/>
          <w:noProof/>
        </w:rPr>
        <mc:AlternateContent>
          <mc:Choice Requires="wps">
            <w:drawing>
              <wp:anchor distT="45720" distB="45720" distL="114300" distR="114300" simplePos="0" relativeHeight="251676672" behindDoc="0" locked="0" layoutInCell="1" allowOverlap="1" wp14:anchorId="577ED6DD" wp14:editId="3805D1B3">
                <wp:simplePos x="0" y="0"/>
                <wp:positionH relativeFrom="margin">
                  <wp:posOffset>0</wp:posOffset>
                </wp:positionH>
                <wp:positionV relativeFrom="paragraph">
                  <wp:posOffset>216535</wp:posOffset>
                </wp:positionV>
                <wp:extent cx="4686300" cy="942975"/>
                <wp:effectExtent l="0" t="0" r="19050"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42975"/>
                        </a:xfrm>
                        <a:prstGeom prst="rect">
                          <a:avLst/>
                        </a:prstGeom>
                        <a:solidFill>
                          <a:srgbClr val="FFFFFF"/>
                        </a:solidFill>
                        <a:ln w="9525">
                          <a:solidFill>
                            <a:srgbClr val="000000"/>
                          </a:solidFill>
                          <a:miter lim="800000"/>
                          <a:headEnd/>
                          <a:tailEnd/>
                        </a:ln>
                      </wps:spPr>
                      <wps:txbx>
                        <w:txbxContent>
                          <w:p w14:paraId="03EC922F" w14:textId="77777777" w:rsidR="00876770" w:rsidRPr="00A45B79" w:rsidRDefault="00876770" w:rsidP="00DF55C8">
                            <w:pPr>
                              <w:spacing w:after="0" w:line="240" w:lineRule="auto"/>
                            </w:pPr>
                            <w:r w:rsidRPr="00A45B79">
                              <w:t xml:space="preserve">Limiting factors: Please indicate whether there are any other research areas that require attention in order for research </w:t>
                            </w:r>
                            <w:r>
                              <w:t xml:space="preserve">that </w:t>
                            </w:r>
                            <w:r w:rsidRPr="00A45B79">
                              <w:t>you</w:t>
                            </w:r>
                            <w:r>
                              <w:t xml:space="preserve"> ha</w:t>
                            </w:r>
                            <w:r w:rsidRPr="00A45B79">
                              <w:t>ve prioritized here to be effective. We seek to uncover critical linkages across research areas to ensure effective research programs.</w:t>
                            </w:r>
                          </w:p>
                          <w:p w14:paraId="25B0B632"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ED6DD" id="_x0000_s1041" type="#_x0000_t202" style="position:absolute;margin-left:0;margin-top:17.05pt;width:369pt;height:74.2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">
                <v:textbox>
                  <w:txbxContent>
                    <w:p w14:paraId="03EC922F" w14:textId="77777777" w:rsidR="00876770" w:rsidRPr="00A45B79" w:rsidRDefault="00876770" w:rsidP="00DF55C8">
                      <w:pPr>
                        <w:spacing w:after="0" w:line="240" w:lineRule="auto"/>
                      </w:pPr>
                      <w:r w:rsidRPr="00A45B79">
                        <w:t xml:space="preserve">Limiting factors: Please indicate whether there are any other research areas that require attention in order for research </w:t>
                      </w:r>
                      <w:r>
                        <w:t xml:space="preserve">that </w:t>
                      </w:r>
                      <w:r w:rsidRPr="00A45B79">
                        <w:t>you</w:t>
                      </w:r>
                      <w:r>
                        <w:t xml:space="preserve"> ha</w:t>
                      </w:r>
                      <w:r w:rsidRPr="00A45B79">
                        <w:t>ve prioritized here to be effective. We seek to uncover critical linkages across research areas to ensure effective research programs.</w:t>
                      </w:r>
                    </w:p>
                    <w:p w14:paraId="25B0B632" w14:textId="77777777" w:rsidR="00876770" w:rsidRDefault="00876770" w:rsidP="00DF55C8"/>
                  </w:txbxContent>
                </v:textbox>
                <w10:wrap type="square" anchorx="margin"/>
              </v:shape>
            </w:pict>
          </mc:Fallback>
        </mc:AlternateContent>
      </w:r>
    </w:p>
    <w:p w14:paraId="4E95E31B" w14:textId="77777777" w:rsidR="00DF55C8" w:rsidRPr="00DF55C8" w:rsidRDefault="00DF55C8" w:rsidP="00DF55C8">
      <w:pPr>
        <w:spacing w:after="0" w:line="240" w:lineRule="auto"/>
        <w:ind w:left="720"/>
        <w:rPr>
          <w:rFonts w:ascii="Calibri" w:eastAsia="Calibri" w:hAnsi="Calibri" w:cs="Times New Roman"/>
        </w:rPr>
      </w:pPr>
    </w:p>
    <w:p w14:paraId="67366E1B" w14:textId="77777777" w:rsidR="00DF55C8" w:rsidRPr="00DF55C8" w:rsidRDefault="00DF55C8" w:rsidP="00DF55C8">
      <w:pPr>
        <w:spacing w:after="0" w:line="240" w:lineRule="auto"/>
        <w:rPr>
          <w:rFonts w:ascii="Calibri" w:eastAsia="Calibri" w:hAnsi="Calibri" w:cs="Times New Roman"/>
        </w:rPr>
      </w:pPr>
    </w:p>
    <w:p w14:paraId="2E2ADFD8" w14:textId="77777777" w:rsidR="00DF55C8" w:rsidRPr="00DF55C8" w:rsidRDefault="00DF55C8" w:rsidP="00DF55C8">
      <w:pPr>
        <w:spacing w:after="0" w:line="240" w:lineRule="auto"/>
        <w:rPr>
          <w:rFonts w:ascii="Calibri" w:eastAsia="Calibri" w:hAnsi="Calibri" w:cs="Times New Roman"/>
        </w:rPr>
      </w:pPr>
    </w:p>
    <w:p w14:paraId="3DDA39BC" w14:textId="77777777" w:rsidR="00DF55C8" w:rsidRPr="00DF55C8" w:rsidRDefault="00DF55C8" w:rsidP="00DF55C8">
      <w:pPr>
        <w:spacing w:after="0" w:line="240" w:lineRule="auto"/>
        <w:rPr>
          <w:rFonts w:ascii="Calibri" w:eastAsia="Calibri" w:hAnsi="Calibri" w:cs="Times New Roman"/>
        </w:rPr>
      </w:pPr>
    </w:p>
    <w:p w14:paraId="77E5BA15" w14:textId="77777777" w:rsidR="00DF55C8" w:rsidRPr="00DF55C8" w:rsidRDefault="00DF55C8" w:rsidP="00DF55C8">
      <w:pPr>
        <w:spacing w:after="0" w:line="240" w:lineRule="auto"/>
        <w:rPr>
          <w:rFonts w:ascii="Calibri" w:eastAsia="Calibri" w:hAnsi="Calibri" w:cs="Times New Roman"/>
        </w:rPr>
      </w:pPr>
    </w:p>
    <w:p w14:paraId="4320C133" w14:textId="77777777" w:rsidR="00DF55C8" w:rsidRPr="00DF55C8" w:rsidRDefault="00DF55C8" w:rsidP="00DF55C8">
      <w:pPr>
        <w:spacing w:after="0" w:line="240" w:lineRule="auto"/>
        <w:rPr>
          <w:rFonts w:ascii="Calibri" w:eastAsia="Calibri" w:hAnsi="Calibri" w:cs="Times New Roman"/>
        </w:rPr>
      </w:pPr>
    </w:p>
    <w:p w14:paraId="5AA087E2" w14:textId="77777777" w:rsidR="00DF55C8" w:rsidRPr="00DF55C8" w:rsidRDefault="00DF55C8" w:rsidP="00DF55C8">
      <w:pPr>
        <w:spacing w:after="0" w:line="240" w:lineRule="auto"/>
        <w:rPr>
          <w:rFonts w:ascii="Calibri" w:eastAsia="Calibri" w:hAnsi="Calibri" w:cs="Times New Roman"/>
        </w:rPr>
      </w:pPr>
      <w:r w:rsidRPr="00DF55C8">
        <w:rPr>
          <w:rFonts w:ascii="Calibri" w:eastAsia="Calibri" w:hAnsi="Calibri" w:cs="Times New Roman"/>
          <w:noProof/>
        </w:rPr>
        <mc:AlternateContent>
          <mc:Choice Requires="wps">
            <w:drawing>
              <wp:anchor distT="45720" distB="45720" distL="114300" distR="114300" simplePos="0" relativeHeight="251662336" behindDoc="0" locked="0" layoutInCell="1" allowOverlap="1" wp14:anchorId="524A8BB4" wp14:editId="10DE63C4">
                <wp:simplePos x="0" y="0"/>
                <wp:positionH relativeFrom="margin">
                  <wp:posOffset>0</wp:posOffset>
                </wp:positionH>
                <wp:positionV relativeFrom="paragraph">
                  <wp:posOffset>217170</wp:posOffset>
                </wp:positionV>
                <wp:extent cx="4686300" cy="942975"/>
                <wp:effectExtent l="0" t="0" r="1905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42975"/>
                        </a:xfrm>
                        <a:prstGeom prst="rect">
                          <a:avLst/>
                        </a:prstGeom>
                        <a:solidFill>
                          <a:srgbClr val="FFFFFF"/>
                        </a:solidFill>
                        <a:ln w="9525">
                          <a:solidFill>
                            <a:srgbClr val="000000"/>
                          </a:solidFill>
                          <a:miter lim="800000"/>
                          <a:headEnd/>
                          <a:tailEnd/>
                        </a:ln>
                      </wps:spPr>
                      <wps:txbx>
                        <w:txbxContent>
                          <w:p w14:paraId="4A81C55E" w14:textId="77777777" w:rsidR="00876770" w:rsidRDefault="00876770" w:rsidP="00DF55C8">
                            <w:r>
                              <w:t xml:space="preserve">Please enter any comments, additional knowledge or justification that you have regarding this question and/or your rankings. </w:t>
                            </w:r>
                          </w:p>
                          <w:p w14:paraId="6F7D8CAC" w14:textId="77777777" w:rsidR="00876770" w:rsidRDefault="00876770" w:rsidP="00DF55C8"/>
                          <w:p w14:paraId="3E8AA768"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4A8BB4" id="_x0000_s1042" type="#_x0000_t202" style="position:absolute;margin-left:0;margin-top:17.1pt;width:369pt;height:74.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">
                <v:textbox>
                  <w:txbxContent>
                    <w:p w14:paraId="4A81C55E" w14:textId="77777777" w:rsidR="00876770" w:rsidRDefault="00876770" w:rsidP="00DF55C8">
                      <w:r>
                        <w:t xml:space="preserve">Please enter any comments, additional knowledge or justification that you have regarding this question and/or your rankings. </w:t>
                      </w:r>
                    </w:p>
                    <w:p w14:paraId="6F7D8CAC" w14:textId="77777777" w:rsidR="00876770" w:rsidRDefault="00876770" w:rsidP="00DF55C8"/>
                    <w:p w14:paraId="3E8AA768" w14:textId="77777777" w:rsidR="00876770" w:rsidRDefault="00876770" w:rsidP="00DF55C8"/>
                  </w:txbxContent>
                </v:textbox>
                <w10:wrap type="square" anchorx="margin"/>
              </v:shape>
            </w:pict>
          </mc:Fallback>
        </mc:AlternateContent>
      </w:r>
    </w:p>
    <w:p w14:paraId="5B89D872" w14:textId="77777777" w:rsidR="00DF55C8" w:rsidRPr="00DF55C8" w:rsidRDefault="00DF55C8" w:rsidP="00DF55C8">
      <w:pPr>
        <w:spacing w:after="0" w:line="240" w:lineRule="auto"/>
        <w:rPr>
          <w:rFonts w:ascii="Calibri" w:eastAsia="Calibri" w:hAnsi="Calibri" w:cs="Times New Roman"/>
        </w:rPr>
      </w:pPr>
    </w:p>
    <w:p w14:paraId="5241641B" w14:textId="77777777" w:rsidR="00DF55C8" w:rsidRPr="00DF55C8" w:rsidRDefault="00DF55C8" w:rsidP="00DF55C8">
      <w:pPr>
        <w:spacing w:after="0" w:line="240" w:lineRule="auto"/>
        <w:rPr>
          <w:rFonts w:ascii="Calibri" w:eastAsia="Calibri" w:hAnsi="Calibri" w:cs="Times New Roman"/>
        </w:rPr>
      </w:pPr>
    </w:p>
    <w:p w14:paraId="31AA3FB8" w14:textId="77777777" w:rsidR="00DF55C8" w:rsidRPr="00DF55C8" w:rsidRDefault="00DF55C8" w:rsidP="00DF55C8">
      <w:pPr>
        <w:spacing w:after="0" w:line="240" w:lineRule="auto"/>
        <w:rPr>
          <w:rFonts w:ascii="Calibri" w:eastAsia="Calibri" w:hAnsi="Calibri" w:cs="Times New Roman"/>
        </w:rPr>
      </w:pPr>
    </w:p>
    <w:p w14:paraId="6B5B3C80" w14:textId="77777777" w:rsidR="00DF55C8" w:rsidRPr="00DF55C8" w:rsidRDefault="00DF55C8" w:rsidP="00DF55C8">
      <w:pPr>
        <w:spacing w:after="0" w:line="240" w:lineRule="auto"/>
        <w:rPr>
          <w:rFonts w:ascii="Calibri" w:eastAsia="Calibri" w:hAnsi="Calibri" w:cs="Times New Roman"/>
        </w:rPr>
      </w:pPr>
    </w:p>
    <w:p w14:paraId="262CDF5B" w14:textId="77777777" w:rsidR="00DF55C8" w:rsidRPr="00DF55C8" w:rsidRDefault="00DF55C8" w:rsidP="00DF55C8">
      <w:pPr>
        <w:spacing w:after="0" w:line="240" w:lineRule="auto"/>
        <w:rPr>
          <w:rFonts w:ascii="Calibri" w:eastAsia="Calibri" w:hAnsi="Calibri" w:cs="Times New Roman"/>
        </w:rPr>
      </w:pPr>
    </w:p>
    <w:p w14:paraId="22816C6B" w14:textId="77777777" w:rsidR="00DF55C8" w:rsidRPr="00DF55C8" w:rsidRDefault="00DF55C8" w:rsidP="00DF55C8">
      <w:pPr>
        <w:spacing w:after="0" w:line="240" w:lineRule="auto"/>
        <w:rPr>
          <w:rFonts w:ascii="Calibri" w:eastAsia="Calibri" w:hAnsi="Calibri" w:cs="Times New Roman"/>
        </w:rPr>
      </w:pPr>
    </w:p>
    <w:p w14:paraId="5A290DDA" w14:textId="77777777" w:rsidR="00DF55C8" w:rsidRPr="00DF55C8" w:rsidRDefault="00DF55C8" w:rsidP="00DF55C8">
      <w:pPr>
        <w:spacing w:after="0" w:line="240" w:lineRule="auto"/>
        <w:rPr>
          <w:rFonts w:ascii="Calibri" w:eastAsia="Calibri" w:hAnsi="Calibri" w:cs="Times New Roman"/>
        </w:rPr>
      </w:pPr>
    </w:p>
    <w:p w14:paraId="74053AE2" w14:textId="77777777" w:rsidR="00DF55C8" w:rsidRPr="00DF55C8" w:rsidRDefault="00DF55C8" w:rsidP="00DF55C8">
      <w:pPr>
        <w:spacing w:after="0" w:line="240" w:lineRule="auto"/>
        <w:rPr>
          <w:rFonts w:ascii="Calibri" w:eastAsia="Calibri" w:hAnsi="Calibri" w:cs="Times New Roman"/>
        </w:rPr>
      </w:pPr>
      <w:r w:rsidRPr="00DF55C8">
        <w:rPr>
          <w:rFonts w:ascii="Calibri" w:eastAsia="Calibri" w:hAnsi="Calibri" w:cs="Times New Roman"/>
          <w:noProof/>
        </w:rPr>
        <mc:AlternateContent>
          <mc:Choice Requires="wps">
            <w:drawing>
              <wp:anchor distT="45720" distB="45720" distL="114300" distR="114300" simplePos="0" relativeHeight="251667456" behindDoc="0" locked="0" layoutInCell="1" allowOverlap="1" wp14:anchorId="3EA614D8" wp14:editId="047A769E">
                <wp:simplePos x="0" y="0"/>
                <wp:positionH relativeFrom="margin">
                  <wp:posOffset>0</wp:posOffset>
                </wp:positionH>
                <wp:positionV relativeFrom="paragraph">
                  <wp:posOffset>217170</wp:posOffset>
                </wp:positionV>
                <wp:extent cx="4686300" cy="1219200"/>
                <wp:effectExtent l="0" t="0" r="1905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219200"/>
                        </a:xfrm>
                        <a:prstGeom prst="rect">
                          <a:avLst/>
                        </a:prstGeom>
                        <a:solidFill>
                          <a:srgbClr val="FFFFFF"/>
                        </a:solidFill>
                        <a:ln w="9525">
                          <a:solidFill>
                            <a:srgbClr val="000000"/>
                          </a:solidFill>
                          <a:miter lim="800000"/>
                          <a:headEnd/>
                          <a:tailEnd/>
                        </a:ln>
                      </wps:spPr>
                      <wps:txbx>
                        <w:txbxContent>
                          <w:p w14:paraId="3F7407EA" w14:textId="77777777" w:rsidR="00876770" w:rsidRDefault="00876770" w:rsidP="00DF55C8">
                            <w:r>
                              <w:t>We are also interested in literature or other research that has informed your responses expressed here. Please share any recommended reading, including links if you have them.</w:t>
                            </w:r>
                          </w:p>
                          <w:p w14:paraId="61607997"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614D8" id="_x0000_s1043" type="#_x0000_t202" style="position:absolute;margin-left:0;margin-top:17.1pt;width:369pt;height:96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">
                <v:textbox>
                  <w:txbxContent>
                    <w:p w14:paraId="3F7407EA" w14:textId="77777777" w:rsidR="00876770" w:rsidRDefault="00876770" w:rsidP="00DF55C8">
                      <w:r>
                        <w:t>We are also interested in literature or other research that has informed your responses expressed here. Please share any recommended reading, including links if you have them.</w:t>
                      </w:r>
                    </w:p>
                    <w:p w14:paraId="61607997" w14:textId="77777777" w:rsidR="00876770" w:rsidRDefault="00876770" w:rsidP="00DF55C8"/>
                  </w:txbxContent>
                </v:textbox>
                <w10:wrap type="square" anchorx="margin"/>
              </v:shape>
            </w:pict>
          </mc:Fallback>
        </mc:AlternateContent>
      </w:r>
    </w:p>
    <w:p w14:paraId="07B0F660" w14:textId="77777777" w:rsidR="00DF55C8" w:rsidRPr="00DF55C8" w:rsidRDefault="00DF55C8" w:rsidP="00DF55C8">
      <w:pPr>
        <w:spacing w:after="0" w:line="240" w:lineRule="auto"/>
        <w:rPr>
          <w:rFonts w:ascii="Calibri" w:eastAsia="Calibri" w:hAnsi="Calibri" w:cs="Times New Roman"/>
        </w:rPr>
      </w:pPr>
    </w:p>
    <w:p w14:paraId="2AE88789" w14:textId="77777777" w:rsidR="00DF55C8" w:rsidRPr="00DF55C8" w:rsidRDefault="00DF55C8" w:rsidP="00DF55C8">
      <w:pPr>
        <w:spacing w:after="0" w:line="240" w:lineRule="auto"/>
        <w:rPr>
          <w:rFonts w:ascii="Calibri" w:eastAsia="Calibri" w:hAnsi="Calibri" w:cs="Times New Roman"/>
        </w:rPr>
      </w:pPr>
    </w:p>
    <w:p w14:paraId="35A45143" w14:textId="77777777" w:rsidR="00DF55C8" w:rsidRPr="00DF55C8" w:rsidRDefault="00DF55C8" w:rsidP="00DF55C8">
      <w:pPr>
        <w:spacing w:after="0" w:line="240" w:lineRule="auto"/>
        <w:rPr>
          <w:rFonts w:ascii="Calibri" w:eastAsia="Calibri" w:hAnsi="Calibri" w:cs="Times New Roman"/>
        </w:rPr>
      </w:pPr>
    </w:p>
    <w:p w14:paraId="7BCE3D8B" w14:textId="77777777" w:rsidR="00DF55C8" w:rsidRPr="00DF55C8" w:rsidRDefault="00DF55C8" w:rsidP="00DF55C8">
      <w:pPr>
        <w:spacing w:after="0" w:line="240" w:lineRule="auto"/>
        <w:rPr>
          <w:rFonts w:ascii="Calibri" w:eastAsia="Calibri" w:hAnsi="Calibri" w:cs="Times New Roman"/>
        </w:rPr>
      </w:pPr>
    </w:p>
    <w:p w14:paraId="321C0544" w14:textId="77777777" w:rsidR="00DF55C8" w:rsidRPr="00DF55C8" w:rsidRDefault="00DF55C8" w:rsidP="00DF55C8">
      <w:pPr>
        <w:spacing w:after="0" w:line="240" w:lineRule="auto"/>
        <w:rPr>
          <w:rFonts w:ascii="Calibri" w:eastAsia="Calibri" w:hAnsi="Calibri" w:cs="Times New Roman"/>
        </w:rPr>
      </w:pPr>
    </w:p>
    <w:p w14:paraId="7802E0A2" w14:textId="77777777" w:rsidR="00DF55C8" w:rsidRPr="00DF55C8" w:rsidRDefault="00DF55C8" w:rsidP="00DF55C8">
      <w:pPr>
        <w:spacing w:after="0" w:line="240" w:lineRule="auto"/>
        <w:rPr>
          <w:rFonts w:ascii="Calibri" w:eastAsia="Calibri" w:hAnsi="Calibri" w:cs="Times New Roman"/>
        </w:rPr>
      </w:pPr>
    </w:p>
    <w:p w14:paraId="2170AC60" w14:textId="77777777" w:rsidR="00DF55C8" w:rsidRPr="00DF55C8" w:rsidRDefault="00DF55C8" w:rsidP="00DF55C8">
      <w:pPr>
        <w:spacing w:after="0" w:line="240" w:lineRule="auto"/>
        <w:rPr>
          <w:rFonts w:ascii="Calibri" w:eastAsia="Calibri" w:hAnsi="Calibri" w:cs="Times New Roman"/>
        </w:rPr>
      </w:pPr>
    </w:p>
    <w:p w14:paraId="7A91ACB9" w14:textId="77777777" w:rsidR="00DF55C8" w:rsidRPr="00DF55C8" w:rsidRDefault="00DF55C8" w:rsidP="00DF55C8">
      <w:pPr>
        <w:spacing w:after="0" w:line="240" w:lineRule="auto"/>
        <w:rPr>
          <w:rFonts w:ascii="Calibri" w:eastAsia="Calibri" w:hAnsi="Calibri" w:cs="Times New Roman"/>
        </w:rPr>
      </w:pPr>
    </w:p>
    <w:p w14:paraId="419C2AD8" w14:textId="77777777" w:rsidR="00DF55C8" w:rsidRPr="00DF55C8" w:rsidRDefault="00DF55C8" w:rsidP="00DF55C8">
      <w:pPr>
        <w:rPr>
          <w:rFonts w:ascii="Calibri" w:eastAsia="Calibri" w:hAnsi="Calibri" w:cs="Times New Roman"/>
        </w:rPr>
      </w:pPr>
    </w:p>
    <w:p w14:paraId="1F248134" w14:textId="77777777" w:rsidR="00DF55C8" w:rsidRDefault="00DF55C8" w:rsidP="00DF55C8">
      <w:pPr>
        <w:rPr>
          <w:rFonts w:ascii="Calibri" w:eastAsia="Calibri" w:hAnsi="Calibri" w:cs="Times New Roman"/>
          <w:i/>
        </w:rPr>
      </w:pPr>
    </w:p>
    <w:p w14:paraId="32AAB67C" w14:textId="77777777" w:rsidR="003660E2" w:rsidRDefault="003660E2" w:rsidP="00DF55C8">
      <w:pPr>
        <w:rPr>
          <w:rFonts w:ascii="Calibri" w:eastAsia="Calibri" w:hAnsi="Calibri" w:cs="Times New Roman"/>
          <w:i/>
        </w:rPr>
      </w:pPr>
    </w:p>
    <w:p w14:paraId="5A277761" w14:textId="77777777" w:rsidR="003660E2" w:rsidRPr="00DF55C8" w:rsidRDefault="003660E2" w:rsidP="00DF55C8">
      <w:pPr>
        <w:rPr>
          <w:rFonts w:ascii="Calibri" w:eastAsia="Calibri" w:hAnsi="Calibri" w:cs="Times New Roman"/>
          <w:i/>
        </w:rPr>
      </w:pPr>
    </w:p>
    <w:p w14:paraId="567D6E79"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lastRenderedPageBreak/>
        <w:t>Section 2, Prompt 3 – Empirical data needs</w:t>
      </w:r>
    </w:p>
    <w:p w14:paraId="2503F5D8" w14:textId="77777777" w:rsidR="00DF55C8" w:rsidRPr="00DF55C8" w:rsidRDefault="00DF55C8" w:rsidP="00DF55C8">
      <w:pPr>
        <w:rPr>
          <w:rFonts w:ascii="Calibri" w:eastAsia="Calibri" w:hAnsi="Calibri" w:cs="Times New Roman"/>
          <w:b/>
          <w:u w:val="single"/>
        </w:rPr>
      </w:pPr>
      <w:r w:rsidRPr="00DF55C8">
        <w:rPr>
          <w:rFonts w:ascii="Calibri" w:eastAsia="Calibri" w:hAnsi="Calibri" w:cs="Times New Roman"/>
          <w:b/>
          <w:u w:val="single"/>
        </w:rPr>
        <w:t>Directions</w:t>
      </w:r>
    </w:p>
    <w:p w14:paraId="23FB29CD"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Empirical data needs: How important is each of the following data needs for reducing uncertainty and increasing accuracy in national soil GHG emissions estimates?</w:t>
      </w:r>
    </w:p>
    <w:p w14:paraId="757F5823"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For each of the following elements, please rank in accordance to importance:</w:t>
      </w:r>
    </w:p>
    <w:p w14:paraId="31653F89" w14:textId="77777777" w:rsidR="00DF55C8" w:rsidRPr="00DF55C8" w:rsidRDefault="00DF55C8" w:rsidP="00DF55C8">
      <w:pPr>
        <w:spacing w:line="240" w:lineRule="auto"/>
        <w:rPr>
          <w:rFonts w:ascii="Calibri" w:eastAsia="Calibri" w:hAnsi="Calibri" w:cs="Times New Roman"/>
          <w:b/>
        </w:rPr>
      </w:pPr>
      <w:r w:rsidRPr="00DF55C8">
        <w:rPr>
          <w:rFonts w:ascii="Calibri" w:eastAsia="Calibri" w:hAnsi="Calibri" w:cs="Times New Roman"/>
          <w:b/>
        </w:rPr>
        <w:t>New technologies and sources of information</w:t>
      </w:r>
    </w:p>
    <w:tbl>
      <w:tblPr>
        <w:tblStyle w:val="GridTable4-Accent61"/>
        <w:tblW w:w="9355" w:type="dxa"/>
        <w:tblLook w:val="06A0" w:firstRow="1" w:lastRow="0" w:firstColumn="1" w:lastColumn="0" w:noHBand="1" w:noVBand="1"/>
      </w:tblPr>
      <w:tblGrid>
        <w:gridCol w:w="4405"/>
        <w:gridCol w:w="990"/>
        <w:gridCol w:w="990"/>
        <w:gridCol w:w="990"/>
        <w:gridCol w:w="990"/>
        <w:gridCol w:w="990"/>
      </w:tblGrid>
      <w:tr w:rsidR="00DF55C8" w:rsidRPr="00DF55C8" w14:paraId="5B771C3E" w14:textId="77777777" w:rsidTr="00DF5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14433853" w14:textId="77777777" w:rsidR="00DF55C8" w:rsidRPr="00DF55C8" w:rsidRDefault="00DF55C8" w:rsidP="00DF55C8">
            <w:pPr>
              <w:rPr>
                <w:rFonts w:ascii="Calibri" w:eastAsia="Calibri" w:hAnsi="Calibri" w:cs="Calibri"/>
                <w:sz w:val="18"/>
                <w:szCs w:val="18"/>
              </w:rPr>
            </w:pPr>
          </w:p>
        </w:tc>
        <w:tc>
          <w:tcPr>
            <w:tcW w:w="990" w:type="dxa"/>
          </w:tcPr>
          <w:p w14:paraId="71D47B8D"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Not important</w:t>
            </w:r>
          </w:p>
        </w:tc>
        <w:tc>
          <w:tcPr>
            <w:tcW w:w="990" w:type="dxa"/>
          </w:tcPr>
          <w:p w14:paraId="7F94C149"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Slightly important</w:t>
            </w:r>
          </w:p>
        </w:tc>
        <w:tc>
          <w:tcPr>
            <w:tcW w:w="990" w:type="dxa"/>
          </w:tcPr>
          <w:p w14:paraId="08C81179"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Important</w:t>
            </w:r>
          </w:p>
        </w:tc>
        <w:tc>
          <w:tcPr>
            <w:tcW w:w="990" w:type="dxa"/>
          </w:tcPr>
          <w:p w14:paraId="7E52FD7C"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Very important</w:t>
            </w:r>
          </w:p>
        </w:tc>
        <w:tc>
          <w:tcPr>
            <w:tcW w:w="990" w:type="dxa"/>
          </w:tcPr>
          <w:p w14:paraId="50D37688"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Extremely important</w:t>
            </w:r>
          </w:p>
        </w:tc>
      </w:tr>
      <w:tr w:rsidR="00DF55C8" w:rsidRPr="00DF55C8" w14:paraId="7ABBFF55"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03835264"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Utilize RNA technology to analyze microbial diversity, adding breadth to traditional DNA analyses of microbial activity (Baldrian et al., 2012; Brevik et al., 2015).</w:t>
            </w:r>
          </w:p>
        </w:tc>
        <w:tc>
          <w:tcPr>
            <w:tcW w:w="990" w:type="dxa"/>
            <w:vAlign w:val="center"/>
          </w:tcPr>
          <w:p w14:paraId="5FFC6DF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F55C8">
              <w:rPr>
                <w:rFonts w:ascii="Calibri" w:eastAsia="MS Gothic" w:hAnsi="Calibri" w:cs="Calibri"/>
                <w:b/>
              </w:rPr>
              <w:t>○</w:t>
            </w:r>
          </w:p>
        </w:tc>
        <w:tc>
          <w:tcPr>
            <w:tcW w:w="990" w:type="dxa"/>
            <w:vAlign w:val="center"/>
          </w:tcPr>
          <w:p w14:paraId="721379F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7039EAE3"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78F50CA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6BF3958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71E8B0FD"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193F4F00"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Incorporate new information sources, like recently developed soil DNA databases (Paustian et al., 2016; Stockmann et al., 2013).</w:t>
            </w:r>
          </w:p>
        </w:tc>
        <w:tc>
          <w:tcPr>
            <w:tcW w:w="990" w:type="dxa"/>
            <w:vAlign w:val="center"/>
          </w:tcPr>
          <w:p w14:paraId="2CC674D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47E0F2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03187FA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5DE6B2E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766A952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03D5728C"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06DAC031" w14:textId="77777777" w:rsidR="00DF55C8" w:rsidRPr="00CC0ACC" w:rsidRDefault="00DF55C8" w:rsidP="00DF55C8">
            <w:pPr>
              <w:rPr>
                <w:rFonts w:ascii="Tahoma" w:eastAsia="Calibri" w:hAnsi="Tahoma" w:cs="Tahoma"/>
                <w:b w:val="0"/>
                <w:color w:val="706F65"/>
                <w:sz w:val="18"/>
                <w:szCs w:val="18"/>
                <w:shd w:val="clear" w:color="auto" w:fill="FCFAF4"/>
              </w:rPr>
            </w:pPr>
            <w:r w:rsidRPr="00CC0ACC">
              <w:rPr>
                <w:rFonts w:ascii="Calibri" w:eastAsia="Calibri" w:hAnsi="Calibri" w:cs="Calibri"/>
                <w:b w:val="0"/>
                <w:sz w:val="18"/>
                <w:szCs w:val="18"/>
              </w:rPr>
              <w:t>Incorporate spatial data to better understand soil structure and its influence on soil biota, including microbial access to soil organic carbon (Schmidt et al., 2011; Stockmann et al., 2013).</w:t>
            </w:r>
          </w:p>
        </w:tc>
        <w:tc>
          <w:tcPr>
            <w:tcW w:w="990" w:type="dxa"/>
            <w:vAlign w:val="center"/>
          </w:tcPr>
          <w:p w14:paraId="110BC908"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0C2BF85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0DE329E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5ECB45E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37459798"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3D753267"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2E980D8C"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Utilize top-down methodology, like atmospheric observations of trace-gas concentrations from satellite based measurements in combination with inverse modelling to estimate fluxes between the atmosphere and land surfaces, to verify against models based on observed management activities (Ogle et al., 2015; Schmidt et al., 2011).</w:t>
            </w:r>
          </w:p>
        </w:tc>
        <w:tc>
          <w:tcPr>
            <w:tcW w:w="990" w:type="dxa"/>
            <w:vAlign w:val="center"/>
          </w:tcPr>
          <w:p w14:paraId="1A4C7F8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03C5962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4E1DC81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6791A1C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58F80218"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1A93A637"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541B7188"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Generate high-quality data from new technologies, like soil measurements taken from sensors, to feed into models (Schmidt et al., 2011).</w:t>
            </w:r>
          </w:p>
        </w:tc>
        <w:tc>
          <w:tcPr>
            <w:tcW w:w="990" w:type="dxa"/>
            <w:vAlign w:val="center"/>
          </w:tcPr>
          <w:p w14:paraId="3BDF5FA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0364423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384CD73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76E99C1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7B161E4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56247A3E"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2D5C5689" w14:textId="77777777" w:rsidR="00DF55C8" w:rsidRPr="00CC0ACC" w:rsidRDefault="00DF55C8" w:rsidP="00DF55C8">
            <w:pPr>
              <w:rPr>
                <w:rFonts w:ascii="Tahoma" w:eastAsia="Calibri" w:hAnsi="Tahoma" w:cs="Tahoma"/>
                <w:b w:val="0"/>
                <w:color w:val="706F65"/>
                <w:sz w:val="18"/>
                <w:szCs w:val="18"/>
                <w:shd w:val="clear" w:color="auto" w:fill="FCFAF4"/>
              </w:rPr>
            </w:pPr>
            <w:r w:rsidRPr="00CC0ACC">
              <w:rPr>
                <w:rFonts w:ascii="Calibri" w:eastAsia="Calibri" w:hAnsi="Calibri" w:cs="Calibri"/>
                <w:b w:val="0"/>
                <w:sz w:val="18"/>
                <w:szCs w:val="18"/>
              </w:rPr>
              <w:t>Expand use of novel tools like isotopes, inhibitors and molecular techniques which can help to better characterize and quantify N</w:t>
            </w:r>
            <w:r w:rsidRPr="00CC0ACC">
              <w:rPr>
                <w:rFonts w:ascii="Calibri" w:eastAsia="Calibri" w:hAnsi="Calibri" w:cs="Calibri"/>
                <w:b w:val="0"/>
                <w:sz w:val="18"/>
                <w:szCs w:val="18"/>
                <w:vertAlign w:val="subscript"/>
              </w:rPr>
              <w:t>2</w:t>
            </w:r>
            <w:r w:rsidRPr="00CC0ACC">
              <w:rPr>
                <w:rFonts w:ascii="Calibri" w:eastAsia="Calibri" w:hAnsi="Calibri" w:cs="Calibri"/>
                <w:b w:val="0"/>
                <w:sz w:val="18"/>
                <w:szCs w:val="18"/>
              </w:rPr>
              <w:t>O soil processes (Butterbach-Bahl, 2013; Cayuela et al., 2014).</w:t>
            </w:r>
          </w:p>
        </w:tc>
        <w:tc>
          <w:tcPr>
            <w:tcW w:w="990" w:type="dxa"/>
            <w:vAlign w:val="center"/>
          </w:tcPr>
          <w:p w14:paraId="4A709558"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5C1E270F"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0BCD5F5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60CF4DDE"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0BEB1F8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bl>
    <w:p w14:paraId="550ADEBD" w14:textId="77777777" w:rsidR="00DF55C8" w:rsidRPr="00DF55C8" w:rsidRDefault="00DF55C8" w:rsidP="00CC0ACC">
      <w:pPr>
        <w:spacing w:line="240" w:lineRule="auto"/>
        <w:rPr>
          <w:rFonts w:ascii="Calibri" w:eastAsia="Calibri" w:hAnsi="Calibri" w:cs="Times New Roman"/>
        </w:rPr>
      </w:pPr>
    </w:p>
    <w:p w14:paraId="1D0FCB3C" w14:textId="77777777" w:rsidR="00DF55C8" w:rsidRPr="00DF55C8" w:rsidRDefault="00DF55C8" w:rsidP="00DF55C8">
      <w:pPr>
        <w:spacing w:line="240" w:lineRule="auto"/>
        <w:rPr>
          <w:rFonts w:ascii="Calibri" w:eastAsia="Calibri" w:hAnsi="Calibri" w:cs="Times New Roman"/>
          <w:b/>
        </w:rPr>
      </w:pPr>
      <w:r w:rsidRPr="00DF55C8">
        <w:rPr>
          <w:rFonts w:ascii="Calibri" w:eastAsia="Calibri" w:hAnsi="Calibri" w:cs="Times New Roman"/>
          <w:b/>
        </w:rPr>
        <w:t>Collaborative research and monitoring networks</w:t>
      </w:r>
    </w:p>
    <w:tbl>
      <w:tblPr>
        <w:tblStyle w:val="GridTable4-Accent61"/>
        <w:tblW w:w="9355" w:type="dxa"/>
        <w:tblLook w:val="06A0" w:firstRow="1" w:lastRow="0" w:firstColumn="1" w:lastColumn="0" w:noHBand="1" w:noVBand="1"/>
      </w:tblPr>
      <w:tblGrid>
        <w:gridCol w:w="4405"/>
        <w:gridCol w:w="990"/>
        <w:gridCol w:w="990"/>
        <w:gridCol w:w="990"/>
        <w:gridCol w:w="990"/>
        <w:gridCol w:w="990"/>
      </w:tblGrid>
      <w:tr w:rsidR="00DF55C8" w:rsidRPr="00DF55C8" w14:paraId="61C59A9D" w14:textId="77777777" w:rsidTr="00DF5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5" w:type="dxa"/>
          </w:tcPr>
          <w:p w14:paraId="01F476B8" w14:textId="77777777" w:rsidR="00DF55C8" w:rsidRPr="00DF55C8" w:rsidRDefault="00DF55C8" w:rsidP="00DF55C8">
            <w:pPr>
              <w:rPr>
                <w:rFonts w:ascii="Calibri" w:eastAsia="Calibri" w:hAnsi="Calibri" w:cs="Calibri"/>
                <w:sz w:val="18"/>
                <w:szCs w:val="18"/>
              </w:rPr>
            </w:pPr>
          </w:p>
        </w:tc>
        <w:tc>
          <w:tcPr>
            <w:tcW w:w="990" w:type="dxa"/>
          </w:tcPr>
          <w:p w14:paraId="1A7B33FB"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Not important</w:t>
            </w:r>
          </w:p>
        </w:tc>
        <w:tc>
          <w:tcPr>
            <w:tcW w:w="990" w:type="dxa"/>
          </w:tcPr>
          <w:p w14:paraId="0385F470"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Slightly important</w:t>
            </w:r>
          </w:p>
        </w:tc>
        <w:tc>
          <w:tcPr>
            <w:tcW w:w="990" w:type="dxa"/>
          </w:tcPr>
          <w:p w14:paraId="44FF2569"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Important</w:t>
            </w:r>
          </w:p>
        </w:tc>
        <w:tc>
          <w:tcPr>
            <w:tcW w:w="990" w:type="dxa"/>
          </w:tcPr>
          <w:p w14:paraId="0B4AF3E1"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Very important</w:t>
            </w:r>
          </w:p>
        </w:tc>
        <w:tc>
          <w:tcPr>
            <w:tcW w:w="990" w:type="dxa"/>
          </w:tcPr>
          <w:p w14:paraId="557AC432" w14:textId="77777777" w:rsidR="00DF55C8" w:rsidRPr="00DF55C8" w:rsidRDefault="00DF55C8" w:rsidP="00DF55C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DF55C8">
              <w:rPr>
                <w:rFonts w:ascii="Calibri" w:eastAsia="Calibri" w:hAnsi="Calibri" w:cs="Calibri"/>
                <w:sz w:val="18"/>
                <w:szCs w:val="18"/>
              </w:rPr>
              <w:t>Extremely important</w:t>
            </w:r>
          </w:p>
        </w:tc>
      </w:tr>
      <w:tr w:rsidR="00DF55C8" w:rsidRPr="00DF55C8" w14:paraId="2F1600B2"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74C95AD0"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Engage land-use stakeholders, tapping into their empirical knowledge of land management strategies, which can be combined with soil/climate maps, remote sensing and process-based models to calculate emissions (Paustian et al., 2016).</w:t>
            </w:r>
          </w:p>
        </w:tc>
        <w:tc>
          <w:tcPr>
            <w:tcW w:w="990" w:type="dxa"/>
            <w:vAlign w:val="center"/>
          </w:tcPr>
          <w:p w14:paraId="6BADDF56"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F55C8">
              <w:rPr>
                <w:rFonts w:ascii="Calibri" w:eastAsia="MS Gothic" w:hAnsi="Calibri" w:cs="Calibri"/>
                <w:b/>
              </w:rPr>
              <w:t>○</w:t>
            </w:r>
          </w:p>
        </w:tc>
        <w:tc>
          <w:tcPr>
            <w:tcW w:w="990" w:type="dxa"/>
            <w:vAlign w:val="center"/>
          </w:tcPr>
          <w:p w14:paraId="085DD72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13140F8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03A5249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71784C5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29E9B2DA"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7A258AFF"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Build research site networks of N</w:t>
            </w:r>
            <w:r w:rsidRPr="00CC0ACC">
              <w:rPr>
                <w:rFonts w:ascii="Calibri" w:eastAsia="Calibri" w:hAnsi="Calibri" w:cs="Calibri"/>
                <w:b w:val="0"/>
                <w:sz w:val="18"/>
                <w:szCs w:val="18"/>
                <w:vertAlign w:val="subscript"/>
              </w:rPr>
              <w:t>2</w:t>
            </w:r>
            <w:r w:rsidRPr="00CC0ACC">
              <w:rPr>
                <w:rFonts w:ascii="Calibri" w:eastAsia="Calibri" w:hAnsi="Calibri" w:cs="Calibri"/>
                <w:b w:val="0"/>
                <w:sz w:val="18"/>
                <w:szCs w:val="18"/>
              </w:rPr>
              <w:t>O and CH</w:t>
            </w:r>
            <w:r w:rsidRPr="00CC0ACC">
              <w:rPr>
                <w:rFonts w:ascii="Calibri" w:eastAsia="Calibri" w:hAnsi="Calibri" w:cs="Calibri"/>
                <w:b w:val="0"/>
                <w:sz w:val="18"/>
                <w:szCs w:val="18"/>
                <w:vertAlign w:val="subscript"/>
              </w:rPr>
              <w:t>4</w:t>
            </w:r>
            <w:r w:rsidRPr="00CC0ACC">
              <w:rPr>
                <w:rFonts w:ascii="Calibri" w:eastAsia="Calibri" w:hAnsi="Calibri" w:cs="Calibri"/>
                <w:b w:val="0"/>
                <w:sz w:val="18"/>
                <w:szCs w:val="18"/>
              </w:rPr>
              <w:t xml:space="preserve"> soil fluxes and soil C measurements resulting from a diverse range of management activities (Schmidt et al., 2011).</w:t>
            </w:r>
          </w:p>
        </w:tc>
        <w:tc>
          <w:tcPr>
            <w:tcW w:w="990" w:type="dxa"/>
            <w:vAlign w:val="center"/>
          </w:tcPr>
          <w:p w14:paraId="0D524CC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295836C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3839300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04F452F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c>
          <w:tcPr>
            <w:tcW w:w="990" w:type="dxa"/>
            <w:vAlign w:val="center"/>
          </w:tcPr>
          <w:p w14:paraId="2C1E8539"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F55C8">
              <w:rPr>
                <w:rFonts w:ascii="Calibri" w:eastAsia="MS Gothic" w:hAnsi="Calibri" w:cs="Calibri"/>
                <w:b/>
              </w:rPr>
              <w:t>○</w:t>
            </w:r>
          </w:p>
        </w:tc>
      </w:tr>
      <w:tr w:rsidR="00DF55C8" w:rsidRPr="00DF55C8" w14:paraId="7B345E8C"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057F1231"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Establish a national soil monitoring network to produce for a full and consistent dataset of soil carbon measurements over time (Schmidt et al., 2011; Spencer et al., 2011).</w:t>
            </w:r>
          </w:p>
        </w:tc>
        <w:tc>
          <w:tcPr>
            <w:tcW w:w="990" w:type="dxa"/>
            <w:vAlign w:val="center"/>
          </w:tcPr>
          <w:p w14:paraId="76E98FBB"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793BE008"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090E90B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0ED26F0F"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39FB5D3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0351E19B"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231C10F4"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Integrate databases and computational tools for advanced molecular SOM research (Schmidt et al., 2011).</w:t>
            </w:r>
          </w:p>
        </w:tc>
        <w:tc>
          <w:tcPr>
            <w:tcW w:w="990" w:type="dxa"/>
            <w:vAlign w:val="center"/>
          </w:tcPr>
          <w:p w14:paraId="06C3304B"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092063F3"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3AA7055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3483DC6D"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41AC1FEF"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3BA77F62"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77489940" w14:textId="77777777" w:rsidR="00DF55C8" w:rsidRPr="00CC0ACC" w:rsidRDefault="00DF55C8" w:rsidP="00DF55C8">
            <w:pPr>
              <w:rPr>
                <w:rFonts w:ascii="Tahoma" w:eastAsia="Calibri" w:hAnsi="Tahoma" w:cs="Tahoma"/>
                <w:b w:val="0"/>
                <w:color w:val="706F65"/>
                <w:sz w:val="18"/>
                <w:szCs w:val="18"/>
                <w:shd w:val="clear" w:color="auto" w:fill="FCFAF4"/>
              </w:rPr>
            </w:pPr>
            <w:r w:rsidRPr="00CC0ACC">
              <w:rPr>
                <w:rFonts w:ascii="Calibri" w:eastAsia="Calibri" w:hAnsi="Calibri" w:cs="Calibri"/>
                <w:b w:val="0"/>
                <w:sz w:val="18"/>
                <w:szCs w:val="18"/>
              </w:rPr>
              <w:lastRenderedPageBreak/>
              <w:t>Obtain additional experimental data on above-ground N uptake or direct measurements of N</w:t>
            </w:r>
            <w:r w:rsidRPr="00CC0ACC">
              <w:rPr>
                <w:rFonts w:ascii="Calibri" w:eastAsia="Calibri" w:hAnsi="Calibri" w:cs="Calibri"/>
                <w:b w:val="0"/>
                <w:sz w:val="18"/>
                <w:szCs w:val="18"/>
                <w:vertAlign w:val="subscript"/>
              </w:rPr>
              <w:t>2</w:t>
            </w:r>
            <w:r w:rsidRPr="00CC0ACC">
              <w:rPr>
                <w:rFonts w:ascii="Calibri" w:eastAsia="Calibri" w:hAnsi="Calibri" w:cs="Calibri"/>
                <w:b w:val="0"/>
                <w:sz w:val="18"/>
                <w:szCs w:val="18"/>
              </w:rPr>
              <w:t>O for cross-site optimization/better validation of large scale model estimates of soil N</w:t>
            </w:r>
            <w:r w:rsidRPr="00CC0ACC">
              <w:rPr>
                <w:rFonts w:ascii="Calibri" w:eastAsia="Calibri" w:hAnsi="Calibri" w:cs="Calibri"/>
                <w:b w:val="0"/>
                <w:sz w:val="18"/>
                <w:szCs w:val="18"/>
                <w:vertAlign w:val="subscript"/>
              </w:rPr>
              <w:t>2</w:t>
            </w:r>
            <w:r w:rsidRPr="00CC0ACC">
              <w:rPr>
                <w:rFonts w:ascii="Calibri" w:eastAsia="Calibri" w:hAnsi="Calibri" w:cs="Calibri"/>
                <w:b w:val="0"/>
                <w:sz w:val="18"/>
                <w:szCs w:val="18"/>
              </w:rPr>
              <w:t>O fluxes (S. DelGrosso, personal communication, October 1, 2018; Ehrhardt et al., 2018; Reay et al., 2012; Van Groenigen et al., 2010).</w:t>
            </w:r>
          </w:p>
        </w:tc>
        <w:tc>
          <w:tcPr>
            <w:tcW w:w="990" w:type="dxa"/>
            <w:vAlign w:val="center"/>
          </w:tcPr>
          <w:p w14:paraId="372C10F5"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3093565B"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1F64A24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72B125C6"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1103036F"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5BEEE227"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23CEA613"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Obtain additional measurements of N</w:t>
            </w:r>
            <w:r w:rsidRPr="00CC0ACC">
              <w:rPr>
                <w:rFonts w:ascii="Calibri" w:eastAsia="Calibri" w:hAnsi="Calibri" w:cs="Calibri"/>
                <w:b w:val="0"/>
                <w:sz w:val="18"/>
                <w:szCs w:val="18"/>
                <w:vertAlign w:val="subscript"/>
              </w:rPr>
              <w:t>2</w:t>
            </w:r>
            <w:r w:rsidRPr="00CC0ACC">
              <w:rPr>
                <w:rFonts w:ascii="Calibri" w:eastAsia="Calibri" w:hAnsi="Calibri" w:cs="Calibri"/>
                <w:b w:val="0"/>
                <w:sz w:val="18"/>
                <w:szCs w:val="18"/>
              </w:rPr>
              <w:t xml:space="preserve"> production and losses from denitrification to clarify optimal N</w:t>
            </w:r>
            <w:r w:rsidRPr="00CC0ACC">
              <w:rPr>
                <w:rFonts w:ascii="Calibri" w:eastAsia="Calibri" w:hAnsi="Calibri" w:cs="Calibri"/>
                <w:b w:val="0"/>
                <w:sz w:val="18"/>
                <w:szCs w:val="18"/>
                <w:vertAlign w:val="subscript"/>
              </w:rPr>
              <w:t>2</w:t>
            </w:r>
            <w:r w:rsidRPr="00CC0ACC">
              <w:rPr>
                <w:rFonts w:ascii="Calibri" w:eastAsia="Calibri" w:hAnsi="Calibri" w:cs="Calibri"/>
                <w:b w:val="0"/>
                <w:sz w:val="18"/>
                <w:szCs w:val="18"/>
              </w:rPr>
              <w:t>/ N</w:t>
            </w:r>
            <w:r w:rsidRPr="00CC0ACC">
              <w:rPr>
                <w:rFonts w:ascii="Calibri" w:eastAsia="Calibri" w:hAnsi="Calibri" w:cs="Calibri"/>
                <w:b w:val="0"/>
                <w:sz w:val="18"/>
                <w:szCs w:val="18"/>
                <w:vertAlign w:val="subscript"/>
              </w:rPr>
              <w:t>2</w:t>
            </w:r>
            <w:r w:rsidRPr="00CC0ACC">
              <w:rPr>
                <w:rFonts w:ascii="Calibri" w:eastAsia="Calibri" w:hAnsi="Calibri" w:cs="Calibri"/>
                <w:b w:val="0"/>
                <w:sz w:val="18"/>
                <w:szCs w:val="18"/>
              </w:rPr>
              <w:t>O ratios for both modeling purposes and proper fertilizer management (Bakken &amp; Frostegård, 2017; S. DelGrosso, personal communication, October 1, 2018; Well et al., 2018).</w:t>
            </w:r>
          </w:p>
        </w:tc>
        <w:tc>
          <w:tcPr>
            <w:tcW w:w="990" w:type="dxa"/>
            <w:vAlign w:val="center"/>
          </w:tcPr>
          <w:p w14:paraId="49C5E7B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485735E4"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54BB409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2EA90B9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262E5E93"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1EBA394C"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7666C735" w14:textId="77777777" w:rsidR="00DF55C8" w:rsidRPr="00CC0ACC" w:rsidRDefault="00DF55C8" w:rsidP="00DF55C8">
            <w:pPr>
              <w:rPr>
                <w:rFonts w:ascii="Calibri" w:eastAsia="Calibri" w:hAnsi="Calibri" w:cs="Calibri"/>
                <w:b w:val="0"/>
                <w:sz w:val="18"/>
                <w:szCs w:val="18"/>
              </w:rPr>
            </w:pPr>
            <w:r w:rsidRPr="00CC0ACC">
              <w:rPr>
                <w:rFonts w:ascii="Calibri" w:eastAsia="Calibri" w:hAnsi="Calibri" w:cs="Calibri"/>
                <w:b w:val="0"/>
                <w:sz w:val="18"/>
                <w:szCs w:val="18"/>
              </w:rPr>
              <w:t>Perform additional CH</w:t>
            </w:r>
            <w:r w:rsidRPr="00CC0ACC">
              <w:rPr>
                <w:rFonts w:ascii="Calibri" w:eastAsia="Calibri" w:hAnsi="Calibri" w:cs="Calibri"/>
                <w:b w:val="0"/>
                <w:sz w:val="18"/>
                <w:szCs w:val="18"/>
                <w:vertAlign w:val="subscript"/>
              </w:rPr>
              <w:t>4</w:t>
            </w:r>
            <w:r w:rsidRPr="00CC0ACC">
              <w:rPr>
                <w:rFonts w:ascii="Calibri" w:eastAsia="Calibri" w:hAnsi="Calibri" w:cs="Calibri"/>
                <w:b w:val="0"/>
                <w:sz w:val="18"/>
                <w:szCs w:val="18"/>
              </w:rPr>
              <w:t xml:space="preserve"> studies that assess CH</w:t>
            </w:r>
            <w:r w:rsidRPr="00CC0ACC">
              <w:rPr>
                <w:rFonts w:ascii="Calibri" w:eastAsia="Calibri" w:hAnsi="Calibri" w:cs="Calibri"/>
                <w:b w:val="0"/>
                <w:sz w:val="18"/>
                <w:szCs w:val="18"/>
                <w:vertAlign w:val="subscript"/>
              </w:rPr>
              <w:t>4</w:t>
            </w:r>
            <w:r w:rsidRPr="00CC0ACC">
              <w:rPr>
                <w:rFonts w:ascii="Calibri" w:eastAsia="Calibri" w:hAnsi="Calibri" w:cs="Calibri"/>
                <w:b w:val="0"/>
                <w:sz w:val="18"/>
                <w:szCs w:val="18"/>
              </w:rPr>
              <w:t xml:space="preserve"> fluxes to better validate large scale modeled estimates of CH</w:t>
            </w:r>
            <w:r w:rsidRPr="00CC0ACC">
              <w:rPr>
                <w:rFonts w:ascii="Calibri" w:eastAsia="Calibri" w:hAnsi="Calibri" w:cs="Calibri"/>
                <w:b w:val="0"/>
                <w:sz w:val="18"/>
                <w:szCs w:val="18"/>
                <w:vertAlign w:val="subscript"/>
              </w:rPr>
              <w:t>4</w:t>
            </w:r>
            <w:r w:rsidRPr="00CC0ACC">
              <w:rPr>
                <w:rFonts w:ascii="Calibri" w:eastAsia="Calibri" w:hAnsi="Calibri" w:cs="Calibri"/>
                <w:b w:val="0"/>
                <w:sz w:val="18"/>
                <w:szCs w:val="18"/>
              </w:rPr>
              <w:t xml:space="preserve"> fluxes.</w:t>
            </w:r>
          </w:p>
        </w:tc>
        <w:tc>
          <w:tcPr>
            <w:tcW w:w="990" w:type="dxa"/>
            <w:vAlign w:val="center"/>
          </w:tcPr>
          <w:p w14:paraId="5FF542AC"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5F0BBB9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60287A67"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0BECA680"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10BC314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r w:rsidR="00DF55C8" w:rsidRPr="00DF55C8" w14:paraId="4EFAE2F4" w14:textId="77777777" w:rsidTr="005E4D1E">
        <w:tc>
          <w:tcPr>
            <w:cnfStyle w:val="001000000000" w:firstRow="0" w:lastRow="0" w:firstColumn="1" w:lastColumn="0" w:oddVBand="0" w:evenVBand="0" w:oddHBand="0" w:evenHBand="0" w:firstRowFirstColumn="0" w:firstRowLastColumn="0" w:lastRowFirstColumn="0" w:lastRowLastColumn="0"/>
            <w:tcW w:w="4405" w:type="dxa"/>
          </w:tcPr>
          <w:p w14:paraId="6934D24D" w14:textId="77777777" w:rsidR="00DF55C8" w:rsidRPr="00CC0ACC" w:rsidRDefault="00DF55C8" w:rsidP="00DF55C8">
            <w:pPr>
              <w:rPr>
                <w:rFonts w:ascii="Tahoma" w:eastAsia="Calibri" w:hAnsi="Tahoma" w:cs="Tahoma"/>
                <w:b w:val="0"/>
                <w:color w:val="706F65"/>
                <w:sz w:val="18"/>
                <w:szCs w:val="18"/>
                <w:shd w:val="clear" w:color="auto" w:fill="FCFAF4"/>
              </w:rPr>
            </w:pPr>
            <w:r w:rsidRPr="00CC0ACC">
              <w:rPr>
                <w:rFonts w:ascii="Calibri" w:eastAsia="Calibri" w:hAnsi="Calibri" w:cs="Calibri"/>
                <w:b w:val="0"/>
                <w:sz w:val="18"/>
                <w:szCs w:val="18"/>
              </w:rPr>
              <w:t>Improve accounting of N</w:t>
            </w:r>
            <w:r w:rsidRPr="00CC0ACC">
              <w:rPr>
                <w:rFonts w:ascii="Calibri" w:eastAsia="Calibri" w:hAnsi="Calibri" w:cs="Calibri"/>
                <w:b w:val="0"/>
                <w:sz w:val="18"/>
                <w:szCs w:val="18"/>
                <w:vertAlign w:val="subscript"/>
              </w:rPr>
              <w:t>2</w:t>
            </w:r>
            <w:r w:rsidRPr="00CC0ACC">
              <w:rPr>
                <w:rFonts w:ascii="Calibri" w:eastAsia="Calibri" w:hAnsi="Calibri" w:cs="Calibri"/>
                <w:b w:val="0"/>
                <w:sz w:val="18"/>
                <w:szCs w:val="18"/>
              </w:rPr>
              <w:t>O and CH</w:t>
            </w:r>
            <w:r w:rsidRPr="00CC0ACC">
              <w:rPr>
                <w:rFonts w:ascii="Calibri" w:eastAsia="Calibri" w:hAnsi="Calibri" w:cs="Calibri"/>
                <w:b w:val="0"/>
                <w:sz w:val="18"/>
                <w:szCs w:val="18"/>
                <w:vertAlign w:val="subscript"/>
              </w:rPr>
              <w:t>4</w:t>
            </w:r>
            <w:r w:rsidRPr="00CC0ACC">
              <w:rPr>
                <w:rFonts w:ascii="Calibri" w:eastAsia="Calibri" w:hAnsi="Calibri" w:cs="Calibri"/>
                <w:b w:val="0"/>
                <w:sz w:val="18"/>
                <w:szCs w:val="18"/>
              </w:rPr>
              <w:t xml:space="preserve"> emissions from the growing aquaculture industry, which remains poorly understood (Bridgham et al., 2013; Reay et al., 2012).</w:t>
            </w:r>
          </w:p>
        </w:tc>
        <w:tc>
          <w:tcPr>
            <w:tcW w:w="990" w:type="dxa"/>
            <w:vAlign w:val="center"/>
          </w:tcPr>
          <w:p w14:paraId="2A74CEEE"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5E335D12"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738668DB"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06719A4A"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c>
          <w:tcPr>
            <w:tcW w:w="990" w:type="dxa"/>
            <w:vAlign w:val="center"/>
          </w:tcPr>
          <w:p w14:paraId="4F38BEC1" w14:textId="77777777" w:rsidR="00DF55C8" w:rsidRPr="00DF55C8" w:rsidRDefault="00DF55C8" w:rsidP="00DF55C8">
            <w:pPr>
              <w:jc w:val="center"/>
              <w:cnfStyle w:val="000000000000" w:firstRow="0" w:lastRow="0" w:firstColumn="0" w:lastColumn="0" w:oddVBand="0" w:evenVBand="0" w:oddHBand="0" w:evenHBand="0" w:firstRowFirstColumn="0" w:firstRowLastColumn="0" w:lastRowFirstColumn="0" w:lastRowLastColumn="0"/>
              <w:rPr>
                <w:rFonts w:ascii="Calibri" w:eastAsia="MS Gothic" w:hAnsi="Calibri" w:cs="Calibri"/>
                <w:b/>
              </w:rPr>
            </w:pPr>
            <w:r w:rsidRPr="00DF55C8">
              <w:rPr>
                <w:rFonts w:ascii="Calibri" w:eastAsia="MS Gothic" w:hAnsi="Calibri" w:cs="Calibri"/>
                <w:b/>
              </w:rPr>
              <w:t>○</w:t>
            </w:r>
          </w:p>
        </w:tc>
      </w:tr>
    </w:tbl>
    <w:p w14:paraId="09E1999D" w14:textId="77777777" w:rsidR="00DF55C8" w:rsidRPr="00DF55C8" w:rsidRDefault="00DF55C8" w:rsidP="00DF55C8">
      <w:pPr>
        <w:spacing w:after="0" w:line="240" w:lineRule="auto"/>
        <w:rPr>
          <w:rFonts w:ascii="Calibri" w:eastAsia="Calibri" w:hAnsi="Calibri" w:cs="Times New Roman"/>
        </w:rPr>
      </w:pPr>
      <w:r w:rsidRPr="00DF55C8">
        <w:rPr>
          <w:rFonts w:ascii="Calibri" w:eastAsia="Calibri" w:hAnsi="Calibri" w:cs="Times New Roman"/>
          <w:noProof/>
        </w:rPr>
        <mc:AlternateContent>
          <mc:Choice Requires="wps">
            <w:drawing>
              <wp:anchor distT="45720" distB="45720" distL="114300" distR="114300" simplePos="0" relativeHeight="251677696" behindDoc="0" locked="0" layoutInCell="1" allowOverlap="1" wp14:anchorId="69253E33" wp14:editId="54D00A36">
                <wp:simplePos x="0" y="0"/>
                <wp:positionH relativeFrom="margin">
                  <wp:posOffset>0</wp:posOffset>
                </wp:positionH>
                <wp:positionV relativeFrom="paragraph">
                  <wp:posOffset>216535</wp:posOffset>
                </wp:positionV>
                <wp:extent cx="4686300" cy="942975"/>
                <wp:effectExtent l="0" t="0" r="19050"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42975"/>
                        </a:xfrm>
                        <a:prstGeom prst="rect">
                          <a:avLst/>
                        </a:prstGeom>
                        <a:solidFill>
                          <a:srgbClr val="FFFFFF"/>
                        </a:solidFill>
                        <a:ln w="9525">
                          <a:solidFill>
                            <a:srgbClr val="000000"/>
                          </a:solidFill>
                          <a:miter lim="800000"/>
                          <a:headEnd/>
                          <a:tailEnd/>
                        </a:ln>
                      </wps:spPr>
                      <wps:txbx>
                        <w:txbxContent>
                          <w:p w14:paraId="3539F7C9" w14:textId="77777777" w:rsidR="00876770" w:rsidRPr="00A45B79" w:rsidRDefault="00876770" w:rsidP="00DF55C8">
                            <w:r w:rsidRPr="00A45B79">
                              <w:t>Further research: Please indicate if there are other research issues you think should be considered</w:t>
                            </w:r>
                            <w:r>
                              <w:t>.</w:t>
                            </w:r>
                          </w:p>
                          <w:p w14:paraId="0BE3BAFB"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253E33" id="_x0000_s1044" type="#_x0000_t202" style="position:absolute;margin-left:0;margin-top:17.05pt;width:369pt;height:74.2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">
                <v:textbox>
                  <w:txbxContent>
                    <w:p w14:paraId="3539F7C9" w14:textId="77777777" w:rsidR="00876770" w:rsidRPr="00A45B79" w:rsidRDefault="00876770" w:rsidP="00DF55C8">
                      <w:r w:rsidRPr="00A45B79">
                        <w:t>Further research: Please indicate if there are other research issues you think should be considered</w:t>
                      </w:r>
                      <w:r>
                        <w:t>.</w:t>
                      </w:r>
                    </w:p>
                    <w:p w14:paraId="0BE3BAFB" w14:textId="77777777" w:rsidR="00876770" w:rsidRDefault="00876770" w:rsidP="00DF55C8"/>
                  </w:txbxContent>
                </v:textbox>
                <w10:wrap type="square" anchorx="margin"/>
              </v:shape>
            </w:pict>
          </mc:Fallback>
        </mc:AlternateContent>
      </w:r>
    </w:p>
    <w:p w14:paraId="2ECECFE3" w14:textId="77777777" w:rsidR="00DF55C8" w:rsidRPr="00DF55C8" w:rsidRDefault="00DF55C8" w:rsidP="00DF55C8">
      <w:pPr>
        <w:spacing w:after="0" w:line="240" w:lineRule="auto"/>
        <w:ind w:left="720"/>
        <w:rPr>
          <w:rFonts w:ascii="Calibri" w:eastAsia="Calibri" w:hAnsi="Calibri" w:cs="Times New Roman"/>
        </w:rPr>
      </w:pPr>
    </w:p>
    <w:p w14:paraId="4F0A059D" w14:textId="77777777" w:rsidR="00DF55C8" w:rsidRPr="00DF55C8" w:rsidRDefault="00DF55C8" w:rsidP="00DF55C8">
      <w:pPr>
        <w:spacing w:after="0" w:line="240" w:lineRule="auto"/>
        <w:ind w:left="720"/>
        <w:rPr>
          <w:rFonts w:ascii="Calibri" w:eastAsia="Calibri" w:hAnsi="Calibri" w:cs="Times New Roman"/>
        </w:rPr>
      </w:pPr>
    </w:p>
    <w:p w14:paraId="4E86432F" w14:textId="77777777" w:rsidR="00DF55C8" w:rsidRPr="00DF55C8" w:rsidRDefault="00DF55C8" w:rsidP="00DF55C8">
      <w:pPr>
        <w:spacing w:after="0" w:line="240" w:lineRule="auto"/>
        <w:ind w:left="720"/>
        <w:rPr>
          <w:rFonts w:ascii="Calibri" w:eastAsia="Calibri" w:hAnsi="Calibri" w:cs="Times New Roman"/>
        </w:rPr>
      </w:pPr>
    </w:p>
    <w:p w14:paraId="0FCC322D" w14:textId="77777777" w:rsidR="00DF55C8" w:rsidRPr="00DF55C8" w:rsidRDefault="00DF55C8" w:rsidP="00DF55C8">
      <w:pPr>
        <w:spacing w:after="0" w:line="240" w:lineRule="auto"/>
        <w:ind w:left="720"/>
        <w:rPr>
          <w:rFonts w:ascii="Calibri" w:eastAsia="Calibri" w:hAnsi="Calibri" w:cs="Times New Roman"/>
        </w:rPr>
      </w:pPr>
    </w:p>
    <w:p w14:paraId="27ADA27E" w14:textId="77777777" w:rsidR="00DF55C8" w:rsidRPr="00DF55C8" w:rsidRDefault="00DF55C8" w:rsidP="00DF55C8">
      <w:pPr>
        <w:spacing w:after="0" w:line="240" w:lineRule="auto"/>
        <w:ind w:left="720"/>
        <w:rPr>
          <w:rFonts w:ascii="Calibri" w:eastAsia="Calibri" w:hAnsi="Calibri" w:cs="Times New Roman"/>
        </w:rPr>
      </w:pPr>
    </w:p>
    <w:p w14:paraId="4B3F93D0" w14:textId="77777777" w:rsidR="00DF55C8" w:rsidRPr="00DF55C8" w:rsidRDefault="00DF55C8" w:rsidP="00DF55C8">
      <w:pPr>
        <w:spacing w:after="0" w:line="240" w:lineRule="auto"/>
        <w:ind w:left="720"/>
        <w:rPr>
          <w:rFonts w:ascii="Calibri" w:eastAsia="Calibri" w:hAnsi="Calibri" w:cs="Times New Roman"/>
        </w:rPr>
      </w:pPr>
    </w:p>
    <w:p w14:paraId="61167CCF" w14:textId="77777777" w:rsidR="00DF55C8" w:rsidRPr="00DF55C8" w:rsidRDefault="00DF55C8" w:rsidP="00DF55C8">
      <w:pPr>
        <w:spacing w:after="0" w:line="240" w:lineRule="auto"/>
        <w:ind w:left="720"/>
        <w:rPr>
          <w:rFonts w:ascii="Calibri" w:eastAsia="Calibri" w:hAnsi="Calibri" w:cs="Times New Roman"/>
        </w:rPr>
      </w:pPr>
      <w:r w:rsidRPr="00DF55C8">
        <w:rPr>
          <w:rFonts w:ascii="Calibri" w:eastAsia="Calibri" w:hAnsi="Calibri" w:cs="Times New Roman"/>
          <w:noProof/>
        </w:rPr>
        <mc:AlternateContent>
          <mc:Choice Requires="wps">
            <w:drawing>
              <wp:anchor distT="45720" distB="45720" distL="114300" distR="114300" simplePos="0" relativeHeight="251678720" behindDoc="0" locked="0" layoutInCell="1" allowOverlap="1" wp14:anchorId="4C2491BC" wp14:editId="31F7A427">
                <wp:simplePos x="0" y="0"/>
                <wp:positionH relativeFrom="margin">
                  <wp:posOffset>0</wp:posOffset>
                </wp:positionH>
                <wp:positionV relativeFrom="paragraph">
                  <wp:posOffset>216535</wp:posOffset>
                </wp:positionV>
                <wp:extent cx="4686300" cy="942975"/>
                <wp:effectExtent l="0" t="0" r="19050" b="2857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42975"/>
                        </a:xfrm>
                        <a:prstGeom prst="rect">
                          <a:avLst/>
                        </a:prstGeom>
                        <a:solidFill>
                          <a:srgbClr val="FFFFFF"/>
                        </a:solidFill>
                        <a:ln w="9525">
                          <a:solidFill>
                            <a:srgbClr val="000000"/>
                          </a:solidFill>
                          <a:miter lim="800000"/>
                          <a:headEnd/>
                          <a:tailEnd/>
                        </a:ln>
                      </wps:spPr>
                      <wps:txbx>
                        <w:txbxContent>
                          <w:p w14:paraId="30AB7C39" w14:textId="77777777" w:rsidR="00876770" w:rsidRPr="00A45B79" w:rsidRDefault="00876770" w:rsidP="00DF55C8">
                            <w:pPr>
                              <w:spacing w:after="0" w:line="240" w:lineRule="auto"/>
                            </w:pPr>
                            <w:r w:rsidRPr="00A45B79">
                              <w:t xml:space="preserve">Limiting factors: Please indicate whether there are any other research areas that require attention in order for research </w:t>
                            </w:r>
                            <w:r>
                              <w:t xml:space="preserve">that </w:t>
                            </w:r>
                            <w:r w:rsidRPr="00A45B79">
                              <w:t>yo</w:t>
                            </w:r>
                            <w:r>
                              <w:t>u have</w:t>
                            </w:r>
                            <w:r w:rsidRPr="00A45B79">
                              <w:t xml:space="preserve"> prioritized here to be effective. We seek to uncover critical linkages across research areas to ensure effective research programs.</w:t>
                            </w:r>
                          </w:p>
                          <w:p w14:paraId="3DC96229"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491BC" id="_x0000_s1045" type="#_x0000_t202" style="position:absolute;left:0;text-align:left;margin-left:0;margin-top:17.05pt;width:369pt;height:74.2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">
                <v:textbox>
                  <w:txbxContent>
                    <w:p w14:paraId="30AB7C39" w14:textId="77777777" w:rsidR="00876770" w:rsidRPr="00A45B79" w:rsidRDefault="00876770" w:rsidP="00DF55C8">
                      <w:pPr>
                        <w:spacing w:after="0" w:line="240" w:lineRule="auto"/>
                      </w:pPr>
                      <w:r w:rsidRPr="00A45B79">
                        <w:t xml:space="preserve">Limiting factors: Please indicate whether there are any other research areas that require attention in order for research </w:t>
                      </w:r>
                      <w:r>
                        <w:t xml:space="preserve">that </w:t>
                      </w:r>
                      <w:r w:rsidRPr="00A45B79">
                        <w:t>yo</w:t>
                      </w:r>
                      <w:r>
                        <w:t>u have</w:t>
                      </w:r>
                      <w:r w:rsidRPr="00A45B79">
                        <w:t xml:space="preserve"> prioritized here to be effective. We seek to uncover critical linkages across research areas to ensure effective research programs.</w:t>
                      </w:r>
                    </w:p>
                    <w:p w14:paraId="3DC96229" w14:textId="77777777" w:rsidR="00876770" w:rsidRDefault="00876770" w:rsidP="00DF55C8"/>
                  </w:txbxContent>
                </v:textbox>
                <w10:wrap type="square" anchorx="margin"/>
              </v:shape>
            </w:pict>
          </mc:Fallback>
        </mc:AlternateContent>
      </w:r>
    </w:p>
    <w:p w14:paraId="36BF00C5" w14:textId="77777777" w:rsidR="00DF55C8" w:rsidRPr="00DF55C8" w:rsidRDefault="00DF55C8" w:rsidP="00DF55C8">
      <w:pPr>
        <w:spacing w:after="0" w:line="240" w:lineRule="auto"/>
        <w:ind w:left="720"/>
        <w:rPr>
          <w:rFonts w:ascii="Calibri" w:eastAsia="Calibri" w:hAnsi="Calibri" w:cs="Times New Roman"/>
        </w:rPr>
      </w:pPr>
    </w:p>
    <w:p w14:paraId="588D4ACD" w14:textId="77777777" w:rsidR="00DF55C8" w:rsidRPr="00DF55C8" w:rsidRDefault="00DF55C8" w:rsidP="00DF55C8">
      <w:pPr>
        <w:spacing w:after="0" w:line="240" w:lineRule="auto"/>
        <w:ind w:left="720"/>
        <w:rPr>
          <w:rFonts w:ascii="Calibri" w:eastAsia="Calibri" w:hAnsi="Calibri" w:cs="Times New Roman"/>
        </w:rPr>
      </w:pPr>
    </w:p>
    <w:p w14:paraId="3F7B6E05" w14:textId="77777777" w:rsidR="00DF55C8" w:rsidRPr="00DF55C8" w:rsidRDefault="00DF55C8" w:rsidP="00DF55C8">
      <w:pPr>
        <w:spacing w:after="0" w:line="240" w:lineRule="auto"/>
        <w:rPr>
          <w:rFonts w:ascii="Calibri" w:eastAsia="Calibri" w:hAnsi="Calibri" w:cs="Times New Roman"/>
        </w:rPr>
      </w:pPr>
    </w:p>
    <w:p w14:paraId="7D387D98" w14:textId="77777777" w:rsidR="00DF55C8" w:rsidRPr="00DF55C8" w:rsidRDefault="00DF55C8" w:rsidP="00DF55C8">
      <w:pPr>
        <w:spacing w:after="0" w:line="240" w:lineRule="auto"/>
        <w:rPr>
          <w:rFonts w:ascii="Calibri" w:eastAsia="Calibri" w:hAnsi="Calibri" w:cs="Times New Roman"/>
        </w:rPr>
      </w:pPr>
    </w:p>
    <w:p w14:paraId="7B3730DE" w14:textId="77777777" w:rsidR="00DF55C8" w:rsidRPr="00DF55C8" w:rsidRDefault="00DF55C8" w:rsidP="00DF55C8">
      <w:pPr>
        <w:spacing w:after="0" w:line="240" w:lineRule="auto"/>
        <w:rPr>
          <w:rFonts w:ascii="Calibri" w:eastAsia="Calibri" w:hAnsi="Calibri" w:cs="Times New Roman"/>
        </w:rPr>
      </w:pPr>
    </w:p>
    <w:p w14:paraId="0F5AB035" w14:textId="77777777" w:rsidR="00DF55C8" w:rsidRPr="00DF55C8" w:rsidRDefault="00DF55C8" w:rsidP="00DF55C8">
      <w:pPr>
        <w:spacing w:after="0" w:line="240" w:lineRule="auto"/>
        <w:ind w:left="720"/>
        <w:rPr>
          <w:rFonts w:ascii="Calibri" w:eastAsia="Calibri" w:hAnsi="Calibri" w:cs="Times New Roman"/>
        </w:rPr>
      </w:pPr>
    </w:p>
    <w:p w14:paraId="2526A8F6" w14:textId="77777777" w:rsidR="00DF55C8" w:rsidRPr="00DF55C8" w:rsidRDefault="00DF55C8" w:rsidP="00DF55C8">
      <w:pPr>
        <w:rPr>
          <w:rFonts w:ascii="Calibri" w:eastAsia="Calibri" w:hAnsi="Calibri" w:cs="Times New Roman"/>
        </w:rPr>
      </w:pPr>
      <w:r w:rsidRPr="00DF55C8">
        <w:rPr>
          <w:rFonts w:ascii="Calibri" w:eastAsia="Calibri" w:hAnsi="Calibri" w:cs="Times New Roman"/>
          <w:noProof/>
        </w:rPr>
        <mc:AlternateContent>
          <mc:Choice Requires="wps">
            <w:drawing>
              <wp:anchor distT="45720" distB="45720" distL="114300" distR="114300" simplePos="0" relativeHeight="251663360" behindDoc="0" locked="0" layoutInCell="1" allowOverlap="1" wp14:anchorId="04613141" wp14:editId="1FAB5039">
                <wp:simplePos x="0" y="0"/>
                <wp:positionH relativeFrom="margin">
                  <wp:posOffset>0</wp:posOffset>
                </wp:positionH>
                <wp:positionV relativeFrom="paragraph">
                  <wp:posOffset>331470</wp:posOffset>
                </wp:positionV>
                <wp:extent cx="4686300" cy="942975"/>
                <wp:effectExtent l="0" t="0" r="19050"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42975"/>
                        </a:xfrm>
                        <a:prstGeom prst="rect">
                          <a:avLst/>
                        </a:prstGeom>
                        <a:solidFill>
                          <a:srgbClr val="FFFFFF"/>
                        </a:solidFill>
                        <a:ln w="9525">
                          <a:solidFill>
                            <a:srgbClr val="000000"/>
                          </a:solidFill>
                          <a:miter lim="800000"/>
                          <a:headEnd/>
                          <a:tailEnd/>
                        </a:ln>
                      </wps:spPr>
                      <wps:txbx>
                        <w:txbxContent>
                          <w:p w14:paraId="10B9DBCB" w14:textId="77777777" w:rsidR="00876770" w:rsidRDefault="00876770" w:rsidP="00DF55C8">
                            <w:r>
                              <w:t xml:space="preserve">Please enter any comments, additional knowledge or justification that you have regarding this question and/or your rankings. </w:t>
                            </w:r>
                          </w:p>
                          <w:p w14:paraId="4531A77A" w14:textId="77777777" w:rsidR="00876770" w:rsidRDefault="00876770" w:rsidP="00DF55C8"/>
                          <w:p w14:paraId="1CF2DE05"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613141" id="_x0000_s1046" type="#_x0000_t202" style="position:absolute;margin-left:0;margin-top:26.1pt;width:369pt;height:74.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">
                <v:textbox>
                  <w:txbxContent>
                    <w:p w14:paraId="10B9DBCB" w14:textId="77777777" w:rsidR="00876770" w:rsidRDefault="00876770" w:rsidP="00DF55C8">
                      <w:r>
                        <w:t xml:space="preserve">Please enter any comments, additional knowledge or justification that you have regarding this question and/or your rankings. </w:t>
                      </w:r>
                    </w:p>
                    <w:p w14:paraId="4531A77A" w14:textId="77777777" w:rsidR="00876770" w:rsidRDefault="00876770" w:rsidP="00DF55C8"/>
                    <w:p w14:paraId="1CF2DE05" w14:textId="77777777" w:rsidR="00876770" w:rsidRDefault="00876770" w:rsidP="00DF55C8"/>
                  </w:txbxContent>
                </v:textbox>
                <w10:wrap type="square" anchorx="margin"/>
              </v:shape>
            </w:pict>
          </mc:Fallback>
        </mc:AlternateContent>
      </w:r>
    </w:p>
    <w:p w14:paraId="572CB8B0" w14:textId="77777777" w:rsidR="00DF55C8" w:rsidRPr="00DF55C8" w:rsidRDefault="00DF55C8" w:rsidP="00DF55C8">
      <w:pPr>
        <w:rPr>
          <w:rFonts w:ascii="Calibri" w:eastAsia="Calibri" w:hAnsi="Calibri" w:cs="Times New Roman"/>
        </w:rPr>
      </w:pPr>
    </w:p>
    <w:p w14:paraId="69B6112D" w14:textId="77777777" w:rsidR="00DF55C8" w:rsidRPr="00DF55C8" w:rsidRDefault="00DF55C8" w:rsidP="00DF55C8">
      <w:pPr>
        <w:rPr>
          <w:rFonts w:ascii="Calibri" w:eastAsia="Calibri" w:hAnsi="Calibri" w:cs="Times New Roman"/>
        </w:rPr>
      </w:pPr>
    </w:p>
    <w:p w14:paraId="08BDD201" w14:textId="77777777" w:rsidR="00DF55C8" w:rsidRPr="00DF55C8" w:rsidRDefault="00DF55C8" w:rsidP="00DF55C8">
      <w:pPr>
        <w:rPr>
          <w:rFonts w:ascii="Calibri" w:eastAsia="Calibri" w:hAnsi="Calibri" w:cs="Times New Roman"/>
        </w:rPr>
      </w:pPr>
    </w:p>
    <w:p w14:paraId="752E1DFE" w14:textId="77777777" w:rsidR="00DF55C8" w:rsidRPr="00DF55C8" w:rsidRDefault="00DF55C8" w:rsidP="00DF55C8">
      <w:pPr>
        <w:rPr>
          <w:rFonts w:ascii="Calibri" w:eastAsia="Calibri" w:hAnsi="Calibri" w:cs="Times New Roman"/>
        </w:rPr>
      </w:pPr>
    </w:p>
    <w:p w14:paraId="05418ADE" w14:textId="77777777" w:rsidR="00DF55C8" w:rsidRPr="00DF55C8" w:rsidRDefault="00DF55C8" w:rsidP="00DF55C8">
      <w:pPr>
        <w:rPr>
          <w:rFonts w:ascii="Calibri" w:eastAsia="Calibri" w:hAnsi="Calibri" w:cs="Times New Roman"/>
        </w:rPr>
      </w:pPr>
      <w:r w:rsidRPr="00DF55C8">
        <w:rPr>
          <w:rFonts w:ascii="Calibri" w:eastAsia="Calibri" w:hAnsi="Calibri" w:cs="Times New Roman"/>
          <w:noProof/>
        </w:rPr>
        <mc:AlternateContent>
          <mc:Choice Requires="wps">
            <w:drawing>
              <wp:anchor distT="45720" distB="45720" distL="114300" distR="114300" simplePos="0" relativeHeight="251668480" behindDoc="0" locked="0" layoutInCell="1" allowOverlap="1" wp14:anchorId="0A316ABC" wp14:editId="24D8617A">
                <wp:simplePos x="0" y="0"/>
                <wp:positionH relativeFrom="margin">
                  <wp:align>left</wp:align>
                </wp:positionH>
                <wp:positionV relativeFrom="paragraph">
                  <wp:posOffset>187960</wp:posOffset>
                </wp:positionV>
                <wp:extent cx="4686300" cy="1219200"/>
                <wp:effectExtent l="0" t="0" r="19050" b="1905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219200"/>
                        </a:xfrm>
                        <a:prstGeom prst="rect">
                          <a:avLst/>
                        </a:prstGeom>
                        <a:solidFill>
                          <a:srgbClr val="FFFFFF"/>
                        </a:solidFill>
                        <a:ln w="9525">
                          <a:solidFill>
                            <a:srgbClr val="000000"/>
                          </a:solidFill>
                          <a:miter lim="800000"/>
                          <a:headEnd/>
                          <a:tailEnd/>
                        </a:ln>
                      </wps:spPr>
                      <wps:txbx>
                        <w:txbxContent>
                          <w:p w14:paraId="1C68F878" w14:textId="77777777" w:rsidR="00876770" w:rsidRDefault="00876770" w:rsidP="00DF55C8">
                            <w:r>
                              <w:t>We are also interested in literature or other research that has informed your responses expressed here. Please share any recommended reading, including links if you have them.</w:t>
                            </w:r>
                          </w:p>
                          <w:p w14:paraId="0210C307" w14:textId="77777777" w:rsidR="00876770" w:rsidRDefault="00876770" w:rsidP="00DF55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316ABC" id="_x0000_s1047" type="#_x0000_t202" style="position:absolute;margin-left:0;margin-top:14.8pt;width:369pt;height:96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">
                <v:textbox>
                  <w:txbxContent>
                    <w:p w14:paraId="1C68F878" w14:textId="77777777" w:rsidR="00876770" w:rsidRDefault="00876770" w:rsidP="00DF55C8">
                      <w:r>
                        <w:t>We are also interested in literature or other research that has informed your responses expressed here. Please share any recommended reading, including links if you have them.</w:t>
                      </w:r>
                    </w:p>
                    <w:p w14:paraId="0210C307" w14:textId="77777777" w:rsidR="00876770" w:rsidRDefault="00876770" w:rsidP="00DF55C8"/>
                  </w:txbxContent>
                </v:textbox>
                <w10:wrap type="square" anchorx="margin"/>
              </v:shape>
            </w:pict>
          </mc:Fallback>
        </mc:AlternateContent>
      </w:r>
    </w:p>
    <w:p w14:paraId="3E792836" w14:textId="77777777" w:rsidR="00DF55C8" w:rsidRPr="00DF55C8" w:rsidRDefault="00DF55C8" w:rsidP="00DF55C8">
      <w:pPr>
        <w:rPr>
          <w:rFonts w:ascii="Calibri" w:eastAsia="Calibri" w:hAnsi="Calibri" w:cs="Times New Roman"/>
        </w:rPr>
      </w:pPr>
    </w:p>
    <w:p w14:paraId="490876FC" w14:textId="77777777" w:rsidR="00DF55C8" w:rsidRPr="00DF55C8" w:rsidRDefault="00DF55C8" w:rsidP="00DF55C8">
      <w:pPr>
        <w:rPr>
          <w:rFonts w:ascii="Calibri" w:eastAsia="Calibri" w:hAnsi="Calibri" w:cs="Times New Roman"/>
        </w:rPr>
      </w:pPr>
    </w:p>
    <w:p w14:paraId="64C97371" w14:textId="77777777" w:rsidR="00DF55C8" w:rsidRPr="00DF55C8" w:rsidRDefault="00DF55C8" w:rsidP="00DF55C8">
      <w:pPr>
        <w:rPr>
          <w:rFonts w:ascii="Calibri" w:eastAsia="Calibri" w:hAnsi="Calibri" w:cs="Times New Roman"/>
          <w:u w:val="single"/>
        </w:rPr>
      </w:pPr>
    </w:p>
    <w:p w14:paraId="1F5EA459" w14:textId="77777777" w:rsidR="00DF55C8" w:rsidRPr="00DF55C8" w:rsidRDefault="00DF55C8" w:rsidP="00DF55C8">
      <w:pPr>
        <w:rPr>
          <w:rFonts w:ascii="Calibri" w:eastAsia="Calibri" w:hAnsi="Calibri" w:cs="Times New Roman"/>
          <w:u w:val="single"/>
        </w:rPr>
      </w:pPr>
    </w:p>
    <w:p w14:paraId="0CD3AC33" w14:textId="77777777" w:rsidR="00DF55C8" w:rsidRPr="00DF55C8" w:rsidRDefault="00DF55C8" w:rsidP="00DF55C8">
      <w:pPr>
        <w:rPr>
          <w:rFonts w:ascii="Calibri" w:eastAsia="Calibri" w:hAnsi="Calibri" w:cs="Times New Roman"/>
          <w:u w:val="single"/>
        </w:rPr>
      </w:pPr>
    </w:p>
    <w:p w14:paraId="20BDB269" w14:textId="5ACEC42E" w:rsidR="00DF55C8" w:rsidRPr="00CC0ACC" w:rsidRDefault="00DF55C8" w:rsidP="00DF55C8">
      <w:pPr>
        <w:rPr>
          <w:rFonts w:ascii="Calibri" w:eastAsia="Calibri" w:hAnsi="Calibri" w:cs="Times New Roman"/>
        </w:rPr>
      </w:pPr>
      <w:r w:rsidRPr="00DF55C8">
        <w:rPr>
          <w:rFonts w:ascii="Calibri" w:eastAsia="Calibri" w:hAnsi="Calibri" w:cs="Times New Roman"/>
        </w:rPr>
        <w:lastRenderedPageBreak/>
        <w:t xml:space="preserve">                                                                                                                                                                                                                                                                                                                                                                                                                                                                                                                                                                                                                                                                                                                                                                                                                                                                                                                                                                                                                                                                                                                                                                                                                                                                                 </w:t>
      </w:r>
      <w:r w:rsidR="003660E2">
        <w:rPr>
          <w:rFonts w:ascii="Calibri" w:eastAsia="Calibri" w:hAnsi="Calibri" w:cs="Times New Roman"/>
        </w:rPr>
        <w:t xml:space="preserve">                             </w:t>
      </w:r>
      <w:r w:rsidRPr="00DF55C8">
        <w:rPr>
          <w:rFonts w:ascii="Calibri" w:eastAsia="Calibri" w:hAnsi="Calibri" w:cs="Times New Roman"/>
          <w:b/>
          <w:u w:val="single"/>
        </w:rPr>
        <w:t>DEMOGRAPHICS</w:t>
      </w:r>
    </w:p>
    <w:p w14:paraId="28722F93" w14:textId="77777777" w:rsidR="00DF55C8" w:rsidRPr="00DF55C8" w:rsidRDefault="00DF55C8" w:rsidP="00DF55C8">
      <w:pPr>
        <w:rPr>
          <w:rFonts w:ascii="Calibri" w:eastAsia="Calibri" w:hAnsi="Calibri" w:cs="Times New Roman"/>
        </w:rPr>
      </w:pPr>
      <w:r w:rsidRPr="00DF55C8">
        <w:rPr>
          <w:rFonts w:ascii="Calibri" w:eastAsia="Calibri" w:hAnsi="Calibri" w:cs="Times New Roman"/>
        </w:rPr>
        <w:t>So that we can better understand the make-up of our expert respondents, we would like to ask you a few basic questions about your background. These details will only be reported at an aggregate level and will not be used to identify you.</w:t>
      </w:r>
    </w:p>
    <w:p w14:paraId="3F97F48B" w14:textId="77777777" w:rsidR="00DF55C8" w:rsidRPr="00DF55C8" w:rsidRDefault="00DF55C8" w:rsidP="000B2554">
      <w:pPr>
        <w:numPr>
          <w:ilvl w:val="0"/>
          <w:numId w:val="25"/>
        </w:numPr>
        <w:contextualSpacing/>
        <w:rPr>
          <w:rFonts w:ascii="Calibri" w:eastAsia="Calibri" w:hAnsi="Calibri" w:cs="Times New Roman"/>
        </w:rPr>
      </w:pPr>
      <w:r w:rsidRPr="00DF55C8">
        <w:rPr>
          <w:rFonts w:ascii="Calibri" w:eastAsia="Calibri" w:hAnsi="Calibri" w:cs="Times New Roman"/>
        </w:rPr>
        <w:t>Gender:</w:t>
      </w:r>
      <w:r w:rsidRPr="00DF55C8">
        <w:rPr>
          <w:rFonts w:ascii="Calibri" w:eastAsia="Calibri" w:hAnsi="Calibri" w:cs="Times New Roman"/>
        </w:rPr>
        <w:tab/>
      </w:r>
      <w:r w:rsidRPr="00DF55C8">
        <w:rPr>
          <w:rFonts w:ascii="Calibri" w:eastAsia="Calibri" w:hAnsi="Calibri" w:cs="Times New Roman"/>
        </w:rPr>
        <w:tab/>
      </w:r>
    </w:p>
    <w:p w14:paraId="438D3FAE"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M</w:t>
      </w:r>
    </w:p>
    <w:p w14:paraId="1CD0BF1E"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 xml:space="preserve">F </w:t>
      </w:r>
    </w:p>
    <w:p w14:paraId="0F40B1A0"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Other/N.A./prefer not to share</w:t>
      </w:r>
    </w:p>
    <w:p w14:paraId="3FEB04CB" w14:textId="77777777" w:rsidR="00DF55C8" w:rsidRPr="00DF55C8" w:rsidRDefault="00DF55C8" w:rsidP="000B2554">
      <w:pPr>
        <w:numPr>
          <w:ilvl w:val="0"/>
          <w:numId w:val="25"/>
        </w:numPr>
        <w:contextualSpacing/>
        <w:rPr>
          <w:rFonts w:ascii="Calibri" w:eastAsia="Calibri" w:hAnsi="Calibri" w:cs="Times New Roman"/>
        </w:rPr>
      </w:pPr>
      <w:r w:rsidRPr="00DF55C8">
        <w:rPr>
          <w:rFonts w:ascii="Calibri" w:eastAsia="Calibri" w:hAnsi="Calibri" w:cs="Times New Roman"/>
        </w:rPr>
        <w:t>Highest level of education successfully completed [can choose one]:</w:t>
      </w:r>
    </w:p>
    <w:p w14:paraId="3623A608"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Bachelor’s degree</w:t>
      </w:r>
    </w:p>
    <w:p w14:paraId="10A542EC"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Master’s degree</w:t>
      </w:r>
    </w:p>
    <w:p w14:paraId="2F050C2F"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PhD</w:t>
      </w:r>
    </w:p>
    <w:p w14:paraId="6FB1469B"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Other _______________</w:t>
      </w:r>
    </w:p>
    <w:p w14:paraId="7EEE98D9" w14:textId="77777777" w:rsidR="00DF55C8" w:rsidRPr="00DF55C8" w:rsidRDefault="00DF55C8" w:rsidP="000B2554">
      <w:pPr>
        <w:numPr>
          <w:ilvl w:val="0"/>
          <w:numId w:val="25"/>
        </w:numPr>
        <w:contextualSpacing/>
        <w:rPr>
          <w:rFonts w:ascii="Calibri" w:eastAsia="Calibri" w:hAnsi="Calibri" w:cs="Times New Roman"/>
        </w:rPr>
      </w:pPr>
      <w:r w:rsidRPr="00DF55C8">
        <w:rPr>
          <w:rFonts w:ascii="Calibri" w:eastAsia="Calibri" w:hAnsi="Calibri" w:cs="Times New Roman"/>
        </w:rPr>
        <w:t xml:space="preserve">Field(s) of expertise [can choose more than one]: </w:t>
      </w:r>
    </w:p>
    <w:p w14:paraId="226AB671"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Soil science</w:t>
      </w:r>
    </w:p>
    <w:p w14:paraId="72E5DF65"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Climate science</w:t>
      </w:r>
    </w:p>
    <w:p w14:paraId="77B8176E"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Environmental economics</w:t>
      </w:r>
    </w:p>
    <w:p w14:paraId="6C67CCF8"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Biogeochemistry</w:t>
      </w:r>
    </w:p>
    <w:p w14:paraId="652F4997"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Conventional agriculture</w:t>
      </w:r>
    </w:p>
    <w:p w14:paraId="62271DAA"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Conservation agriculture</w:t>
      </w:r>
    </w:p>
    <w:p w14:paraId="11A9ED9C"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Rangelands</w:t>
      </w:r>
    </w:p>
    <w:p w14:paraId="3F0D2DE6"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Carbon cycle</w:t>
      </w:r>
    </w:p>
    <w:p w14:paraId="77A69B2E"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Other _______________</w:t>
      </w:r>
    </w:p>
    <w:p w14:paraId="4D9C309E" w14:textId="77777777" w:rsidR="00DF55C8" w:rsidRPr="00DF55C8" w:rsidRDefault="00DF55C8" w:rsidP="000B2554">
      <w:pPr>
        <w:numPr>
          <w:ilvl w:val="0"/>
          <w:numId w:val="25"/>
        </w:numPr>
        <w:contextualSpacing/>
        <w:rPr>
          <w:rFonts w:ascii="Calibri" w:eastAsia="Calibri" w:hAnsi="Calibri" w:cs="Times New Roman"/>
        </w:rPr>
      </w:pPr>
      <w:r w:rsidRPr="00DF55C8">
        <w:rPr>
          <w:rFonts w:ascii="Calibri" w:eastAsia="Calibri" w:hAnsi="Calibri" w:cs="Times New Roman"/>
        </w:rPr>
        <w:t>Years of experience in relevant field [can choose one]:</w:t>
      </w:r>
    </w:p>
    <w:p w14:paraId="7C01EF71"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1-5</w:t>
      </w:r>
    </w:p>
    <w:p w14:paraId="714BBE47"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6-10</w:t>
      </w:r>
    </w:p>
    <w:p w14:paraId="01CFB04B"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11-20</w:t>
      </w:r>
    </w:p>
    <w:p w14:paraId="17AAE286"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21-30</w:t>
      </w:r>
    </w:p>
    <w:p w14:paraId="11C0E7C8"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31+</w:t>
      </w:r>
    </w:p>
    <w:p w14:paraId="30889782" w14:textId="77777777" w:rsidR="00DF55C8" w:rsidRPr="00DF55C8" w:rsidRDefault="00DF55C8" w:rsidP="000B2554">
      <w:pPr>
        <w:numPr>
          <w:ilvl w:val="0"/>
          <w:numId w:val="25"/>
        </w:numPr>
        <w:contextualSpacing/>
        <w:rPr>
          <w:rFonts w:ascii="Calibri" w:eastAsia="Calibri" w:hAnsi="Calibri" w:cs="Times New Roman"/>
        </w:rPr>
      </w:pPr>
      <w:r w:rsidRPr="00DF55C8">
        <w:rPr>
          <w:rFonts w:ascii="Calibri" w:eastAsia="Calibri" w:hAnsi="Calibri" w:cs="Times New Roman"/>
        </w:rPr>
        <w:t>Current occupation and title __________________________________________</w:t>
      </w:r>
    </w:p>
    <w:p w14:paraId="03292461" w14:textId="77777777" w:rsidR="00DF55C8" w:rsidRPr="00DF55C8" w:rsidRDefault="00DF55C8" w:rsidP="000B2554">
      <w:pPr>
        <w:numPr>
          <w:ilvl w:val="0"/>
          <w:numId w:val="25"/>
        </w:numPr>
        <w:contextualSpacing/>
        <w:rPr>
          <w:rFonts w:ascii="Calibri" w:eastAsia="Calibri" w:hAnsi="Calibri" w:cs="Times New Roman"/>
        </w:rPr>
      </w:pPr>
      <w:r w:rsidRPr="00DF55C8">
        <w:rPr>
          <w:rFonts w:ascii="Calibri" w:eastAsia="Calibri" w:hAnsi="Calibri" w:cs="Times New Roman"/>
        </w:rPr>
        <w:t>Can you recommend others who have some knowledge of this topic and may be willing to assist us with this elicitation?</w:t>
      </w:r>
    </w:p>
    <w:p w14:paraId="5C656205" w14:textId="77777777" w:rsidR="00DF55C8" w:rsidRPr="00DF55C8" w:rsidRDefault="00DF55C8" w:rsidP="00DF55C8">
      <w:pPr>
        <w:ind w:left="720"/>
        <w:contextualSpacing/>
        <w:rPr>
          <w:rFonts w:ascii="Calibri" w:eastAsia="Calibri" w:hAnsi="Calibri" w:cs="Times New Roman"/>
        </w:rPr>
      </w:pPr>
    </w:p>
    <w:p w14:paraId="386E5048" w14:textId="77777777" w:rsidR="00DF55C8" w:rsidRPr="00DF55C8" w:rsidRDefault="00DF55C8" w:rsidP="00DF55C8">
      <w:pPr>
        <w:ind w:left="720"/>
        <w:contextualSpacing/>
        <w:rPr>
          <w:rFonts w:ascii="Calibri" w:eastAsia="Calibri" w:hAnsi="Calibri" w:cs="Times New Roman"/>
        </w:rPr>
      </w:pPr>
      <w:r w:rsidRPr="00DF55C8">
        <w:rPr>
          <w:rFonts w:ascii="Calibri" w:eastAsia="Calibri" w:hAnsi="Calibri" w:cs="Times New Roman"/>
        </w:rPr>
        <w:t>Name</w:t>
      </w:r>
      <w:r w:rsidRPr="00DF55C8">
        <w:rPr>
          <w:rFonts w:ascii="Calibri" w:eastAsia="Calibri" w:hAnsi="Calibri" w:cs="Times New Roman"/>
        </w:rPr>
        <w:tab/>
      </w:r>
      <w:r w:rsidRPr="00DF55C8">
        <w:rPr>
          <w:rFonts w:ascii="Calibri" w:eastAsia="Calibri" w:hAnsi="Calibri" w:cs="Times New Roman"/>
        </w:rPr>
        <w:tab/>
      </w:r>
      <w:r w:rsidRPr="00DF55C8">
        <w:rPr>
          <w:rFonts w:ascii="Calibri" w:eastAsia="Calibri" w:hAnsi="Calibri" w:cs="Times New Roman"/>
        </w:rPr>
        <w:tab/>
      </w:r>
      <w:r w:rsidRPr="00DF55C8">
        <w:rPr>
          <w:rFonts w:ascii="Calibri" w:eastAsia="Calibri" w:hAnsi="Calibri" w:cs="Times New Roman"/>
        </w:rPr>
        <w:tab/>
        <w:t>Occupation</w:t>
      </w:r>
      <w:r w:rsidRPr="00DF55C8">
        <w:rPr>
          <w:rFonts w:ascii="Calibri" w:eastAsia="Calibri" w:hAnsi="Calibri" w:cs="Times New Roman"/>
        </w:rPr>
        <w:tab/>
      </w:r>
      <w:r w:rsidRPr="00DF55C8">
        <w:rPr>
          <w:rFonts w:ascii="Calibri" w:eastAsia="Calibri" w:hAnsi="Calibri" w:cs="Times New Roman"/>
        </w:rPr>
        <w:tab/>
      </w:r>
      <w:r w:rsidRPr="00DF55C8">
        <w:rPr>
          <w:rFonts w:ascii="Calibri" w:eastAsia="Calibri" w:hAnsi="Calibri" w:cs="Times New Roman"/>
        </w:rPr>
        <w:tab/>
        <w:t>Expertise</w:t>
      </w:r>
    </w:p>
    <w:p w14:paraId="7B0AAB4D" w14:textId="77777777" w:rsidR="00DF55C8" w:rsidRPr="00DF55C8" w:rsidRDefault="00DF55C8" w:rsidP="00DF55C8">
      <w:pPr>
        <w:ind w:left="720"/>
        <w:contextualSpacing/>
        <w:rPr>
          <w:rFonts w:ascii="Calibri" w:eastAsia="Calibri" w:hAnsi="Calibri" w:cs="Times New Roman"/>
        </w:rPr>
      </w:pPr>
      <w:r w:rsidRPr="00DF55C8">
        <w:rPr>
          <w:rFonts w:ascii="Calibri" w:eastAsia="Calibri" w:hAnsi="Calibri" w:cs="Times New Roman"/>
        </w:rPr>
        <w:t>_______________</w:t>
      </w:r>
      <w:r w:rsidRPr="00DF55C8">
        <w:rPr>
          <w:rFonts w:ascii="Calibri" w:eastAsia="Calibri" w:hAnsi="Calibri" w:cs="Times New Roman"/>
        </w:rPr>
        <w:tab/>
        <w:t>__________________________</w:t>
      </w:r>
      <w:r w:rsidRPr="00DF55C8">
        <w:rPr>
          <w:rFonts w:ascii="Calibri" w:eastAsia="Calibri" w:hAnsi="Calibri" w:cs="Times New Roman"/>
        </w:rPr>
        <w:tab/>
      </w:r>
      <w:r w:rsidRPr="00DF55C8">
        <w:rPr>
          <w:rFonts w:ascii="Calibri" w:eastAsia="Calibri" w:hAnsi="Calibri" w:cs="Times New Roman"/>
        </w:rPr>
        <w:tab/>
        <w:t>_______________________</w:t>
      </w:r>
    </w:p>
    <w:p w14:paraId="635A9E4F" w14:textId="77777777" w:rsidR="00DF55C8" w:rsidRPr="00DF55C8" w:rsidRDefault="00DF55C8" w:rsidP="00DF55C8">
      <w:pPr>
        <w:ind w:left="720"/>
        <w:contextualSpacing/>
        <w:rPr>
          <w:rFonts w:ascii="Calibri" w:eastAsia="Calibri" w:hAnsi="Calibri" w:cs="Times New Roman"/>
        </w:rPr>
      </w:pPr>
      <w:r w:rsidRPr="00DF55C8">
        <w:rPr>
          <w:rFonts w:ascii="Calibri" w:eastAsia="Calibri" w:hAnsi="Calibri" w:cs="Times New Roman"/>
        </w:rPr>
        <w:t>_______________</w:t>
      </w:r>
      <w:r w:rsidRPr="00DF55C8">
        <w:rPr>
          <w:rFonts w:ascii="Calibri" w:eastAsia="Calibri" w:hAnsi="Calibri" w:cs="Times New Roman"/>
        </w:rPr>
        <w:tab/>
        <w:t>__________________________</w:t>
      </w:r>
      <w:r w:rsidRPr="00DF55C8">
        <w:rPr>
          <w:rFonts w:ascii="Calibri" w:eastAsia="Calibri" w:hAnsi="Calibri" w:cs="Times New Roman"/>
        </w:rPr>
        <w:tab/>
      </w:r>
      <w:r w:rsidRPr="00DF55C8">
        <w:rPr>
          <w:rFonts w:ascii="Calibri" w:eastAsia="Calibri" w:hAnsi="Calibri" w:cs="Times New Roman"/>
        </w:rPr>
        <w:tab/>
        <w:t>_______________________</w:t>
      </w:r>
    </w:p>
    <w:p w14:paraId="267827EC" w14:textId="77777777" w:rsidR="00DF55C8" w:rsidRPr="00DF55C8" w:rsidRDefault="00DF55C8" w:rsidP="000B2554">
      <w:pPr>
        <w:numPr>
          <w:ilvl w:val="0"/>
          <w:numId w:val="25"/>
        </w:numPr>
        <w:contextualSpacing/>
        <w:rPr>
          <w:rFonts w:ascii="Calibri" w:eastAsia="Calibri" w:hAnsi="Calibri" w:cs="Times New Roman"/>
        </w:rPr>
      </w:pPr>
      <w:r w:rsidRPr="00DF55C8">
        <w:rPr>
          <w:rFonts w:ascii="Calibri" w:eastAsia="Calibri" w:hAnsi="Calibri" w:cs="Times New Roman"/>
        </w:rPr>
        <w:t>We may include your comments in our final report, and to provide more context, we may be interested in attributing them. Please indicate if you are comfortable with being identified:</w:t>
      </w:r>
    </w:p>
    <w:p w14:paraId="6AA05FCC"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Yes (we will use your area of expertise as an identifier)</w:t>
      </w:r>
    </w:p>
    <w:p w14:paraId="258817DC" w14:textId="77777777" w:rsidR="00DF55C8" w:rsidRPr="00DF55C8" w:rsidRDefault="00DF55C8" w:rsidP="000B2554">
      <w:pPr>
        <w:numPr>
          <w:ilvl w:val="1"/>
          <w:numId w:val="25"/>
        </w:numPr>
        <w:contextualSpacing/>
        <w:rPr>
          <w:rFonts w:ascii="Calibri" w:eastAsia="Calibri" w:hAnsi="Calibri" w:cs="Times New Roman"/>
        </w:rPr>
      </w:pPr>
      <w:r w:rsidRPr="00DF55C8">
        <w:rPr>
          <w:rFonts w:ascii="Calibri" w:eastAsia="Calibri" w:hAnsi="Calibri" w:cs="Times New Roman"/>
        </w:rPr>
        <w:t>No, please do not share my comments</w:t>
      </w:r>
    </w:p>
    <w:p w14:paraId="71082B56" w14:textId="77777777" w:rsidR="00DF55C8" w:rsidRDefault="00DF55C8" w:rsidP="00DF55C8">
      <w:pPr>
        <w:rPr>
          <w:rFonts w:ascii="Calibri" w:eastAsia="Calibri" w:hAnsi="Calibri" w:cs="Calibri"/>
        </w:rPr>
      </w:pPr>
    </w:p>
    <w:p w14:paraId="4948EF1A" w14:textId="77777777" w:rsidR="003660E2" w:rsidRPr="00DF55C8" w:rsidRDefault="003660E2" w:rsidP="00DF55C8">
      <w:pPr>
        <w:rPr>
          <w:rFonts w:ascii="Calibri" w:eastAsia="Calibri" w:hAnsi="Calibri" w:cs="Calibri"/>
        </w:rPr>
      </w:pPr>
    </w:p>
    <w:p w14:paraId="617368F8"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b/>
          <w:bCs/>
          <w:color w:val="000000"/>
        </w:rPr>
        <w:lastRenderedPageBreak/>
        <w:t>References</w:t>
      </w:r>
    </w:p>
    <w:p w14:paraId="238ECD22"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Allison, S.D., Wallenstein, M.D., &amp; Bradford, M.A. (2010). Soil-carbon response to warming dependent on microbial physiology. </w:t>
      </w:r>
      <w:r w:rsidRPr="00DF55C8">
        <w:rPr>
          <w:rFonts w:ascii="Calibri" w:eastAsia="Times New Roman" w:hAnsi="Calibri" w:cs="Calibri"/>
          <w:i/>
          <w:iCs/>
          <w:color w:val="000000"/>
        </w:rPr>
        <w:t>Nature Geoscience, 3</w:t>
      </w:r>
      <w:r w:rsidRPr="00DF55C8">
        <w:rPr>
          <w:rFonts w:ascii="Calibri" w:eastAsia="Times New Roman" w:hAnsi="Calibri" w:cs="Calibri"/>
          <w:color w:val="000000"/>
        </w:rPr>
        <w:t>, 336-340.</w:t>
      </w:r>
    </w:p>
    <w:p w14:paraId="38605F6D" w14:textId="77777777" w:rsidR="00DF55C8" w:rsidRPr="00DF55C8" w:rsidRDefault="00DF55C8" w:rsidP="00DF55C8">
      <w:pPr>
        <w:spacing w:line="240" w:lineRule="auto"/>
        <w:rPr>
          <w:rFonts w:ascii="Calibri" w:eastAsia="Times New Roman" w:hAnsi="Calibri" w:cs="Calibri"/>
        </w:rPr>
      </w:pPr>
      <w:hyperlink r:id="rId17" w:anchor="auth-1" w:history="1">
        <w:r w:rsidRPr="00DF55C8">
          <w:rPr>
            <w:rFonts w:ascii="Calibri" w:eastAsia="Times New Roman" w:hAnsi="Calibri" w:cs="Calibri"/>
            <w:color w:val="000000"/>
            <w:u w:val="single"/>
            <w:shd w:val="clear" w:color="auto" w:fill="FFFFFF"/>
          </w:rPr>
          <w:t>Arneth</w:t>
        </w:r>
      </w:hyperlink>
      <w:r w:rsidRPr="00DF55C8">
        <w:rPr>
          <w:rFonts w:ascii="Calibri" w:eastAsia="Times New Roman" w:hAnsi="Calibri" w:cs="Calibri"/>
          <w:color w:val="000000"/>
          <w:shd w:val="clear" w:color="auto" w:fill="FFFFFF"/>
        </w:rPr>
        <w:t xml:space="preserve"> A., </w:t>
      </w:r>
      <w:hyperlink r:id="rId18" w:anchor="auth-2" w:history="1">
        <w:r w:rsidRPr="00DF55C8">
          <w:rPr>
            <w:rFonts w:ascii="Calibri" w:eastAsia="Times New Roman" w:hAnsi="Calibri" w:cs="Calibri"/>
            <w:color w:val="000000"/>
            <w:u w:val="single"/>
            <w:shd w:val="clear" w:color="auto" w:fill="FFFFFF"/>
          </w:rPr>
          <w:t>Harrison</w:t>
        </w:r>
      </w:hyperlink>
      <w:r w:rsidRPr="00DF55C8">
        <w:rPr>
          <w:rFonts w:ascii="Calibri" w:eastAsia="Times New Roman" w:hAnsi="Calibri" w:cs="Calibri"/>
          <w:color w:val="000000"/>
          <w:shd w:val="clear" w:color="auto" w:fill="FFFFFF"/>
        </w:rPr>
        <w:t xml:space="preserve"> S.P.,</w:t>
      </w:r>
      <w:hyperlink r:id="rId19" w:anchor="auth-3" w:history="1">
        <w:r w:rsidRPr="00DF55C8">
          <w:rPr>
            <w:rFonts w:ascii="Calibri" w:eastAsia="Times New Roman" w:hAnsi="Calibri" w:cs="Calibri"/>
            <w:color w:val="000000"/>
            <w:u w:val="single"/>
            <w:shd w:val="clear" w:color="auto" w:fill="FFFFFF"/>
          </w:rPr>
          <w:t xml:space="preserve"> Zaehle</w:t>
        </w:r>
      </w:hyperlink>
      <w:r w:rsidRPr="00DF55C8">
        <w:rPr>
          <w:rFonts w:ascii="Calibri" w:eastAsia="Times New Roman" w:hAnsi="Calibri" w:cs="Calibri"/>
          <w:color w:val="000000"/>
          <w:shd w:val="clear" w:color="auto" w:fill="FFFFFF"/>
        </w:rPr>
        <w:t>, S.,</w:t>
      </w:r>
      <w:hyperlink r:id="rId20" w:anchor="auth-4" w:history="1">
        <w:r w:rsidRPr="00DF55C8">
          <w:rPr>
            <w:rFonts w:ascii="Calibri" w:eastAsia="Times New Roman" w:hAnsi="Calibri" w:cs="Calibri"/>
            <w:color w:val="000000"/>
            <w:u w:val="single"/>
            <w:shd w:val="clear" w:color="auto" w:fill="FFFFFF"/>
          </w:rPr>
          <w:t xml:space="preserve"> Tsigaridis</w:t>
        </w:r>
      </w:hyperlink>
      <w:r w:rsidRPr="00DF55C8">
        <w:rPr>
          <w:rFonts w:ascii="Calibri" w:eastAsia="Times New Roman" w:hAnsi="Calibri" w:cs="Calibri"/>
          <w:color w:val="000000"/>
          <w:shd w:val="clear" w:color="auto" w:fill="FFFFFF"/>
        </w:rPr>
        <w:t>. K., Menon, S., Bartlein, P.J.</w:t>
      </w:r>
      <w:proofErr w:type="gramStart"/>
      <w:r w:rsidRPr="00DF55C8">
        <w:rPr>
          <w:rFonts w:ascii="Calibri" w:eastAsia="Times New Roman" w:hAnsi="Calibri" w:cs="Calibri"/>
          <w:color w:val="000000"/>
          <w:shd w:val="clear" w:color="auto" w:fill="FFFFFF"/>
        </w:rPr>
        <w:t>,…</w:t>
      </w:r>
      <w:proofErr w:type="gramEnd"/>
      <w:r w:rsidRPr="00DF55C8">
        <w:rPr>
          <w:rFonts w:ascii="Calibri" w:eastAsia="Times New Roman" w:hAnsi="Calibri" w:cs="Calibri"/>
          <w:color w:val="000000"/>
          <w:shd w:val="clear" w:color="auto" w:fill="FFFFFF"/>
        </w:rPr>
        <w:t xml:space="preserve">Vesala, T. (July 2010). Terrestrial biogeochemical feedbacks in the climate system. </w:t>
      </w:r>
      <w:r w:rsidRPr="00DF55C8">
        <w:rPr>
          <w:rFonts w:ascii="Calibri" w:eastAsia="Times New Roman" w:hAnsi="Calibri" w:cs="Calibri"/>
          <w:i/>
          <w:iCs/>
          <w:color w:val="000000"/>
          <w:shd w:val="clear" w:color="auto" w:fill="FFFFFF"/>
        </w:rPr>
        <w:t>Nature Geoscience, 3</w:t>
      </w:r>
      <w:r w:rsidRPr="00DF55C8">
        <w:rPr>
          <w:rFonts w:ascii="Calibri" w:eastAsia="Times New Roman" w:hAnsi="Calibri" w:cs="Calibri"/>
          <w:color w:val="000000"/>
          <w:shd w:val="clear" w:color="auto" w:fill="FFFFFF"/>
        </w:rPr>
        <w:t>, 525-532.</w:t>
      </w:r>
    </w:p>
    <w:p w14:paraId="6439BCC6"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shd w:val="clear" w:color="auto" w:fill="FFFFFF"/>
        </w:rPr>
        <w:t>Bakken L.R., Frostegård Å. (2017) Sources and sinks for N</w:t>
      </w:r>
      <w:r w:rsidRPr="00DF55C8">
        <w:rPr>
          <w:rFonts w:ascii="Calibri" w:eastAsia="Times New Roman" w:hAnsi="Calibri" w:cs="Calibri"/>
          <w:color w:val="000000"/>
          <w:shd w:val="clear" w:color="auto" w:fill="FFFFFF"/>
          <w:vertAlign w:val="subscript"/>
        </w:rPr>
        <w:t>2</w:t>
      </w:r>
      <w:r w:rsidRPr="00DF55C8">
        <w:rPr>
          <w:rFonts w:ascii="Calibri" w:eastAsia="Times New Roman" w:hAnsi="Calibri" w:cs="Calibri"/>
          <w:color w:val="000000"/>
          <w:shd w:val="clear" w:color="auto" w:fill="FFFFFF"/>
        </w:rPr>
        <w:t>O, can microbiologist help to mitigate N</w:t>
      </w:r>
      <w:r w:rsidRPr="00DF55C8">
        <w:rPr>
          <w:rFonts w:ascii="Calibri" w:eastAsia="Times New Roman" w:hAnsi="Calibri" w:cs="Calibri"/>
          <w:color w:val="000000"/>
          <w:shd w:val="clear" w:color="auto" w:fill="FFFFFF"/>
          <w:vertAlign w:val="subscript"/>
        </w:rPr>
        <w:t>2</w:t>
      </w:r>
      <w:r w:rsidRPr="00DF55C8">
        <w:rPr>
          <w:rFonts w:ascii="Calibri" w:eastAsia="Times New Roman" w:hAnsi="Calibri" w:cs="Calibri"/>
          <w:color w:val="000000"/>
          <w:shd w:val="clear" w:color="auto" w:fill="FFFFFF"/>
        </w:rPr>
        <w:t xml:space="preserve">O emissions? </w:t>
      </w:r>
      <w:r w:rsidRPr="00DF55C8">
        <w:rPr>
          <w:rFonts w:ascii="Calibri" w:eastAsia="Times New Roman" w:hAnsi="Calibri" w:cs="Calibri"/>
          <w:i/>
          <w:iCs/>
          <w:color w:val="000000"/>
          <w:shd w:val="clear" w:color="auto" w:fill="FFFFFF"/>
        </w:rPr>
        <w:t>Environ Microbiol 19</w:t>
      </w:r>
      <w:r w:rsidRPr="00DF55C8">
        <w:rPr>
          <w:rFonts w:ascii="Calibri" w:eastAsia="Times New Roman" w:hAnsi="Calibri" w:cs="Calibri"/>
          <w:color w:val="000000"/>
          <w:shd w:val="clear" w:color="auto" w:fill="FFFFFF"/>
        </w:rPr>
        <w:t>, 4801–480</w:t>
      </w:r>
    </w:p>
    <w:p w14:paraId="160BF284"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Brevik, E.C., Cerda, A., Mataix-Solera, J., Pereg, L., Quinton, J.N., Six, J. &amp; Van Oost, K. (2015). The interdisciplinary nature of SOIL. </w:t>
      </w:r>
      <w:r w:rsidRPr="00DF55C8">
        <w:rPr>
          <w:rFonts w:ascii="Calibri" w:eastAsia="Times New Roman" w:hAnsi="Calibri" w:cs="Calibri"/>
          <w:i/>
          <w:iCs/>
          <w:color w:val="000000"/>
        </w:rPr>
        <w:t>SOIL, 1</w:t>
      </w:r>
      <w:r w:rsidRPr="00DF55C8">
        <w:rPr>
          <w:rFonts w:ascii="Calibri" w:eastAsia="Times New Roman" w:hAnsi="Calibri" w:cs="Calibri"/>
          <w:color w:val="000000"/>
        </w:rPr>
        <w:t>(1), 117-129.</w:t>
      </w:r>
    </w:p>
    <w:p w14:paraId="63636BB9"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Bridgham, S.D., Cadillo-Quiroz, H., Keller, J.K., &amp; Zhuang, Q. (December 2012). Methane emissions from wetlands: biogeochemical, microbial, and modeling perspectives from local to global scales. </w:t>
      </w:r>
      <w:r w:rsidRPr="00DF55C8">
        <w:rPr>
          <w:rFonts w:ascii="Calibri" w:eastAsia="Times New Roman" w:hAnsi="Calibri" w:cs="Calibri"/>
          <w:i/>
          <w:iCs/>
          <w:color w:val="000000"/>
        </w:rPr>
        <w:t>Global Change Biology, 19</w:t>
      </w:r>
      <w:r w:rsidRPr="00DF55C8">
        <w:rPr>
          <w:rFonts w:ascii="Calibri" w:eastAsia="Times New Roman" w:hAnsi="Calibri" w:cs="Calibri"/>
          <w:color w:val="000000"/>
        </w:rPr>
        <w:t>(5), 1325-1346.</w:t>
      </w:r>
    </w:p>
    <w:p w14:paraId="782873C4"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Brye, K.R., Rogers, C.W., Smartt, A.D., &amp; Norman, R. K. (October 2013). Soil Texture Effects on Methane Emissions </w:t>
      </w:r>
      <w:proofErr w:type="gramStart"/>
      <w:r w:rsidRPr="00DF55C8">
        <w:rPr>
          <w:rFonts w:ascii="Calibri" w:eastAsia="Times New Roman" w:hAnsi="Calibri" w:cs="Calibri"/>
          <w:color w:val="000000"/>
        </w:rPr>
        <w:t>From</w:t>
      </w:r>
      <w:proofErr w:type="gramEnd"/>
      <w:r w:rsidRPr="00DF55C8">
        <w:rPr>
          <w:rFonts w:ascii="Calibri" w:eastAsia="Times New Roman" w:hAnsi="Calibri" w:cs="Calibri"/>
          <w:color w:val="000000"/>
        </w:rPr>
        <w:t xml:space="preserve"> Direct-Seeded, Delayed-Flood Rice Production in Arkansas. </w:t>
      </w:r>
      <w:r w:rsidRPr="00DF55C8">
        <w:rPr>
          <w:rFonts w:ascii="Calibri" w:eastAsia="Times New Roman" w:hAnsi="Calibri" w:cs="Calibri"/>
          <w:i/>
          <w:iCs/>
          <w:color w:val="000000"/>
        </w:rPr>
        <w:t>Soil Science, 178</w:t>
      </w:r>
      <w:r w:rsidRPr="00DF55C8">
        <w:rPr>
          <w:rFonts w:ascii="Calibri" w:eastAsia="Times New Roman" w:hAnsi="Calibri" w:cs="Calibri"/>
          <w:color w:val="000000"/>
        </w:rPr>
        <w:t>(10). 519-529.</w:t>
      </w:r>
    </w:p>
    <w:p w14:paraId="42EE250F"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Burns, R.G., DeForest, J.L., Marxsen, J., Sinsabaugh, R.L., Stromberger, M.E., Wallenstein, M.D., Weintraub, M.N., &amp; Zoppini, A. (2013). Soil enzymes in a changing environment: current knowledge and future directions. </w:t>
      </w:r>
      <w:r w:rsidRPr="00DF55C8">
        <w:rPr>
          <w:rFonts w:ascii="Calibri" w:eastAsia="Times New Roman" w:hAnsi="Calibri" w:cs="Calibri"/>
          <w:i/>
          <w:iCs/>
          <w:color w:val="000000"/>
        </w:rPr>
        <w:t>Soil Biology and Biochemistry, 58</w:t>
      </w:r>
      <w:r w:rsidRPr="00DF55C8">
        <w:rPr>
          <w:rFonts w:ascii="Calibri" w:eastAsia="Times New Roman" w:hAnsi="Calibri" w:cs="Calibri"/>
          <w:color w:val="000000"/>
        </w:rPr>
        <w:t>, 216-234.</w:t>
      </w:r>
    </w:p>
    <w:p w14:paraId="451077DB"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Butterbach-Bahl, K., Baggs, E.M., Dannenmann, M., Kiese, R., &amp; Zechmeister-Boltenstern, S. (2013). Nitrous oxide emissions from soils: how well do we understand the processes and their controls? </w:t>
      </w:r>
      <w:r w:rsidRPr="00DF55C8">
        <w:rPr>
          <w:rFonts w:ascii="Calibri" w:eastAsia="Times New Roman" w:hAnsi="Calibri" w:cs="Calibri"/>
          <w:i/>
          <w:iCs/>
          <w:color w:val="000000"/>
        </w:rPr>
        <w:t>Philosophical Transactions of the Royal Society, 368</w:t>
      </w:r>
      <w:r w:rsidRPr="00DF55C8">
        <w:rPr>
          <w:rFonts w:ascii="Calibri" w:eastAsia="Times New Roman" w:hAnsi="Calibri" w:cs="Calibri"/>
          <w:color w:val="000000"/>
        </w:rPr>
        <w:t>(1621).</w:t>
      </w:r>
    </w:p>
    <w:p w14:paraId="23D2EA5F"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Cayuela, M.L., van Zwieten, L., Singh, B.P., Jeffrey, S., Roig, A., &amp; Sanchez-Monedero, M.A. (June 2014). </w:t>
      </w:r>
      <w:r w:rsidRPr="00DF55C8">
        <w:rPr>
          <w:rFonts w:ascii="Calibri" w:eastAsia="Times New Roman" w:hAnsi="Calibri" w:cs="Calibri"/>
          <w:i/>
          <w:iCs/>
          <w:color w:val="000000"/>
        </w:rPr>
        <w:t>Agriculture, Ecosystems &amp; Environment, 191,</w:t>
      </w:r>
      <w:r w:rsidRPr="00DF55C8">
        <w:rPr>
          <w:rFonts w:ascii="Calibri" w:eastAsia="Times New Roman" w:hAnsi="Calibri" w:cs="Calibri"/>
          <w:color w:val="000000"/>
        </w:rPr>
        <w:t xml:space="preserve"> 5-16.</w:t>
      </w:r>
    </w:p>
    <w:p w14:paraId="6D7601DF"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Chen, Z., Griffis, T.J., Millet, D.B., Wood, J.D., Lee, X., Baker, J.M., Xiao, K., Turner, P.A., Chen, M., Zobitz, J. and Wells, K.C., 2016. Partitioning N</w:t>
      </w:r>
      <w:r w:rsidRPr="00DF55C8">
        <w:rPr>
          <w:rFonts w:ascii="Calibri" w:eastAsia="Times New Roman" w:hAnsi="Calibri" w:cs="Calibri"/>
          <w:color w:val="000000"/>
          <w:vertAlign w:val="subscript"/>
        </w:rPr>
        <w:t>2</w:t>
      </w:r>
      <w:r w:rsidRPr="00DF55C8">
        <w:rPr>
          <w:rFonts w:ascii="Calibri" w:eastAsia="Times New Roman" w:hAnsi="Calibri" w:cs="Calibri"/>
          <w:color w:val="000000"/>
        </w:rPr>
        <w:t xml:space="preserve">O emissions within the US Corn Belt using an inverse modeling approach. </w:t>
      </w:r>
      <w:r w:rsidRPr="00DF55C8">
        <w:rPr>
          <w:rFonts w:ascii="Calibri" w:eastAsia="Times New Roman" w:hAnsi="Calibri" w:cs="Calibri"/>
          <w:i/>
          <w:iCs/>
          <w:color w:val="000000"/>
        </w:rPr>
        <w:t>Global Biogeochemical Cycles</w:t>
      </w:r>
      <w:r w:rsidRPr="00DF55C8">
        <w:rPr>
          <w:rFonts w:ascii="Calibri" w:eastAsia="Times New Roman" w:hAnsi="Calibri" w:cs="Calibri"/>
          <w:color w:val="000000"/>
        </w:rPr>
        <w:t xml:space="preserve">, </w:t>
      </w:r>
      <w:r w:rsidRPr="00DF55C8">
        <w:rPr>
          <w:rFonts w:ascii="Calibri" w:eastAsia="Times New Roman" w:hAnsi="Calibri" w:cs="Calibri"/>
          <w:i/>
          <w:iCs/>
          <w:color w:val="000000"/>
        </w:rPr>
        <w:t>30</w:t>
      </w:r>
      <w:r w:rsidRPr="00DF55C8">
        <w:rPr>
          <w:rFonts w:ascii="Calibri" w:eastAsia="Times New Roman" w:hAnsi="Calibri" w:cs="Calibri"/>
          <w:color w:val="000000"/>
        </w:rPr>
        <w:t>(8), pp.1192-1205.</w:t>
      </w:r>
    </w:p>
    <w:p w14:paraId="6332AD2A"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Clough, T.J., Condron, L.M., Kammann, C., &amp; Muller, C. (April 2013). A Review of Biochar and Soil Nitrogen Dynamics. </w:t>
      </w:r>
      <w:r w:rsidRPr="00DF55C8">
        <w:rPr>
          <w:rFonts w:ascii="Calibri" w:eastAsia="Times New Roman" w:hAnsi="Calibri" w:cs="Calibri"/>
          <w:i/>
          <w:iCs/>
          <w:color w:val="000000"/>
        </w:rPr>
        <w:t>Agronomy, 3(</w:t>
      </w:r>
      <w:r w:rsidRPr="00DF55C8">
        <w:rPr>
          <w:rFonts w:ascii="Calibri" w:eastAsia="Times New Roman" w:hAnsi="Calibri" w:cs="Calibri"/>
          <w:color w:val="000000"/>
        </w:rPr>
        <w:t>2), 275-293</w:t>
      </w:r>
    </w:p>
    <w:p w14:paraId="2A2A067E"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Conant, R.T., Ryan, M.G., Agren, G.I., Birge, H.E., Davidson, E.A., Eliasson, P.E.</w:t>
      </w:r>
      <w:proofErr w:type="gramStart"/>
      <w:r w:rsidRPr="00DF55C8">
        <w:rPr>
          <w:rFonts w:ascii="Calibri" w:eastAsia="Times New Roman" w:hAnsi="Calibri" w:cs="Calibri"/>
          <w:color w:val="000000"/>
        </w:rPr>
        <w:t>,…</w:t>
      </w:r>
      <w:proofErr w:type="gramEnd"/>
      <w:r w:rsidRPr="00DF55C8">
        <w:rPr>
          <w:rFonts w:ascii="Calibri" w:eastAsia="Times New Roman" w:hAnsi="Calibri" w:cs="Calibri"/>
          <w:color w:val="000000"/>
        </w:rPr>
        <w:t xml:space="preserve">Bradford, M.A. (2011). Temperature and soil organic matter decomposition rates–synthesis of current knowledge and a way forward. </w:t>
      </w:r>
      <w:r w:rsidRPr="00DF55C8">
        <w:rPr>
          <w:rFonts w:ascii="Calibri" w:eastAsia="Times New Roman" w:hAnsi="Calibri" w:cs="Calibri"/>
          <w:i/>
          <w:iCs/>
          <w:color w:val="000000"/>
        </w:rPr>
        <w:t>Global Change Biology, 17</w:t>
      </w:r>
      <w:r w:rsidRPr="00DF55C8">
        <w:rPr>
          <w:rFonts w:ascii="Calibri" w:eastAsia="Times New Roman" w:hAnsi="Calibri" w:cs="Calibri"/>
          <w:color w:val="000000"/>
        </w:rPr>
        <w:t>(11), 3392-3404.</w:t>
      </w:r>
    </w:p>
    <w:p w14:paraId="2947C845"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Cotrufo, M.F., Wallenstein, M.D., Boot, C.M., Denef, K., &amp; Paul, E. (2012). The Microbial Efficiency‐Matrix Stabilization (MEMS) framework integrates plant litter decomposition with soil organic matter. </w:t>
      </w:r>
      <w:r w:rsidRPr="00DF55C8">
        <w:rPr>
          <w:rFonts w:ascii="Calibri" w:eastAsia="Times New Roman" w:hAnsi="Calibri" w:cs="Calibri"/>
          <w:i/>
          <w:iCs/>
          <w:color w:val="000000"/>
        </w:rPr>
        <w:t>Global Change Biology, 19</w:t>
      </w:r>
      <w:r w:rsidRPr="00DF55C8">
        <w:rPr>
          <w:rFonts w:ascii="Calibri" w:eastAsia="Times New Roman" w:hAnsi="Calibri" w:cs="Calibri"/>
          <w:color w:val="000000"/>
        </w:rPr>
        <w:t>(4), 988-995</w:t>
      </w:r>
    </w:p>
    <w:p w14:paraId="41DAD742"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DelGrosso, S.J., Parton, W.J., Mosier, A.R., Ojima, D.S., Potter, C.S., Borken, W.</w:t>
      </w:r>
      <w:proofErr w:type="gramStart"/>
      <w:r w:rsidRPr="00DF55C8">
        <w:rPr>
          <w:rFonts w:ascii="Calibri" w:eastAsia="Times New Roman" w:hAnsi="Calibri" w:cs="Calibri"/>
          <w:color w:val="000000"/>
        </w:rPr>
        <w:t>,…</w:t>
      </w:r>
      <w:proofErr w:type="gramEnd"/>
      <w:r w:rsidRPr="00DF55C8">
        <w:rPr>
          <w:rFonts w:ascii="Calibri" w:eastAsia="Times New Roman" w:hAnsi="Calibri" w:cs="Calibri"/>
          <w:color w:val="000000"/>
        </w:rPr>
        <w:t>Smith, K.A. (December 2000). General CH oxidation model and comparisons of CH</w:t>
      </w:r>
      <w:r w:rsidRPr="00DF55C8">
        <w:rPr>
          <w:rFonts w:ascii="Calibri" w:eastAsia="Times New Roman" w:hAnsi="Calibri" w:cs="Calibri"/>
          <w:color w:val="000000"/>
          <w:vertAlign w:val="subscript"/>
        </w:rPr>
        <w:t>4</w:t>
      </w:r>
      <w:r w:rsidRPr="00DF55C8">
        <w:rPr>
          <w:rFonts w:ascii="Calibri" w:eastAsia="Times New Roman" w:hAnsi="Calibri" w:cs="Calibri"/>
          <w:color w:val="000000"/>
        </w:rPr>
        <w:t xml:space="preserve"> oxidation in natural and managed systems. </w:t>
      </w:r>
      <w:r w:rsidRPr="00DF55C8">
        <w:rPr>
          <w:rFonts w:ascii="Calibri" w:eastAsia="Times New Roman" w:hAnsi="Calibri" w:cs="Calibri"/>
          <w:i/>
          <w:iCs/>
          <w:color w:val="000000"/>
        </w:rPr>
        <w:t>Global Biogeochemical Cycles, 14</w:t>
      </w:r>
      <w:r w:rsidRPr="00DF55C8">
        <w:rPr>
          <w:rFonts w:ascii="Calibri" w:eastAsia="Times New Roman" w:hAnsi="Calibri" w:cs="Calibri"/>
          <w:color w:val="000000"/>
        </w:rPr>
        <w:t>(4), 999-1019.</w:t>
      </w:r>
    </w:p>
    <w:p w14:paraId="0380D0CD"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DelGrosso, S., Ogle, S.M., Parton, W.K., &amp; Bredit, F.J. (2009). Estimating uncertainty in N</w:t>
      </w:r>
      <w:r w:rsidRPr="00DF55C8">
        <w:rPr>
          <w:rFonts w:ascii="Calibri" w:eastAsia="Times New Roman" w:hAnsi="Calibri" w:cs="Calibri"/>
          <w:color w:val="000000"/>
          <w:vertAlign w:val="subscript"/>
        </w:rPr>
        <w:t>2</w:t>
      </w:r>
      <w:r w:rsidRPr="00DF55C8">
        <w:rPr>
          <w:rFonts w:ascii="Calibri" w:eastAsia="Times New Roman" w:hAnsi="Calibri" w:cs="Calibri"/>
          <w:color w:val="000000"/>
        </w:rPr>
        <w:t xml:space="preserve">O emissions from U.S. cropland soils. </w:t>
      </w:r>
      <w:r w:rsidRPr="00DF55C8">
        <w:rPr>
          <w:rFonts w:ascii="Calibri" w:eastAsia="Times New Roman" w:hAnsi="Calibri" w:cs="Calibri"/>
          <w:i/>
          <w:iCs/>
          <w:color w:val="000000"/>
        </w:rPr>
        <w:t>Global Biogeochemical Cycles, 24</w:t>
      </w:r>
      <w:r w:rsidRPr="00DF55C8">
        <w:rPr>
          <w:rFonts w:ascii="Calibri" w:eastAsia="Times New Roman" w:hAnsi="Calibri" w:cs="Calibri"/>
          <w:color w:val="000000"/>
        </w:rPr>
        <w:t>.</w:t>
      </w:r>
    </w:p>
    <w:p w14:paraId="7FD7096F"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lastRenderedPageBreak/>
        <w:t xml:space="preserve">Dungait, J.A., Hopkins, D.W., Gregory, A.S., &amp; Whitmore, A.P. (2012). Soil organic matter turnover is governed by accessibility not recalcitrance. </w:t>
      </w:r>
      <w:r w:rsidRPr="00DF55C8">
        <w:rPr>
          <w:rFonts w:ascii="Calibri" w:eastAsia="Times New Roman" w:hAnsi="Calibri" w:cs="Calibri"/>
          <w:i/>
          <w:iCs/>
          <w:color w:val="000000"/>
        </w:rPr>
        <w:t>Global Change Biology, 18</w:t>
      </w:r>
      <w:r w:rsidRPr="00DF55C8">
        <w:rPr>
          <w:rFonts w:ascii="Calibri" w:eastAsia="Times New Roman" w:hAnsi="Calibri" w:cs="Calibri"/>
          <w:color w:val="000000"/>
        </w:rPr>
        <w:t>(6), 1781-1796.</w:t>
      </w:r>
    </w:p>
    <w:p w14:paraId="7791D3AB"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Ehrhardt, F., Soussana, J.F., Bellocchi, G., Grace, P., McAuliffe, R., Recous, S., Sándor, R., Smith, P., Snow, V., de Antoni Migliorati, M. and Basso, B. (2018). Assessing uncertainties in crop and pasture ensemble model simulations of productivity and N</w:t>
      </w:r>
      <w:r w:rsidRPr="00DF55C8">
        <w:rPr>
          <w:rFonts w:ascii="Calibri" w:eastAsia="Times New Roman" w:hAnsi="Calibri" w:cs="Calibri"/>
          <w:color w:val="000000"/>
          <w:vertAlign w:val="subscript"/>
        </w:rPr>
        <w:t>2</w:t>
      </w:r>
      <w:r w:rsidRPr="00DF55C8">
        <w:rPr>
          <w:rFonts w:ascii="Calibri" w:eastAsia="Times New Roman" w:hAnsi="Calibri" w:cs="Calibri"/>
          <w:color w:val="000000"/>
        </w:rPr>
        <w:t>O emissions.</w:t>
      </w:r>
      <w:r w:rsidRPr="00DF55C8">
        <w:rPr>
          <w:rFonts w:ascii="Calibri" w:eastAsia="Times New Roman" w:hAnsi="Calibri" w:cs="Calibri"/>
          <w:i/>
          <w:iCs/>
          <w:color w:val="000000"/>
        </w:rPr>
        <w:t xml:space="preserve"> Global change biology, 24</w:t>
      </w:r>
      <w:r w:rsidRPr="00DF55C8">
        <w:rPr>
          <w:rFonts w:ascii="Calibri" w:eastAsia="Times New Roman" w:hAnsi="Calibri" w:cs="Calibri"/>
          <w:color w:val="000000"/>
        </w:rPr>
        <w:t>(2), 603-e616.</w:t>
      </w:r>
    </w:p>
    <w:p w14:paraId="30723A23"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Fellman, J.B., Hood, E., &amp; Spencer, R.M. (2010). Fluorescence spectroscopy opens new windows into dissolved organic matter dynamics in freshwater ecosystems: A review. </w:t>
      </w:r>
      <w:r w:rsidRPr="00DF55C8">
        <w:rPr>
          <w:rFonts w:ascii="Calibri" w:eastAsia="Times New Roman" w:hAnsi="Calibri" w:cs="Calibri"/>
          <w:i/>
          <w:iCs/>
          <w:color w:val="000000"/>
        </w:rPr>
        <w:t>Limnology and Oceanography, 55</w:t>
      </w:r>
      <w:r w:rsidRPr="00DF55C8">
        <w:rPr>
          <w:rFonts w:ascii="Calibri" w:eastAsia="Times New Roman" w:hAnsi="Calibri" w:cs="Calibri"/>
          <w:color w:val="000000"/>
        </w:rPr>
        <w:t>(6), 2452-2462.</w:t>
      </w:r>
    </w:p>
    <w:p w14:paraId="292D23AA"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Lehmann, J., Rillig, M.C., Thies, J., Masiello, C.A., Hockaday, W.C., &amp; Crowley, D. (2011). Biochar effects on soil biota–a review. </w:t>
      </w:r>
      <w:r w:rsidRPr="00DF55C8">
        <w:rPr>
          <w:rFonts w:ascii="Calibri" w:eastAsia="Times New Roman" w:hAnsi="Calibri" w:cs="Calibri"/>
          <w:i/>
          <w:iCs/>
          <w:color w:val="000000"/>
        </w:rPr>
        <w:t>Soil Biology and Biochemistry</w:t>
      </w:r>
      <w:r w:rsidRPr="00DF55C8">
        <w:rPr>
          <w:rFonts w:ascii="Calibri" w:eastAsia="Times New Roman" w:hAnsi="Calibri" w:cs="Calibri"/>
          <w:color w:val="000000"/>
        </w:rPr>
        <w:t>, 43(9), 1812-1836.</w:t>
      </w:r>
    </w:p>
    <w:p w14:paraId="43BDE728"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Kuzyakov, Y. (2010). Priming effects: Interactions between living and dead organic matter. </w:t>
      </w:r>
      <w:r w:rsidRPr="00DF55C8">
        <w:rPr>
          <w:rFonts w:ascii="Calibri" w:eastAsia="Times New Roman" w:hAnsi="Calibri" w:cs="Calibri"/>
          <w:i/>
          <w:iCs/>
          <w:color w:val="000000"/>
        </w:rPr>
        <w:t>Soil Biology and Biochemistry, 42</w:t>
      </w:r>
      <w:r w:rsidRPr="00DF55C8">
        <w:rPr>
          <w:rFonts w:ascii="Calibri" w:eastAsia="Times New Roman" w:hAnsi="Calibri" w:cs="Calibri"/>
          <w:color w:val="000000"/>
        </w:rPr>
        <w:t>(9), 1363-1371.</w:t>
      </w:r>
    </w:p>
    <w:p w14:paraId="6759BE6C"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Mei, K., </w:t>
      </w:r>
      <w:proofErr w:type="gramStart"/>
      <w:r w:rsidRPr="00DF55C8">
        <w:rPr>
          <w:rFonts w:ascii="Calibri" w:eastAsia="Times New Roman" w:hAnsi="Calibri" w:cs="Calibri"/>
          <w:color w:val="000000"/>
        </w:rPr>
        <w:t>Wang.,</w:t>
      </w:r>
      <w:proofErr w:type="gramEnd"/>
      <w:r w:rsidRPr="00DF55C8">
        <w:rPr>
          <w:rFonts w:ascii="Calibri" w:eastAsia="Times New Roman" w:hAnsi="Calibri" w:cs="Calibri"/>
          <w:color w:val="000000"/>
        </w:rPr>
        <w:t xml:space="preserve"> Z., Huang, H., Zhang, C., Shang, X., Dahlgren, R.A.,…Xia, F. (May 2018). Stimulation of N</w:t>
      </w:r>
      <w:r w:rsidRPr="00DF55C8">
        <w:rPr>
          <w:rFonts w:ascii="Calibri" w:eastAsia="Times New Roman" w:hAnsi="Calibri" w:cs="Calibri"/>
          <w:color w:val="000000"/>
          <w:vertAlign w:val="subscript"/>
        </w:rPr>
        <w:t>2</w:t>
      </w:r>
      <w:r w:rsidRPr="00DF55C8">
        <w:rPr>
          <w:rFonts w:ascii="Calibri" w:eastAsia="Times New Roman" w:hAnsi="Calibri" w:cs="Calibri"/>
          <w:color w:val="000000"/>
        </w:rPr>
        <w:t xml:space="preserve">O emission by conservation tillage management in agricultural lands: a meta-analysis. </w:t>
      </w:r>
      <w:r w:rsidRPr="00DF55C8">
        <w:rPr>
          <w:rFonts w:ascii="Calibri" w:eastAsia="Times New Roman" w:hAnsi="Calibri" w:cs="Calibri"/>
          <w:i/>
          <w:iCs/>
          <w:color w:val="000000"/>
        </w:rPr>
        <w:t>Soil &amp; Tillage Research</w:t>
      </w:r>
      <w:r w:rsidRPr="00DF55C8">
        <w:rPr>
          <w:rFonts w:ascii="Calibri" w:eastAsia="Times New Roman" w:hAnsi="Calibri" w:cs="Calibri"/>
          <w:color w:val="000000"/>
        </w:rPr>
        <w:t>, 86-93.</w:t>
      </w:r>
    </w:p>
    <w:p w14:paraId="78EB2DB7"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Nevison, C., Andrews, A., Thoning, K., Dlugokencky, E., Sweeney, C., Miller, S., Saikawa, E., Benmergui, J., Fischer, M., Mountain, M. and Nehrkorn, T. (2018). Nitrous oxide emissions estimated with the CarbonTracker‐Lagrange North American regional inversion framework. </w:t>
      </w:r>
      <w:r w:rsidRPr="00DF55C8">
        <w:rPr>
          <w:rFonts w:ascii="Calibri" w:eastAsia="Times New Roman" w:hAnsi="Calibri" w:cs="Calibri"/>
          <w:i/>
          <w:iCs/>
          <w:color w:val="000000"/>
        </w:rPr>
        <w:t>Global Biogeochemical Cycles</w:t>
      </w:r>
      <w:r w:rsidRPr="00DF55C8">
        <w:rPr>
          <w:rFonts w:ascii="Calibri" w:eastAsia="Times New Roman" w:hAnsi="Calibri" w:cs="Calibri"/>
          <w:color w:val="000000"/>
        </w:rPr>
        <w:t xml:space="preserve">, </w:t>
      </w:r>
      <w:r w:rsidRPr="00DF55C8">
        <w:rPr>
          <w:rFonts w:ascii="Calibri" w:eastAsia="Times New Roman" w:hAnsi="Calibri" w:cs="Calibri"/>
          <w:i/>
          <w:iCs/>
          <w:color w:val="000000"/>
        </w:rPr>
        <w:t>32</w:t>
      </w:r>
      <w:r w:rsidRPr="00DF55C8">
        <w:rPr>
          <w:rFonts w:ascii="Calibri" w:eastAsia="Times New Roman" w:hAnsi="Calibri" w:cs="Calibri"/>
          <w:color w:val="000000"/>
        </w:rPr>
        <w:t>(3), pp.463-485.</w:t>
      </w:r>
    </w:p>
    <w:p w14:paraId="7145C8AD"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Ogle, S.M., Breidt, F.J., Eve, M.D., &amp; Paustian, K. (June 2003). Uncertainty in estimating land use and management impacts on soil organic carbon storage for US agricultural lands between 1982 and 1997. </w:t>
      </w:r>
      <w:r w:rsidRPr="00DF55C8">
        <w:rPr>
          <w:rFonts w:ascii="Calibri" w:eastAsia="Times New Roman" w:hAnsi="Calibri" w:cs="Calibri"/>
          <w:i/>
          <w:iCs/>
          <w:color w:val="000000"/>
        </w:rPr>
        <w:t xml:space="preserve">Global Change Biology, 9, </w:t>
      </w:r>
      <w:r w:rsidRPr="00DF55C8">
        <w:rPr>
          <w:rFonts w:ascii="Calibri" w:eastAsia="Times New Roman" w:hAnsi="Calibri" w:cs="Calibri"/>
          <w:color w:val="000000"/>
        </w:rPr>
        <w:t>1521-1542.</w:t>
      </w:r>
    </w:p>
    <w:p w14:paraId="1D309727"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Ogle, S.M., Breidt, F.J., Easter, M., Williams, S., &amp; Paustian, K. (2007). An empirically based approach for estimating uncertainty associated with modelling carbon sequestration in soils. </w:t>
      </w:r>
      <w:r w:rsidRPr="00DF55C8">
        <w:rPr>
          <w:rFonts w:ascii="Calibri" w:eastAsia="Times New Roman" w:hAnsi="Calibri" w:cs="Calibri"/>
          <w:i/>
          <w:iCs/>
          <w:color w:val="000000"/>
        </w:rPr>
        <w:t>Ecological Modelling, 205</w:t>
      </w:r>
      <w:r w:rsidRPr="00DF55C8">
        <w:rPr>
          <w:rFonts w:ascii="Calibri" w:eastAsia="Times New Roman" w:hAnsi="Calibri" w:cs="Calibri"/>
          <w:color w:val="000000"/>
        </w:rPr>
        <w:t>,453-463.</w:t>
      </w:r>
    </w:p>
    <w:p w14:paraId="6C2361D9"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Ogle, S.M., Breidt, F.J., Easter, M., Williams, S., &amp; Paustian, K. (March 2009). Scale and uncertainty in modeled soil organic carbon stock changes for US croplands using a process-based model. </w:t>
      </w:r>
      <w:r w:rsidRPr="00DF55C8">
        <w:rPr>
          <w:rFonts w:ascii="Calibri" w:eastAsia="Times New Roman" w:hAnsi="Calibri" w:cs="Calibri"/>
          <w:i/>
          <w:iCs/>
          <w:color w:val="000000"/>
        </w:rPr>
        <w:t>Global Change Biology, 16,</w:t>
      </w:r>
      <w:r w:rsidRPr="00DF55C8">
        <w:rPr>
          <w:rFonts w:ascii="Calibri" w:eastAsia="Times New Roman" w:hAnsi="Calibri" w:cs="Calibri"/>
          <w:color w:val="000000"/>
        </w:rPr>
        <w:t xml:space="preserve"> 810-822.</w:t>
      </w:r>
    </w:p>
    <w:p w14:paraId="246DA1E4"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Ogle, S.M., K. Davis, T. Lauvaux, A. Schuh, D. Cooley, T.O. West, L.S. Heath, N.L. Miles, S. Richardson, F.J. Breidt, J.E. Smith, J.L. McCarty, K.R. Gurney, P. Tans, A.S. Denning. (2015). An Approach for Verifying Biogenic Greenhouse Gas Emissions Inventories with Atmospheric CO</w:t>
      </w:r>
      <w:r w:rsidRPr="00DF55C8">
        <w:rPr>
          <w:rFonts w:ascii="Calibri" w:eastAsia="Times New Roman" w:hAnsi="Calibri" w:cs="Calibri"/>
          <w:color w:val="000000"/>
          <w:vertAlign w:val="subscript"/>
        </w:rPr>
        <w:t>2</w:t>
      </w:r>
      <w:r w:rsidRPr="00DF55C8">
        <w:rPr>
          <w:rFonts w:ascii="Calibri" w:eastAsia="Times New Roman" w:hAnsi="Calibri" w:cs="Calibri"/>
          <w:color w:val="000000"/>
        </w:rPr>
        <w:t xml:space="preserve"> Concentration Data. </w:t>
      </w:r>
      <w:r w:rsidRPr="00DF55C8">
        <w:rPr>
          <w:rFonts w:ascii="Calibri" w:eastAsia="Times New Roman" w:hAnsi="Calibri" w:cs="Calibri"/>
          <w:i/>
          <w:iCs/>
          <w:color w:val="000000"/>
        </w:rPr>
        <w:t>Environmental Research Letters 10</w:t>
      </w:r>
      <w:r w:rsidRPr="00DF55C8">
        <w:rPr>
          <w:rFonts w:ascii="Calibri" w:eastAsia="Times New Roman" w:hAnsi="Calibri" w:cs="Calibri"/>
          <w:color w:val="000000"/>
        </w:rPr>
        <w:t>:034012.</w:t>
      </w:r>
    </w:p>
    <w:p w14:paraId="1CE87C93"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Paustian, K., Lehmann, J., Ogle, S., Reay, D., Robertson, G.P, &amp; Smith, P. (2016). </w:t>
      </w:r>
      <w:r w:rsidRPr="00DF55C8">
        <w:rPr>
          <w:rFonts w:ascii="Calibri" w:eastAsia="Times New Roman" w:hAnsi="Calibri" w:cs="Calibri"/>
          <w:i/>
          <w:iCs/>
          <w:color w:val="000000"/>
        </w:rPr>
        <w:t>Climate-smart soils.</w:t>
      </w:r>
      <w:r w:rsidRPr="00DF55C8">
        <w:rPr>
          <w:rFonts w:ascii="Calibri" w:eastAsia="Times New Roman" w:hAnsi="Calibri" w:cs="Calibri"/>
          <w:color w:val="000000"/>
        </w:rPr>
        <w:t xml:space="preserve"> Natu</w:t>
      </w:r>
      <w:r w:rsidRPr="00DF55C8">
        <w:rPr>
          <w:rFonts w:ascii="Calibri" w:eastAsia="Times New Roman" w:hAnsi="Calibri" w:cs="Calibri"/>
          <w:i/>
          <w:iCs/>
          <w:color w:val="000000"/>
        </w:rPr>
        <w:t xml:space="preserve">re, 532, </w:t>
      </w:r>
      <w:r w:rsidRPr="00DF55C8">
        <w:rPr>
          <w:rFonts w:ascii="Calibri" w:eastAsia="Times New Roman" w:hAnsi="Calibri" w:cs="Calibri"/>
          <w:color w:val="000000"/>
        </w:rPr>
        <w:t>49-57.</w:t>
      </w:r>
    </w:p>
    <w:p w14:paraId="1DFFD797"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Reay, D.S., Davidson, E.A., Smith, K.A., Smith, P., Melilo, J., Dentener, F., &amp; Crutzen, P.J. Global agriculture and nitrous oxide emissions. </w:t>
      </w:r>
      <w:r w:rsidRPr="00DF55C8">
        <w:rPr>
          <w:rFonts w:ascii="Calibri" w:eastAsia="Times New Roman" w:hAnsi="Calibri" w:cs="Calibri"/>
          <w:i/>
          <w:iCs/>
          <w:color w:val="000000"/>
        </w:rPr>
        <w:t>Nature, 2,</w:t>
      </w:r>
      <w:r w:rsidRPr="00DF55C8">
        <w:rPr>
          <w:rFonts w:ascii="Calibri" w:eastAsia="Times New Roman" w:hAnsi="Calibri" w:cs="Calibri"/>
          <w:color w:val="000000"/>
        </w:rPr>
        <w:t xml:space="preserve"> 410-416.</w:t>
      </w:r>
    </w:p>
    <w:p w14:paraId="7AFE7A91"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Rumpel, C. &amp; Kogel-Knabner, I. (2010). Deep soil organic matter—a key but poorly understood component of terrestrial C cycle. </w:t>
      </w:r>
      <w:r w:rsidRPr="00DF55C8">
        <w:rPr>
          <w:rFonts w:ascii="Calibri" w:eastAsia="Times New Roman" w:hAnsi="Calibri" w:cs="Calibri"/>
          <w:i/>
          <w:iCs/>
          <w:color w:val="000000"/>
        </w:rPr>
        <w:t>Plant and Soil, 338,</w:t>
      </w:r>
      <w:r w:rsidRPr="00DF55C8">
        <w:rPr>
          <w:rFonts w:ascii="Calibri" w:eastAsia="Times New Roman" w:hAnsi="Calibri" w:cs="Calibri"/>
          <w:color w:val="000000"/>
        </w:rPr>
        <w:t xml:space="preserve"> 143-158.</w:t>
      </w:r>
    </w:p>
    <w:p w14:paraId="0FB10E28"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lastRenderedPageBreak/>
        <w:t>Schmidt, M.W., Torn, M.S., Abiven, S., Dittmar, T., Guggenberger, G., Janssens, I.A.</w:t>
      </w:r>
      <w:proofErr w:type="gramStart"/>
      <w:r w:rsidRPr="00DF55C8">
        <w:rPr>
          <w:rFonts w:ascii="Calibri" w:eastAsia="Times New Roman" w:hAnsi="Calibri" w:cs="Calibri"/>
          <w:color w:val="000000"/>
        </w:rPr>
        <w:t>,…</w:t>
      </w:r>
      <w:proofErr w:type="gramEnd"/>
      <w:r w:rsidRPr="00DF55C8">
        <w:rPr>
          <w:rFonts w:ascii="Calibri" w:eastAsia="Times New Roman" w:hAnsi="Calibri" w:cs="Calibri"/>
          <w:color w:val="000000"/>
        </w:rPr>
        <w:t xml:space="preserve">Trumbore, S.E. (2011). Persistence of soil organic matter as an ecosystem property. </w:t>
      </w:r>
      <w:r w:rsidRPr="00DF55C8">
        <w:rPr>
          <w:rFonts w:ascii="Calibri" w:eastAsia="Times New Roman" w:hAnsi="Calibri" w:cs="Calibri"/>
          <w:i/>
          <w:iCs/>
          <w:color w:val="000000"/>
        </w:rPr>
        <w:t>Nature, 478,</w:t>
      </w:r>
      <w:r w:rsidRPr="00DF55C8">
        <w:rPr>
          <w:rFonts w:ascii="Calibri" w:eastAsia="Times New Roman" w:hAnsi="Calibri" w:cs="Calibri"/>
          <w:color w:val="000000"/>
        </w:rPr>
        <w:t xml:space="preserve"> 49–56.</w:t>
      </w:r>
    </w:p>
    <w:p w14:paraId="1678C337"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Schimel, J.P. &amp; Schaeffer, S.M. (2012). Microbial control over carbon cycling in soil. </w:t>
      </w:r>
      <w:r w:rsidRPr="00DF55C8">
        <w:rPr>
          <w:rFonts w:ascii="Calibri" w:eastAsia="Times New Roman" w:hAnsi="Calibri" w:cs="Calibri"/>
          <w:i/>
          <w:iCs/>
          <w:color w:val="000000"/>
        </w:rPr>
        <w:t xml:space="preserve">Terrestrial Microbiology, 3, </w:t>
      </w:r>
      <w:r w:rsidRPr="00DF55C8">
        <w:rPr>
          <w:rFonts w:ascii="Calibri" w:eastAsia="Times New Roman" w:hAnsi="Calibri" w:cs="Calibri"/>
          <w:color w:val="000000"/>
        </w:rPr>
        <w:t>1-10.</w:t>
      </w:r>
    </w:p>
    <w:p w14:paraId="31E5CEAD"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Singh, B.P., Hatton. B.J., Singh, B., Cowie, A.L., &amp; A. Kathuria. (April 2009). Influence of Biochars on Nitrous Oxide Emission and Nitrogen Leaching from Two Contrasting Soils. </w:t>
      </w:r>
      <w:r w:rsidRPr="00DF55C8">
        <w:rPr>
          <w:rFonts w:ascii="Calibri" w:eastAsia="Times New Roman" w:hAnsi="Calibri" w:cs="Calibri"/>
          <w:i/>
          <w:iCs/>
          <w:color w:val="000000"/>
        </w:rPr>
        <w:t>Journal of Environmental Quality Abstract, 20</w:t>
      </w:r>
      <w:r w:rsidRPr="00DF55C8">
        <w:rPr>
          <w:rFonts w:ascii="Calibri" w:eastAsia="Times New Roman" w:hAnsi="Calibri" w:cs="Calibri"/>
          <w:color w:val="000000"/>
        </w:rPr>
        <w:t>(4), 1224-1235.</w:t>
      </w:r>
    </w:p>
    <w:p w14:paraId="58369771"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Spencer, S., Ogle, S.M., Breidt, F.J., Goebel, J.J., &amp; Paustian, K. (2011). Designing a national soil carbon monitoring network to support climate change policy: a case example for US agricultural lands. </w:t>
      </w:r>
      <w:r w:rsidRPr="00DF55C8">
        <w:rPr>
          <w:rFonts w:ascii="Calibri" w:eastAsia="Times New Roman" w:hAnsi="Calibri" w:cs="Calibri"/>
          <w:i/>
          <w:iCs/>
          <w:color w:val="000000"/>
        </w:rPr>
        <w:t>Greenhouse Gas Measurement and Management, 1</w:t>
      </w:r>
      <w:r w:rsidRPr="00DF55C8">
        <w:rPr>
          <w:rFonts w:ascii="Calibri" w:eastAsia="Times New Roman" w:hAnsi="Calibri" w:cs="Calibri"/>
          <w:color w:val="000000"/>
        </w:rPr>
        <w:t>(3-4), 167-178.</w:t>
      </w:r>
    </w:p>
    <w:p w14:paraId="415CA6AA"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Stockmann, U., Adams, M.A., Crawford, J.W., Field, D.J., Henakaarchchi, N., Jenkins, M.</w:t>
      </w:r>
      <w:proofErr w:type="gramStart"/>
      <w:r w:rsidRPr="00DF55C8">
        <w:rPr>
          <w:rFonts w:ascii="Calibri" w:eastAsia="Times New Roman" w:hAnsi="Calibri" w:cs="Calibri"/>
          <w:color w:val="000000"/>
        </w:rPr>
        <w:t>,…</w:t>
      </w:r>
      <w:proofErr w:type="gramEnd"/>
      <w:r w:rsidRPr="00DF55C8">
        <w:rPr>
          <w:rFonts w:ascii="Calibri" w:eastAsia="Times New Roman" w:hAnsi="Calibri" w:cs="Calibri"/>
          <w:color w:val="000000"/>
        </w:rPr>
        <w:t xml:space="preserve">&amp; Zimmerman, M. (2013). The knowns, known unknowns and unknowns of sequestration of soil organic carbon. </w:t>
      </w:r>
      <w:r w:rsidRPr="00DF55C8">
        <w:rPr>
          <w:rFonts w:ascii="Calibri" w:eastAsia="Times New Roman" w:hAnsi="Calibri" w:cs="Calibri"/>
          <w:i/>
          <w:iCs/>
          <w:color w:val="000000"/>
        </w:rPr>
        <w:t xml:space="preserve">Agriculture, Ecosystems and Environment, 164, </w:t>
      </w:r>
      <w:r w:rsidRPr="00DF55C8">
        <w:rPr>
          <w:rFonts w:ascii="Calibri" w:eastAsia="Times New Roman" w:hAnsi="Calibri" w:cs="Calibri"/>
          <w:color w:val="000000"/>
        </w:rPr>
        <w:t>80-99.</w:t>
      </w:r>
    </w:p>
    <w:p w14:paraId="1A728EB8"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United States Department of State. (2016). Second Biennial Report of the United States of America. Washington, DC.</w:t>
      </w:r>
    </w:p>
    <w:p w14:paraId="37D9DCD8"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United States Environmental Protection Agency. (2016). Inventory of U.S. Greenhouse Gas Emissions and Sinks: 1990 – 2016. Washington, DC.</w:t>
      </w:r>
    </w:p>
    <w:p w14:paraId="3BFA268E"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United States White House. (2016). U.S. Mid-Century Strategy for Deep Decarbonization. Washington, DC.</w:t>
      </w:r>
    </w:p>
    <w:p w14:paraId="06A5F87F"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Wagg, C., Bender, S.F., Widmer, F., &amp; van der Heijden, M.G.A. (April 2014). Soil biodiversity and soil community composition determine ecosystem multifunctionality. </w:t>
      </w:r>
      <w:r w:rsidRPr="00DF55C8">
        <w:rPr>
          <w:rFonts w:ascii="Calibri" w:eastAsia="Times New Roman" w:hAnsi="Calibri" w:cs="Calibri"/>
          <w:i/>
          <w:iCs/>
          <w:color w:val="000000"/>
        </w:rPr>
        <w:t>Proceedings of the National Academy of Sciences of the United States of America, 111</w:t>
      </w:r>
      <w:r w:rsidRPr="00DF55C8">
        <w:rPr>
          <w:rFonts w:ascii="Calibri" w:eastAsia="Times New Roman" w:hAnsi="Calibri" w:cs="Calibri"/>
          <w:color w:val="000000"/>
        </w:rPr>
        <w:t>(14), 5266-5270.</w:t>
      </w:r>
    </w:p>
    <w:p w14:paraId="283ACA9F"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Watanabe, S., Hajima, T., Sudo, K., Nagashima, T., Takemura, T., Okajima, H.</w:t>
      </w:r>
      <w:proofErr w:type="gramStart"/>
      <w:r w:rsidRPr="00DF55C8">
        <w:rPr>
          <w:rFonts w:ascii="Calibri" w:eastAsia="Times New Roman" w:hAnsi="Calibri" w:cs="Calibri"/>
          <w:color w:val="000000"/>
        </w:rPr>
        <w:t>,…</w:t>
      </w:r>
      <w:proofErr w:type="spellStart"/>
      <w:proofErr w:type="gramEnd"/>
      <w:r w:rsidRPr="00DF55C8">
        <w:rPr>
          <w:rFonts w:ascii="Calibri" w:eastAsia="Times New Roman" w:hAnsi="Calibri" w:cs="Calibri"/>
          <w:color w:val="000000"/>
        </w:rPr>
        <w:t>Kawamiya</w:t>
      </w:r>
      <w:proofErr w:type="spellEnd"/>
      <w:r w:rsidRPr="00DF55C8">
        <w:rPr>
          <w:rFonts w:ascii="Calibri" w:eastAsia="Times New Roman" w:hAnsi="Calibri" w:cs="Calibri"/>
          <w:color w:val="000000"/>
        </w:rPr>
        <w:t xml:space="preserve">, M. (October 2011). MIROC-ESM 2010: Model description and basic results of CMIP5-20c3m experiments. </w:t>
      </w:r>
      <w:r w:rsidRPr="00DF55C8">
        <w:rPr>
          <w:rFonts w:ascii="Calibri" w:eastAsia="Times New Roman" w:hAnsi="Calibri" w:cs="Calibri"/>
          <w:i/>
          <w:iCs/>
          <w:color w:val="000000"/>
        </w:rPr>
        <w:t>Geoscientific Model Development, 4,</w:t>
      </w:r>
      <w:r w:rsidRPr="00DF55C8">
        <w:rPr>
          <w:rFonts w:ascii="Calibri" w:eastAsia="Times New Roman" w:hAnsi="Calibri" w:cs="Calibri"/>
          <w:color w:val="000000"/>
        </w:rPr>
        <w:t xml:space="preserve"> 845-872.</w:t>
      </w:r>
    </w:p>
    <w:p w14:paraId="727C0F39"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Well, R., Burkart, S., Giesemann, A., Grosz, B., Reent Köster, J., and Lewicka‐Szczebak, D. (November 2018). Improvement of the 15N gas flux method for in situ measurement of soil denitrification and its product stoichiometry. </w:t>
      </w:r>
      <w:r w:rsidRPr="00DF55C8">
        <w:rPr>
          <w:rFonts w:ascii="Calibri" w:eastAsia="Times New Roman" w:hAnsi="Calibri" w:cs="Calibri"/>
          <w:i/>
          <w:iCs/>
          <w:color w:val="000000"/>
        </w:rPr>
        <w:t>Rapid Communications in Mass Spectrometry</w:t>
      </w:r>
      <w:r w:rsidRPr="00DF55C8">
        <w:rPr>
          <w:rFonts w:ascii="Calibri" w:eastAsia="Times New Roman" w:hAnsi="Calibri" w:cs="Calibri"/>
          <w:color w:val="000000"/>
        </w:rPr>
        <w:t> </w:t>
      </w:r>
    </w:p>
    <w:p w14:paraId="1C60F944"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 xml:space="preserve">Wieder, W.R., Bonan, G.B., &amp; Allison, S.D. (2013). Global soil carbon projections are improved by modelling microbial processes. </w:t>
      </w:r>
      <w:r w:rsidRPr="00DF55C8">
        <w:rPr>
          <w:rFonts w:ascii="Calibri" w:eastAsia="Times New Roman" w:hAnsi="Calibri" w:cs="Calibri"/>
          <w:i/>
          <w:iCs/>
          <w:color w:val="000000"/>
        </w:rPr>
        <w:t>Nature Climate Change, 3,</w:t>
      </w:r>
      <w:r w:rsidRPr="00DF55C8">
        <w:rPr>
          <w:rFonts w:ascii="Calibri" w:eastAsia="Times New Roman" w:hAnsi="Calibri" w:cs="Calibri"/>
          <w:color w:val="000000"/>
        </w:rPr>
        <w:t xml:space="preserve"> 909-912.</w:t>
      </w:r>
    </w:p>
    <w:p w14:paraId="4F476D69" w14:textId="77777777" w:rsidR="00DF55C8" w:rsidRPr="00DF55C8" w:rsidRDefault="00DF55C8" w:rsidP="00DF55C8">
      <w:pPr>
        <w:spacing w:line="240" w:lineRule="auto"/>
        <w:rPr>
          <w:rFonts w:ascii="Calibri" w:eastAsia="Times New Roman" w:hAnsi="Calibri" w:cs="Calibri"/>
        </w:rPr>
      </w:pPr>
      <w:r w:rsidRPr="00DF55C8">
        <w:rPr>
          <w:rFonts w:ascii="Calibri" w:eastAsia="Times New Roman" w:hAnsi="Calibri" w:cs="Calibri"/>
          <w:color w:val="000000"/>
        </w:rPr>
        <w:t>Van Groenigen, J.W., Velthof, G.L., Oenema, O., Van Groenigen, K.J., &amp; Van Kessel, C. (November 2010). Towards an agronomic assessment of N</w:t>
      </w:r>
      <w:r w:rsidRPr="00DF55C8">
        <w:rPr>
          <w:rFonts w:ascii="Calibri" w:eastAsia="Times New Roman" w:hAnsi="Calibri" w:cs="Calibri"/>
          <w:color w:val="000000"/>
          <w:vertAlign w:val="subscript"/>
        </w:rPr>
        <w:t>2</w:t>
      </w:r>
      <w:r w:rsidRPr="00DF55C8">
        <w:rPr>
          <w:rFonts w:ascii="Calibri" w:eastAsia="Times New Roman" w:hAnsi="Calibri" w:cs="Calibri"/>
          <w:color w:val="000000"/>
        </w:rPr>
        <w:t xml:space="preserve">O emissions: a case study for arable crops. </w:t>
      </w:r>
      <w:r w:rsidRPr="00DF55C8">
        <w:rPr>
          <w:rFonts w:ascii="Calibri" w:eastAsia="Times New Roman" w:hAnsi="Calibri" w:cs="Calibri"/>
          <w:i/>
          <w:iCs/>
          <w:color w:val="000000"/>
        </w:rPr>
        <w:t>European Journal of Soil Science, 61</w:t>
      </w:r>
      <w:r w:rsidRPr="00DF55C8">
        <w:rPr>
          <w:rFonts w:ascii="Calibri" w:eastAsia="Times New Roman" w:hAnsi="Calibri" w:cs="Calibri"/>
          <w:color w:val="000000"/>
        </w:rPr>
        <w:t>(6), 903-913.</w:t>
      </w:r>
    </w:p>
    <w:p w14:paraId="023D2878" w14:textId="77777777" w:rsidR="00DF55C8" w:rsidRPr="00DF55C8" w:rsidRDefault="00DF55C8" w:rsidP="00DF55C8">
      <w:pPr>
        <w:rPr>
          <w:rFonts w:ascii="Calibri" w:eastAsia="Calibri" w:hAnsi="Calibri" w:cs="Calibri"/>
          <w:b/>
        </w:rPr>
      </w:pPr>
      <w:r w:rsidRPr="00DF55C8">
        <w:rPr>
          <w:rFonts w:ascii="Calibri" w:eastAsia="Calibri" w:hAnsi="Calibri" w:cs="Calibri"/>
          <w:color w:val="000000"/>
        </w:rPr>
        <w:t>Zhang, B., Tian, H., Ren, W., Tao, B., Lu, C., Yang, J.</w:t>
      </w:r>
      <w:proofErr w:type="gramStart"/>
      <w:r w:rsidRPr="00DF55C8">
        <w:rPr>
          <w:rFonts w:ascii="Calibri" w:eastAsia="Calibri" w:hAnsi="Calibri" w:cs="Calibri"/>
          <w:color w:val="000000"/>
        </w:rPr>
        <w:t>,…</w:t>
      </w:r>
      <w:proofErr w:type="gramEnd"/>
      <w:r w:rsidRPr="00DF55C8">
        <w:rPr>
          <w:rFonts w:ascii="Calibri" w:eastAsia="Calibri" w:hAnsi="Calibri" w:cs="Calibri"/>
          <w:color w:val="000000"/>
        </w:rPr>
        <w:t>Pan, S. (August 2016). Methane emissions from global rice fields: Magnitude, spatiotemporal patterns, and environmental controls.</w:t>
      </w:r>
      <w:r w:rsidRPr="00DF55C8">
        <w:rPr>
          <w:rFonts w:ascii="Calibri" w:eastAsia="Calibri" w:hAnsi="Calibri" w:cs="Calibri"/>
          <w:i/>
          <w:iCs/>
          <w:color w:val="000000"/>
        </w:rPr>
        <w:t xml:space="preserve"> Global Biogeochemical Cycles, 30</w:t>
      </w:r>
      <w:r w:rsidRPr="00DF55C8">
        <w:rPr>
          <w:rFonts w:ascii="Calibri" w:eastAsia="Calibri" w:hAnsi="Calibri" w:cs="Calibri"/>
          <w:color w:val="000000"/>
        </w:rPr>
        <w:t>(9), 1246-1263.</w:t>
      </w:r>
    </w:p>
    <w:p w14:paraId="3DC25BDE" w14:textId="358DFCD1" w:rsidR="00A86203" w:rsidRDefault="00A86203" w:rsidP="00A4727E">
      <w:pPr>
        <w:pStyle w:val="Heading1"/>
        <w:numPr>
          <w:ilvl w:val="0"/>
          <w:numId w:val="0"/>
        </w:numPr>
        <w:ind w:left="360"/>
      </w:pPr>
    </w:p>
    <w:p w14:paraId="24ED0708" w14:textId="77777777" w:rsidR="00A86203" w:rsidRDefault="00A86203" w:rsidP="00A86203">
      <w:pPr>
        <w:pStyle w:val="Caption"/>
        <w:rPr>
          <w:b/>
          <w:i w:val="0"/>
          <w:sz w:val="22"/>
          <w:szCs w:val="22"/>
        </w:rPr>
      </w:pPr>
    </w:p>
    <w:p w14:paraId="29E8A32A" w14:textId="2328A290" w:rsidR="00A86203" w:rsidRPr="00A76A00" w:rsidRDefault="00A86203" w:rsidP="00A86203">
      <w:pPr>
        <w:pStyle w:val="Caption"/>
        <w:rPr>
          <w:b/>
          <w:sz w:val="22"/>
          <w:szCs w:val="22"/>
        </w:rPr>
      </w:pPr>
      <w:r w:rsidRPr="00A76A00">
        <w:rPr>
          <w:b/>
          <w:sz w:val="22"/>
          <w:szCs w:val="22"/>
        </w:rPr>
        <w:lastRenderedPageBreak/>
        <w:t xml:space="preserve">Table </w:t>
      </w:r>
      <w:r w:rsidR="007D6D6E">
        <w:rPr>
          <w:b/>
          <w:sz w:val="22"/>
          <w:szCs w:val="22"/>
        </w:rPr>
        <w:t>3</w:t>
      </w:r>
      <w:r w:rsidR="00B77624" w:rsidRPr="00A76A00">
        <w:rPr>
          <w:b/>
          <w:sz w:val="22"/>
          <w:szCs w:val="22"/>
        </w:rPr>
        <w:t>-1</w:t>
      </w:r>
      <w:r w:rsidRPr="00A76A00">
        <w:rPr>
          <w:b/>
          <w:sz w:val="22"/>
          <w:szCs w:val="22"/>
        </w:rPr>
        <w:t xml:space="preserve">: </w:t>
      </w:r>
      <w:r w:rsidR="00B2516C">
        <w:rPr>
          <w:b/>
          <w:sz w:val="22"/>
          <w:szCs w:val="22"/>
        </w:rPr>
        <w:t>Cropland and grassland Tier 3 expert elicitation,</w:t>
      </w:r>
      <w:r w:rsidRPr="00A76A00">
        <w:rPr>
          <w:b/>
          <w:sz w:val="22"/>
          <w:szCs w:val="22"/>
        </w:rPr>
        <w:t xml:space="preserve"> </w:t>
      </w:r>
      <w:r w:rsidR="00B2516C">
        <w:rPr>
          <w:b/>
          <w:sz w:val="22"/>
          <w:szCs w:val="22"/>
        </w:rPr>
        <w:t>f</w:t>
      </w:r>
      <w:r w:rsidRPr="00A76A00">
        <w:rPr>
          <w:b/>
          <w:sz w:val="22"/>
          <w:szCs w:val="22"/>
        </w:rPr>
        <w:t>ull results for Section 2, Prompts 1-3</w:t>
      </w:r>
    </w:p>
    <w:tbl>
      <w:tblPr>
        <w:tblW w:w="8840" w:type="dxa"/>
        <w:tblLook w:val="04A0" w:firstRow="1" w:lastRow="0" w:firstColumn="1" w:lastColumn="0" w:noHBand="0" w:noVBand="1"/>
      </w:tblPr>
      <w:tblGrid>
        <w:gridCol w:w="2318"/>
        <w:gridCol w:w="4595"/>
        <w:gridCol w:w="960"/>
        <w:gridCol w:w="967"/>
      </w:tblGrid>
      <w:tr w:rsidR="00A86203" w:rsidRPr="00D623B3" w14:paraId="359AEA1B" w14:textId="77777777" w:rsidTr="007D6037">
        <w:trPr>
          <w:trHeight w:val="564"/>
        </w:trPr>
        <w:tc>
          <w:tcPr>
            <w:tcW w:w="2320" w:type="dxa"/>
            <w:tcBorders>
              <w:top w:val="single" w:sz="4" w:space="0" w:color="auto"/>
              <w:left w:val="single" w:sz="4" w:space="0" w:color="auto"/>
              <w:bottom w:val="single" w:sz="4" w:space="0" w:color="auto"/>
              <w:right w:val="single" w:sz="4" w:space="0" w:color="auto"/>
            </w:tcBorders>
            <w:shd w:val="clear" w:color="auto" w:fill="FFC000"/>
            <w:vAlign w:val="center"/>
          </w:tcPr>
          <w:p w14:paraId="5CC84012" w14:textId="77777777" w:rsidR="00A86203" w:rsidRPr="00875DB4" w:rsidRDefault="00A86203" w:rsidP="007D6037">
            <w:pPr>
              <w:spacing w:after="0" w:line="240" w:lineRule="auto"/>
              <w:rPr>
                <w:rFonts w:eastAsia="Times New Roman" w:cstheme="minorHAnsi"/>
                <w:b/>
                <w:color w:val="000000"/>
                <w:sz w:val="18"/>
                <w:szCs w:val="18"/>
              </w:rPr>
            </w:pPr>
            <w:r w:rsidRPr="00875DB4">
              <w:rPr>
                <w:rFonts w:eastAsia="Times New Roman" w:cstheme="minorHAnsi"/>
                <w:b/>
                <w:color w:val="000000"/>
                <w:sz w:val="18"/>
                <w:szCs w:val="18"/>
              </w:rPr>
              <w:t>Category</w:t>
            </w:r>
          </w:p>
        </w:tc>
        <w:tc>
          <w:tcPr>
            <w:tcW w:w="4600" w:type="dxa"/>
            <w:tcBorders>
              <w:top w:val="single" w:sz="4" w:space="0" w:color="auto"/>
              <w:left w:val="single" w:sz="4" w:space="0" w:color="auto"/>
              <w:bottom w:val="single" w:sz="4" w:space="0" w:color="auto"/>
              <w:right w:val="single" w:sz="4" w:space="0" w:color="auto"/>
            </w:tcBorders>
            <w:shd w:val="clear" w:color="auto" w:fill="FFC000"/>
            <w:vAlign w:val="center"/>
          </w:tcPr>
          <w:p w14:paraId="094EED20" w14:textId="77777777" w:rsidR="00A86203" w:rsidRPr="00875DB4" w:rsidRDefault="00A86203" w:rsidP="007D6037">
            <w:pPr>
              <w:spacing w:after="0" w:line="240" w:lineRule="auto"/>
              <w:rPr>
                <w:rFonts w:eastAsia="Times New Roman" w:cstheme="minorHAnsi"/>
                <w:b/>
                <w:color w:val="000000"/>
                <w:sz w:val="18"/>
                <w:szCs w:val="18"/>
              </w:rPr>
            </w:pPr>
            <w:r w:rsidRPr="00875DB4">
              <w:rPr>
                <w:rFonts w:eastAsia="Times New Roman" w:cstheme="minorHAnsi"/>
                <w:b/>
                <w:color w:val="000000"/>
                <w:sz w:val="18"/>
                <w:szCs w:val="18"/>
              </w:rPr>
              <w:t>Research need</w:t>
            </w:r>
          </w:p>
        </w:tc>
        <w:tc>
          <w:tcPr>
            <w:tcW w:w="960" w:type="dxa"/>
            <w:tcBorders>
              <w:top w:val="single" w:sz="4" w:space="0" w:color="auto"/>
              <w:left w:val="single" w:sz="4" w:space="0" w:color="auto"/>
              <w:bottom w:val="single" w:sz="4" w:space="0" w:color="auto"/>
              <w:right w:val="single" w:sz="4" w:space="0" w:color="auto"/>
            </w:tcBorders>
            <w:shd w:val="clear" w:color="auto" w:fill="FFC000"/>
            <w:vAlign w:val="center"/>
          </w:tcPr>
          <w:p w14:paraId="33EB9E65" w14:textId="77777777" w:rsidR="00A86203" w:rsidRPr="00875DB4" w:rsidRDefault="00A86203" w:rsidP="007D6037">
            <w:pPr>
              <w:spacing w:after="0" w:line="240" w:lineRule="auto"/>
              <w:jc w:val="right"/>
              <w:rPr>
                <w:rFonts w:eastAsia="Times New Roman" w:cstheme="minorHAnsi"/>
                <w:b/>
                <w:color w:val="000000"/>
                <w:sz w:val="18"/>
                <w:szCs w:val="18"/>
              </w:rPr>
            </w:pPr>
            <w:r w:rsidRPr="00875DB4">
              <w:rPr>
                <w:rFonts w:eastAsia="Times New Roman" w:cstheme="minorHAnsi"/>
                <w:b/>
                <w:color w:val="000000"/>
                <w:sz w:val="18"/>
                <w:szCs w:val="18"/>
              </w:rPr>
              <w:t>Rating</w:t>
            </w:r>
          </w:p>
        </w:tc>
        <w:tc>
          <w:tcPr>
            <w:tcW w:w="960" w:type="dxa"/>
            <w:tcBorders>
              <w:top w:val="single" w:sz="4" w:space="0" w:color="auto"/>
              <w:left w:val="single" w:sz="4" w:space="0" w:color="auto"/>
              <w:bottom w:val="single" w:sz="4" w:space="0" w:color="auto"/>
              <w:right w:val="single" w:sz="4" w:space="0" w:color="auto"/>
            </w:tcBorders>
            <w:shd w:val="clear" w:color="auto" w:fill="FFC000"/>
            <w:vAlign w:val="center"/>
          </w:tcPr>
          <w:p w14:paraId="71286440" w14:textId="77777777" w:rsidR="00A86203" w:rsidRPr="00875DB4" w:rsidRDefault="00A86203" w:rsidP="007D6037">
            <w:pPr>
              <w:spacing w:after="0" w:line="240" w:lineRule="auto"/>
              <w:jc w:val="right"/>
              <w:rPr>
                <w:rFonts w:eastAsia="Times New Roman" w:cstheme="minorHAnsi"/>
                <w:b/>
                <w:color w:val="000000"/>
                <w:sz w:val="18"/>
                <w:szCs w:val="18"/>
              </w:rPr>
            </w:pPr>
            <w:r w:rsidRPr="00875DB4">
              <w:rPr>
                <w:rFonts w:eastAsia="Times New Roman" w:cstheme="minorHAnsi"/>
                <w:b/>
                <w:color w:val="000000"/>
                <w:sz w:val="18"/>
                <w:szCs w:val="18"/>
              </w:rPr>
              <w:t>Total # of responses</w:t>
            </w:r>
          </w:p>
        </w:tc>
      </w:tr>
      <w:tr w:rsidR="00A86203" w:rsidRPr="00D623B3" w14:paraId="2EFC2252" w14:textId="77777777" w:rsidTr="007D6037">
        <w:trPr>
          <w:trHeight w:val="564"/>
        </w:trPr>
        <w:tc>
          <w:tcPr>
            <w:tcW w:w="2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13D538" w14:textId="0560AF9D" w:rsidR="00A86203" w:rsidRPr="005E1383" w:rsidRDefault="00651675" w:rsidP="007D6037">
            <w:pPr>
              <w:spacing w:after="0" w:line="240" w:lineRule="auto"/>
              <w:rPr>
                <w:rFonts w:eastAsia="Times New Roman" w:cstheme="minorHAnsi"/>
                <w:color w:val="000000"/>
                <w:sz w:val="18"/>
                <w:szCs w:val="18"/>
              </w:rPr>
            </w:pPr>
            <w:r>
              <w:rPr>
                <w:rFonts w:eastAsia="Times New Roman" w:cstheme="minorHAnsi"/>
                <w:color w:val="000000"/>
                <w:sz w:val="18"/>
                <w:szCs w:val="18"/>
              </w:rPr>
              <w:t>D</w:t>
            </w:r>
            <w:r w:rsidR="00A86203" w:rsidRPr="005E1383">
              <w:rPr>
                <w:rFonts w:eastAsia="Times New Roman" w:cstheme="minorHAnsi"/>
                <w:color w:val="000000"/>
                <w:sz w:val="18"/>
                <w:szCs w:val="18"/>
              </w:rPr>
              <w:t>ata needs</w:t>
            </w:r>
          </w:p>
        </w:tc>
        <w:tc>
          <w:tcPr>
            <w:tcW w:w="4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E77CCA"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Build research site networks of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O and CH</w:t>
            </w:r>
            <w:r w:rsidRPr="005E1383">
              <w:rPr>
                <w:rFonts w:eastAsia="Times New Roman" w:cstheme="minorHAnsi"/>
                <w:color w:val="000000"/>
                <w:sz w:val="18"/>
                <w:szCs w:val="18"/>
                <w:vertAlign w:val="subscript"/>
              </w:rPr>
              <w:t>4</w:t>
            </w:r>
            <w:r w:rsidRPr="005E1383">
              <w:rPr>
                <w:rFonts w:eastAsia="Times New Roman" w:cstheme="minorHAnsi"/>
                <w:color w:val="000000"/>
                <w:sz w:val="18"/>
                <w:szCs w:val="18"/>
              </w:rPr>
              <w:t xml:space="preserve"> soil fluxes and soil C measurements resulting from a diverse range of management activities (Schmidt et al., 2011).</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AB3B1C"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4.27</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076009"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16</w:t>
            </w:r>
          </w:p>
        </w:tc>
      </w:tr>
      <w:tr w:rsidR="00A86203" w:rsidRPr="00D623B3" w14:paraId="7CE143EE" w14:textId="77777777" w:rsidTr="007D6037">
        <w:trPr>
          <w:trHeight w:val="450"/>
        </w:trPr>
        <w:tc>
          <w:tcPr>
            <w:tcW w:w="2320" w:type="dxa"/>
            <w:vMerge/>
            <w:tcBorders>
              <w:top w:val="single" w:sz="4" w:space="0" w:color="auto"/>
              <w:left w:val="single" w:sz="4" w:space="0" w:color="auto"/>
              <w:bottom w:val="single" w:sz="4" w:space="0" w:color="auto"/>
              <w:right w:val="single" w:sz="4" w:space="0" w:color="auto"/>
            </w:tcBorders>
            <w:vAlign w:val="center"/>
            <w:hideMark/>
          </w:tcPr>
          <w:p w14:paraId="19BD7098"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single" w:sz="4" w:space="0" w:color="auto"/>
              <w:left w:val="single" w:sz="4" w:space="0" w:color="auto"/>
              <w:bottom w:val="single" w:sz="4" w:space="0" w:color="auto"/>
              <w:right w:val="single" w:sz="4" w:space="0" w:color="auto"/>
            </w:tcBorders>
            <w:vAlign w:val="center"/>
            <w:hideMark/>
          </w:tcPr>
          <w:p w14:paraId="139531AA"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D9F144F"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ADAF477"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5A824991"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68F80555" w14:textId="693DD959" w:rsidR="00A86203" w:rsidRPr="005E1383" w:rsidRDefault="00651675" w:rsidP="007D6037">
            <w:pPr>
              <w:spacing w:after="0" w:line="240" w:lineRule="auto"/>
              <w:rPr>
                <w:rFonts w:eastAsia="Times New Roman" w:cstheme="minorHAnsi"/>
                <w:color w:val="000000"/>
                <w:sz w:val="18"/>
                <w:szCs w:val="18"/>
              </w:rPr>
            </w:pPr>
            <w:r>
              <w:rPr>
                <w:rFonts w:eastAsia="Times New Roman" w:cstheme="minorHAnsi"/>
                <w:color w:val="000000"/>
                <w:sz w:val="18"/>
                <w:szCs w:val="18"/>
              </w:rPr>
              <w:t>D</w:t>
            </w:r>
            <w:r w:rsidR="00A86203" w:rsidRPr="005E1383">
              <w:rPr>
                <w:rFonts w:eastAsia="Times New Roman" w:cstheme="minorHAnsi"/>
                <w:color w:val="000000"/>
                <w:sz w:val="18"/>
                <w:szCs w:val="18"/>
              </w:rPr>
              <w:t>ata needs</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0DF18219"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Establish a national soil monitoring network to produce for a full and consistent dataset of soil carbon measurements over time (Schmidt et al., 2011; Spencer et al., 2011).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518A1FF"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4.27</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D0B6DDC"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16</w:t>
            </w:r>
          </w:p>
        </w:tc>
      </w:tr>
      <w:tr w:rsidR="00A86203" w:rsidRPr="00D623B3" w14:paraId="391437FB"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534D25CD"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51B0196A"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6BCBDF95"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074D3C70"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3A65282C"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57B460DD"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3DF4DF78"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Improve model validation with updated comparisons to empirical regression models that are based on field experiments (Brevik et al., 2015; Kuzyakov, 2010; Paustian et al., 2016; Schmidt et al., 2011; Stockmann et al., 2013).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62DC89F"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4.18</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5766748"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1A77EBA5"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55C2F2DB"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32EB915A"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23402B7"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7058D1DD"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6E60FF3A"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0597E333"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2EF3CF3B"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Increase collaboration among model developers, shifting to a community-centered, open-source approach and integrating databases and computational tools (Paustian et al., 2016; Schmidt et al., 2011)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A61CAA5"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4.09</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4A80F54"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1565A505"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1A2C3BB3"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2DFAFD99"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0DF9992"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6D133859"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349AC880" w14:textId="77777777" w:rsidTr="007D6037">
        <w:trPr>
          <w:trHeight w:val="114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77787FDD"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64CE3353"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Influence of microbial activity – and other physicochemical and biological influences – on decomposition of organic matter/carbon, nitrogen and phosphorous cycling (Conant et al., 2011; Kuzyakov, 2010; Schmidt et al., 2011; Schimel &amp; Schaeffer, 2012).</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593E2AC"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4.00</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56BD36D"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19</w:t>
            </w:r>
          </w:p>
        </w:tc>
      </w:tr>
      <w:tr w:rsidR="00A86203" w:rsidRPr="00D623B3" w14:paraId="5C023519"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310AB06A"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021EAB27"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6D98A612"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427F582"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23851FE9"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5BBBD4C0"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4FDDAD54"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Expand model inter-comparison programs (such as AgMIP) to identify cross-cutting sources of uncertainty and opportunities for model improvement and cross-pollination.</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64F58B8"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4.00</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D0B3F38"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3221C01C"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4525FBF2"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5D3F45A2"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5F5F4612"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651001CB"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7F425ABF"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53D3B335" w14:textId="04C817D5" w:rsidR="00A86203" w:rsidRPr="005E1383" w:rsidRDefault="00651675" w:rsidP="007D6037">
            <w:pPr>
              <w:spacing w:after="0" w:line="240" w:lineRule="auto"/>
              <w:rPr>
                <w:rFonts w:eastAsia="Times New Roman" w:cstheme="minorHAnsi"/>
                <w:color w:val="000000"/>
                <w:sz w:val="18"/>
                <w:szCs w:val="18"/>
              </w:rPr>
            </w:pPr>
            <w:r>
              <w:rPr>
                <w:rFonts w:eastAsia="Times New Roman" w:cstheme="minorHAnsi"/>
                <w:color w:val="000000"/>
                <w:sz w:val="18"/>
                <w:szCs w:val="18"/>
              </w:rPr>
              <w:t>D</w:t>
            </w:r>
            <w:r w:rsidR="00A86203" w:rsidRPr="005E1383">
              <w:rPr>
                <w:rFonts w:eastAsia="Times New Roman" w:cstheme="minorHAnsi"/>
                <w:color w:val="000000"/>
                <w:sz w:val="18"/>
                <w:szCs w:val="18"/>
              </w:rPr>
              <w:t>ata needs</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7B8EEB91"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Obtain additional measurements of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 xml:space="preserve"> production and losses from denitrification to clarify optimal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O ratios for both modeling purposes and proper fertilizer management (Bakken &amp; Frostegård, 2017; S. DelGrosso, personal communication, October 1, 2018; Well et al., 2018).</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4F0086C"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4.00</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77FDCB1"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16</w:t>
            </w:r>
          </w:p>
        </w:tc>
      </w:tr>
      <w:tr w:rsidR="00A86203" w:rsidRPr="00D623B3" w14:paraId="7891D81A"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2FA059AF"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359D51A3"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6F51A37E"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29FA0B57"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7317FF32"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0E1C52F0"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6FA66D78"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Reconcile bottom-up, process-based accounting of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O fluxes with newer top-down methods (e.g.,  atmospheric inversions) that capture N cycling from the global and regional perspective (Butterbach-Bahl, 2013; Chen et al., 2016; DelGrosso et al., 2008; S. DelGrosso, personal communication, October 1, 2018; Nevison et al., 2018).</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EC27BD8"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3.91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615F2FF"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0229A127"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7AA603D7"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4DEE57D9"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4BAD0CB4"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48CD2C4F"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0A2B4B6C"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12180F77" w14:textId="0B46FA75" w:rsidR="00A86203" w:rsidRPr="005E1383" w:rsidRDefault="00651675" w:rsidP="007D6037">
            <w:pPr>
              <w:spacing w:after="0" w:line="240" w:lineRule="auto"/>
              <w:rPr>
                <w:rFonts w:eastAsia="Times New Roman" w:cstheme="minorHAnsi"/>
                <w:color w:val="000000"/>
                <w:sz w:val="18"/>
                <w:szCs w:val="18"/>
              </w:rPr>
            </w:pPr>
            <w:r>
              <w:rPr>
                <w:rFonts w:eastAsia="Times New Roman" w:cstheme="minorHAnsi"/>
                <w:color w:val="000000"/>
                <w:sz w:val="18"/>
                <w:szCs w:val="18"/>
              </w:rPr>
              <w:t>D</w:t>
            </w:r>
            <w:r w:rsidR="00A86203" w:rsidRPr="005E1383">
              <w:rPr>
                <w:rFonts w:eastAsia="Times New Roman" w:cstheme="minorHAnsi"/>
                <w:color w:val="000000"/>
                <w:sz w:val="18"/>
                <w:szCs w:val="18"/>
              </w:rPr>
              <w:t>ata needs</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401607D9" w14:textId="77777777" w:rsidR="00A86203" w:rsidRPr="005E1383" w:rsidRDefault="00A86203" w:rsidP="007D6037">
            <w:pPr>
              <w:spacing w:after="0" w:line="240" w:lineRule="auto"/>
              <w:rPr>
                <w:rFonts w:eastAsia="Times New Roman" w:cstheme="minorHAnsi"/>
                <w:color w:val="000000"/>
                <w:sz w:val="18"/>
                <w:szCs w:val="18"/>
              </w:rPr>
            </w:pPr>
            <w:bookmarkStart w:id="291" w:name="RANGE!B18"/>
            <w:r w:rsidRPr="005E1383">
              <w:rPr>
                <w:rFonts w:eastAsia="Times New Roman" w:cstheme="minorHAnsi"/>
                <w:color w:val="000000"/>
                <w:sz w:val="18"/>
                <w:szCs w:val="18"/>
              </w:rPr>
              <w:t>Obtain additional experimental data on above-ground N uptake or direct measurements of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O for cross-site optimization/better validation of large scale model estimates of soil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O fluxes (S. DelGrosso, personal communication, October 1, 2018; Ehrhardt et al., 2018; Reay et al., 2012; Van Groenigen et al., 2010).</w:t>
            </w:r>
            <w:bookmarkEnd w:id="291"/>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837E27B"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3.91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2F84993"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16</w:t>
            </w:r>
          </w:p>
        </w:tc>
      </w:tr>
      <w:tr w:rsidR="00A86203" w:rsidRPr="00D623B3" w14:paraId="1E81D06A"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39F9187F"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242D9BB1"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04BA9E82"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065FA677"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05FB1C53"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75253A49"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303A032C"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Contribution of biochar feedstock type, production temperature and process, application rate, interactions with N sources, and more to the observed reduction of soil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O emissions through biochar application (Cayuela et al., 2014).</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C98842E"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3.83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4213A058"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18</w:t>
            </w:r>
          </w:p>
        </w:tc>
      </w:tr>
      <w:tr w:rsidR="00A86203" w:rsidRPr="00D623B3" w14:paraId="6B60A27B"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0D7A5327"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28D4BF15"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04B36026"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707C4B46"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73F8C19D"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754631CE"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lastRenderedPageBreak/>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20F1A60C"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Permafrost biogeochemistry and its role in driving nitrogen availability, as well as the freeze/thaw process of permafrost soil microbes, which may contribute to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O emissions (Butterbach-Bahl, 2013; Schmidt et al., 2011).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17BD7B9"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3.83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70FCB58"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18</w:t>
            </w:r>
          </w:p>
        </w:tc>
      </w:tr>
      <w:tr w:rsidR="00A86203" w:rsidRPr="00D623B3" w14:paraId="5A176A1A"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29288B4A"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1374550D"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70EF8BEB"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30D7990E"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0E10D2BB"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4F4E543E"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0B029E7A"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Shift from theoretical carbon pools to a mechanistic model that consider soil biological and physiochemical processes and drivers (Paustian et al., 2016; Stockmann, 2013).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E865A86"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3.82</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34BCD54"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111E12C2"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367100CA"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28382059"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0C3DBD71"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379959FD"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42F0F63D"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49C259C5"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3FFAA45F"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Incorporate simultaneous simulation of nitrification and denitrification, topographical effects on soil hydrology, and other N dynamics, to more accurately reflect the complexities in N cycling (Butterbach-Bahl, 2013).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D80A722"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3.82</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B9875EE"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256DE119"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312366A4"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36256B4F"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54928559"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4128465"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02EDAC43"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03613DB9"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44899A2E"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Impact of warming temperatures on stores of carbon in permafrost, including the relationship between accelerated decomposition and increased nitrogen availability (Rumpel &amp; Kogel-Knabner, 2010; Schmidt et al., 2011).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DECA47C"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3.75</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A6F17B8"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19</w:t>
            </w:r>
          </w:p>
        </w:tc>
      </w:tr>
      <w:tr w:rsidR="00A86203" w:rsidRPr="00D623B3" w14:paraId="16548A91"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72F64594"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6CD8244B"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3AF546CF"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6EAA4CE3"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61180DC8"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445497F2" w14:textId="3D031732" w:rsidR="00A86203" w:rsidRPr="005E1383" w:rsidRDefault="00651675" w:rsidP="007D6037">
            <w:pPr>
              <w:spacing w:after="0" w:line="240" w:lineRule="auto"/>
              <w:rPr>
                <w:rFonts w:eastAsia="Times New Roman" w:cstheme="minorHAnsi"/>
                <w:color w:val="000000"/>
                <w:sz w:val="18"/>
                <w:szCs w:val="18"/>
              </w:rPr>
            </w:pPr>
            <w:r>
              <w:rPr>
                <w:rFonts w:eastAsia="Times New Roman" w:cstheme="minorHAnsi"/>
                <w:color w:val="000000"/>
                <w:sz w:val="18"/>
                <w:szCs w:val="18"/>
              </w:rPr>
              <w:t>D</w:t>
            </w:r>
            <w:r w:rsidR="00A86203" w:rsidRPr="005E1383">
              <w:rPr>
                <w:rFonts w:eastAsia="Times New Roman" w:cstheme="minorHAnsi"/>
                <w:color w:val="000000"/>
                <w:sz w:val="18"/>
                <w:szCs w:val="18"/>
              </w:rPr>
              <w:t>ata needs</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7C55EC63"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Incorporate spatial data to better understand soil structure and its influence on soil biota, including microbial access to soil organic carbon (Schmidt et al., 2011; Stockmann et al., 2013).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75A8B21"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3.73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7981986"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16</w:t>
            </w:r>
          </w:p>
        </w:tc>
      </w:tr>
      <w:tr w:rsidR="00A86203" w:rsidRPr="00D623B3" w14:paraId="27D98519"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72D5A545"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09322C53"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64DB2120"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4592B293"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35660E14"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5ED3E5CC"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0223BB86"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Model the entire soil profile, representing changes in processes and rate constants associated with depth of soil or carbon inputs (such as mineral associations and root and dissolved organic inputs). Include explicit depth resolution for decomposition and transport (Schmidt et al., 2011).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FDDB32F"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3.64</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72FF20F"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7709068A"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2736ECEF"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012C543C"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CA8393F"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7CA8E93F"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6F59CD19" w14:textId="77777777" w:rsidTr="007D6037">
        <w:trPr>
          <w:trHeight w:val="876"/>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304CCCE7" w14:textId="3A9DB7F3" w:rsidR="00A86203" w:rsidRPr="005E1383" w:rsidRDefault="00651675" w:rsidP="007D6037">
            <w:pPr>
              <w:spacing w:after="0" w:line="240" w:lineRule="auto"/>
              <w:rPr>
                <w:rFonts w:eastAsia="Times New Roman" w:cstheme="minorHAnsi"/>
                <w:color w:val="000000"/>
                <w:sz w:val="18"/>
                <w:szCs w:val="18"/>
              </w:rPr>
            </w:pPr>
            <w:r>
              <w:rPr>
                <w:rFonts w:eastAsia="Times New Roman" w:cstheme="minorHAnsi"/>
                <w:color w:val="000000"/>
                <w:sz w:val="18"/>
                <w:szCs w:val="18"/>
              </w:rPr>
              <w:t>D</w:t>
            </w:r>
            <w:r w:rsidR="00A86203" w:rsidRPr="005E1383">
              <w:rPr>
                <w:rFonts w:eastAsia="Times New Roman" w:cstheme="minorHAnsi"/>
                <w:color w:val="000000"/>
                <w:sz w:val="18"/>
                <w:szCs w:val="18"/>
              </w:rPr>
              <w:t>ata needs</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0D5D7BA2"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Expand use of novel tools like isotopes, inhibitors and molecular techniques which can help to better characterize and quantify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O soil processes (Butterbach-Bahl, 2013; Cayuela et al., 2014).</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65CB4CA"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3.64</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D909967"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16</w:t>
            </w:r>
          </w:p>
        </w:tc>
      </w:tr>
      <w:tr w:rsidR="00A86203" w:rsidRPr="00D623B3" w14:paraId="0575A6BD"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631E1943"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14BC0FCF"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0DB74454"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4AC512F9"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0316614D" w14:textId="77777777" w:rsidTr="007D6037">
        <w:trPr>
          <w:trHeight w:val="588"/>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0D8A50B1"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0E465A57"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Importance of soil moisture in driving process-specific loss rates of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O (e.g., anaerobic conditions like increased soil water content or soil compaction stimulates denitrification and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O emissions, as has been observed in conservation agriculture practices like low-till or no-till) (Butterbach-Bahl, 2013; Met et al., 2018).</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C046C62"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3.58</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0BECEF6"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18</w:t>
            </w:r>
          </w:p>
        </w:tc>
      </w:tr>
      <w:tr w:rsidR="00A86203" w:rsidRPr="00D623B3" w14:paraId="2E878F25"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0C9F87B7"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5F26288F"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55EEE5CF"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48F30805"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241D68B2" w14:textId="77777777" w:rsidTr="007D6037">
        <w:trPr>
          <w:trHeight w:val="90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218B446D"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76CCD619"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Impact of soil texture on CH</w:t>
            </w:r>
            <w:r w:rsidRPr="00081E93">
              <w:rPr>
                <w:rFonts w:eastAsia="Times New Roman" w:cstheme="minorHAnsi"/>
                <w:color w:val="000000"/>
                <w:sz w:val="18"/>
                <w:szCs w:val="18"/>
                <w:vertAlign w:val="subscript"/>
              </w:rPr>
              <w:t>4</w:t>
            </w:r>
            <w:r w:rsidRPr="005E1383">
              <w:rPr>
                <w:rFonts w:eastAsia="Times New Roman" w:cstheme="minorHAnsi"/>
                <w:color w:val="000000"/>
                <w:sz w:val="18"/>
                <w:szCs w:val="18"/>
              </w:rPr>
              <w:t xml:space="preserve"> emissions – better understanding the diminished emissions observed in clay soils versus silt soils (Brye et al., 2013).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B3E6862"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3.58</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4372F47"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18</w:t>
            </w:r>
          </w:p>
        </w:tc>
      </w:tr>
      <w:tr w:rsidR="00A86203" w:rsidRPr="00D623B3" w14:paraId="362765B8"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17464D75"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7F163E58"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362A2B1"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4A08295B"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486CB309"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20761FA2"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6EA850E2"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Include more microbial mechanisms to allow determination of soil carbon responses to global climate change (e.g., vary microbial growth efficiency instead treating it as a fixed parameter) (Stockmann et al., 2013; Wider et al., 2013).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4A33CF6F"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3.55</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40A9AD5E"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49973FCA"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0D1D297A"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32CCF28E"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7B820521"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460BB122"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384988B2" w14:textId="77777777" w:rsidTr="007D6037">
        <w:trPr>
          <w:trHeight w:val="588"/>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4A770B70"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53FEA679"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Consider impact of freeze/thaw on CO</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 xml:space="preserve"> and CH</w:t>
            </w:r>
            <w:r w:rsidRPr="005E1383">
              <w:rPr>
                <w:rFonts w:eastAsia="Times New Roman" w:cstheme="minorHAnsi"/>
                <w:color w:val="000000"/>
                <w:sz w:val="18"/>
                <w:szCs w:val="18"/>
                <w:vertAlign w:val="subscript"/>
              </w:rPr>
              <w:t>4</w:t>
            </w:r>
            <w:r w:rsidRPr="005E1383">
              <w:rPr>
                <w:rFonts w:eastAsia="Times New Roman" w:cstheme="minorHAnsi"/>
                <w:color w:val="000000"/>
                <w:sz w:val="18"/>
                <w:szCs w:val="18"/>
              </w:rPr>
              <w:t xml:space="preserve"> production. Develop soil columns to represent different stages of O</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 xml:space="preserve"> limitation and freezing effects, such as inundation, permafrost thaw and thermakarst (Schmidt et al., 2011).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B45412D"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3.55</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AE257A7"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19072DC9"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780DE522"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481C4CB3"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00B758E8"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4DA62A6"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65248F3F" w14:textId="77777777" w:rsidTr="007D6037">
        <w:trPr>
          <w:trHeight w:val="588"/>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43742ED4" w14:textId="4FA6B680" w:rsidR="00A86203" w:rsidRPr="005E1383" w:rsidRDefault="00651675" w:rsidP="00D35EC2">
            <w:pPr>
              <w:spacing w:after="0" w:line="240" w:lineRule="auto"/>
              <w:rPr>
                <w:rFonts w:eastAsia="Times New Roman" w:cstheme="minorHAnsi"/>
                <w:color w:val="000000"/>
                <w:sz w:val="18"/>
                <w:szCs w:val="18"/>
              </w:rPr>
            </w:pPr>
            <w:r>
              <w:rPr>
                <w:rFonts w:eastAsia="Times New Roman" w:cstheme="minorHAnsi"/>
                <w:color w:val="000000"/>
                <w:sz w:val="18"/>
                <w:szCs w:val="18"/>
              </w:rPr>
              <w:t>D</w:t>
            </w:r>
            <w:r w:rsidRPr="005E1383">
              <w:rPr>
                <w:rFonts w:eastAsia="Times New Roman" w:cstheme="minorHAnsi"/>
                <w:color w:val="000000"/>
                <w:sz w:val="18"/>
                <w:szCs w:val="18"/>
              </w:rPr>
              <w:t xml:space="preserve">ata </w:t>
            </w:r>
            <w:r w:rsidR="00A86203" w:rsidRPr="005E1383">
              <w:rPr>
                <w:rFonts w:eastAsia="Times New Roman" w:cstheme="minorHAnsi"/>
                <w:color w:val="000000"/>
                <w:sz w:val="18"/>
                <w:szCs w:val="18"/>
              </w:rPr>
              <w:t>needs</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5B35630D"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Generate high-quality data from new technologies, like soil measurements taken from sensors, to feed into models (Schmidt et al., 2011).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A25DEC3"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3.55</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9DFAE0B"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16</w:t>
            </w:r>
          </w:p>
        </w:tc>
      </w:tr>
      <w:tr w:rsidR="00A86203" w:rsidRPr="00D623B3" w14:paraId="3D9CDB4E"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46984704"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5AE94A34"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42D0A05B"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58A49960"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460FF372" w14:textId="77777777" w:rsidTr="007D6037">
        <w:trPr>
          <w:trHeight w:val="612"/>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45961A99" w14:textId="49B42271" w:rsidR="00A86203" w:rsidRPr="005E1383" w:rsidRDefault="00651675" w:rsidP="007D6037">
            <w:pPr>
              <w:spacing w:after="0" w:line="240" w:lineRule="auto"/>
              <w:rPr>
                <w:rFonts w:eastAsia="Times New Roman" w:cstheme="minorHAnsi"/>
                <w:color w:val="000000"/>
                <w:sz w:val="18"/>
                <w:szCs w:val="18"/>
              </w:rPr>
            </w:pPr>
            <w:r>
              <w:rPr>
                <w:rFonts w:eastAsia="Times New Roman" w:cstheme="minorHAnsi"/>
                <w:color w:val="000000"/>
                <w:sz w:val="18"/>
                <w:szCs w:val="18"/>
              </w:rPr>
              <w:lastRenderedPageBreak/>
              <w:t>D</w:t>
            </w:r>
            <w:r w:rsidR="00A86203" w:rsidRPr="005E1383">
              <w:rPr>
                <w:rFonts w:eastAsia="Times New Roman" w:cstheme="minorHAnsi"/>
                <w:color w:val="000000"/>
                <w:sz w:val="18"/>
                <w:szCs w:val="18"/>
              </w:rPr>
              <w:t>ata needs</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2A874290"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Integrate databases and computational tools for advanced molecular SOM research (Schmidt et al., 2011).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2116621"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3.55</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087D556"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16</w:t>
            </w:r>
          </w:p>
        </w:tc>
      </w:tr>
      <w:tr w:rsidR="00A86203" w:rsidRPr="00D623B3" w14:paraId="6C5D648D"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6CFB46E2"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7EDB5092"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3EAEF6A3"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59389FF5"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2285CC64"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55E75A4D"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2780172A"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The spatial architecture of the soil in the context of a soil ecosystem and how soil structure impacts microbial access to soil organic carbon (Paustian et al., 2016).</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8055BE7"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3.50</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0A3AF39"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19</w:t>
            </w:r>
          </w:p>
        </w:tc>
      </w:tr>
      <w:tr w:rsidR="00A86203" w:rsidRPr="00D623B3" w14:paraId="59F2F6E3"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01FED207"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27CC1047"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5A9938B1"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4320BCAC"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1C8D6B87"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58F64B97"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7BBEB39F"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The properties and dynamics of carbon in deep soils, beyond the top 30 cm (Dungait et al., 2012; Rumpel &amp; Kogel-Knabner, 2010; Schmidt et al., 2013).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DFDDDCF"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3.50</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F33428F"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19</w:t>
            </w:r>
          </w:p>
        </w:tc>
      </w:tr>
      <w:tr w:rsidR="00A86203" w:rsidRPr="00D623B3" w14:paraId="6CCAA72E"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7862CC04"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0139BB94"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EDDD5A3"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3F59A2E3"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6B6F90DA"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357C8799"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056AC40A"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Understanding the underlying processes that influence the accretion, turnover and stability of soil organic matter in subsoil horizons (which have been observed to have a long turnover time) (Paustian, 2016; Rumpel &amp; Kogel-Knabner, 2010; Schmidt et al., 2013).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BEF63BC"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3.50</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9D214AA"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19</w:t>
            </w:r>
          </w:p>
        </w:tc>
      </w:tr>
      <w:tr w:rsidR="00A86203" w:rsidRPr="00D623B3" w14:paraId="360A2412"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3214E5E5"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66C44ED7"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4118758"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7F81EA65"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74196909"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3E169849"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03DD08E2"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Influence of temperature changes on the rate of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O reaction. Specifically, why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O release is accelerated by rising temperatures as compared to falling temperatures and how this impacts modeling (Butterbach-Bahl, 2013).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1AA69D7"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3.50</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1AB4F99"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18</w:t>
            </w:r>
          </w:p>
        </w:tc>
      </w:tr>
      <w:tr w:rsidR="00A86203" w:rsidRPr="00D623B3" w14:paraId="1A2D992E"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0DDF70EA"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4FFB7130"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7C321068"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27AC5B0C"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01026A4A"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625A2791" w14:textId="1E9A3001" w:rsidR="00A86203" w:rsidRPr="005E1383" w:rsidRDefault="00651675" w:rsidP="007D6037">
            <w:pPr>
              <w:spacing w:after="0" w:line="240" w:lineRule="auto"/>
              <w:rPr>
                <w:rFonts w:eastAsia="Times New Roman" w:cstheme="minorHAnsi"/>
                <w:color w:val="000000"/>
                <w:sz w:val="18"/>
                <w:szCs w:val="18"/>
              </w:rPr>
            </w:pPr>
            <w:r>
              <w:rPr>
                <w:rFonts w:eastAsia="Times New Roman" w:cstheme="minorHAnsi"/>
                <w:color w:val="000000"/>
                <w:sz w:val="18"/>
                <w:szCs w:val="18"/>
              </w:rPr>
              <w:t>D</w:t>
            </w:r>
            <w:r w:rsidR="00A86203" w:rsidRPr="005E1383">
              <w:rPr>
                <w:rFonts w:eastAsia="Times New Roman" w:cstheme="minorHAnsi"/>
                <w:color w:val="000000"/>
                <w:sz w:val="18"/>
                <w:szCs w:val="18"/>
              </w:rPr>
              <w:t>ata needs</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37ACC5CF"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Utilize top-down methodology, like atmospheric observations of trace-gas concentrations from satellite based measurements in combination with inverse modelling to estimate fluxes between the atmosphere and land surfaces, to verify against models based on observed management activities (Ogle et al., 2015; Schmidt et al., 2011).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A2D71C2"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3.45</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C721E55"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16</w:t>
            </w:r>
          </w:p>
        </w:tc>
      </w:tr>
      <w:tr w:rsidR="00A86203" w:rsidRPr="00D623B3" w14:paraId="732189A2"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54B45054"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247A903E"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0CFC64C8"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49B3005B"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6951EC07"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68A9FF3D" w14:textId="1C305FDF" w:rsidR="00A86203" w:rsidRPr="005E1383" w:rsidRDefault="00651675" w:rsidP="007D6037">
            <w:pPr>
              <w:spacing w:after="0" w:line="240" w:lineRule="auto"/>
              <w:rPr>
                <w:rFonts w:eastAsia="Times New Roman" w:cstheme="minorHAnsi"/>
                <w:color w:val="000000"/>
                <w:sz w:val="18"/>
                <w:szCs w:val="18"/>
              </w:rPr>
            </w:pPr>
            <w:r>
              <w:rPr>
                <w:rFonts w:eastAsia="Times New Roman" w:cstheme="minorHAnsi"/>
                <w:color w:val="000000"/>
                <w:sz w:val="18"/>
                <w:szCs w:val="18"/>
              </w:rPr>
              <w:t>D</w:t>
            </w:r>
            <w:r w:rsidR="00A86203" w:rsidRPr="005E1383">
              <w:rPr>
                <w:rFonts w:eastAsia="Times New Roman" w:cstheme="minorHAnsi"/>
                <w:color w:val="000000"/>
                <w:sz w:val="18"/>
                <w:szCs w:val="18"/>
              </w:rPr>
              <w:t>ata needs</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5CB1BCDF"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Engage land-use stakeholders, tapping into their empirical knowledge of land management strategies, which can be combined with soil/climate maps, remote sensing and process-based models to calculate emissions (Paustian et al., 2016).</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9A79E90"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3.45</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E7AD534"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16</w:t>
            </w:r>
          </w:p>
        </w:tc>
      </w:tr>
      <w:tr w:rsidR="00A86203" w:rsidRPr="00D623B3" w14:paraId="7996F237"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06D8B4F8"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42A33B33"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0B22FAB5"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57F8A9CD"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7F8C84D5"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2ED71288" w14:textId="06DAA8C2" w:rsidR="00A86203" w:rsidRPr="005E1383" w:rsidRDefault="00651675" w:rsidP="007D6037">
            <w:pPr>
              <w:spacing w:after="0" w:line="240" w:lineRule="auto"/>
              <w:rPr>
                <w:rFonts w:eastAsia="Times New Roman" w:cstheme="minorHAnsi"/>
                <w:color w:val="000000"/>
                <w:sz w:val="18"/>
                <w:szCs w:val="18"/>
              </w:rPr>
            </w:pPr>
            <w:r>
              <w:rPr>
                <w:rFonts w:eastAsia="Times New Roman" w:cstheme="minorHAnsi"/>
                <w:color w:val="000000"/>
                <w:sz w:val="18"/>
                <w:szCs w:val="18"/>
              </w:rPr>
              <w:t>D</w:t>
            </w:r>
            <w:r w:rsidR="00A86203" w:rsidRPr="005E1383">
              <w:rPr>
                <w:rFonts w:eastAsia="Times New Roman" w:cstheme="minorHAnsi"/>
                <w:color w:val="000000"/>
                <w:sz w:val="18"/>
                <w:szCs w:val="18"/>
              </w:rPr>
              <w:t>ata needs</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0BEEAA46"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Perform additional CH</w:t>
            </w:r>
            <w:r w:rsidRPr="005E1383">
              <w:rPr>
                <w:rFonts w:eastAsia="Times New Roman" w:cstheme="minorHAnsi"/>
                <w:color w:val="000000"/>
                <w:sz w:val="18"/>
                <w:szCs w:val="18"/>
                <w:vertAlign w:val="subscript"/>
              </w:rPr>
              <w:t>4</w:t>
            </w:r>
            <w:r w:rsidRPr="005E1383">
              <w:rPr>
                <w:rFonts w:eastAsia="Times New Roman" w:cstheme="minorHAnsi"/>
                <w:color w:val="000000"/>
                <w:sz w:val="18"/>
                <w:szCs w:val="18"/>
              </w:rPr>
              <w:t xml:space="preserve"> studies that assess CH</w:t>
            </w:r>
            <w:r w:rsidRPr="005E1383">
              <w:rPr>
                <w:rFonts w:eastAsia="Times New Roman" w:cstheme="minorHAnsi"/>
                <w:color w:val="000000"/>
                <w:sz w:val="18"/>
                <w:szCs w:val="18"/>
                <w:vertAlign w:val="subscript"/>
              </w:rPr>
              <w:t>4</w:t>
            </w:r>
            <w:r w:rsidRPr="005E1383">
              <w:rPr>
                <w:rFonts w:eastAsia="Times New Roman" w:cstheme="minorHAnsi"/>
                <w:color w:val="000000"/>
                <w:sz w:val="18"/>
                <w:szCs w:val="18"/>
              </w:rPr>
              <w:t xml:space="preserve"> fluxes to better validate large scale modeled estimates of CH</w:t>
            </w:r>
            <w:r w:rsidRPr="005E1383">
              <w:rPr>
                <w:rFonts w:eastAsia="Times New Roman" w:cstheme="minorHAnsi"/>
                <w:color w:val="000000"/>
                <w:sz w:val="18"/>
                <w:szCs w:val="18"/>
                <w:vertAlign w:val="subscript"/>
              </w:rPr>
              <w:t>4</w:t>
            </w:r>
            <w:r w:rsidRPr="005E1383">
              <w:rPr>
                <w:rFonts w:eastAsia="Times New Roman" w:cstheme="minorHAnsi"/>
                <w:color w:val="000000"/>
                <w:sz w:val="18"/>
                <w:szCs w:val="18"/>
              </w:rPr>
              <w:t xml:space="preserve"> fluxes.</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E07021D"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3.45</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4DE905B3"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16</w:t>
            </w:r>
          </w:p>
        </w:tc>
      </w:tr>
      <w:tr w:rsidR="00A86203" w:rsidRPr="00D623B3" w14:paraId="5A323908"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4CD0D34B"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0246BE17"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6EF723A9"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A200A27"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1F331C8A"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53C2D0F4"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73D713CD"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Create and model microbial functional types, similar to how plant functional types are considered (Schmidt et al., 2011).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D1FA6A5"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3.36</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248D57E"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50007B72"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06DAA4D7"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0CF28342"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4EA22277"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3D10FE81"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3DC7B53A"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3D8CA36C"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57664C5C"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Impact of soil erosion on the soil carbon cycle and its role in the storage or loss of carbon (Brevik et al., 2015).</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A8C555E"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3.33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44B3B8DC"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19</w:t>
            </w:r>
          </w:p>
        </w:tc>
      </w:tr>
      <w:tr w:rsidR="00A86203" w:rsidRPr="00D623B3" w14:paraId="5A874F37"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31803BBA"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1F801741"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008D36F"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3DA4135B"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5824425F"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13F6E3EC"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0192A0A4"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Model the decay rate as a function of substrate properties and spatial positions in microenvironment, microbial activity and soil conditions (Schmidt et al., 2011).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1296720"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3.27</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C6635A1"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528F9B46"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02130B09"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2F9B078D"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697D774D"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0D56B5F8"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2C6D7A49"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6A449E66"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657DA451"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Expand application of existing models with validated parameters to include more diverse soil systems like peatlands and other organic soils (Dungait et al., 2012).</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0159B88"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3.27</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7FC7DA7"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3EBB20F8"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7EF91DDB"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35FB4482"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03800313"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6102AD31"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72D72106"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2BECA0B6"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2FDE3F0F"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Separately characterize above-ground and below-ground inputs (Schmidt et al., 2011).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C25ED39"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3.27</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60AAE8C"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1A0032D7"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421AE029"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1C165DD6"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211AA586"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64CC3CC"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070C3317"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14AB31C2"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06A0962E"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Relationship between microbial carbon use efficiency and temperature; how carbon use efficiency declines or improves in response to temperature; and the influence of carbon use efficiency on soil carbon losses. (Alison et al., 2010).</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9AE06C0"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3.25</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445DBC1"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19</w:t>
            </w:r>
          </w:p>
        </w:tc>
      </w:tr>
      <w:tr w:rsidR="00A86203" w:rsidRPr="00D623B3" w14:paraId="3DBCF2F2"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7A10A0C4"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6AF46DDF"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3E27E8CA"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C1A7310"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61B10537" w14:textId="77777777" w:rsidTr="007D6037">
        <w:trPr>
          <w:trHeight w:val="612"/>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14C1085B"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4C6A47C0"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Role of microbial biomass in soil organic matter turnover as a fundamental process affecting soil-priming effects. Consideration of microbes as not only a pool but as a driver of the turnover (Kuzyakov, 2010).</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44F6F89"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3.25</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676ABFF"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19</w:t>
            </w:r>
          </w:p>
        </w:tc>
      </w:tr>
      <w:tr w:rsidR="00A86203" w:rsidRPr="00D623B3" w14:paraId="2AE319B8"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5F21F5EE"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34E49B54"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4127C69F"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2DFBAB30"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27B35A5C"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655E740B"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7396BFC8"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Role of soil fungi in denitrification, through additional field studies or using new technologies (Butterbach-Bahl, 2013).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9484A2C"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3.25</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5527730"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18</w:t>
            </w:r>
          </w:p>
        </w:tc>
      </w:tr>
      <w:tr w:rsidR="00A86203" w:rsidRPr="00D623B3" w14:paraId="5C4033A9"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269E40CF"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20290052"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5FFE0954"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2FB8B68E"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55C9B09A"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260ABE93"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053DE1A0"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Influence of temperature change on CH</w:t>
            </w:r>
            <w:r w:rsidRPr="005E1383">
              <w:rPr>
                <w:rFonts w:eastAsia="Times New Roman" w:cstheme="minorHAnsi"/>
                <w:color w:val="000000"/>
                <w:sz w:val="18"/>
                <w:szCs w:val="18"/>
                <w:vertAlign w:val="subscript"/>
              </w:rPr>
              <w:t xml:space="preserve">4 </w:t>
            </w:r>
            <w:r w:rsidRPr="005E1383">
              <w:rPr>
                <w:rFonts w:eastAsia="Times New Roman" w:cstheme="minorHAnsi"/>
                <w:color w:val="000000"/>
                <w:sz w:val="18"/>
                <w:szCs w:val="18"/>
              </w:rPr>
              <w:t>fluxes from rice production. Reconciling sources of accelerated CH</w:t>
            </w:r>
            <w:r w:rsidRPr="005E1383">
              <w:rPr>
                <w:rFonts w:eastAsia="Times New Roman" w:cstheme="minorHAnsi"/>
                <w:color w:val="000000"/>
                <w:sz w:val="18"/>
                <w:szCs w:val="18"/>
                <w:vertAlign w:val="subscript"/>
              </w:rPr>
              <w:t>4</w:t>
            </w:r>
            <w:r w:rsidRPr="005E1383">
              <w:rPr>
                <w:rFonts w:eastAsia="Times New Roman" w:cstheme="minorHAnsi"/>
                <w:color w:val="000000"/>
                <w:sz w:val="18"/>
                <w:szCs w:val="18"/>
              </w:rPr>
              <w:t xml:space="preserve"> emissions, like higher rates of root decay, to sources of reduced CH</w:t>
            </w:r>
            <w:r w:rsidRPr="005E1383">
              <w:rPr>
                <w:rFonts w:eastAsia="Times New Roman" w:cstheme="minorHAnsi"/>
                <w:color w:val="000000"/>
                <w:sz w:val="18"/>
                <w:szCs w:val="18"/>
                <w:vertAlign w:val="subscript"/>
              </w:rPr>
              <w:t>4</w:t>
            </w:r>
            <w:r w:rsidRPr="005E1383">
              <w:rPr>
                <w:rFonts w:eastAsia="Times New Roman" w:cstheme="minorHAnsi"/>
                <w:color w:val="000000"/>
                <w:sz w:val="18"/>
                <w:szCs w:val="18"/>
              </w:rPr>
              <w:t xml:space="preserve"> emissions, like overheating, sterility, and diminished precipitation (Zhang et al., 2016).</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20570E5"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3.25</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5C8DCC2"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18</w:t>
            </w:r>
          </w:p>
        </w:tc>
      </w:tr>
      <w:tr w:rsidR="00A86203" w:rsidRPr="00D623B3" w14:paraId="386C2FA8"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3588F1A4"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61AAF76B"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76E2B1B7"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71C89E42"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2292BC15"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296D063E"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56953391"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Shift towards landscape scale modelling of soil organic matter dynamics for more comprehensive view of the agricultural landscape, as opposed to soil-profile/plot scale (Fellman et al., 2010).</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4E8209C"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3.18</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4837DFD5"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15E883E6"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724632F7"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0A1E168F"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3F5423EC"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9F2E283"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44B5EBBC" w14:textId="77777777" w:rsidTr="007D6037">
        <w:trPr>
          <w:trHeight w:val="588"/>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1418CCE6"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16794BD4"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Model the interactions between litter decay and soil organic formation (Cotrufo et al., 2012; Dungait et al., 2012).</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465EC74D"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3.18</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D10B328"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2540A385"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12215BD9"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24CD516D"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73B981E9"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2EB9B424"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7BC373E3"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3BCDE202"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64644582"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Incorporate water management types outside of continuous flooding when measuring CH</w:t>
            </w:r>
            <w:r w:rsidRPr="005E1383">
              <w:rPr>
                <w:rFonts w:eastAsia="Times New Roman" w:cstheme="minorHAnsi"/>
                <w:color w:val="000000"/>
                <w:sz w:val="18"/>
                <w:szCs w:val="18"/>
                <w:vertAlign w:val="subscript"/>
              </w:rPr>
              <w:t>4</w:t>
            </w:r>
            <w:r w:rsidRPr="005E1383">
              <w:rPr>
                <w:rFonts w:eastAsia="Times New Roman" w:cstheme="minorHAnsi"/>
                <w:color w:val="000000"/>
                <w:sz w:val="18"/>
                <w:szCs w:val="18"/>
              </w:rPr>
              <w:t xml:space="preserve"> (this is specific to DayCent) (U.S. National Greenhouse Gas Inventory, 2018).</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5CB83CF"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3.18</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B8C9882"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3FECD996"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1441C24E"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39C7E11C"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4413C08B"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44CE7860"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41B9171F"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7C6419BE"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273C8E74"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Replace the concept of increasing recalcitrance due to decomposition and synthesis with organic matter cycling into and out of microbial biomass (Schmidt et al., 2011).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931B881"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3.09</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38007D3"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78CA7BE6"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74B8E88F"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74BEB028"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5278D243"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00272531"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75E04F55"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0B00221E"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1F2988A1"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 xml:space="preserve">Include physical processes that follow non-normal probability distributions and density-dependent terms for organic matter and microbial biomass (Schmidt et al., 2011). </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76B5704"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3.09</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BF5F5B8"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44247B1C"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395078A0"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5F3058A2"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5CC515C4"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0FE0F505"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0AD67AEE"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4693C726"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2E4BDED0" w14:textId="77777777" w:rsidR="00A86203" w:rsidRPr="0068052A" w:rsidRDefault="00A86203" w:rsidP="007D6037">
            <w:pPr>
              <w:spacing w:after="0" w:line="240" w:lineRule="auto"/>
              <w:rPr>
                <w:rFonts w:eastAsia="Times New Roman" w:cstheme="minorHAnsi"/>
                <w:sz w:val="18"/>
                <w:szCs w:val="18"/>
              </w:rPr>
            </w:pPr>
            <w:r w:rsidRPr="0068052A">
              <w:rPr>
                <w:rFonts w:eastAsia="Times New Roman" w:cstheme="minorHAnsi"/>
                <w:sz w:val="18"/>
                <w:szCs w:val="18"/>
              </w:rPr>
              <w:endnoteReference w:customMarkFollows="1" w:id="1"/>
              <w:t>The significance of roots and root exudates to the soil carbon stock changes[i] (39); clarity on the mechanisms underlying retention of root-derived carbon; and impact of fresh root inputs on decomposition and community composition (Schmidt et al., 2011).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FAF9B85"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3.08</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EEDFB81"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19</w:t>
            </w:r>
          </w:p>
        </w:tc>
      </w:tr>
      <w:tr w:rsidR="00A86203" w:rsidRPr="00D623B3" w14:paraId="0963A988"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6136A1B3"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07E6346F" w14:textId="77777777" w:rsidR="00A86203" w:rsidRPr="005E1383" w:rsidRDefault="00A86203" w:rsidP="007D6037">
            <w:pPr>
              <w:spacing w:after="0" w:line="240" w:lineRule="auto"/>
              <w:rPr>
                <w:rFonts w:eastAsia="Times New Roman" w:cstheme="minorHAnsi"/>
                <w:color w:val="0563C1"/>
                <w:sz w:val="18"/>
                <w:szCs w:val="18"/>
                <w:u w:val="single"/>
              </w:rPr>
            </w:pPr>
          </w:p>
        </w:tc>
        <w:tc>
          <w:tcPr>
            <w:tcW w:w="960" w:type="dxa"/>
            <w:vMerge/>
            <w:tcBorders>
              <w:top w:val="nil"/>
              <w:left w:val="single" w:sz="4" w:space="0" w:color="auto"/>
              <w:bottom w:val="single" w:sz="4" w:space="0" w:color="auto"/>
              <w:right w:val="single" w:sz="4" w:space="0" w:color="auto"/>
            </w:tcBorders>
            <w:vAlign w:val="center"/>
            <w:hideMark/>
          </w:tcPr>
          <w:p w14:paraId="25764916"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45DEA4C3"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7476FA88"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4F6B6DF8"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67669956"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Role of soil organism diversity in reducing loss of N through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O emissions (Wagg, 2014).</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61554B4"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3.08</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B5F5CC6"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18</w:t>
            </w:r>
          </w:p>
        </w:tc>
      </w:tr>
      <w:tr w:rsidR="00A86203" w:rsidRPr="00D623B3" w14:paraId="7BF558A3"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1376351C"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38E036D5"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0CA4640C"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99ECB98"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6F03575B" w14:textId="77777777" w:rsidTr="007D6037">
        <w:trPr>
          <w:trHeight w:val="876"/>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0E565DED"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225E188D"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Microbial regulation of enzyme activities, particularly in response to temperature, precipitation and other climatic events (Burns et al., 2013).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EE0AFB1"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3.00</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CC0E44D"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19</w:t>
            </w:r>
          </w:p>
        </w:tc>
      </w:tr>
      <w:tr w:rsidR="00A86203" w:rsidRPr="00D623B3" w14:paraId="41750225"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6E3B21C9"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6D8C133A"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31CA97F9"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443507B2"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1C65317C"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40E00E0C"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6E87BC92"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Formalizing through new models or modules the emerging understanding that soil organic matter is composed of inherently stable and chemically unique compounds, deviating from the traditional “humification” model that prioritizes physical/molecular properties of organic matter and sequences the decomposition of individual carbon pools in accordance with first order kinetics (Allison et al., 2010;; Paustian et al., 2016; Schimel &amp; Schaeffer, 2012; Stockman et al., 2013).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85A218D"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3.00</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4C60971"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19</w:t>
            </w:r>
          </w:p>
        </w:tc>
      </w:tr>
      <w:tr w:rsidR="00A86203" w:rsidRPr="00D623B3" w14:paraId="07D365A5"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71281811"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2A3042F5"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885715F"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525AFE1C"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65EB8F44"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53EF2CE1"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19998796"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Potential role of soil inhabiting archaea in producing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O emissions (Butterbach-Bahl, 2013).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1F342C9"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3.00</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C55E2D3"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18</w:t>
            </w:r>
          </w:p>
        </w:tc>
      </w:tr>
      <w:tr w:rsidR="00A86203" w:rsidRPr="00D623B3" w14:paraId="1E7DF5C2"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18E42302"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031FCE82"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76420F57"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5F536CB3"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5888866F"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6149C813"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668D6E5F"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Water regimes of rice agricultural systems may be highly variable, but are often estimated through an assumption of homogenous water regimes. Shift to subgrid variability in water regimes to better capture CH</w:t>
            </w:r>
            <w:r w:rsidRPr="005E1383">
              <w:rPr>
                <w:rFonts w:eastAsia="Times New Roman" w:cstheme="minorHAnsi"/>
                <w:color w:val="000000"/>
                <w:sz w:val="18"/>
                <w:szCs w:val="18"/>
                <w:vertAlign w:val="subscript"/>
              </w:rPr>
              <w:t>4</w:t>
            </w:r>
            <w:r w:rsidRPr="005E1383">
              <w:rPr>
                <w:rFonts w:eastAsia="Times New Roman" w:cstheme="minorHAnsi"/>
                <w:color w:val="000000"/>
                <w:sz w:val="18"/>
                <w:szCs w:val="18"/>
              </w:rPr>
              <w:t xml:space="preserve"> emissions (Zhang et al., 2016).</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AD01AD0"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2.82</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CA17167"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3BE403B0"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089A40A5"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20AEB822"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69DAC10C"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082CDB41"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394F79CF" w14:textId="77777777" w:rsidTr="007D6037">
        <w:trPr>
          <w:trHeight w:val="852"/>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356E3DD2" w14:textId="56A7C069" w:rsidR="00A86203" w:rsidRPr="005E1383" w:rsidRDefault="00651675" w:rsidP="007D6037">
            <w:pPr>
              <w:spacing w:after="0" w:line="240" w:lineRule="auto"/>
              <w:rPr>
                <w:rFonts w:eastAsia="Times New Roman" w:cstheme="minorHAnsi"/>
                <w:color w:val="000000"/>
                <w:sz w:val="18"/>
                <w:szCs w:val="18"/>
              </w:rPr>
            </w:pPr>
            <w:r>
              <w:rPr>
                <w:rFonts w:eastAsia="Times New Roman" w:cstheme="minorHAnsi"/>
                <w:color w:val="000000"/>
                <w:sz w:val="18"/>
                <w:szCs w:val="18"/>
              </w:rPr>
              <w:t>D</w:t>
            </w:r>
            <w:r w:rsidR="00A86203" w:rsidRPr="005E1383">
              <w:rPr>
                <w:rFonts w:eastAsia="Times New Roman" w:cstheme="minorHAnsi"/>
                <w:color w:val="000000"/>
                <w:sz w:val="18"/>
                <w:szCs w:val="18"/>
              </w:rPr>
              <w:t>ata needs</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614674AF"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Improve accounting of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O and CH</w:t>
            </w:r>
            <w:r w:rsidRPr="005E1383">
              <w:rPr>
                <w:rFonts w:eastAsia="Times New Roman" w:cstheme="minorHAnsi"/>
                <w:color w:val="000000"/>
                <w:sz w:val="18"/>
                <w:szCs w:val="18"/>
                <w:vertAlign w:val="subscript"/>
              </w:rPr>
              <w:t>4</w:t>
            </w:r>
            <w:r w:rsidRPr="005E1383">
              <w:rPr>
                <w:rFonts w:eastAsia="Times New Roman" w:cstheme="minorHAnsi"/>
                <w:color w:val="000000"/>
                <w:sz w:val="18"/>
                <w:szCs w:val="18"/>
              </w:rPr>
              <w:t xml:space="preserve"> emissions from the growing aquaculture industry, which remains poorly understood (Bridgham et al., 2013; Reay et al., 2012).         </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6F73DC8"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2.82</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60A0430"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16</w:t>
            </w:r>
          </w:p>
        </w:tc>
      </w:tr>
      <w:tr w:rsidR="00A86203" w:rsidRPr="00D623B3" w14:paraId="3188B970"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3900C1E8"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6D1BB499"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5AEC512F"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36F35ECD"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74A742D0"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653EC4CB"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3410880C"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Impact of short- and long-term effects of biochar and other fire-derived organic matter amendments on soil carbon cycling and sequestration, including impacts on soil biota and soil chemical properties (Brevik et al., 2015; Lehmann et al., 2011).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79400833"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2.67</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887968C"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19</w:t>
            </w:r>
          </w:p>
        </w:tc>
      </w:tr>
      <w:tr w:rsidR="00A86203" w:rsidRPr="00D623B3" w14:paraId="779230F5"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4FBB0A1E"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557FF1BF"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286A05DA"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066F5165"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5592457E"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3E6D19B8"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7A808547"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Include CH</w:t>
            </w:r>
            <w:r w:rsidRPr="005E1383">
              <w:rPr>
                <w:rFonts w:eastAsia="Times New Roman" w:cstheme="minorHAnsi"/>
                <w:color w:val="000000"/>
                <w:sz w:val="18"/>
                <w:szCs w:val="18"/>
                <w:vertAlign w:val="subscript"/>
              </w:rPr>
              <w:t xml:space="preserve">4 </w:t>
            </w:r>
            <w:r w:rsidRPr="005E1383">
              <w:rPr>
                <w:rFonts w:eastAsia="Times New Roman" w:cstheme="minorHAnsi"/>
                <w:color w:val="000000"/>
                <w:sz w:val="18"/>
                <w:szCs w:val="18"/>
              </w:rPr>
              <w:t xml:space="preserve">fluxes from land use types other than rice agriculture, like natural and managed grassland systems (DelGrosso et al., 2000). </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F85E20A"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2.64</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E3D6D2E"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34B39217"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6780CD0F"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5347B3EE"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00CE987E"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0BCC3E3"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6EB99859" w14:textId="77777777" w:rsidTr="007D6037">
        <w:trPr>
          <w:trHeight w:val="564"/>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67F84B4A"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3B6D50A7"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Improve model representations of rice varieties and iron reduction/oxidation to better estimate CH</w:t>
            </w:r>
            <w:r w:rsidRPr="005E1383">
              <w:rPr>
                <w:rFonts w:eastAsia="Times New Roman" w:cstheme="minorHAnsi"/>
                <w:color w:val="000000"/>
                <w:sz w:val="18"/>
                <w:szCs w:val="18"/>
                <w:vertAlign w:val="subscript"/>
              </w:rPr>
              <w:t>4</w:t>
            </w:r>
            <w:r w:rsidRPr="005E1383">
              <w:rPr>
                <w:rFonts w:eastAsia="Times New Roman" w:cstheme="minorHAnsi"/>
                <w:color w:val="000000"/>
                <w:sz w:val="18"/>
                <w:szCs w:val="18"/>
              </w:rPr>
              <w:t xml:space="preserve"> emissions in rice fields (Zhang et al., 2016).</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BBBF513"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2.64</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24B5D503"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744E1DB0"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61167A60"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3661B261"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5D051697"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27409984"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76BFCF3E"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73D5E6BD"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7001DFF6"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Mechanistic processes underlying the impact of biochar on reducing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O emissions: factors including, but not limited to, microbial immobilization of inorganic N in soil, alleviation of anoxic conditions, increased sorption capacity of biochars, reduction of N uptake by plants, and formation and stability of soil aggregates (Cayuela et al., 2014; Clough et al., 2013; Singh et al., 2010).</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2F9D196"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2.50</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4EA2CA7"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18</w:t>
            </w:r>
          </w:p>
        </w:tc>
      </w:tr>
      <w:tr w:rsidR="00A86203" w:rsidRPr="00D623B3" w14:paraId="09DE9F1F"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377E6FCA"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08937260"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B97861F"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F012469"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08B07DDF"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3C8B2CF9" w14:textId="7C8D6EB5" w:rsidR="00A86203" w:rsidRPr="005E1383" w:rsidRDefault="00651675" w:rsidP="007D6037">
            <w:pPr>
              <w:spacing w:after="0" w:line="240" w:lineRule="auto"/>
              <w:rPr>
                <w:rFonts w:eastAsia="Times New Roman" w:cstheme="minorHAnsi"/>
                <w:color w:val="000000"/>
                <w:sz w:val="18"/>
                <w:szCs w:val="18"/>
              </w:rPr>
            </w:pPr>
            <w:r>
              <w:rPr>
                <w:rFonts w:eastAsia="Times New Roman" w:cstheme="minorHAnsi"/>
                <w:color w:val="000000"/>
                <w:sz w:val="18"/>
                <w:szCs w:val="18"/>
              </w:rPr>
              <w:t>D</w:t>
            </w:r>
            <w:r w:rsidR="00A86203" w:rsidRPr="005E1383">
              <w:rPr>
                <w:rFonts w:eastAsia="Times New Roman" w:cstheme="minorHAnsi"/>
                <w:color w:val="000000"/>
                <w:sz w:val="18"/>
                <w:szCs w:val="18"/>
              </w:rPr>
              <w:t>ata needs</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42491596"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Utilize RNA technology to analyze microbial diversity, adding breadth to traditional DNA analyses of microbial activity (Baldrian et al., 2012; Brevik et al., 2015).</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8CE0020"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2.45</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1E77CED"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16</w:t>
            </w:r>
          </w:p>
        </w:tc>
      </w:tr>
      <w:tr w:rsidR="00A86203" w:rsidRPr="00D623B3" w14:paraId="10223733"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75D98B75"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35C7F13B"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527E234C"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4C1D03A9"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5E7D7692"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0BAC59FA" w14:textId="58DD0B8A" w:rsidR="00A86203" w:rsidRPr="005E1383" w:rsidRDefault="00651675" w:rsidP="007D6037">
            <w:pPr>
              <w:spacing w:after="0" w:line="240" w:lineRule="auto"/>
              <w:rPr>
                <w:rFonts w:eastAsia="Times New Roman" w:cstheme="minorHAnsi"/>
                <w:color w:val="000000"/>
                <w:sz w:val="18"/>
                <w:szCs w:val="18"/>
              </w:rPr>
            </w:pPr>
            <w:r>
              <w:rPr>
                <w:rFonts w:eastAsia="Times New Roman" w:cstheme="minorHAnsi"/>
                <w:color w:val="000000"/>
                <w:sz w:val="18"/>
                <w:szCs w:val="18"/>
              </w:rPr>
              <w:lastRenderedPageBreak/>
              <w:t>D</w:t>
            </w:r>
            <w:r w:rsidR="00A86203" w:rsidRPr="005E1383">
              <w:rPr>
                <w:rFonts w:eastAsia="Times New Roman" w:cstheme="minorHAnsi"/>
                <w:color w:val="000000"/>
                <w:sz w:val="18"/>
                <w:szCs w:val="18"/>
              </w:rPr>
              <w:t>ata needs</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6E047301"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Incorporate new information sources, like recently developed soil DNA databases (Paustian et al., 2016; Stockmann et al., 2013).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3BBCED7E"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2.45</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9EFC5A0"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16</w:t>
            </w:r>
          </w:p>
        </w:tc>
      </w:tr>
      <w:tr w:rsidR="00A86203" w:rsidRPr="00D623B3" w14:paraId="3A5C1CA2"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0E3AAB04"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7BBF621C"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7823CC12"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058D124"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56744A8A" w14:textId="77777777" w:rsidTr="007D6037">
        <w:trPr>
          <w:trHeight w:val="90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7AC3426C"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2FD825B1"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Decomposition pathways of biochar and other fire-derived organic matter (Schmidt et al., 2011).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22AC5E7"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2.33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DF6F727"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19</w:t>
            </w:r>
          </w:p>
        </w:tc>
      </w:tr>
      <w:tr w:rsidR="00A86203" w:rsidRPr="00D623B3" w14:paraId="68CE1EF7"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465C72E3"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63B057BD"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7F22CF5D"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757A1D97"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5BD0121B" w14:textId="77777777" w:rsidTr="007D6037">
        <w:trPr>
          <w:trHeight w:val="612"/>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4686E656"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Primary soil research</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403F4DB4"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CH</w:t>
            </w:r>
            <w:r w:rsidRPr="005E1383">
              <w:rPr>
                <w:rFonts w:eastAsia="Times New Roman" w:cstheme="minorHAnsi"/>
                <w:color w:val="000000"/>
                <w:sz w:val="18"/>
                <w:szCs w:val="18"/>
                <w:vertAlign w:val="subscript"/>
              </w:rPr>
              <w:t>4</w:t>
            </w:r>
            <w:r w:rsidRPr="005E1383">
              <w:rPr>
                <w:rFonts w:eastAsia="Times New Roman" w:cstheme="minorHAnsi"/>
                <w:color w:val="000000"/>
                <w:sz w:val="18"/>
                <w:szCs w:val="18"/>
              </w:rPr>
              <w:t xml:space="preserve"> and N</w:t>
            </w:r>
            <w:r w:rsidRPr="005E1383">
              <w:rPr>
                <w:rFonts w:eastAsia="Times New Roman" w:cstheme="minorHAnsi"/>
                <w:color w:val="000000"/>
                <w:sz w:val="18"/>
                <w:szCs w:val="18"/>
                <w:vertAlign w:val="subscript"/>
              </w:rPr>
              <w:t>2</w:t>
            </w:r>
            <w:r w:rsidRPr="005E1383">
              <w:rPr>
                <w:rFonts w:eastAsia="Times New Roman" w:cstheme="minorHAnsi"/>
                <w:color w:val="000000"/>
                <w:sz w:val="18"/>
                <w:szCs w:val="18"/>
              </w:rPr>
              <w:t>O emissions from aquaculture (currently this is an omitted flux in the NGHGI) (Reay et al., 2012).</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794D1C6"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2.33</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03407B8A"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18</w:t>
            </w:r>
          </w:p>
        </w:tc>
      </w:tr>
      <w:tr w:rsidR="00A86203" w:rsidRPr="00D623B3" w14:paraId="2BB74DF5"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58537FC2"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1659202D"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74342AFF"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106271E0"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3D953CC4"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32367098"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6D8A40B9"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Include input pathway for fire-derived carbon (Schmidt et al., 2011).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6BE1DA50"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2.27</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5281187C"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0EEDF9D7"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2148FE60" w14:textId="77777777" w:rsidR="00A86203" w:rsidRPr="005E1383" w:rsidRDefault="00A86203" w:rsidP="007D6037">
            <w:pPr>
              <w:spacing w:after="0" w:line="240" w:lineRule="auto"/>
              <w:rPr>
                <w:rFonts w:eastAsia="Times New Roman" w:cstheme="minorHAnsi"/>
                <w:color w:val="000000"/>
                <w:sz w:val="18"/>
                <w:szCs w:val="18"/>
              </w:rPr>
            </w:pPr>
          </w:p>
        </w:tc>
        <w:tc>
          <w:tcPr>
            <w:tcW w:w="4600" w:type="dxa"/>
            <w:vMerge/>
            <w:tcBorders>
              <w:top w:val="nil"/>
              <w:left w:val="single" w:sz="4" w:space="0" w:color="auto"/>
              <w:bottom w:val="single" w:sz="4" w:space="0" w:color="auto"/>
              <w:right w:val="single" w:sz="4" w:space="0" w:color="auto"/>
            </w:tcBorders>
            <w:vAlign w:val="center"/>
            <w:hideMark/>
          </w:tcPr>
          <w:p w14:paraId="0853742F"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049CD13F" w14:textId="77777777" w:rsidR="00A86203" w:rsidRPr="005E1383" w:rsidRDefault="00A86203" w:rsidP="007D6037">
            <w:pPr>
              <w:spacing w:after="0" w:line="240" w:lineRule="auto"/>
              <w:rPr>
                <w:rFonts w:eastAsia="Times New Roman" w:cstheme="minorHAnsi"/>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14:paraId="0F140AC6" w14:textId="77777777" w:rsidR="00A86203" w:rsidRPr="005E1383" w:rsidRDefault="00A86203" w:rsidP="007D6037">
            <w:pPr>
              <w:spacing w:after="0" w:line="240" w:lineRule="auto"/>
              <w:rPr>
                <w:rFonts w:eastAsia="Times New Roman" w:cstheme="minorHAnsi"/>
                <w:color w:val="000000"/>
                <w:sz w:val="18"/>
                <w:szCs w:val="18"/>
              </w:rPr>
            </w:pPr>
          </w:p>
        </w:tc>
      </w:tr>
      <w:tr w:rsidR="00A86203" w:rsidRPr="00D623B3" w14:paraId="45133CBC" w14:textId="77777777" w:rsidTr="007D6037">
        <w:trPr>
          <w:trHeight w:val="450"/>
        </w:trPr>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14:paraId="5A967184"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Soil model development and intermodel comparison</w:t>
            </w:r>
          </w:p>
        </w:tc>
        <w:tc>
          <w:tcPr>
            <w:tcW w:w="4600" w:type="dxa"/>
            <w:vMerge w:val="restart"/>
            <w:tcBorders>
              <w:top w:val="nil"/>
              <w:left w:val="single" w:sz="4" w:space="0" w:color="auto"/>
              <w:bottom w:val="single" w:sz="4" w:space="0" w:color="auto"/>
              <w:right w:val="single" w:sz="4" w:space="0" w:color="auto"/>
            </w:tcBorders>
            <w:shd w:val="clear" w:color="auto" w:fill="auto"/>
            <w:vAlign w:val="center"/>
            <w:hideMark/>
          </w:tcPr>
          <w:p w14:paraId="588DA892" w14:textId="77777777" w:rsidR="00A86203" w:rsidRPr="005E1383" w:rsidRDefault="00A86203" w:rsidP="007D6037">
            <w:pPr>
              <w:spacing w:after="0" w:line="240" w:lineRule="auto"/>
              <w:rPr>
                <w:rFonts w:eastAsia="Times New Roman" w:cstheme="minorHAnsi"/>
                <w:color w:val="000000"/>
                <w:sz w:val="18"/>
                <w:szCs w:val="18"/>
              </w:rPr>
            </w:pPr>
            <w:r w:rsidRPr="005E1383">
              <w:rPr>
                <w:rFonts w:eastAsia="Times New Roman" w:cstheme="minorHAnsi"/>
                <w:color w:val="000000"/>
                <w:sz w:val="18"/>
                <w:szCs w:val="18"/>
              </w:rPr>
              <w:t>Add aromatic compounds to soil organic matter types (Schmidt et al., 2011).</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4D88DE27"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2.09</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14:paraId="16BF5457" w14:textId="77777777" w:rsidR="00A86203" w:rsidRPr="005E1383" w:rsidRDefault="00A86203" w:rsidP="007D6037">
            <w:pPr>
              <w:spacing w:after="0" w:line="240" w:lineRule="auto"/>
              <w:jc w:val="right"/>
              <w:rPr>
                <w:rFonts w:eastAsia="Times New Roman" w:cstheme="minorHAnsi"/>
                <w:color w:val="000000"/>
                <w:sz w:val="18"/>
                <w:szCs w:val="18"/>
              </w:rPr>
            </w:pPr>
            <w:r w:rsidRPr="005E1383">
              <w:rPr>
                <w:rFonts w:eastAsia="Times New Roman" w:cstheme="minorHAnsi"/>
                <w:color w:val="000000"/>
                <w:sz w:val="18"/>
                <w:szCs w:val="18"/>
              </w:rPr>
              <w:t>17</w:t>
            </w:r>
          </w:p>
        </w:tc>
      </w:tr>
      <w:tr w:rsidR="00A86203" w:rsidRPr="00D623B3" w14:paraId="1E1578E0" w14:textId="77777777" w:rsidTr="007D6037">
        <w:trPr>
          <w:trHeight w:val="450"/>
        </w:trPr>
        <w:tc>
          <w:tcPr>
            <w:tcW w:w="2320" w:type="dxa"/>
            <w:vMerge/>
            <w:tcBorders>
              <w:top w:val="nil"/>
              <w:left w:val="single" w:sz="4" w:space="0" w:color="auto"/>
              <w:bottom w:val="single" w:sz="4" w:space="0" w:color="auto"/>
              <w:right w:val="single" w:sz="4" w:space="0" w:color="auto"/>
            </w:tcBorders>
            <w:vAlign w:val="center"/>
            <w:hideMark/>
          </w:tcPr>
          <w:p w14:paraId="0E0DDBCE" w14:textId="77777777" w:rsidR="00A86203" w:rsidRPr="00D623B3" w:rsidRDefault="00A86203" w:rsidP="007D6037">
            <w:pPr>
              <w:spacing w:after="0" w:line="240" w:lineRule="auto"/>
              <w:rPr>
                <w:rFonts w:ascii="Calibri" w:eastAsia="Times New Roman" w:hAnsi="Calibri" w:cs="Calibri"/>
                <w:color w:val="000000"/>
              </w:rPr>
            </w:pPr>
          </w:p>
        </w:tc>
        <w:tc>
          <w:tcPr>
            <w:tcW w:w="4600" w:type="dxa"/>
            <w:vMerge/>
            <w:tcBorders>
              <w:top w:val="nil"/>
              <w:left w:val="single" w:sz="4" w:space="0" w:color="auto"/>
              <w:bottom w:val="single" w:sz="4" w:space="0" w:color="auto"/>
              <w:right w:val="single" w:sz="4" w:space="0" w:color="auto"/>
            </w:tcBorders>
            <w:vAlign w:val="center"/>
            <w:hideMark/>
          </w:tcPr>
          <w:p w14:paraId="44B629B4" w14:textId="77777777" w:rsidR="00A86203" w:rsidRPr="00D623B3" w:rsidRDefault="00A86203" w:rsidP="007D6037">
            <w:pPr>
              <w:spacing w:after="0" w:line="240" w:lineRule="auto"/>
              <w:rPr>
                <w:rFonts w:ascii="Calibri" w:eastAsia="Times New Roman" w:hAnsi="Calibri" w:cs="Calibri"/>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1B6ABD41" w14:textId="77777777" w:rsidR="00A86203" w:rsidRPr="00D623B3" w:rsidRDefault="00A86203" w:rsidP="007D6037">
            <w:pPr>
              <w:spacing w:after="0" w:line="240" w:lineRule="auto"/>
              <w:rPr>
                <w:rFonts w:ascii="Calibri" w:eastAsia="Times New Roman" w:hAnsi="Calibri" w:cs="Calibri"/>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68EB1870" w14:textId="77777777" w:rsidR="00A86203" w:rsidRPr="00D623B3" w:rsidRDefault="00A86203" w:rsidP="007D6037">
            <w:pPr>
              <w:spacing w:after="0" w:line="240" w:lineRule="auto"/>
              <w:rPr>
                <w:rFonts w:ascii="Calibri" w:eastAsia="Times New Roman" w:hAnsi="Calibri" w:cs="Calibri"/>
                <w:color w:val="000000"/>
              </w:rPr>
            </w:pPr>
          </w:p>
        </w:tc>
      </w:tr>
    </w:tbl>
    <w:p w14:paraId="60599ADF" w14:textId="77777777" w:rsidR="00E50644" w:rsidRDefault="00E50644" w:rsidP="00083485">
      <w:pPr>
        <w:pStyle w:val="1-Header"/>
        <w:sectPr w:rsidR="00E50644">
          <w:pgSz w:w="12240" w:h="15840"/>
          <w:pgMar w:top="1440" w:right="1440" w:bottom="1440" w:left="1440" w:header="720" w:footer="720" w:gutter="0"/>
          <w:cols w:space="720"/>
          <w:docGrid w:linePitch="360"/>
        </w:sectPr>
      </w:pPr>
    </w:p>
    <w:p w14:paraId="2B2FF823" w14:textId="083DA158" w:rsidR="00DB60AF" w:rsidRDefault="00CC0ACC" w:rsidP="00FA301C">
      <w:pPr>
        <w:pStyle w:val="Heading1"/>
        <w:numPr>
          <w:ilvl w:val="0"/>
          <w:numId w:val="0"/>
        </w:numPr>
        <w:spacing w:after="160"/>
      </w:pPr>
      <w:bookmarkStart w:id="292" w:name="_Toc84784391"/>
      <w:r>
        <w:lastRenderedPageBreak/>
        <w:t xml:space="preserve">Supplementary Material </w:t>
      </w:r>
      <w:r w:rsidR="00146C34">
        <w:t>References</w:t>
      </w:r>
      <w:bookmarkEnd w:id="292"/>
    </w:p>
    <w:p w14:paraId="4A8B27B9"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Alberta Carbon Registries. 2021. “Alberta Emissions Offset Registry Listing.” 2021. </w:t>
      </w:r>
      <w:hyperlink r:id="rId21" w:history="1">
        <w:r w:rsidRPr="000B2554">
          <w:rPr>
            <w:rStyle w:val="Hyperlink"/>
            <w:rFonts w:cstheme="minorHAnsi"/>
            <w:sz w:val="20"/>
            <w:szCs w:val="20"/>
          </w:rPr>
          <w:t>https://alberta.csaregistries.ca/GHGR_Listing/AEOR_Listing.aspx</w:t>
        </w:r>
      </w:hyperlink>
      <w:r w:rsidRPr="000B2554">
        <w:rPr>
          <w:rFonts w:cstheme="minorHAnsi"/>
          <w:sz w:val="20"/>
          <w:szCs w:val="20"/>
        </w:rPr>
        <w:t>.</w:t>
      </w:r>
    </w:p>
    <w:p w14:paraId="577FB08F"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 xml:space="preserve">Allison, S.D., Wallenstein, M.D., Bradford, M.A. (2010). Soil-carbon response to warming dependent on microbial physiology. </w:t>
      </w:r>
      <w:r w:rsidRPr="000B2554">
        <w:rPr>
          <w:rFonts w:asciiTheme="minorHAnsi" w:hAnsiTheme="minorHAnsi" w:cstheme="minorHAnsi"/>
          <w:i/>
          <w:iCs/>
          <w:color w:val="000000"/>
          <w:sz w:val="20"/>
          <w:szCs w:val="20"/>
        </w:rPr>
        <w:t>Nature Geoscience, 3</w:t>
      </w:r>
      <w:r w:rsidRPr="000B2554">
        <w:rPr>
          <w:rFonts w:asciiTheme="minorHAnsi" w:hAnsiTheme="minorHAnsi" w:cstheme="minorHAnsi"/>
          <w:color w:val="000000"/>
          <w:sz w:val="20"/>
          <w:szCs w:val="20"/>
        </w:rPr>
        <w:t>, 336-340.</w:t>
      </w:r>
    </w:p>
    <w:p w14:paraId="58A53B4F"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hyperlink r:id="rId22" w:anchor="auth-1" w:history="1">
        <w:r w:rsidRPr="000B2554">
          <w:rPr>
            <w:rStyle w:val="Hyperlink"/>
            <w:rFonts w:asciiTheme="minorHAnsi" w:hAnsiTheme="minorHAnsi" w:cstheme="minorHAnsi"/>
            <w:color w:val="000000"/>
            <w:sz w:val="20"/>
            <w:szCs w:val="20"/>
            <w:u w:val="none"/>
            <w:shd w:val="clear" w:color="auto" w:fill="FFFFFF"/>
          </w:rPr>
          <w:t>Arneth</w:t>
        </w:r>
      </w:hyperlink>
      <w:r w:rsidRPr="000B2554">
        <w:rPr>
          <w:rFonts w:asciiTheme="minorHAnsi" w:hAnsiTheme="minorHAnsi" w:cstheme="minorHAnsi"/>
          <w:color w:val="000000"/>
          <w:sz w:val="20"/>
          <w:szCs w:val="20"/>
          <w:shd w:val="clear" w:color="auto" w:fill="FFFFFF"/>
        </w:rPr>
        <w:t xml:space="preserve"> A., </w:t>
      </w:r>
      <w:hyperlink r:id="rId23" w:anchor="auth-2" w:history="1">
        <w:r w:rsidRPr="000B2554">
          <w:rPr>
            <w:rStyle w:val="Hyperlink"/>
            <w:rFonts w:asciiTheme="minorHAnsi" w:hAnsiTheme="minorHAnsi" w:cstheme="minorHAnsi"/>
            <w:color w:val="000000"/>
            <w:sz w:val="20"/>
            <w:szCs w:val="20"/>
            <w:u w:val="none"/>
            <w:shd w:val="clear" w:color="auto" w:fill="FFFFFF"/>
          </w:rPr>
          <w:t>Harrison</w:t>
        </w:r>
      </w:hyperlink>
      <w:r w:rsidRPr="000B2554">
        <w:rPr>
          <w:rFonts w:asciiTheme="minorHAnsi" w:hAnsiTheme="minorHAnsi" w:cstheme="minorHAnsi"/>
          <w:color w:val="000000"/>
          <w:sz w:val="20"/>
          <w:szCs w:val="20"/>
          <w:shd w:val="clear" w:color="auto" w:fill="FFFFFF"/>
        </w:rPr>
        <w:t xml:space="preserve"> S.P.,</w:t>
      </w:r>
      <w:hyperlink r:id="rId24" w:anchor="auth-3" w:history="1">
        <w:r w:rsidRPr="000B2554">
          <w:rPr>
            <w:rStyle w:val="Hyperlink"/>
            <w:rFonts w:asciiTheme="minorHAnsi" w:hAnsiTheme="minorHAnsi" w:cstheme="minorHAnsi"/>
            <w:color w:val="000000"/>
            <w:sz w:val="20"/>
            <w:szCs w:val="20"/>
            <w:u w:val="none"/>
            <w:shd w:val="clear" w:color="auto" w:fill="FFFFFF"/>
          </w:rPr>
          <w:t xml:space="preserve"> Zaehle</w:t>
        </w:r>
      </w:hyperlink>
      <w:r w:rsidRPr="000B2554">
        <w:rPr>
          <w:rFonts w:asciiTheme="minorHAnsi" w:hAnsiTheme="minorHAnsi" w:cstheme="minorHAnsi"/>
          <w:color w:val="000000"/>
          <w:sz w:val="20"/>
          <w:szCs w:val="20"/>
          <w:shd w:val="clear" w:color="auto" w:fill="FFFFFF"/>
        </w:rPr>
        <w:t>, S.,</w:t>
      </w:r>
      <w:hyperlink r:id="rId25" w:anchor="auth-4" w:history="1">
        <w:r w:rsidRPr="000B2554">
          <w:rPr>
            <w:rStyle w:val="Hyperlink"/>
            <w:rFonts w:asciiTheme="minorHAnsi" w:hAnsiTheme="minorHAnsi" w:cstheme="minorHAnsi"/>
            <w:color w:val="000000"/>
            <w:sz w:val="20"/>
            <w:szCs w:val="20"/>
            <w:u w:val="none"/>
            <w:shd w:val="clear" w:color="auto" w:fill="FFFFFF"/>
          </w:rPr>
          <w:t xml:space="preserve"> Tsigaridis</w:t>
        </w:r>
      </w:hyperlink>
      <w:r w:rsidRPr="000B2554">
        <w:rPr>
          <w:rFonts w:asciiTheme="minorHAnsi" w:hAnsiTheme="minorHAnsi" w:cstheme="minorHAnsi"/>
          <w:color w:val="000000"/>
          <w:sz w:val="20"/>
          <w:szCs w:val="20"/>
          <w:shd w:val="clear" w:color="auto" w:fill="FFFFFF"/>
        </w:rPr>
        <w:t>. K., Menon, S., Bartlein, P.J.</w:t>
      </w:r>
      <w:proofErr w:type="gramStart"/>
      <w:r w:rsidRPr="000B2554">
        <w:rPr>
          <w:rFonts w:asciiTheme="minorHAnsi" w:hAnsiTheme="minorHAnsi" w:cstheme="minorHAnsi"/>
          <w:color w:val="000000"/>
          <w:sz w:val="20"/>
          <w:szCs w:val="20"/>
          <w:shd w:val="clear" w:color="auto" w:fill="FFFFFF"/>
        </w:rPr>
        <w:t>,…</w:t>
      </w:r>
      <w:proofErr w:type="gramEnd"/>
      <w:r w:rsidRPr="000B2554">
        <w:rPr>
          <w:rFonts w:asciiTheme="minorHAnsi" w:hAnsiTheme="minorHAnsi" w:cstheme="minorHAnsi"/>
          <w:color w:val="000000"/>
          <w:sz w:val="20"/>
          <w:szCs w:val="20"/>
          <w:shd w:val="clear" w:color="auto" w:fill="FFFFFF"/>
        </w:rPr>
        <w:t xml:space="preserve">Vesala, T. (2010). Terrestrial biogeochemical feedbacks in the climate system. </w:t>
      </w:r>
      <w:r w:rsidRPr="000B2554">
        <w:rPr>
          <w:rFonts w:asciiTheme="minorHAnsi" w:hAnsiTheme="minorHAnsi" w:cstheme="minorHAnsi"/>
          <w:i/>
          <w:iCs/>
          <w:color w:val="000000"/>
          <w:sz w:val="20"/>
          <w:szCs w:val="20"/>
          <w:shd w:val="clear" w:color="auto" w:fill="FFFFFF"/>
        </w:rPr>
        <w:t>Nature Geoscience, 3</w:t>
      </w:r>
      <w:r w:rsidRPr="000B2554">
        <w:rPr>
          <w:rFonts w:asciiTheme="minorHAnsi" w:hAnsiTheme="minorHAnsi" w:cstheme="minorHAnsi"/>
          <w:color w:val="000000"/>
          <w:sz w:val="20"/>
          <w:szCs w:val="20"/>
          <w:shd w:val="clear" w:color="auto" w:fill="FFFFFF"/>
        </w:rPr>
        <w:t>, 525-532.</w:t>
      </w:r>
    </w:p>
    <w:p w14:paraId="55E12BFA"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Australian Government Clean Energy Regulator. </w:t>
      </w:r>
      <w:r>
        <w:rPr>
          <w:rFonts w:cstheme="minorHAnsi"/>
          <w:sz w:val="20"/>
          <w:szCs w:val="20"/>
        </w:rPr>
        <w:t>(</w:t>
      </w:r>
      <w:r w:rsidRPr="000B2554">
        <w:rPr>
          <w:rFonts w:cstheme="minorHAnsi"/>
          <w:sz w:val="20"/>
          <w:szCs w:val="20"/>
        </w:rPr>
        <w:t>2021</w:t>
      </w:r>
      <w:r>
        <w:rPr>
          <w:rFonts w:cstheme="minorHAnsi"/>
          <w:sz w:val="20"/>
          <w:szCs w:val="20"/>
        </w:rPr>
        <w:t>)</w:t>
      </w:r>
      <w:r w:rsidRPr="000B2554">
        <w:rPr>
          <w:rFonts w:cstheme="minorHAnsi"/>
          <w:sz w:val="20"/>
          <w:szCs w:val="20"/>
        </w:rPr>
        <w:t xml:space="preserve">. “Australia Emissions Reduction Fund Project Register.” September 6, 2021. </w:t>
      </w:r>
      <w:hyperlink r:id="rId26" w:history="1">
        <w:r w:rsidRPr="000B2554">
          <w:rPr>
            <w:rStyle w:val="Hyperlink"/>
            <w:rFonts w:cstheme="minorHAnsi"/>
            <w:sz w:val="20"/>
            <w:szCs w:val="20"/>
          </w:rPr>
          <w:t>http://www.cleanenergyregulator.gov.au/ERF/project-and-contracts-registers/project-register</w:t>
        </w:r>
      </w:hyperlink>
      <w:r w:rsidRPr="000B2554">
        <w:rPr>
          <w:rFonts w:cstheme="minorHAnsi"/>
          <w:sz w:val="20"/>
          <w:szCs w:val="20"/>
        </w:rPr>
        <w:t>.</w:t>
      </w:r>
    </w:p>
    <w:p w14:paraId="3A60ED56"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shd w:val="clear" w:color="auto" w:fill="FFFFFF"/>
        </w:rPr>
        <w:t>Bakken L.R., Frostegård Å. (2017). Sources and sinks for N</w:t>
      </w:r>
      <w:r w:rsidRPr="000B2554">
        <w:rPr>
          <w:rFonts w:asciiTheme="minorHAnsi" w:hAnsiTheme="minorHAnsi" w:cstheme="minorHAnsi"/>
          <w:color w:val="000000"/>
          <w:sz w:val="20"/>
          <w:szCs w:val="20"/>
          <w:shd w:val="clear" w:color="auto" w:fill="FFFFFF"/>
          <w:vertAlign w:val="subscript"/>
        </w:rPr>
        <w:t>2</w:t>
      </w:r>
      <w:r w:rsidRPr="000B2554">
        <w:rPr>
          <w:rFonts w:asciiTheme="minorHAnsi" w:hAnsiTheme="minorHAnsi" w:cstheme="minorHAnsi"/>
          <w:color w:val="000000"/>
          <w:sz w:val="20"/>
          <w:szCs w:val="20"/>
          <w:shd w:val="clear" w:color="auto" w:fill="FFFFFF"/>
        </w:rPr>
        <w:t>O, can microbiologist help to mitigate N</w:t>
      </w:r>
      <w:r w:rsidRPr="000B2554">
        <w:rPr>
          <w:rFonts w:asciiTheme="minorHAnsi" w:hAnsiTheme="minorHAnsi" w:cstheme="minorHAnsi"/>
          <w:color w:val="000000"/>
          <w:sz w:val="20"/>
          <w:szCs w:val="20"/>
          <w:shd w:val="clear" w:color="auto" w:fill="FFFFFF"/>
          <w:vertAlign w:val="subscript"/>
        </w:rPr>
        <w:t>2</w:t>
      </w:r>
      <w:r w:rsidRPr="000B2554">
        <w:rPr>
          <w:rFonts w:asciiTheme="minorHAnsi" w:hAnsiTheme="minorHAnsi" w:cstheme="minorHAnsi"/>
          <w:color w:val="000000"/>
          <w:sz w:val="20"/>
          <w:szCs w:val="20"/>
          <w:shd w:val="clear" w:color="auto" w:fill="FFFFFF"/>
        </w:rPr>
        <w:t xml:space="preserve">O emissions? </w:t>
      </w:r>
      <w:r w:rsidRPr="000B2554">
        <w:rPr>
          <w:rFonts w:asciiTheme="minorHAnsi" w:hAnsiTheme="minorHAnsi" w:cstheme="minorHAnsi"/>
          <w:i/>
          <w:iCs/>
          <w:color w:val="000000"/>
          <w:sz w:val="20"/>
          <w:szCs w:val="20"/>
          <w:shd w:val="clear" w:color="auto" w:fill="FFFFFF"/>
        </w:rPr>
        <w:t>Environ Microbiol 19</w:t>
      </w:r>
      <w:r w:rsidRPr="000B2554">
        <w:rPr>
          <w:rFonts w:asciiTheme="minorHAnsi" w:hAnsiTheme="minorHAnsi" w:cstheme="minorHAnsi"/>
          <w:color w:val="000000"/>
          <w:sz w:val="20"/>
          <w:szCs w:val="20"/>
          <w:shd w:val="clear" w:color="auto" w:fill="FFFFFF"/>
        </w:rPr>
        <w:t>, 4801–480</w:t>
      </w:r>
    </w:p>
    <w:p w14:paraId="337DDC14"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BC Ministry of Environment. 2021. “BC Carbon Registry.” </w:t>
      </w:r>
      <w:r>
        <w:rPr>
          <w:rFonts w:cstheme="minorHAnsi"/>
          <w:sz w:val="20"/>
          <w:szCs w:val="20"/>
        </w:rPr>
        <w:t>(</w:t>
      </w:r>
      <w:r w:rsidRPr="000B2554">
        <w:rPr>
          <w:rFonts w:cstheme="minorHAnsi"/>
          <w:sz w:val="20"/>
          <w:szCs w:val="20"/>
        </w:rPr>
        <w:t>2021</w:t>
      </w:r>
      <w:r>
        <w:rPr>
          <w:rFonts w:cstheme="minorHAnsi"/>
          <w:sz w:val="20"/>
          <w:szCs w:val="20"/>
        </w:rPr>
        <w:t>)</w:t>
      </w:r>
      <w:r w:rsidRPr="000B2554">
        <w:rPr>
          <w:rFonts w:cstheme="minorHAnsi"/>
          <w:sz w:val="20"/>
          <w:szCs w:val="20"/>
        </w:rPr>
        <w:t xml:space="preserve">. </w:t>
      </w:r>
      <w:hyperlink r:id="rId27" w:history="1">
        <w:r w:rsidRPr="000B2554">
          <w:rPr>
            <w:rStyle w:val="Hyperlink"/>
            <w:rFonts w:cstheme="minorHAnsi"/>
            <w:sz w:val="20"/>
            <w:szCs w:val="20"/>
          </w:rPr>
          <w:t>https://carbonregistry.gov.bc.ca/br-reg/public/bc/index.jsp?entity=issuance&amp;name=&amp;standardId=&amp;acronym=&amp;unitClass=&amp;sort=project_type_name&amp;dir=DESC&amp;start=75</w:t>
        </w:r>
      </w:hyperlink>
      <w:r w:rsidRPr="000B2554">
        <w:rPr>
          <w:rFonts w:cstheme="minorHAnsi"/>
          <w:sz w:val="20"/>
          <w:szCs w:val="20"/>
        </w:rPr>
        <w:t>.</w:t>
      </w:r>
    </w:p>
    <w:p w14:paraId="7E70AAF4"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Bechtold, W. A., Patterson, P. L., Eds. (2005). The enhanced Forest Inventory and Analysis program – National sampling design and estimation procedures. (Gen. Tech. Rep. SRS-80). Asheville, NC: U.S. Department of Agriculture, Forest Service, Southern Research Station. 85 p.</w:t>
      </w:r>
    </w:p>
    <w:p w14:paraId="435B3B9E"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Blackard, J., Finco, M., Helmer, E., Holden, G., Hoppus, M., Jacobs, D., et al. (2008). Mapping U.S. forest biomass using nationwide forest inventory data and moderate resolution information. Remote Sensing of Environment, 112:1658-1677.</w:t>
      </w:r>
    </w:p>
    <w:p w14:paraId="1E0AE24F"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 xml:space="preserve">Brevik, E.C., Cerda, A., Mataix-Solera, J., Pereg, L., Quinton, J.N., Six, J., Van Oost, K. (2015). The interdisciplinary nature of SOIL. </w:t>
      </w:r>
      <w:r w:rsidRPr="000B2554">
        <w:rPr>
          <w:rFonts w:asciiTheme="minorHAnsi" w:hAnsiTheme="minorHAnsi" w:cstheme="minorHAnsi"/>
          <w:i/>
          <w:iCs/>
          <w:color w:val="000000"/>
          <w:sz w:val="20"/>
          <w:szCs w:val="20"/>
        </w:rPr>
        <w:t>SOIL, 1</w:t>
      </w:r>
      <w:r w:rsidRPr="000B2554">
        <w:rPr>
          <w:rFonts w:asciiTheme="minorHAnsi" w:hAnsiTheme="minorHAnsi" w:cstheme="minorHAnsi"/>
          <w:color w:val="000000"/>
          <w:sz w:val="20"/>
          <w:szCs w:val="20"/>
        </w:rPr>
        <w:t>(1), 117-129.</w:t>
      </w:r>
    </w:p>
    <w:p w14:paraId="2298B63C"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 xml:space="preserve">Bridgham, S.D., Cadillo-Quiroz, H., Keller, J.K., Zhuang, Q. (2012). Methane emissions from wetlands: biogeochemical, microbial, and modeling perspectives from local to global scales. </w:t>
      </w:r>
      <w:r w:rsidRPr="000B2554">
        <w:rPr>
          <w:rFonts w:asciiTheme="minorHAnsi" w:hAnsiTheme="minorHAnsi" w:cstheme="minorHAnsi"/>
          <w:i/>
          <w:iCs/>
          <w:color w:val="000000"/>
          <w:sz w:val="20"/>
          <w:szCs w:val="20"/>
        </w:rPr>
        <w:t>Global Change Biology, 19</w:t>
      </w:r>
      <w:r w:rsidRPr="000B2554">
        <w:rPr>
          <w:rFonts w:asciiTheme="minorHAnsi" w:hAnsiTheme="minorHAnsi" w:cstheme="minorHAnsi"/>
          <w:color w:val="000000"/>
          <w:sz w:val="20"/>
          <w:szCs w:val="20"/>
        </w:rPr>
        <w:t>(5), 1325-1346.</w:t>
      </w:r>
    </w:p>
    <w:p w14:paraId="5793E4DA"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 xml:space="preserve">Brye, K.R., Rogers, C.W., Smartt, A.D., Norman, R. K. (2013). Soil Texture Effects on Methane Emissions </w:t>
      </w:r>
      <w:proofErr w:type="gramStart"/>
      <w:r w:rsidRPr="000B2554">
        <w:rPr>
          <w:rFonts w:asciiTheme="minorHAnsi" w:hAnsiTheme="minorHAnsi" w:cstheme="minorHAnsi"/>
          <w:color w:val="000000"/>
          <w:sz w:val="20"/>
          <w:szCs w:val="20"/>
        </w:rPr>
        <w:t>From</w:t>
      </w:r>
      <w:proofErr w:type="gramEnd"/>
      <w:r w:rsidRPr="000B2554">
        <w:rPr>
          <w:rFonts w:asciiTheme="minorHAnsi" w:hAnsiTheme="minorHAnsi" w:cstheme="minorHAnsi"/>
          <w:color w:val="000000"/>
          <w:sz w:val="20"/>
          <w:szCs w:val="20"/>
        </w:rPr>
        <w:t xml:space="preserve"> Direct-Seeded, Delayed-Flood Rice Production in Arkansas. </w:t>
      </w:r>
      <w:r w:rsidRPr="000B2554">
        <w:rPr>
          <w:rFonts w:asciiTheme="minorHAnsi" w:hAnsiTheme="minorHAnsi" w:cstheme="minorHAnsi"/>
          <w:i/>
          <w:iCs/>
          <w:color w:val="000000"/>
          <w:sz w:val="20"/>
          <w:szCs w:val="20"/>
        </w:rPr>
        <w:t>Soil Science, 178</w:t>
      </w:r>
      <w:r w:rsidRPr="000B2554">
        <w:rPr>
          <w:rFonts w:asciiTheme="minorHAnsi" w:hAnsiTheme="minorHAnsi" w:cstheme="minorHAnsi"/>
          <w:color w:val="000000"/>
          <w:sz w:val="20"/>
          <w:szCs w:val="20"/>
        </w:rPr>
        <w:t>(10). 519-529.</w:t>
      </w:r>
    </w:p>
    <w:p w14:paraId="5FBF5CDB"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 xml:space="preserve">Burns, R.G., DeForest, J.L., Marxsen, J., Sinsabaugh, R.L., Stromberger, M.E., Wallenstein, M.D., Weintraub, M.N., Zoppini, A. (2013). Soil enzymes in a changing environment: current knowledge and future directions. </w:t>
      </w:r>
      <w:r w:rsidRPr="000B2554">
        <w:rPr>
          <w:rFonts w:asciiTheme="minorHAnsi" w:hAnsiTheme="minorHAnsi" w:cstheme="minorHAnsi"/>
          <w:i/>
          <w:iCs/>
          <w:color w:val="000000"/>
          <w:sz w:val="20"/>
          <w:szCs w:val="20"/>
        </w:rPr>
        <w:t>Soil Biology and Biochemistry, 58</w:t>
      </w:r>
      <w:r w:rsidRPr="000B2554">
        <w:rPr>
          <w:rFonts w:asciiTheme="minorHAnsi" w:hAnsiTheme="minorHAnsi" w:cstheme="minorHAnsi"/>
          <w:color w:val="000000"/>
          <w:sz w:val="20"/>
          <w:szCs w:val="20"/>
        </w:rPr>
        <w:t>, 216-234.</w:t>
      </w:r>
    </w:p>
    <w:p w14:paraId="4B5A1958"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Burrill, E. A., Wilson, A. M., Turner, J. A., Pugh, S. A., Menlove, J., Christensen, G., Conkling, B. L., David, W. (2017). The Forest Inventory and Analysis Database: FIA Database description and user guide version 7.2 for Phase 2. U.S. Department of Agriculture, Forest Service. 946 p. [Online]. Available at: http://www.fia.fs.fed.us/library/database-documentation/</w:t>
      </w:r>
      <w:r w:rsidRPr="000B2554">
        <w:rPr>
          <w:rFonts w:cstheme="minorHAnsi"/>
          <w:b/>
          <w:bCs/>
          <w:sz w:val="20"/>
          <w:szCs w:val="20"/>
        </w:rPr>
        <w:t xml:space="preserve">. </w:t>
      </w:r>
    </w:p>
    <w:p w14:paraId="5A8B325D"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 xml:space="preserve">Butterbach-Bahl, K., Baggs, E.M., Dannenmann, M., Kiese, R., Zechmeister-Boltenstern, S. (2013). Nitrous oxide emissions from soils: how well do we understand the processes and their controls? </w:t>
      </w:r>
      <w:r w:rsidRPr="000B2554">
        <w:rPr>
          <w:rFonts w:asciiTheme="minorHAnsi" w:hAnsiTheme="minorHAnsi" w:cstheme="minorHAnsi"/>
          <w:i/>
          <w:iCs/>
          <w:color w:val="000000"/>
          <w:sz w:val="20"/>
          <w:szCs w:val="20"/>
        </w:rPr>
        <w:t>Philosophical Transactions of the Royal Society, 368</w:t>
      </w:r>
      <w:r w:rsidRPr="000B2554">
        <w:rPr>
          <w:rFonts w:asciiTheme="minorHAnsi" w:hAnsiTheme="minorHAnsi" w:cstheme="minorHAnsi"/>
          <w:color w:val="000000"/>
          <w:sz w:val="20"/>
          <w:szCs w:val="20"/>
        </w:rPr>
        <w:t>(1621).</w:t>
      </w:r>
    </w:p>
    <w:p w14:paraId="2917FB1E" w14:textId="77777777" w:rsidR="001478CB" w:rsidRPr="000B2554" w:rsidRDefault="001478CB" w:rsidP="000B2554">
      <w:pPr>
        <w:spacing w:after="60" w:line="240" w:lineRule="auto"/>
        <w:rPr>
          <w:rFonts w:eastAsia="Times New Roman" w:cstheme="minorHAnsi"/>
          <w:color w:val="000000"/>
          <w:sz w:val="20"/>
          <w:szCs w:val="20"/>
        </w:rPr>
      </w:pPr>
      <w:r w:rsidRPr="000B2554">
        <w:rPr>
          <w:rFonts w:eastAsia="Times New Roman" w:cstheme="minorHAnsi"/>
          <w:color w:val="000000"/>
          <w:sz w:val="20"/>
          <w:szCs w:val="20"/>
        </w:rPr>
        <w:t xml:space="preserve">Byrd, K. B., Ballanti, L. R., Thomas, N. M., Nguyen, D. K., Holmquist, J. R., Simard, M., Windham-Myers, L., Schile, L. M., Parker, V. T., … Castaneda-Moya, E. (2017). Biomass/Remote Sensing dataset: 30m resolution tidal marsh biomass samples and remote sensing data for six regions in the conterminous United States: U.S. Geological Survey data release, https://doi.org/10.5066/F77943K8. </w:t>
      </w:r>
    </w:p>
    <w:p w14:paraId="180985DE" w14:textId="77777777" w:rsidR="001478CB" w:rsidRPr="000B2554" w:rsidRDefault="001478CB" w:rsidP="000B2554">
      <w:pPr>
        <w:spacing w:after="60" w:line="240" w:lineRule="auto"/>
        <w:rPr>
          <w:rFonts w:eastAsia="Times New Roman" w:cstheme="minorHAnsi"/>
          <w:color w:val="000000"/>
          <w:sz w:val="20"/>
          <w:szCs w:val="20"/>
        </w:rPr>
      </w:pPr>
      <w:r w:rsidRPr="000B2554">
        <w:rPr>
          <w:rFonts w:eastAsia="Times New Roman" w:cstheme="minorHAnsi"/>
          <w:color w:val="000000"/>
          <w:sz w:val="20"/>
          <w:szCs w:val="20"/>
        </w:rPr>
        <w:t>Byrd, K. B., Ballanti, L., Thomas, N., Nguyen, D., Holmquist, J.R., Simard, M., Windham-Myers, L. (2018). A remote sensing-based model of tidal marsh aboveground carbon stocks for the conterminous United States. ISPRS Journal of Photogrammetry and Remote Sensing 139: 255-271.</w:t>
      </w:r>
    </w:p>
    <w:p w14:paraId="40615291"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lastRenderedPageBreak/>
        <w:t xml:space="preserve">Cayuela, M.L., van Zwieten, L., Singh, B.P., Jeffrey, S., Roig, A., Sanchez-Monedero, M.A. (2014). </w:t>
      </w:r>
      <w:r w:rsidRPr="000B2554">
        <w:rPr>
          <w:rFonts w:asciiTheme="minorHAnsi" w:hAnsiTheme="minorHAnsi" w:cstheme="minorHAnsi"/>
          <w:i/>
          <w:iCs/>
          <w:color w:val="000000"/>
          <w:sz w:val="20"/>
          <w:szCs w:val="20"/>
        </w:rPr>
        <w:t>Agriculture, Ecosystems &amp; Environment, 191,</w:t>
      </w:r>
      <w:r w:rsidRPr="000B2554">
        <w:rPr>
          <w:rFonts w:asciiTheme="minorHAnsi" w:hAnsiTheme="minorHAnsi" w:cstheme="minorHAnsi"/>
          <w:color w:val="000000"/>
          <w:sz w:val="20"/>
          <w:szCs w:val="20"/>
        </w:rPr>
        <w:t xml:space="preserve"> 5-16.</w:t>
      </w:r>
    </w:p>
    <w:p w14:paraId="70A95200"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Center for Climate Strategies. (2014). Puerto Rico GHG Baseline Report. </w:t>
      </w:r>
      <w:r w:rsidRPr="000B2554">
        <w:rPr>
          <w:rStyle w:val="Hyperlink"/>
          <w:rFonts w:cstheme="minorHAnsi"/>
          <w:sz w:val="20"/>
          <w:szCs w:val="20"/>
        </w:rPr>
        <w:t>http://drna.pr.gov/wp-content/uploads/2017/05/Puerto-Rico-GHG-2014.pdf</w:t>
      </w:r>
    </w:p>
    <w:p w14:paraId="2ABBB539"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Chen, Z., Griffis, T.J., Millet, D.B., Wood, J.D., Lee, X., Baker, J.M., Xiao, K., Turner, P.A., Chen, M., Zobitz, J., Wells, K.C. (2016). Partitioning N</w:t>
      </w:r>
      <w:r w:rsidRPr="000B2554">
        <w:rPr>
          <w:rFonts w:asciiTheme="minorHAnsi" w:hAnsiTheme="minorHAnsi" w:cstheme="minorHAnsi"/>
          <w:color w:val="000000"/>
          <w:sz w:val="20"/>
          <w:szCs w:val="20"/>
          <w:vertAlign w:val="subscript"/>
        </w:rPr>
        <w:t>2</w:t>
      </w:r>
      <w:r w:rsidRPr="000B2554">
        <w:rPr>
          <w:rFonts w:asciiTheme="minorHAnsi" w:hAnsiTheme="minorHAnsi" w:cstheme="minorHAnsi"/>
          <w:color w:val="000000"/>
          <w:sz w:val="20"/>
          <w:szCs w:val="20"/>
        </w:rPr>
        <w:t xml:space="preserve">O emissions within the US Corn Belt using an inverse modeling approach. </w:t>
      </w:r>
      <w:r w:rsidRPr="000B2554">
        <w:rPr>
          <w:rFonts w:asciiTheme="minorHAnsi" w:hAnsiTheme="minorHAnsi" w:cstheme="minorHAnsi"/>
          <w:i/>
          <w:iCs/>
          <w:color w:val="000000"/>
          <w:sz w:val="20"/>
          <w:szCs w:val="20"/>
        </w:rPr>
        <w:t>Global Biogeochemical Cycles</w:t>
      </w:r>
      <w:r w:rsidRPr="000B2554">
        <w:rPr>
          <w:rFonts w:asciiTheme="minorHAnsi" w:hAnsiTheme="minorHAnsi" w:cstheme="minorHAnsi"/>
          <w:color w:val="000000"/>
          <w:sz w:val="20"/>
          <w:szCs w:val="20"/>
        </w:rPr>
        <w:t xml:space="preserve">, </w:t>
      </w:r>
      <w:r w:rsidRPr="000B2554">
        <w:rPr>
          <w:rFonts w:asciiTheme="minorHAnsi" w:hAnsiTheme="minorHAnsi" w:cstheme="minorHAnsi"/>
          <w:i/>
          <w:iCs/>
          <w:color w:val="000000"/>
          <w:sz w:val="20"/>
          <w:szCs w:val="20"/>
        </w:rPr>
        <w:t>30</w:t>
      </w:r>
      <w:r w:rsidRPr="000B2554">
        <w:rPr>
          <w:rFonts w:asciiTheme="minorHAnsi" w:hAnsiTheme="minorHAnsi" w:cstheme="minorHAnsi"/>
          <w:color w:val="000000"/>
          <w:sz w:val="20"/>
          <w:szCs w:val="20"/>
        </w:rPr>
        <w:t>(8), pp.1192-1205.</w:t>
      </w:r>
    </w:p>
    <w:p w14:paraId="7E2422D8"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Clough, B., Curzon, M., Domke, G., Russell, M., Woodall, C. (2016). Climate-driven trends in stem wood density of tree species in the eastern United States: Ecological impact and implications for national forest carbon assessments. Global Ecology and Biogeography, 26:1153-1164.</w:t>
      </w:r>
    </w:p>
    <w:p w14:paraId="4B59C230"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 xml:space="preserve">Clough, T.J., Condron, L.M., Kammann, C., Muller, C. (2013). A Review of Biochar and Soil Nitrogen Dynamics. </w:t>
      </w:r>
      <w:r w:rsidRPr="000B2554">
        <w:rPr>
          <w:rFonts w:asciiTheme="minorHAnsi" w:hAnsiTheme="minorHAnsi" w:cstheme="minorHAnsi"/>
          <w:i/>
          <w:iCs/>
          <w:color w:val="000000"/>
          <w:sz w:val="20"/>
          <w:szCs w:val="20"/>
        </w:rPr>
        <w:t>Agronomy, 3(</w:t>
      </w:r>
      <w:r w:rsidRPr="000B2554">
        <w:rPr>
          <w:rFonts w:asciiTheme="minorHAnsi" w:hAnsiTheme="minorHAnsi" w:cstheme="minorHAnsi"/>
          <w:color w:val="000000"/>
          <w:sz w:val="20"/>
          <w:szCs w:val="20"/>
        </w:rPr>
        <w:t>2), 275-293.</w:t>
      </w:r>
    </w:p>
    <w:p w14:paraId="4D7B7FE2"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Conant, R.T., Ryan, M.G., Agren, G.I., Birge, H.E., Davidson, E.A., Eliasson, P.E.</w:t>
      </w:r>
      <w:proofErr w:type="gramStart"/>
      <w:r w:rsidRPr="000B2554">
        <w:rPr>
          <w:rFonts w:asciiTheme="minorHAnsi" w:hAnsiTheme="minorHAnsi" w:cstheme="minorHAnsi"/>
          <w:color w:val="000000"/>
          <w:sz w:val="20"/>
          <w:szCs w:val="20"/>
        </w:rPr>
        <w:t>,…</w:t>
      </w:r>
      <w:proofErr w:type="gramEnd"/>
      <w:r w:rsidRPr="000B2554">
        <w:rPr>
          <w:rFonts w:asciiTheme="minorHAnsi" w:hAnsiTheme="minorHAnsi" w:cstheme="minorHAnsi"/>
          <w:color w:val="000000"/>
          <w:sz w:val="20"/>
          <w:szCs w:val="20"/>
        </w:rPr>
        <w:t xml:space="preserve">Bradford, M.A. (2011). Temperature and soil organic matter decomposition rates–synthesis of current knowledge and a way forward. </w:t>
      </w:r>
      <w:r w:rsidRPr="000B2554">
        <w:rPr>
          <w:rFonts w:asciiTheme="minorHAnsi" w:hAnsiTheme="minorHAnsi" w:cstheme="minorHAnsi"/>
          <w:i/>
          <w:iCs/>
          <w:color w:val="000000"/>
          <w:sz w:val="20"/>
          <w:szCs w:val="20"/>
        </w:rPr>
        <w:t>Global Change Biology, 17</w:t>
      </w:r>
      <w:r w:rsidRPr="000B2554">
        <w:rPr>
          <w:rFonts w:asciiTheme="minorHAnsi" w:hAnsiTheme="minorHAnsi" w:cstheme="minorHAnsi"/>
          <w:color w:val="000000"/>
          <w:sz w:val="20"/>
          <w:szCs w:val="20"/>
        </w:rPr>
        <w:t>(11), 3392-3404.</w:t>
      </w:r>
    </w:p>
    <w:p w14:paraId="15E5CFC7"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 xml:space="preserve">Cotrufo, M.F., Wallenstein, M.D., Boot, C.M., Denef, K., Paul, E. (2012). The Microbial Efficiency‐Matrix Stabilization (MEMS) framework integrates plant litter decomposition with soil organic matter. </w:t>
      </w:r>
      <w:r w:rsidRPr="000B2554">
        <w:rPr>
          <w:rFonts w:asciiTheme="minorHAnsi" w:hAnsiTheme="minorHAnsi" w:cstheme="minorHAnsi"/>
          <w:i/>
          <w:iCs/>
          <w:color w:val="000000"/>
          <w:sz w:val="20"/>
          <w:szCs w:val="20"/>
        </w:rPr>
        <w:t>Global Change Biology, 19</w:t>
      </w:r>
      <w:r w:rsidRPr="000B2554">
        <w:rPr>
          <w:rFonts w:asciiTheme="minorHAnsi" w:hAnsiTheme="minorHAnsi" w:cstheme="minorHAnsi"/>
          <w:color w:val="000000"/>
          <w:sz w:val="20"/>
          <w:szCs w:val="20"/>
        </w:rPr>
        <w:t>(4), 988-995.</w:t>
      </w:r>
    </w:p>
    <w:p w14:paraId="2C60D47E"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Coulston, J. W., Wear, D. N., Vose, J. M. (2015). Complex forest dynamics indicate potential for slowing carbon accumulation in the southeastern United States. </w:t>
      </w:r>
      <w:r w:rsidRPr="000B2554">
        <w:rPr>
          <w:rFonts w:cstheme="minorHAnsi"/>
          <w:i/>
          <w:sz w:val="20"/>
          <w:szCs w:val="20"/>
        </w:rPr>
        <w:t>Scientific Reports, 5</w:t>
      </w:r>
      <w:r w:rsidRPr="000B2554">
        <w:rPr>
          <w:rFonts w:cstheme="minorHAnsi"/>
          <w:sz w:val="20"/>
          <w:szCs w:val="20"/>
        </w:rPr>
        <w:t>, 8002, doi: 10.1038/srep08002.</w:t>
      </w:r>
    </w:p>
    <w:p w14:paraId="19C4BF64"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Cruz, Florentino B. De la, and Morton A. Barlaz. </w:t>
      </w:r>
      <w:r>
        <w:rPr>
          <w:rFonts w:cstheme="minorHAnsi"/>
          <w:sz w:val="20"/>
          <w:szCs w:val="20"/>
        </w:rPr>
        <w:t>(</w:t>
      </w:r>
      <w:r w:rsidRPr="000B2554">
        <w:rPr>
          <w:rFonts w:cstheme="minorHAnsi"/>
          <w:sz w:val="20"/>
          <w:szCs w:val="20"/>
        </w:rPr>
        <w:t>2010</w:t>
      </w:r>
      <w:r>
        <w:rPr>
          <w:rFonts w:cstheme="minorHAnsi"/>
          <w:sz w:val="20"/>
          <w:szCs w:val="20"/>
        </w:rPr>
        <w:t>)</w:t>
      </w:r>
      <w:r w:rsidRPr="000B2554">
        <w:rPr>
          <w:rFonts w:cstheme="minorHAnsi"/>
          <w:sz w:val="20"/>
          <w:szCs w:val="20"/>
        </w:rPr>
        <w:t xml:space="preserve">. “Estimation of Waste Component-Specific Landfill Decay Rates Using Laboratory-Scale Decomposition Data.” </w:t>
      </w:r>
      <w:r w:rsidRPr="000B2554">
        <w:rPr>
          <w:rFonts w:cstheme="minorHAnsi"/>
          <w:i/>
          <w:iCs/>
          <w:sz w:val="20"/>
          <w:szCs w:val="20"/>
        </w:rPr>
        <w:t>Environmental Science &amp; Technology</w:t>
      </w:r>
      <w:r w:rsidRPr="000B2554">
        <w:rPr>
          <w:rFonts w:cstheme="minorHAnsi"/>
          <w:sz w:val="20"/>
          <w:szCs w:val="20"/>
        </w:rPr>
        <w:t xml:space="preserve"> 44 (12): 4722–28.</w:t>
      </w:r>
    </w:p>
    <w:p w14:paraId="2BEF1C19"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DelGrosso, S., Ogle, S.M., Parton, W.K., Bredit, F.J. (2009). Estimating uncertainty in N</w:t>
      </w:r>
      <w:r w:rsidRPr="000B2554">
        <w:rPr>
          <w:rFonts w:asciiTheme="minorHAnsi" w:hAnsiTheme="minorHAnsi" w:cstheme="minorHAnsi"/>
          <w:color w:val="000000"/>
          <w:sz w:val="20"/>
          <w:szCs w:val="20"/>
          <w:vertAlign w:val="subscript"/>
        </w:rPr>
        <w:t>2</w:t>
      </w:r>
      <w:r w:rsidRPr="000B2554">
        <w:rPr>
          <w:rFonts w:asciiTheme="minorHAnsi" w:hAnsiTheme="minorHAnsi" w:cstheme="minorHAnsi"/>
          <w:color w:val="000000"/>
          <w:sz w:val="20"/>
          <w:szCs w:val="20"/>
        </w:rPr>
        <w:t xml:space="preserve">O emissions from U.S. cropland soils. </w:t>
      </w:r>
      <w:r w:rsidRPr="000B2554">
        <w:rPr>
          <w:rFonts w:asciiTheme="minorHAnsi" w:hAnsiTheme="minorHAnsi" w:cstheme="minorHAnsi"/>
          <w:i/>
          <w:iCs/>
          <w:color w:val="000000"/>
          <w:sz w:val="20"/>
          <w:szCs w:val="20"/>
        </w:rPr>
        <w:t>Global Biogeochemical Cycles, 24</w:t>
      </w:r>
      <w:r w:rsidRPr="000B2554">
        <w:rPr>
          <w:rFonts w:asciiTheme="minorHAnsi" w:hAnsiTheme="minorHAnsi" w:cstheme="minorHAnsi"/>
          <w:color w:val="000000"/>
          <w:sz w:val="20"/>
          <w:szCs w:val="20"/>
        </w:rPr>
        <w:t>.</w:t>
      </w:r>
    </w:p>
    <w:p w14:paraId="0F15AA7A"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DelGrosso, S.J, Parton, W.J., Mosier, A.R., Ojima, D.S., Potter, C.S., Borken, W.</w:t>
      </w:r>
      <w:proofErr w:type="gramStart"/>
      <w:r w:rsidRPr="000B2554">
        <w:rPr>
          <w:rFonts w:cstheme="minorHAnsi"/>
          <w:sz w:val="20"/>
          <w:szCs w:val="20"/>
        </w:rPr>
        <w:t>,…</w:t>
      </w:r>
      <w:proofErr w:type="gramEnd"/>
      <w:r w:rsidRPr="000B2554">
        <w:rPr>
          <w:rFonts w:cstheme="minorHAnsi"/>
          <w:sz w:val="20"/>
          <w:szCs w:val="20"/>
        </w:rPr>
        <w:t>Smith, K.A. (2000). General CH</w:t>
      </w:r>
      <w:r w:rsidRPr="000B2554">
        <w:rPr>
          <w:rFonts w:cstheme="minorHAnsi"/>
          <w:sz w:val="20"/>
          <w:szCs w:val="20"/>
          <w:vertAlign w:val="subscript"/>
        </w:rPr>
        <w:t>4</w:t>
      </w:r>
      <w:r w:rsidRPr="000B2554">
        <w:rPr>
          <w:rFonts w:cstheme="minorHAnsi"/>
          <w:sz w:val="20"/>
          <w:szCs w:val="20"/>
        </w:rPr>
        <w:t xml:space="preserve"> oxidation model and comparisons or CH</w:t>
      </w:r>
      <w:r w:rsidRPr="000B2554">
        <w:rPr>
          <w:rFonts w:cstheme="minorHAnsi"/>
          <w:sz w:val="20"/>
          <w:szCs w:val="20"/>
          <w:vertAlign w:val="subscript"/>
        </w:rPr>
        <w:t>4</w:t>
      </w:r>
      <w:r w:rsidRPr="000B2554">
        <w:rPr>
          <w:rFonts w:cstheme="minorHAnsi"/>
          <w:sz w:val="20"/>
          <w:szCs w:val="20"/>
        </w:rPr>
        <w:t xml:space="preserve"> oxidation in natural and managed systems. </w:t>
      </w:r>
      <w:r w:rsidRPr="000B2554">
        <w:rPr>
          <w:rFonts w:cstheme="minorHAnsi"/>
          <w:i/>
          <w:sz w:val="20"/>
          <w:szCs w:val="20"/>
        </w:rPr>
        <w:t>Global Biogeochemical Cycles, 14</w:t>
      </w:r>
      <w:r w:rsidRPr="000B2554">
        <w:rPr>
          <w:rFonts w:cstheme="minorHAnsi"/>
          <w:sz w:val="20"/>
          <w:szCs w:val="20"/>
        </w:rPr>
        <w:t>(4): 999-1019.</w:t>
      </w:r>
    </w:p>
    <w:p w14:paraId="4D39B10F"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DelGrosso, S.J., Parton, W.J., Mosier, A.R., Ojima, D.S., Potter, C.S., Borken, W.</w:t>
      </w:r>
      <w:proofErr w:type="gramStart"/>
      <w:r w:rsidRPr="000B2554">
        <w:rPr>
          <w:rFonts w:asciiTheme="minorHAnsi" w:hAnsiTheme="minorHAnsi" w:cstheme="minorHAnsi"/>
          <w:color w:val="000000"/>
          <w:sz w:val="20"/>
          <w:szCs w:val="20"/>
        </w:rPr>
        <w:t>,…</w:t>
      </w:r>
      <w:proofErr w:type="gramEnd"/>
      <w:r w:rsidRPr="000B2554">
        <w:rPr>
          <w:rFonts w:asciiTheme="minorHAnsi" w:hAnsiTheme="minorHAnsi" w:cstheme="minorHAnsi"/>
          <w:color w:val="000000"/>
          <w:sz w:val="20"/>
          <w:szCs w:val="20"/>
        </w:rPr>
        <w:t>Smith, K.A. (2000). General CH oxidation model and comparisons of CH</w:t>
      </w:r>
      <w:r w:rsidRPr="000B2554">
        <w:rPr>
          <w:rFonts w:asciiTheme="minorHAnsi" w:hAnsiTheme="minorHAnsi" w:cstheme="minorHAnsi"/>
          <w:color w:val="000000"/>
          <w:sz w:val="20"/>
          <w:szCs w:val="20"/>
          <w:vertAlign w:val="subscript"/>
        </w:rPr>
        <w:t>4</w:t>
      </w:r>
      <w:r w:rsidRPr="000B2554">
        <w:rPr>
          <w:rFonts w:asciiTheme="minorHAnsi" w:hAnsiTheme="minorHAnsi" w:cstheme="minorHAnsi"/>
          <w:color w:val="000000"/>
          <w:sz w:val="20"/>
          <w:szCs w:val="20"/>
        </w:rPr>
        <w:t xml:space="preserve"> oxidation in natural and managed systems. </w:t>
      </w:r>
      <w:r w:rsidRPr="000B2554">
        <w:rPr>
          <w:rFonts w:asciiTheme="minorHAnsi" w:hAnsiTheme="minorHAnsi" w:cstheme="minorHAnsi"/>
          <w:i/>
          <w:iCs/>
          <w:color w:val="000000"/>
          <w:sz w:val="20"/>
          <w:szCs w:val="20"/>
        </w:rPr>
        <w:t>Global Biogeochemical Cycles, 14</w:t>
      </w:r>
      <w:r w:rsidRPr="000B2554">
        <w:rPr>
          <w:rFonts w:asciiTheme="minorHAnsi" w:hAnsiTheme="minorHAnsi" w:cstheme="minorHAnsi"/>
          <w:color w:val="000000"/>
          <w:sz w:val="20"/>
          <w:szCs w:val="20"/>
        </w:rPr>
        <w:t>(4), 999-1019.</w:t>
      </w:r>
    </w:p>
    <w:p w14:paraId="394A62C4" w14:textId="77777777" w:rsidR="001478CB" w:rsidRPr="000B2554" w:rsidRDefault="001478CB" w:rsidP="000B2554">
      <w:pPr>
        <w:spacing w:after="60" w:line="240" w:lineRule="auto"/>
        <w:rPr>
          <w:rFonts w:eastAsia="Times New Roman" w:cstheme="minorHAnsi"/>
          <w:color w:val="000000"/>
          <w:sz w:val="20"/>
          <w:szCs w:val="20"/>
        </w:rPr>
      </w:pPr>
      <w:r w:rsidRPr="000B2554">
        <w:rPr>
          <w:rFonts w:eastAsia="Times New Roman" w:cstheme="minorHAnsi"/>
          <w:color w:val="000000"/>
          <w:sz w:val="20"/>
          <w:szCs w:val="20"/>
        </w:rPr>
        <w:t xml:space="preserve">Division of Geological &amp; Geophysical Surveys (DGGS), Alaska Department of Natural Resources (1993–2015) Alaska’s Mineral Industry Report (1997–2014). Alaska Department of Natural Resources, Fairbanks, AK. </w:t>
      </w:r>
    </w:p>
    <w:p w14:paraId="75BBDCA1"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Domke, G. M., Perry, C. H., Walters, B. F., Nave, L. E., Woodall, C. W., Swanston, C. W. (2017). Toward inventory-based estimates of soil organic carbon in forests of the United States. </w:t>
      </w:r>
      <w:r w:rsidRPr="000B2554">
        <w:rPr>
          <w:rFonts w:cstheme="minorHAnsi"/>
          <w:i/>
          <w:sz w:val="20"/>
          <w:szCs w:val="20"/>
        </w:rPr>
        <w:t>Ecological Applications, 27(</w:t>
      </w:r>
      <w:r w:rsidRPr="000B2554">
        <w:rPr>
          <w:rFonts w:cstheme="minorHAnsi"/>
          <w:sz w:val="20"/>
          <w:szCs w:val="20"/>
        </w:rPr>
        <w:t>4), 1223–1235.</w:t>
      </w:r>
    </w:p>
    <w:p w14:paraId="430C0E1D"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Domke, G. M., Perry, C. H., Walters, B. F., Woodall, C. W., Russell, M. B., Smith, J. E. (2016). Estimating litter carbon stocks on forest land in the United States. </w:t>
      </w:r>
      <w:r w:rsidRPr="000B2554">
        <w:rPr>
          <w:rFonts w:cstheme="minorHAnsi"/>
          <w:i/>
          <w:sz w:val="20"/>
          <w:szCs w:val="20"/>
        </w:rPr>
        <w:t>Science of the Total Environment 557–558</w:t>
      </w:r>
      <w:r w:rsidRPr="000B2554">
        <w:rPr>
          <w:rFonts w:cstheme="minorHAnsi"/>
          <w:sz w:val="20"/>
          <w:szCs w:val="20"/>
        </w:rPr>
        <w:t>, 469–478.</w:t>
      </w:r>
    </w:p>
    <w:p w14:paraId="408651AA"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Domke, G. M., Woodall, C. W., Smith, J. E. (2011). Accounting for density reduction and structural loss in standing dead trees: Implications for forest biomass and carbon stock estimates in the United States. </w:t>
      </w:r>
      <w:r w:rsidRPr="000B2554">
        <w:rPr>
          <w:rFonts w:cstheme="minorHAnsi"/>
          <w:i/>
          <w:sz w:val="20"/>
          <w:szCs w:val="20"/>
        </w:rPr>
        <w:t>Carbon Balance and Management 6</w:t>
      </w:r>
      <w:r w:rsidRPr="000B2554">
        <w:rPr>
          <w:rFonts w:cstheme="minorHAnsi"/>
          <w:sz w:val="20"/>
          <w:szCs w:val="20"/>
        </w:rPr>
        <w:t>, 14, 1–11.</w:t>
      </w:r>
    </w:p>
    <w:p w14:paraId="7BF7CC82"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Domke, G. M., Woodall, C. W., Smith, J. E., Westfall, J. A., McRoberts, R. E. (2012). Consequences of alternative tree-level biomass estimation procedures on U.S. forest carbon stock estimates. </w:t>
      </w:r>
      <w:r w:rsidRPr="000B2554">
        <w:rPr>
          <w:rFonts w:cstheme="minorHAnsi"/>
          <w:i/>
          <w:sz w:val="20"/>
          <w:szCs w:val="20"/>
        </w:rPr>
        <w:t>Forest Ecology and Management, 270</w:t>
      </w:r>
      <w:r w:rsidRPr="000B2554">
        <w:rPr>
          <w:rFonts w:cstheme="minorHAnsi"/>
          <w:sz w:val="20"/>
          <w:szCs w:val="20"/>
        </w:rPr>
        <w:t>, 108–116.</w:t>
      </w:r>
    </w:p>
    <w:p w14:paraId="6C6D8AB0"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Dooley, Kerry, J. W. (2018). Forests of east Texas, 2016. (Resource Update FS–151). Asheville, NC: U.S. Department of Agriculture Forest Service, Southern Research Station. 4 p. </w:t>
      </w:r>
    </w:p>
    <w:p w14:paraId="416E7EB1"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Dowle, M., Srinivasan, A. (2019). Data.table: Extension of ‘data.frame’. (R package version 1.12.2). https://CRAN.R-project.org/package=data.table.</w:t>
      </w:r>
    </w:p>
    <w:p w14:paraId="46FF36C6"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 xml:space="preserve">Dungait, J.A., Hopkins, D.W., Gregory, A.S., Whitmore, A.P. (2012). Soil organic matter turnover is governed by accessibility not recalcitrance. </w:t>
      </w:r>
      <w:r w:rsidRPr="000B2554">
        <w:rPr>
          <w:rFonts w:asciiTheme="minorHAnsi" w:hAnsiTheme="minorHAnsi" w:cstheme="minorHAnsi"/>
          <w:i/>
          <w:iCs/>
          <w:color w:val="000000"/>
          <w:sz w:val="20"/>
          <w:szCs w:val="20"/>
        </w:rPr>
        <w:t>Global Change Biology, 18</w:t>
      </w:r>
      <w:r w:rsidRPr="000B2554">
        <w:rPr>
          <w:rFonts w:asciiTheme="minorHAnsi" w:hAnsiTheme="minorHAnsi" w:cstheme="minorHAnsi"/>
          <w:color w:val="000000"/>
          <w:sz w:val="20"/>
          <w:szCs w:val="20"/>
        </w:rPr>
        <w:t>(6), 1781-1796.</w:t>
      </w:r>
    </w:p>
    <w:p w14:paraId="47E5280A"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lastRenderedPageBreak/>
        <w:t>Dutaur, L., Verchot, L. (2007). A global inventory of the soil CH</w:t>
      </w:r>
      <w:r w:rsidRPr="000B2554">
        <w:rPr>
          <w:rFonts w:cstheme="minorHAnsi"/>
          <w:sz w:val="20"/>
          <w:szCs w:val="20"/>
          <w:vertAlign w:val="subscript"/>
        </w:rPr>
        <w:t>4</w:t>
      </w:r>
      <w:r w:rsidRPr="000B2554">
        <w:rPr>
          <w:rFonts w:cstheme="minorHAnsi"/>
          <w:sz w:val="20"/>
          <w:szCs w:val="20"/>
        </w:rPr>
        <w:t xml:space="preserve"> sink. </w:t>
      </w:r>
      <w:r w:rsidRPr="000B2554">
        <w:rPr>
          <w:rFonts w:cstheme="minorHAnsi"/>
          <w:i/>
          <w:sz w:val="20"/>
          <w:szCs w:val="20"/>
        </w:rPr>
        <w:t>Global Biogeochemical Cycles</w:t>
      </w:r>
      <w:r w:rsidRPr="000B2554">
        <w:rPr>
          <w:rFonts w:cstheme="minorHAnsi"/>
          <w:sz w:val="20"/>
          <w:szCs w:val="20"/>
        </w:rPr>
        <w:t>, 21.</w:t>
      </w:r>
    </w:p>
    <w:p w14:paraId="3D3DE6DE"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Ehrhardt, F., Soussana, J.F., Bellocchi, G., Grace, P., McAuliffe, R., Recous, S., Sándor, R., Smith, P., Snow, V., de Antoni Migliorati, M., Basso, B. (2018). Assessing uncertainties in crop and pasture ensemble model simulations of productivity and N</w:t>
      </w:r>
      <w:r w:rsidRPr="000B2554">
        <w:rPr>
          <w:rFonts w:asciiTheme="minorHAnsi" w:hAnsiTheme="minorHAnsi" w:cstheme="minorHAnsi"/>
          <w:color w:val="000000"/>
          <w:sz w:val="20"/>
          <w:szCs w:val="20"/>
          <w:vertAlign w:val="subscript"/>
        </w:rPr>
        <w:t>2</w:t>
      </w:r>
      <w:r w:rsidRPr="000B2554">
        <w:rPr>
          <w:rFonts w:asciiTheme="minorHAnsi" w:hAnsiTheme="minorHAnsi" w:cstheme="minorHAnsi"/>
          <w:color w:val="000000"/>
          <w:sz w:val="20"/>
          <w:szCs w:val="20"/>
        </w:rPr>
        <w:t>O emissions.</w:t>
      </w:r>
      <w:r w:rsidRPr="000B2554">
        <w:rPr>
          <w:rFonts w:asciiTheme="minorHAnsi" w:hAnsiTheme="minorHAnsi" w:cstheme="minorHAnsi"/>
          <w:i/>
          <w:iCs/>
          <w:color w:val="000000"/>
          <w:sz w:val="20"/>
          <w:szCs w:val="20"/>
        </w:rPr>
        <w:t xml:space="preserve"> Global change biology, 24</w:t>
      </w:r>
      <w:r w:rsidRPr="000B2554">
        <w:rPr>
          <w:rFonts w:asciiTheme="minorHAnsi" w:hAnsiTheme="minorHAnsi" w:cstheme="minorHAnsi"/>
          <w:color w:val="000000"/>
          <w:sz w:val="20"/>
          <w:szCs w:val="20"/>
        </w:rPr>
        <w:t>(2), 603-e616.</w:t>
      </w:r>
    </w:p>
    <w:p w14:paraId="0ACEA752"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EMEP/EEA. </w:t>
      </w:r>
      <w:r>
        <w:rPr>
          <w:rFonts w:cstheme="minorHAnsi"/>
          <w:sz w:val="20"/>
          <w:szCs w:val="20"/>
        </w:rPr>
        <w:t xml:space="preserve">(2019). </w:t>
      </w:r>
      <w:r w:rsidRPr="000B2554">
        <w:rPr>
          <w:rFonts w:cstheme="minorHAnsi"/>
          <w:sz w:val="20"/>
          <w:szCs w:val="20"/>
        </w:rPr>
        <w:t xml:space="preserve">“EMEP/EEA Air Pollutant Emission Inventory Guidebook 2019 — European Environment Agency.” Publication. Accessed October 1, 2021. </w:t>
      </w:r>
      <w:hyperlink r:id="rId28" w:history="1">
        <w:r w:rsidRPr="000B2554">
          <w:rPr>
            <w:rStyle w:val="Hyperlink"/>
            <w:rFonts w:cstheme="minorHAnsi"/>
            <w:sz w:val="20"/>
            <w:szCs w:val="20"/>
          </w:rPr>
          <w:t>https://www.eea.europa.eu/publications/emep-eea-guidebook-2019</w:t>
        </w:r>
      </w:hyperlink>
      <w:r w:rsidRPr="000B2554">
        <w:rPr>
          <w:rFonts w:cstheme="minorHAnsi"/>
          <w:sz w:val="20"/>
          <w:szCs w:val="20"/>
        </w:rPr>
        <w:t>.</w:t>
      </w:r>
    </w:p>
    <w:p w14:paraId="34F5B202"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 xml:space="preserve">Fellman, J.B., Hood, E., Spencer, R.M. (2010). Fluorescence spectroscopy opens new windows into dissolved organic matter dynamics in freshwater ecosystems: A review. </w:t>
      </w:r>
      <w:r w:rsidRPr="000B2554">
        <w:rPr>
          <w:rFonts w:asciiTheme="minorHAnsi" w:hAnsiTheme="minorHAnsi" w:cstheme="minorHAnsi"/>
          <w:i/>
          <w:iCs/>
          <w:color w:val="000000"/>
          <w:sz w:val="20"/>
          <w:szCs w:val="20"/>
        </w:rPr>
        <w:t>Limnology and Oceanography, 55</w:t>
      </w:r>
      <w:r w:rsidRPr="000B2554">
        <w:rPr>
          <w:rFonts w:asciiTheme="minorHAnsi" w:hAnsiTheme="minorHAnsi" w:cstheme="minorHAnsi"/>
          <w:color w:val="000000"/>
          <w:sz w:val="20"/>
          <w:szCs w:val="20"/>
        </w:rPr>
        <w:t>(6), 2452-2462.</w:t>
      </w:r>
    </w:p>
    <w:p w14:paraId="50BAB990"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 xml:space="preserve">Forest Products Laboratory. (2010). Wood handbook—Wood as an engineering material. (Gen. Tech. Rep. FPL-GTR-190). Madison, WI: U.S. Department of Agriculture, Forest Service, Forest Products Laboratory. 508 p. </w:t>
      </w:r>
    </w:p>
    <w:p w14:paraId="266DA40D" w14:textId="77777777" w:rsidR="001478CB" w:rsidRPr="000B2554" w:rsidRDefault="001478CB" w:rsidP="000B2554">
      <w:pPr>
        <w:widowControl w:val="0"/>
        <w:autoSpaceDE w:val="0"/>
        <w:autoSpaceDN w:val="0"/>
        <w:adjustRightInd w:val="0"/>
        <w:spacing w:after="60" w:line="240" w:lineRule="auto"/>
        <w:rPr>
          <w:rFonts w:cstheme="minorHAnsi"/>
          <w:sz w:val="20"/>
          <w:szCs w:val="20"/>
        </w:rPr>
      </w:pPr>
      <w:r w:rsidRPr="000B2554">
        <w:rPr>
          <w:rFonts w:cstheme="minorHAnsi"/>
          <w:sz w:val="20"/>
          <w:szCs w:val="20"/>
        </w:rPr>
        <w:t xml:space="preserve">Fry, J., Xian, G., Jin, S., Dewitz, J., Homer, C., Yang, L., Barnes, C., Herold, N., J. Wickham. (2011). Completion of the 2006 National Land Cover Database for the Conterminous United States, </w:t>
      </w:r>
      <w:r w:rsidRPr="000B2554">
        <w:rPr>
          <w:rFonts w:cstheme="minorHAnsi"/>
          <w:i/>
          <w:iCs/>
          <w:sz w:val="20"/>
          <w:szCs w:val="20"/>
        </w:rPr>
        <w:t>Photogrammetric Engineering and Remote Sensing</w:t>
      </w:r>
      <w:r w:rsidRPr="000B2554">
        <w:rPr>
          <w:rFonts w:cstheme="minorHAnsi"/>
          <w:sz w:val="20"/>
          <w:szCs w:val="20"/>
        </w:rPr>
        <w:t>,</w:t>
      </w:r>
      <w:r w:rsidRPr="000B2554">
        <w:rPr>
          <w:rFonts w:cstheme="minorHAnsi"/>
          <w:i/>
          <w:sz w:val="20"/>
          <w:szCs w:val="20"/>
        </w:rPr>
        <w:t xml:space="preserve"> 77</w:t>
      </w:r>
      <w:r w:rsidRPr="000B2554">
        <w:rPr>
          <w:rFonts w:cstheme="minorHAnsi"/>
          <w:sz w:val="20"/>
          <w:szCs w:val="20"/>
        </w:rPr>
        <w:t xml:space="preserve">(9), 858-864. </w:t>
      </w:r>
    </w:p>
    <w:p w14:paraId="573B5F49" w14:textId="77777777" w:rsidR="001478CB" w:rsidRPr="000B2554" w:rsidRDefault="001478CB" w:rsidP="000B2554">
      <w:pPr>
        <w:widowControl w:val="0"/>
        <w:autoSpaceDE w:val="0"/>
        <w:autoSpaceDN w:val="0"/>
        <w:adjustRightInd w:val="0"/>
        <w:spacing w:after="60" w:line="240" w:lineRule="auto"/>
        <w:rPr>
          <w:rFonts w:cstheme="minorHAnsi"/>
          <w:sz w:val="20"/>
          <w:szCs w:val="20"/>
        </w:rPr>
      </w:pPr>
      <w:r w:rsidRPr="000B2554">
        <w:rPr>
          <w:rFonts w:cstheme="minorHAnsi"/>
          <w:sz w:val="20"/>
          <w:szCs w:val="20"/>
        </w:rPr>
        <w:t xml:space="preserve">Genz, A., Bretz, F., Miwa, T., Mi, X., Leisch, F., Scheipl, F., Bornkamp, B., Maechler, M., Hothorn, T. (2019). </w:t>
      </w:r>
      <w:proofErr w:type="gramStart"/>
      <w:r w:rsidRPr="000B2554">
        <w:rPr>
          <w:rFonts w:cstheme="minorHAnsi"/>
          <w:sz w:val="20"/>
          <w:szCs w:val="20"/>
        </w:rPr>
        <w:t>mvtnorm</w:t>
      </w:r>
      <w:proofErr w:type="gramEnd"/>
      <w:r w:rsidRPr="000B2554">
        <w:rPr>
          <w:rFonts w:cstheme="minorHAnsi"/>
          <w:sz w:val="20"/>
          <w:szCs w:val="20"/>
        </w:rPr>
        <w:t>: Multivariate Normal and t Distributions. (R package version 1.0-10). http://CRAN.R-project.org/package=mvtnorm</w:t>
      </w:r>
    </w:p>
    <w:p w14:paraId="1BC3682F"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Harmon, M. E., Woodall, C. W., Fasth, B., Sexton, J., Yatkov, M. (2011). Differences between standing and downed dead tree wood density reduction factors: A comparison across decay classes and tree species. (Res. Paper NRS-15). Newtown Square, PA: U.S. Department of Agriculture, Forest Service. 44 p.</w:t>
      </w:r>
    </w:p>
    <w:p w14:paraId="3280A5CC"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Haya, Barbara, Ivy So, and Micah Elias. </w:t>
      </w:r>
      <w:r>
        <w:rPr>
          <w:rFonts w:cstheme="minorHAnsi"/>
          <w:sz w:val="20"/>
          <w:szCs w:val="20"/>
        </w:rPr>
        <w:t>(</w:t>
      </w:r>
      <w:r w:rsidRPr="000B2554">
        <w:rPr>
          <w:rFonts w:cstheme="minorHAnsi"/>
          <w:sz w:val="20"/>
          <w:szCs w:val="20"/>
        </w:rPr>
        <w:t>2021</w:t>
      </w:r>
      <w:r>
        <w:rPr>
          <w:rFonts w:cstheme="minorHAnsi"/>
          <w:sz w:val="20"/>
          <w:szCs w:val="20"/>
        </w:rPr>
        <w:t>)</w:t>
      </w:r>
      <w:r w:rsidRPr="000B2554">
        <w:rPr>
          <w:rFonts w:cstheme="minorHAnsi"/>
          <w:sz w:val="20"/>
          <w:szCs w:val="20"/>
        </w:rPr>
        <w:t xml:space="preserve">. “Voluntary Registry Offsets Database, Berkeley Carbon Trading Project.” Version v2. University of California, Berkeley. </w:t>
      </w:r>
      <w:hyperlink r:id="rId29" w:history="1">
        <w:r w:rsidRPr="000B2554">
          <w:rPr>
            <w:rStyle w:val="Hyperlink"/>
            <w:rFonts w:cstheme="minorHAnsi"/>
            <w:sz w:val="20"/>
            <w:szCs w:val="20"/>
          </w:rPr>
          <w:t>https://gspp.berkeley.edu/faculty-and-impact/centers/cepp/projects/berkeley-carbon-trading-project/offsets-database</w:t>
        </w:r>
      </w:hyperlink>
      <w:r w:rsidRPr="000B2554">
        <w:rPr>
          <w:rFonts w:cstheme="minorHAnsi"/>
          <w:sz w:val="20"/>
          <w:szCs w:val="20"/>
        </w:rPr>
        <w:t>.</w:t>
      </w:r>
    </w:p>
    <w:p w14:paraId="0C654AF8" w14:textId="77777777" w:rsidR="001478CB" w:rsidRPr="000B2554" w:rsidRDefault="001478CB" w:rsidP="000B2554">
      <w:pPr>
        <w:widowControl w:val="0"/>
        <w:autoSpaceDE w:val="0"/>
        <w:autoSpaceDN w:val="0"/>
        <w:adjustRightInd w:val="0"/>
        <w:spacing w:after="60" w:line="240" w:lineRule="auto"/>
        <w:rPr>
          <w:rFonts w:cstheme="minorHAnsi"/>
          <w:sz w:val="20"/>
          <w:szCs w:val="20"/>
        </w:rPr>
      </w:pPr>
      <w:r w:rsidRPr="000B2554">
        <w:rPr>
          <w:rFonts w:cstheme="minorHAnsi"/>
          <w:sz w:val="20"/>
          <w:szCs w:val="20"/>
        </w:rPr>
        <w:t xml:space="preserve">Heath, L. S., Hansen, M. H., Smith, J. E., Smith, W. B., Miles, P. D. (2009). Investigation into calculating tree biomass and carbon in the FIADB using a biomass expansion factor approach. In: McWilliams, W.; Moisen, G.; Czaplewski, R., comps. 2008 Forest Inventory and Analysis (FIA) Symposium; 2008 October 21–23: Park City, UT. Proc. RMRS-P-56CD. Fort Collins, CO: U.S. Department of Agriculture, Forest Service, Rocky Mountain Research Station. </w:t>
      </w:r>
    </w:p>
    <w:p w14:paraId="24F9C6FD" w14:textId="77777777" w:rsidR="001478CB" w:rsidRPr="000B2554" w:rsidRDefault="001478CB" w:rsidP="000B2554">
      <w:pPr>
        <w:widowControl w:val="0"/>
        <w:autoSpaceDE w:val="0"/>
        <w:autoSpaceDN w:val="0"/>
        <w:adjustRightInd w:val="0"/>
        <w:spacing w:after="60" w:line="240" w:lineRule="auto"/>
        <w:rPr>
          <w:rFonts w:cstheme="minorHAnsi"/>
          <w:sz w:val="20"/>
          <w:szCs w:val="20"/>
        </w:rPr>
      </w:pPr>
      <w:r w:rsidRPr="000B2554">
        <w:rPr>
          <w:rFonts w:cstheme="minorHAnsi"/>
          <w:sz w:val="20"/>
          <w:szCs w:val="20"/>
        </w:rPr>
        <w:t xml:space="preserve">Homer, C., Dewitz, J., Fry, J., Coan, M., Hossain, N., Larson, C., Herold, N., McKerrow, A., VanDriel, J. N., Wickham, J. (2007). Completion of the 2001 National Land Cover Database for the Conterminous United States. </w:t>
      </w:r>
      <w:r w:rsidRPr="000B2554">
        <w:rPr>
          <w:rFonts w:cstheme="minorHAnsi"/>
          <w:i/>
          <w:sz w:val="20"/>
          <w:szCs w:val="20"/>
        </w:rPr>
        <w:t>Photogrammetric Engineering and Remote Sensing, 73</w:t>
      </w:r>
      <w:r w:rsidRPr="000B2554">
        <w:rPr>
          <w:rFonts w:cstheme="minorHAnsi"/>
          <w:sz w:val="20"/>
          <w:szCs w:val="20"/>
        </w:rPr>
        <w:t xml:space="preserve">(4), 337–341. </w:t>
      </w:r>
    </w:p>
    <w:p w14:paraId="1D53A8E9" w14:textId="77777777" w:rsidR="001478CB" w:rsidRPr="000B2554" w:rsidRDefault="001478CB" w:rsidP="000B2554">
      <w:pPr>
        <w:spacing w:after="60" w:line="240" w:lineRule="auto"/>
        <w:jc w:val="both"/>
        <w:rPr>
          <w:rFonts w:cstheme="minorHAnsi"/>
          <w:sz w:val="20"/>
          <w:szCs w:val="20"/>
        </w:rPr>
      </w:pPr>
      <w:r w:rsidRPr="000B2554">
        <w:rPr>
          <w:rFonts w:cstheme="minorHAnsi"/>
          <w:sz w:val="20"/>
          <w:szCs w:val="20"/>
        </w:rPr>
        <w:t xml:space="preserve">Homer, C., Dewitz, J., Yang, L., Jin, S., Danielson, P., Xian, G., Coulston, J., Herold, N., Wickham, J., Megown, K. (2015). Completion of the 2011 National Land Cover Database for the conterminous United States – Representing a decade of land cover change information. </w:t>
      </w:r>
      <w:r w:rsidRPr="000B2554">
        <w:rPr>
          <w:rFonts w:cstheme="minorHAnsi"/>
          <w:i/>
          <w:sz w:val="20"/>
          <w:szCs w:val="20"/>
        </w:rPr>
        <w:t>Photogrammetric Engineering and Remote Sensing, 81</w:t>
      </w:r>
      <w:r w:rsidRPr="000B2554">
        <w:rPr>
          <w:rFonts w:cstheme="minorHAnsi"/>
          <w:sz w:val="20"/>
          <w:szCs w:val="20"/>
        </w:rPr>
        <w:t>(5), 345–354.</w:t>
      </w:r>
    </w:p>
    <w:p w14:paraId="2D83B3AF"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Hu, Z., Lee, J.W., Chandran, K., Kim, S., Khanal, S.K. (2012). Nitrous oxide (N</w:t>
      </w:r>
      <w:r w:rsidRPr="000B2554">
        <w:rPr>
          <w:rFonts w:cstheme="minorHAnsi"/>
          <w:sz w:val="20"/>
          <w:szCs w:val="20"/>
          <w:vertAlign w:val="subscript"/>
        </w:rPr>
        <w:t>2</w:t>
      </w:r>
      <w:r w:rsidRPr="000B2554">
        <w:rPr>
          <w:rFonts w:cstheme="minorHAnsi"/>
          <w:sz w:val="20"/>
          <w:szCs w:val="20"/>
        </w:rPr>
        <w:t xml:space="preserve">O) emission from aquaculture: a review. </w:t>
      </w:r>
      <w:r w:rsidRPr="000B2554">
        <w:rPr>
          <w:rFonts w:cstheme="minorHAnsi"/>
          <w:i/>
          <w:sz w:val="20"/>
          <w:szCs w:val="20"/>
        </w:rPr>
        <w:t>Environmental Science &amp; Technology, 46</w:t>
      </w:r>
      <w:r w:rsidRPr="000B2554">
        <w:rPr>
          <w:rFonts w:cstheme="minorHAnsi"/>
          <w:sz w:val="20"/>
          <w:szCs w:val="20"/>
        </w:rPr>
        <w:t>(12): 6470-80.</w:t>
      </w:r>
    </w:p>
    <w:p w14:paraId="30910D87" w14:textId="77777777" w:rsidR="001478CB" w:rsidRPr="000B2554" w:rsidRDefault="001478CB" w:rsidP="000B2554">
      <w:pPr>
        <w:spacing w:after="60" w:line="240" w:lineRule="auto"/>
        <w:jc w:val="both"/>
        <w:rPr>
          <w:rFonts w:cstheme="minorHAnsi"/>
          <w:sz w:val="20"/>
          <w:szCs w:val="20"/>
        </w:rPr>
      </w:pPr>
      <w:r w:rsidRPr="000B2554">
        <w:rPr>
          <w:rFonts w:cstheme="minorHAnsi"/>
          <w:sz w:val="20"/>
          <w:szCs w:val="20"/>
        </w:rPr>
        <w:t xml:space="preserve">IPCC. (2006). </w:t>
      </w:r>
      <w:r w:rsidRPr="000B2554">
        <w:rPr>
          <w:rFonts w:cstheme="minorHAnsi"/>
          <w:iCs/>
          <w:sz w:val="20"/>
          <w:szCs w:val="20"/>
        </w:rPr>
        <w:t>2006 IPCC Guidelines for National Greenhouse Gas Inventories</w:t>
      </w:r>
      <w:r w:rsidRPr="000B2554">
        <w:rPr>
          <w:rFonts w:cstheme="minorHAnsi"/>
          <w:sz w:val="20"/>
          <w:szCs w:val="20"/>
        </w:rPr>
        <w:t xml:space="preserve">. The National Greenhouse Gas Inventories Programme, </w:t>
      </w:r>
      <w:proofErr w:type="gramStart"/>
      <w:r w:rsidRPr="000B2554">
        <w:rPr>
          <w:rFonts w:cstheme="minorHAnsi"/>
          <w:sz w:val="20"/>
          <w:szCs w:val="20"/>
        </w:rPr>
        <w:t>The</w:t>
      </w:r>
      <w:proofErr w:type="gramEnd"/>
      <w:r w:rsidRPr="000B2554">
        <w:rPr>
          <w:rFonts w:cstheme="minorHAnsi"/>
          <w:sz w:val="20"/>
          <w:szCs w:val="20"/>
        </w:rPr>
        <w:t xml:space="preserve"> Intergovernmental Panel on Climate Change. [H.S. Eggleston, L. Buendia, K. Miwa, T. Ngara, and K. Tanabe (</w:t>
      </w:r>
      <w:proofErr w:type="gramStart"/>
      <w:r w:rsidRPr="000B2554">
        <w:rPr>
          <w:rFonts w:cstheme="minorHAnsi"/>
          <w:sz w:val="20"/>
          <w:szCs w:val="20"/>
        </w:rPr>
        <w:t>eds</w:t>
      </w:r>
      <w:proofErr w:type="gramEnd"/>
      <w:r w:rsidRPr="000B2554">
        <w:rPr>
          <w:rFonts w:cstheme="minorHAnsi"/>
          <w:sz w:val="20"/>
          <w:szCs w:val="20"/>
        </w:rPr>
        <w:t xml:space="preserve">.)]. Hayama, Kanagawa, Japan. </w:t>
      </w:r>
    </w:p>
    <w:p w14:paraId="47C0BC6C" w14:textId="77777777" w:rsidR="001478CB" w:rsidRPr="000B2554" w:rsidRDefault="001478CB" w:rsidP="000B2554">
      <w:pPr>
        <w:spacing w:after="60" w:line="240" w:lineRule="auto"/>
        <w:jc w:val="both"/>
        <w:rPr>
          <w:rFonts w:cstheme="minorHAnsi"/>
          <w:sz w:val="20"/>
          <w:szCs w:val="20"/>
        </w:rPr>
      </w:pPr>
      <w:r w:rsidRPr="000B2554">
        <w:rPr>
          <w:rFonts w:cstheme="minorHAnsi"/>
          <w:sz w:val="20"/>
          <w:szCs w:val="20"/>
        </w:rPr>
        <w:t>IPCC. (2007). Climate Change 2007: The Physical Science Basis. Contribution of Working Group I to the Fourth Assessment Report of the Intergovernmental Panel on Climate Change [Solomon, S., D. Qin, M. Manning, Z. Chen, M. Marquis, K.B. Averyt, M. Tignor and H.L. Miller (</w:t>
      </w:r>
      <w:proofErr w:type="gramStart"/>
      <w:r w:rsidRPr="000B2554">
        <w:rPr>
          <w:rFonts w:cstheme="minorHAnsi"/>
          <w:sz w:val="20"/>
          <w:szCs w:val="20"/>
        </w:rPr>
        <w:t>eds</w:t>
      </w:r>
      <w:proofErr w:type="gramEnd"/>
      <w:r w:rsidRPr="000B2554">
        <w:rPr>
          <w:rFonts w:cstheme="minorHAnsi"/>
          <w:sz w:val="20"/>
          <w:szCs w:val="20"/>
        </w:rPr>
        <w:t>.)]. Cambridge, United Kingdom and New York, NY, USA: Cambridge University Press, 996 pp.</w:t>
      </w:r>
    </w:p>
    <w:p w14:paraId="480966E8" w14:textId="77777777" w:rsidR="001478CB" w:rsidRPr="000B2554" w:rsidRDefault="001478CB" w:rsidP="000B2554">
      <w:pPr>
        <w:spacing w:after="60" w:line="240" w:lineRule="auto"/>
        <w:rPr>
          <w:rFonts w:eastAsia="Times New Roman" w:cstheme="minorHAnsi"/>
          <w:color w:val="000000"/>
          <w:sz w:val="20"/>
          <w:szCs w:val="20"/>
        </w:rPr>
      </w:pPr>
      <w:r w:rsidRPr="000B2554">
        <w:rPr>
          <w:rFonts w:eastAsia="Times New Roman" w:cstheme="minorHAnsi"/>
          <w:color w:val="000000"/>
          <w:sz w:val="20"/>
          <w:szCs w:val="20"/>
        </w:rPr>
        <w:t>IPCC. (2014). 2013 Supplement to the 2006 IPCC Guidelines for National Greenhouse Gas Inventories: Wetlands. Hiraishi, T., Krug, T., Tanabe, K., Srivastava, N., Baasansuren, J., Fukuda, M. and Troxler, T.G. (</w:t>
      </w:r>
      <w:proofErr w:type="gramStart"/>
      <w:r w:rsidRPr="000B2554">
        <w:rPr>
          <w:rFonts w:eastAsia="Times New Roman" w:cstheme="minorHAnsi"/>
          <w:color w:val="000000"/>
          <w:sz w:val="20"/>
          <w:szCs w:val="20"/>
        </w:rPr>
        <w:t>eds</w:t>
      </w:r>
      <w:proofErr w:type="gramEnd"/>
      <w:r w:rsidRPr="000B2554">
        <w:rPr>
          <w:rFonts w:eastAsia="Times New Roman" w:cstheme="minorHAnsi"/>
          <w:color w:val="000000"/>
          <w:sz w:val="20"/>
          <w:szCs w:val="20"/>
        </w:rPr>
        <w:t>.). Published: IPCC, Switzerland.</w:t>
      </w:r>
    </w:p>
    <w:p w14:paraId="2BBDACCC"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IPCC. (2019). 2019 Refinement to the 2006 IPCC Guidelines for National Greenhouse Gas Inventories. </w:t>
      </w:r>
      <w:hyperlink r:id="rId30" w:history="1">
        <w:r w:rsidRPr="000B2554">
          <w:rPr>
            <w:rStyle w:val="Hyperlink"/>
            <w:rFonts w:cstheme="minorHAnsi"/>
            <w:sz w:val="20"/>
            <w:szCs w:val="20"/>
          </w:rPr>
          <w:t>https://www.ipcc-nggip.iges.or.jp/public/2019rf/index.html</w:t>
        </w:r>
      </w:hyperlink>
    </w:p>
    <w:p w14:paraId="269AD1C6"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lastRenderedPageBreak/>
        <w:t xml:space="preserve">Jenkins, J. C., Chojnacky, D. C., Heath, L. S., Birdsey, R. A. (2003). National-scale biomass estimators for United States tree species. </w:t>
      </w:r>
      <w:r w:rsidRPr="000B2554">
        <w:rPr>
          <w:rFonts w:cstheme="minorHAnsi"/>
          <w:i/>
          <w:sz w:val="20"/>
          <w:szCs w:val="20"/>
        </w:rPr>
        <w:t>Forest Science, 49</w:t>
      </w:r>
      <w:r w:rsidRPr="000B2554">
        <w:rPr>
          <w:rFonts w:cstheme="minorHAnsi"/>
          <w:sz w:val="20"/>
          <w:szCs w:val="20"/>
        </w:rPr>
        <w:t>(1), 12–35.</w:t>
      </w:r>
    </w:p>
    <w:p w14:paraId="1C6E4D3B"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Jenkins, J. C., Chojnacky, D. C., Heath, L. S., Birdsey, R. A. (2004). Comprehensive Database of Diameter-based Biomass Regressions for North American Tree Species. (Gen. Tech. Rep. NE-219). Newtown Square, PA: U.S. Department of Agriculture, Forest Service. 48 p.</w:t>
      </w:r>
    </w:p>
    <w:p w14:paraId="4E95A208"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 xml:space="preserve">Kuzyakov, Y. (2010). Priming effects: Interactions between living and dead organic matter. </w:t>
      </w:r>
      <w:r w:rsidRPr="000B2554">
        <w:rPr>
          <w:rFonts w:asciiTheme="minorHAnsi" w:hAnsiTheme="minorHAnsi" w:cstheme="minorHAnsi"/>
          <w:i/>
          <w:iCs/>
          <w:color w:val="000000"/>
          <w:sz w:val="20"/>
          <w:szCs w:val="20"/>
        </w:rPr>
        <w:t>Soil Biology and Biochemistry, 42</w:t>
      </w:r>
      <w:r w:rsidRPr="000B2554">
        <w:rPr>
          <w:rFonts w:asciiTheme="minorHAnsi" w:hAnsiTheme="minorHAnsi" w:cstheme="minorHAnsi"/>
          <w:color w:val="000000"/>
          <w:sz w:val="20"/>
          <w:szCs w:val="20"/>
        </w:rPr>
        <w:t>(9), 1363-1371.</w:t>
      </w:r>
    </w:p>
    <w:p w14:paraId="5D75DF53"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 xml:space="preserve">Lehmann, J., Rillig, M.C., Thies, J., Masiello, C.A., Hockaday, W.C., Crowley, D. (2011). Biochar effects on soil biota–a review. </w:t>
      </w:r>
      <w:r w:rsidRPr="000B2554">
        <w:rPr>
          <w:rFonts w:asciiTheme="minorHAnsi" w:hAnsiTheme="minorHAnsi" w:cstheme="minorHAnsi"/>
          <w:i/>
          <w:iCs/>
          <w:color w:val="000000"/>
          <w:sz w:val="20"/>
          <w:szCs w:val="20"/>
        </w:rPr>
        <w:t>Soil Biology and Biochemistry</w:t>
      </w:r>
      <w:r w:rsidRPr="000B2554">
        <w:rPr>
          <w:rFonts w:asciiTheme="minorHAnsi" w:hAnsiTheme="minorHAnsi" w:cstheme="minorHAnsi"/>
          <w:color w:val="000000"/>
          <w:sz w:val="20"/>
          <w:szCs w:val="20"/>
        </w:rPr>
        <w:t>, 43(9), 1812-1836.</w:t>
      </w:r>
    </w:p>
    <w:p w14:paraId="0E056BDD"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Lu, D., Chen, Q., Wang, G., Liu, L., Li, G., Moran, E. (2016). A survey of remote sensing-based aboveground biomass estimation methods in forest ecosystems. International Journal of Digital Earth, 9(1):63-105.</w:t>
      </w:r>
    </w:p>
    <w:p w14:paraId="0107C8AB"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Ma, W., Domke, G., D’Amato, A., Woodall, C., Walters, B., Deo, R. (2018). Using matrix models to estimate aboveground forest biomass dynamics in the eastern USA through various combinations of LiDAR, Landsat, and forest inventory data. Environmental Research Letters, 13:125004.</w:t>
      </w:r>
    </w:p>
    <w:p w14:paraId="22A9F142" w14:textId="77777777" w:rsidR="001478CB" w:rsidRPr="000B2554" w:rsidRDefault="001478CB" w:rsidP="000B2554">
      <w:pPr>
        <w:spacing w:after="60" w:line="240" w:lineRule="auto"/>
        <w:jc w:val="both"/>
        <w:rPr>
          <w:rFonts w:cstheme="minorHAnsi"/>
          <w:sz w:val="20"/>
          <w:szCs w:val="20"/>
        </w:rPr>
      </w:pPr>
      <w:r w:rsidRPr="000B2554">
        <w:rPr>
          <w:rFonts w:cstheme="minorHAnsi"/>
          <w:sz w:val="20"/>
          <w:szCs w:val="20"/>
        </w:rPr>
        <w:t>Marden, R. M., Lothner, D. C., Kallio, E. (1975). Wood and bark percentages and moisture contents of Minnesota pulpwood species. (Res. Paper NC-114). St. Paul, MN: U.S. Department of Agriculture, Forest Service. 14 p.</w:t>
      </w:r>
    </w:p>
    <w:p w14:paraId="6C99401A" w14:textId="77777777" w:rsidR="001478CB" w:rsidRPr="000B2554" w:rsidRDefault="001478CB" w:rsidP="000B2554">
      <w:pPr>
        <w:spacing w:after="60" w:line="240" w:lineRule="auto"/>
        <w:jc w:val="both"/>
        <w:rPr>
          <w:rFonts w:cstheme="minorHAnsi"/>
          <w:sz w:val="20"/>
          <w:szCs w:val="20"/>
        </w:rPr>
      </w:pPr>
      <w:r w:rsidRPr="000B2554">
        <w:rPr>
          <w:rFonts w:cstheme="minorHAnsi"/>
          <w:sz w:val="20"/>
          <w:szCs w:val="20"/>
        </w:rPr>
        <w:t>McRoberts, R., Chen, Q., Domke, G., Stahl, G., Saarela, S., Westfall, J. (2016). Hybrid estimators for mean aboveground carbon per unit area. Forest Ecology and Management, 378:44-56.</w:t>
      </w:r>
    </w:p>
    <w:p w14:paraId="4E3D0398"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 xml:space="preserve">Mei, K., </w:t>
      </w:r>
      <w:proofErr w:type="gramStart"/>
      <w:r w:rsidRPr="000B2554">
        <w:rPr>
          <w:rFonts w:asciiTheme="minorHAnsi" w:hAnsiTheme="minorHAnsi" w:cstheme="minorHAnsi"/>
          <w:color w:val="000000"/>
          <w:sz w:val="20"/>
          <w:szCs w:val="20"/>
        </w:rPr>
        <w:t>Wang.,</w:t>
      </w:r>
      <w:proofErr w:type="gramEnd"/>
      <w:r w:rsidRPr="000B2554">
        <w:rPr>
          <w:rFonts w:asciiTheme="minorHAnsi" w:hAnsiTheme="minorHAnsi" w:cstheme="minorHAnsi"/>
          <w:color w:val="000000"/>
          <w:sz w:val="20"/>
          <w:szCs w:val="20"/>
        </w:rPr>
        <w:t xml:space="preserve"> Z., Huang, H., Zhang, C., Shang, X., Dahlgren, R.A.,…Xia, F. (2018). Stimulation of N</w:t>
      </w:r>
      <w:r w:rsidRPr="000B2554">
        <w:rPr>
          <w:rFonts w:asciiTheme="minorHAnsi" w:hAnsiTheme="minorHAnsi" w:cstheme="minorHAnsi"/>
          <w:color w:val="000000"/>
          <w:sz w:val="20"/>
          <w:szCs w:val="20"/>
          <w:vertAlign w:val="subscript"/>
        </w:rPr>
        <w:t>2</w:t>
      </w:r>
      <w:r w:rsidRPr="000B2554">
        <w:rPr>
          <w:rFonts w:asciiTheme="minorHAnsi" w:hAnsiTheme="minorHAnsi" w:cstheme="minorHAnsi"/>
          <w:color w:val="000000"/>
          <w:sz w:val="20"/>
          <w:szCs w:val="20"/>
        </w:rPr>
        <w:t xml:space="preserve">O emission by conservation tillage management in agricultural lands: a meta-analysis. </w:t>
      </w:r>
      <w:r w:rsidRPr="000B2554">
        <w:rPr>
          <w:rFonts w:asciiTheme="minorHAnsi" w:hAnsiTheme="minorHAnsi" w:cstheme="minorHAnsi"/>
          <w:i/>
          <w:iCs/>
          <w:color w:val="000000"/>
          <w:sz w:val="20"/>
          <w:szCs w:val="20"/>
        </w:rPr>
        <w:t>Soil &amp; Tillage Research</w:t>
      </w:r>
      <w:r w:rsidRPr="000B2554">
        <w:rPr>
          <w:rFonts w:asciiTheme="minorHAnsi" w:hAnsiTheme="minorHAnsi" w:cstheme="minorHAnsi"/>
          <w:color w:val="000000"/>
          <w:sz w:val="20"/>
          <w:szCs w:val="20"/>
        </w:rPr>
        <w:t>, 86-93.</w:t>
      </w:r>
    </w:p>
    <w:p w14:paraId="15BFADDF"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Mersmann, O., Trautmann, H., Steuer, D., Bornkamp, B. (2018). </w:t>
      </w:r>
      <w:proofErr w:type="gramStart"/>
      <w:r w:rsidRPr="000B2554">
        <w:rPr>
          <w:rFonts w:cstheme="minorHAnsi"/>
          <w:sz w:val="20"/>
          <w:szCs w:val="20"/>
        </w:rPr>
        <w:t>truncnorm</w:t>
      </w:r>
      <w:proofErr w:type="gramEnd"/>
      <w:r w:rsidRPr="000B2554">
        <w:rPr>
          <w:rFonts w:cstheme="minorHAnsi"/>
          <w:sz w:val="20"/>
          <w:szCs w:val="20"/>
        </w:rPr>
        <w:t>: Truncated Normal Distribution. (R package version 1.0-8). https://CRAN.R-project.org/package=truncnorm</w:t>
      </w:r>
    </w:p>
    <w:p w14:paraId="757DFAB5"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Miles, P. D., Smith, W. B. (2009). </w:t>
      </w:r>
      <w:r w:rsidRPr="000B2554">
        <w:rPr>
          <w:rFonts w:cstheme="minorHAnsi"/>
          <w:bCs/>
          <w:sz w:val="20"/>
          <w:szCs w:val="20"/>
        </w:rPr>
        <w:t xml:space="preserve">Specific gravity and other properties of wood and bark for 156 tree species found in North America. (Res. Note NRS-38). </w:t>
      </w:r>
      <w:r w:rsidRPr="000B2554">
        <w:rPr>
          <w:rFonts w:cstheme="minorHAnsi"/>
          <w:sz w:val="20"/>
          <w:szCs w:val="20"/>
        </w:rPr>
        <w:t>Newtown Square, PA: U.S. Department of Agriculture, Forest Service. 39 p.</w:t>
      </w:r>
    </w:p>
    <w:p w14:paraId="7D07E285"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Mooney, Christopher. </w:t>
      </w:r>
      <w:r>
        <w:rPr>
          <w:rFonts w:cstheme="minorHAnsi"/>
          <w:sz w:val="20"/>
          <w:szCs w:val="20"/>
        </w:rPr>
        <w:t>(</w:t>
      </w:r>
      <w:r w:rsidRPr="000B2554">
        <w:rPr>
          <w:rFonts w:cstheme="minorHAnsi"/>
          <w:sz w:val="20"/>
          <w:szCs w:val="20"/>
        </w:rPr>
        <w:t>In press</w:t>
      </w:r>
      <w:r>
        <w:rPr>
          <w:rFonts w:cstheme="minorHAnsi"/>
          <w:sz w:val="20"/>
          <w:szCs w:val="20"/>
        </w:rPr>
        <w:t>)</w:t>
      </w:r>
      <w:r w:rsidRPr="000B2554">
        <w:rPr>
          <w:rFonts w:cstheme="minorHAnsi"/>
          <w:sz w:val="20"/>
          <w:szCs w:val="20"/>
        </w:rPr>
        <w:t xml:space="preserve">. </w:t>
      </w:r>
      <w:r w:rsidRPr="000B2554">
        <w:rPr>
          <w:rFonts w:cstheme="minorHAnsi"/>
          <w:i/>
          <w:iCs/>
          <w:sz w:val="20"/>
          <w:szCs w:val="20"/>
        </w:rPr>
        <w:t>Washington Post</w:t>
      </w:r>
      <w:r w:rsidRPr="000B2554">
        <w:rPr>
          <w:rFonts w:cstheme="minorHAnsi"/>
          <w:sz w:val="20"/>
          <w:szCs w:val="20"/>
        </w:rPr>
        <w:t>.</w:t>
      </w:r>
    </w:p>
    <w:p w14:paraId="3289F065"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Morgan, M. Granger. </w:t>
      </w:r>
      <w:r>
        <w:rPr>
          <w:rFonts w:cstheme="minorHAnsi"/>
          <w:sz w:val="20"/>
          <w:szCs w:val="20"/>
        </w:rPr>
        <w:t>(</w:t>
      </w:r>
      <w:r w:rsidRPr="000B2554">
        <w:rPr>
          <w:rFonts w:cstheme="minorHAnsi"/>
          <w:sz w:val="20"/>
          <w:szCs w:val="20"/>
        </w:rPr>
        <w:t>2014</w:t>
      </w:r>
      <w:r>
        <w:rPr>
          <w:rFonts w:cstheme="minorHAnsi"/>
          <w:sz w:val="20"/>
          <w:szCs w:val="20"/>
        </w:rPr>
        <w:t>)</w:t>
      </w:r>
      <w:r w:rsidRPr="000B2554">
        <w:rPr>
          <w:rFonts w:cstheme="minorHAnsi"/>
          <w:sz w:val="20"/>
          <w:szCs w:val="20"/>
        </w:rPr>
        <w:t xml:space="preserve">. “Use (and Abuse) of Expert Elicitation in Support of Decision Making for Public Policy.” </w:t>
      </w:r>
      <w:r w:rsidRPr="000B2554">
        <w:rPr>
          <w:rFonts w:cstheme="minorHAnsi"/>
          <w:i/>
          <w:iCs/>
          <w:sz w:val="20"/>
          <w:szCs w:val="20"/>
        </w:rPr>
        <w:t>Proceedings of the National Academy of Sciences</w:t>
      </w:r>
      <w:r w:rsidRPr="000B2554">
        <w:rPr>
          <w:rFonts w:cstheme="minorHAnsi"/>
          <w:sz w:val="20"/>
          <w:szCs w:val="20"/>
        </w:rPr>
        <w:t xml:space="preserve"> 111 (20): 7176–84. </w:t>
      </w:r>
      <w:hyperlink r:id="rId31" w:history="1">
        <w:r w:rsidRPr="000B2554">
          <w:rPr>
            <w:rStyle w:val="Hyperlink"/>
            <w:rFonts w:cstheme="minorHAnsi"/>
            <w:sz w:val="20"/>
            <w:szCs w:val="20"/>
          </w:rPr>
          <w:t>https://doi.org/10.1073/pnas.1319946111</w:t>
        </w:r>
      </w:hyperlink>
      <w:r w:rsidRPr="000B2554">
        <w:rPr>
          <w:rFonts w:cstheme="minorHAnsi"/>
          <w:sz w:val="20"/>
          <w:szCs w:val="20"/>
        </w:rPr>
        <w:t>.</w:t>
      </w:r>
    </w:p>
    <w:p w14:paraId="70D811B4" w14:textId="77777777" w:rsidR="001478CB" w:rsidRPr="000B2554" w:rsidRDefault="001478CB" w:rsidP="000B2554">
      <w:pPr>
        <w:spacing w:after="60" w:line="240" w:lineRule="auto"/>
        <w:jc w:val="both"/>
        <w:rPr>
          <w:rFonts w:cstheme="minorHAnsi"/>
          <w:sz w:val="20"/>
          <w:szCs w:val="20"/>
        </w:rPr>
      </w:pPr>
      <w:r w:rsidRPr="000B2554">
        <w:rPr>
          <w:rFonts w:cstheme="minorHAnsi"/>
          <w:sz w:val="20"/>
          <w:szCs w:val="20"/>
        </w:rPr>
        <w:t>MTBS Data Summaries. (2015). MTBS Project, data last revised April 2015. USDA Forest Service/U.S. Geological Survey. Available online at http://mtbs.gov/data/search.html</w:t>
      </w:r>
    </w:p>
    <w:p w14:paraId="2C2C1D61"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Nair P., Nair V. (2003). Carbon Storage in North American Agroforestry Systems (Chapter 5). </w:t>
      </w:r>
      <w:r w:rsidRPr="000B2554">
        <w:rPr>
          <w:rFonts w:cstheme="minorHAnsi"/>
          <w:i/>
          <w:sz w:val="20"/>
          <w:szCs w:val="20"/>
        </w:rPr>
        <w:t>Advances in Agronomy, 108</w:t>
      </w:r>
      <w:r w:rsidRPr="000B2554">
        <w:rPr>
          <w:rFonts w:cstheme="minorHAnsi"/>
          <w:sz w:val="20"/>
          <w:szCs w:val="20"/>
        </w:rPr>
        <w:t>, 237-307.</w:t>
      </w:r>
    </w:p>
    <w:p w14:paraId="336FD6CC"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 xml:space="preserve">Nevison, C., Andrews, A., Thoning, K., Dlugokencky, E., Sweeney, C., Miller, S., Saikawa, E., Benmergui, J., Fischer, M., Mountain, M., Nehrkorn, T. (2018). Nitrous oxide emissions estimated with the CarbonTracker‐Lagrange North American regional inversion framework. </w:t>
      </w:r>
      <w:r w:rsidRPr="000B2554">
        <w:rPr>
          <w:rFonts w:asciiTheme="minorHAnsi" w:hAnsiTheme="minorHAnsi" w:cstheme="minorHAnsi"/>
          <w:i/>
          <w:iCs/>
          <w:color w:val="000000"/>
          <w:sz w:val="20"/>
          <w:szCs w:val="20"/>
        </w:rPr>
        <w:t>Global Biogeochemical Cycles</w:t>
      </w:r>
      <w:r w:rsidRPr="000B2554">
        <w:rPr>
          <w:rFonts w:asciiTheme="minorHAnsi" w:hAnsiTheme="minorHAnsi" w:cstheme="minorHAnsi"/>
          <w:color w:val="000000"/>
          <w:sz w:val="20"/>
          <w:szCs w:val="20"/>
        </w:rPr>
        <w:t xml:space="preserve">, </w:t>
      </w:r>
      <w:r w:rsidRPr="000B2554">
        <w:rPr>
          <w:rFonts w:asciiTheme="minorHAnsi" w:hAnsiTheme="minorHAnsi" w:cstheme="minorHAnsi"/>
          <w:i/>
          <w:iCs/>
          <w:color w:val="000000"/>
          <w:sz w:val="20"/>
          <w:szCs w:val="20"/>
        </w:rPr>
        <w:t>32</w:t>
      </w:r>
      <w:r w:rsidRPr="000B2554">
        <w:rPr>
          <w:rFonts w:asciiTheme="minorHAnsi" w:hAnsiTheme="minorHAnsi" w:cstheme="minorHAnsi"/>
          <w:color w:val="000000"/>
          <w:sz w:val="20"/>
          <w:szCs w:val="20"/>
        </w:rPr>
        <w:t>(3), pp.463-485.</w:t>
      </w:r>
    </w:p>
    <w:p w14:paraId="649031AA"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Nowak, D. J., Greenfield, E. J., Hoehn, R. E., Lapoint, E. (2013). Carbon storage and sequestration by trees in urban and community areas of the United States. </w:t>
      </w:r>
      <w:r w:rsidRPr="000B2554">
        <w:rPr>
          <w:rFonts w:cstheme="minorHAnsi"/>
          <w:i/>
          <w:sz w:val="20"/>
          <w:szCs w:val="20"/>
        </w:rPr>
        <w:t>Environmental Pollution, 178</w:t>
      </w:r>
      <w:r w:rsidRPr="000B2554">
        <w:rPr>
          <w:rFonts w:cstheme="minorHAnsi"/>
          <w:sz w:val="20"/>
          <w:szCs w:val="20"/>
        </w:rPr>
        <w:t>, 229-236. doi:10.1016/j.envpol.2013.03.019</w:t>
      </w:r>
    </w:p>
    <w:p w14:paraId="0ACE33A2"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Nowak, D., Greenfield, E. (2010). Sustaining America’s Urban Trees and Forests.</w:t>
      </w:r>
    </w:p>
    <w:p w14:paraId="239F7E68"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Nowak, D.J., Crane, D.E., Stevens, J.C., Hoehn, R.E., Walton, J.T., Bond, J. (2008). A Ground-Based Method of Assessing Urban Forest Structure and Ecosystem Services. </w:t>
      </w:r>
      <w:r w:rsidRPr="000B2554">
        <w:rPr>
          <w:rFonts w:cstheme="minorHAnsi"/>
          <w:i/>
          <w:sz w:val="20"/>
          <w:szCs w:val="20"/>
        </w:rPr>
        <w:t>Arboriculture &amp; Urban Forestry, 2008</w:t>
      </w:r>
      <w:r w:rsidRPr="000B2554">
        <w:rPr>
          <w:rFonts w:cstheme="minorHAnsi"/>
          <w:sz w:val="20"/>
          <w:szCs w:val="20"/>
        </w:rPr>
        <w:t>. 34(6):347–358.</w:t>
      </w:r>
    </w:p>
    <w:p w14:paraId="38C12A3B"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Nowak, D</w:t>
      </w:r>
      <w:r w:rsidRPr="0076408E">
        <w:rPr>
          <w:rFonts w:cstheme="minorHAnsi"/>
          <w:sz w:val="20"/>
          <w:szCs w:val="20"/>
        </w:rPr>
        <w:t>avid J., and Eric J. Greenfield</w:t>
      </w:r>
      <w:r w:rsidRPr="000B2554">
        <w:rPr>
          <w:rFonts w:cstheme="minorHAnsi"/>
          <w:sz w:val="20"/>
          <w:szCs w:val="20"/>
        </w:rPr>
        <w:t xml:space="preserve"> </w:t>
      </w:r>
      <w:r>
        <w:rPr>
          <w:rFonts w:cstheme="minorHAnsi"/>
          <w:sz w:val="20"/>
          <w:szCs w:val="20"/>
        </w:rPr>
        <w:t>(</w:t>
      </w:r>
      <w:r w:rsidRPr="000B2554">
        <w:rPr>
          <w:rFonts w:cstheme="minorHAnsi"/>
          <w:sz w:val="20"/>
          <w:szCs w:val="20"/>
        </w:rPr>
        <w:t>2012</w:t>
      </w:r>
      <w:r>
        <w:rPr>
          <w:rFonts w:cstheme="minorHAnsi"/>
          <w:sz w:val="20"/>
          <w:szCs w:val="20"/>
        </w:rPr>
        <w:t>)</w:t>
      </w:r>
      <w:r w:rsidRPr="000B2554">
        <w:rPr>
          <w:rFonts w:cstheme="minorHAnsi"/>
          <w:sz w:val="20"/>
          <w:szCs w:val="20"/>
        </w:rPr>
        <w:t xml:space="preserve"> “Tree and Impervious Cover in the United States.” </w:t>
      </w:r>
      <w:r w:rsidRPr="000B2554">
        <w:rPr>
          <w:rFonts w:cstheme="minorHAnsi"/>
          <w:i/>
          <w:iCs/>
          <w:sz w:val="20"/>
          <w:szCs w:val="20"/>
        </w:rPr>
        <w:t>Landscape and Urban Planning</w:t>
      </w:r>
      <w:r w:rsidRPr="000B2554">
        <w:rPr>
          <w:rFonts w:cstheme="minorHAnsi"/>
          <w:sz w:val="20"/>
          <w:szCs w:val="20"/>
        </w:rPr>
        <w:t xml:space="preserve"> 107 (1): 21–30. </w:t>
      </w:r>
      <w:hyperlink r:id="rId32" w:history="1">
        <w:r w:rsidRPr="000B2554">
          <w:rPr>
            <w:rStyle w:val="Hyperlink"/>
            <w:rFonts w:cstheme="minorHAnsi"/>
            <w:sz w:val="20"/>
            <w:szCs w:val="20"/>
          </w:rPr>
          <w:t>https://doi.org/10.1016/j.landurbplan.2012.04.005</w:t>
        </w:r>
      </w:hyperlink>
      <w:r w:rsidRPr="000B2554">
        <w:rPr>
          <w:rFonts w:cstheme="minorHAnsi"/>
          <w:sz w:val="20"/>
          <w:szCs w:val="20"/>
        </w:rPr>
        <w:t>.</w:t>
      </w:r>
    </w:p>
    <w:p w14:paraId="657DFA17" w14:textId="77777777" w:rsidR="001478CB" w:rsidRPr="000B2554" w:rsidRDefault="001478CB" w:rsidP="000B2554">
      <w:pPr>
        <w:widowControl w:val="0"/>
        <w:autoSpaceDE w:val="0"/>
        <w:autoSpaceDN w:val="0"/>
        <w:adjustRightInd w:val="0"/>
        <w:spacing w:after="60" w:line="240" w:lineRule="auto"/>
        <w:rPr>
          <w:rFonts w:cstheme="minorHAnsi"/>
          <w:sz w:val="20"/>
          <w:szCs w:val="20"/>
        </w:rPr>
      </w:pPr>
      <w:r w:rsidRPr="000B2554">
        <w:rPr>
          <w:rFonts w:cstheme="minorHAnsi"/>
          <w:sz w:val="20"/>
          <w:szCs w:val="20"/>
        </w:rPr>
        <w:t xml:space="preserve">Nusser, S. M., Goebel, J. J. (1997). The national resources inventory: a long-term multi-resource monitoring programme. </w:t>
      </w:r>
      <w:r w:rsidRPr="000B2554">
        <w:rPr>
          <w:rFonts w:cstheme="minorHAnsi"/>
          <w:i/>
          <w:iCs/>
          <w:sz w:val="20"/>
          <w:szCs w:val="20"/>
        </w:rPr>
        <w:t xml:space="preserve">Environmental and Ecological Statistics </w:t>
      </w:r>
      <w:r w:rsidRPr="000B2554">
        <w:rPr>
          <w:rFonts w:cstheme="minorHAnsi"/>
          <w:i/>
          <w:sz w:val="20"/>
          <w:szCs w:val="20"/>
        </w:rPr>
        <w:t>4</w:t>
      </w:r>
      <w:r w:rsidRPr="000B2554">
        <w:rPr>
          <w:rFonts w:cstheme="minorHAnsi"/>
          <w:sz w:val="20"/>
          <w:szCs w:val="20"/>
        </w:rPr>
        <w:t xml:space="preserve">, 181–204. </w:t>
      </w:r>
    </w:p>
    <w:p w14:paraId="2CF02A56" w14:textId="77777777" w:rsidR="001478CB" w:rsidRPr="000B2554" w:rsidRDefault="001478CB" w:rsidP="000B2554">
      <w:pPr>
        <w:spacing w:after="60" w:line="240" w:lineRule="auto"/>
        <w:jc w:val="both"/>
        <w:rPr>
          <w:rFonts w:cstheme="minorHAnsi"/>
          <w:sz w:val="20"/>
          <w:szCs w:val="20"/>
        </w:rPr>
      </w:pPr>
      <w:r w:rsidRPr="000B2554">
        <w:rPr>
          <w:rFonts w:cstheme="minorHAnsi"/>
          <w:sz w:val="20"/>
          <w:szCs w:val="20"/>
        </w:rPr>
        <w:lastRenderedPageBreak/>
        <w:t xml:space="preserve">Ogle, S. M., Domke, G. M., Kurz, W. A., Rocha, M. T., Huffman, T., Swan, A., Smith, J. E., Woodall, C. W., Krug, T. (2018). Delineating managed land for reporting national greenhouse gas emissions and removals to the United Nations framework convention on climate change. </w:t>
      </w:r>
      <w:r w:rsidRPr="000B2554">
        <w:rPr>
          <w:rFonts w:cstheme="minorHAnsi"/>
          <w:i/>
          <w:sz w:val="20"/>
          <w:szCs w:val="20"/>
        </w:rPr>
        <w:t>Carbon Balance and Management 13</w:t>
      </w:r>
      <w:r w:rsidRPr="000B2554">
        <w:rPr>
          <w:rFonts w:cstheme="minorHAnsi"/>
          <w:sz w:val="20"/>
          <w:szCs w:val="20"/>
        </w:rPr>
        <w:t xml:space="preserve">(9), 1–13. </w:t>
      </w:r>
    </w:p>
    <w:p w14:paraId="1494E0E3"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Ogle, S., Domke, G., Kurz, W., Rocha, M., Huffman, T., Swan, A., Smith, J., Woodall, C., Krug, T. (2018). Delineating managed land for reporting national greenhouse gas emissions and removals to the United Nations framework convention on climate change. Carbon Balance and Management, 13:9.</w:t>
      </w:r>
    </w:p>
    <w:p w14:paraId="2E842E6C"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 xml:space="preserve">Ogle, S.M., Breidt, F.J., Easter, M., Williams, S., Paustian, K. (2007). An empirically based approach for estimating uncertainty associated with modelling carbon sequestration in soils. </w:t>
      </w:r>
      <w:r w:rsidRPr="000B2554">
        <w:rPr>
          <w:rFonts w:asciiTheme="minorHAnsi" w:hAnsiTheme="minorHAnsi" w:cstheme="minorHAnsi"/>
          <w:i/>
          <w:iCs/>
          <w:color w:val="000000"/>
          <w:sz w:val="20"/>
          <w:szCs w:val="20"/>
        </w:rPr>
        <w:t>Ecological Modelling, 205</w:t>
      </w:r>
      <w:r w:rsidRPr="000B2554">
        <w:rPr>
          <w:rFonts w:asciiTheme="minorHAnsi" w:hAnsiTheme="minorHAnsi" w:cstheme="minorHAnsi"/>
          <w:color w:val="000000"/>
          <w:sz w:val="20"/>
          <w:szCs w:val="20"/>
        </w:rPr>
        <w:t>,453-463.</w:t>
      </w:r>
    </w:p>
    <w:p w14:paraId="1FF5A36D"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 xml:space="preserve">Ogle, S.M., Breidt, F.J., Easter, M., Williams, S., Paustian, K. (2010). Scale and uncertainty in modeled soil organic carbon stock changes for US croplands using a process-based model. </w:t>
      </w:r>
      <w:r w:rsidRPr="000B2554">
        <w:rPr>
          <w:rFonts w:asciiTheme="minorHAnsi" w:hAnsiTheme="minorHAnsi" w:cstheme="minorHAnsi"/>
          <w:i/>
          <w:iCs/>
          <w:color w:val="000000"/>
          <w:sz w:val="20"/>
          <w:szCs w:val="20"/>
        </w:rPr>
        <w:t>Global Change Biology, 16,</w:t>
      </w:r>
      <w:r w:rsidRPr="000B2554">
        <w:rPr>
          <w:rFonts w:asciiTheme="minorHAnsi" w:hAnsiTheme="minorHAnsi" w:cstheme="minorHAnsi"/>
          <w:color w:val="000000"/>
          <w:sz w:val="20"/>
          <w:szCs w:val="20"/>
        </w:rPr>
        <w:t xml:space="preserve"> 810-822.</w:t>
      </w:r>
    </w:p>
    <w:p w14:paraId="2D8B5D4C"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 xml:space="preserve">Ogle, S.M., Breidt, F.J., Eve, M.D., Paustian, K. (2003). Uncertainty in estimating land use and management impacts on soil organic carbon storage for US agricultural lands between 1982 and 1997. </w:t>
      </w:r>
      <w:r w:rsidRPr="000B2554">
        <w:rPr>
          <w:rFonts w:asciiTheme="minorHAnsi" w:hAnsiTheme="minorHAnsi" w:cstheme="minorHAnsi"/>
          <w:i/>
          <w:iCs/>
          <w:color w:val="000000"/>
          <w:sz w:val="20"/>
          <w:szCs w:val="20"/>
        </w:rPr>
        <w:t xml:space="preserve">Global Change Biology, 9, </w:t>
      </w:r>
      <w:r w:rsidRPr="000B2554">
        <w:rPr>
          <w:rFonts w:asciiTheme="minorHAnsi" w:hAnsiTheme="minorHAnsi" w:cstheme="minorHAnsi"/>
          <w:color w:val="000000"/>
          <w:sz w:val="20"/>
          <w:szCs w:val="20"/>
        </w:rPr>
        <w:t>1521-1542.</w:t>
      </w:r>
    </w:p>
    <w:p w14:paraId="5686F823"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Ogle, S.M., K. Davis, T. Lauvaux, A. Schuh, D. Cooley, T.O. West, L.S. Heath, N.L. Miles, S. Richardson, F.J. Breidt, J.E. Smith, J.L. McCarty, K.R. Gurney, P. Tans, A.S. Denning. (2015). An Approach for Verifying Biogenic Greenhouse Gas Emissions Inventories with Atmospheric CO</w:t>
      </w:r>
      <w:r w:rsidRPr="000B2554">
        <w:rPr>
          <w:rFonts w:asciiTheme="minorHAnsi" w:hAnsiTheme="minorHAnsi" w:cstheme="minorHAnsi"/>
          <w:color w:val="000000"/>
          <w:sz w:val="20"/>
          <w:szCs w:val="20"/>
          <w:vertAlign w:val="subscript"/>
        </w:rPr>
        <w:t>2</w:t>
      </w:r>
      <w:r w:rsidRPr="000B2554">
        <w:rPr>
          <w:rFonts w:asciiTheme="minorHAnsi" w:hAnsiTheme="minorHAnsi" w:cstheme="minorHAnsi"/>
          <w:color w:val="000000"/>
          <w:sz w:val="20"/>
          <w:szCs w:val="20"/>
        </w:rPr>
        <w:t xml:space="preserve"> Concentration Data. </w:t>
      </w:r>
      <w:r w:rsidRPr="000B2554">
        <w:rPr>
          <w:rFonts w:asciiTheme="minorHAnsi" w:hAnsiTheme="minorHAnsi" w:cstheme="minorHAnsi"/>
          <w:i/>
          <w:iCs/>
          <w:color w:val="000000"/>
          <w:sz w:val="20"/>
          <w:szCs w:val="20"/>
        </w:rPr>
        <w:t>Environmental Research Letters 10</w:t>
      </w:r>
      <w:r w:rsidRPr="000B2554">
        <w:rPr>
          <w:rFonts w:asciiTheme="minorHAnsi" w:hAnsiTheme="minorHAnsi" w:cstheme="minorHAnsi"/>
          <w:color w:val="000000"/>
          <w:sz w:val="20"/>
          <w:szCs w:val="20"/>
        </w:rPr>
        <w:t>:034012.</w:t>
      </w:r>
    </w:p>
    <w:p w14:paraId="12EA3427"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 xml:space="preserve">Ohrel, S.B., </w:t>
      </w:r>
      <w:r>
        <w:rPr>
          <w:rFonts w:asciiTheme="minorHAnsi" w:hAnsiTheme="minorHAnsi" w:cstheme="minorHAnsi"/>
          <w:color w:val="000000"/>
          <w:sz w:val="20"/>
          <w:szCs w:val="20"/>
        </w:rPr>
        <w:t>(2021)</w:t>
      </w:r>
      <w:r w:rsidRPr="000B2554">
        <w:rPr>
          <w:rFonts w:asciiTheme="minorHAnsi" w:hAnsiTheme="minorHAnsi" w:cstheme="minorHAnsi"/>
          <w:color w:val="000000"/>
          <w:sz w:val="20"/>
          <w:szCs w:val="20"/>
        </w:rPr>
        <w:t>. Policy perspective on the role of forest sector modeling. Journal of Forest Economics.</w:t>
      </w:r>
    </w:p>
    <w:p w14:paraId="3DDF830D"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 xml:space="preserve">Paustian, K., Lehmann, J., Ogle, S., Reay, D., Robertson, G.P, Smith, P. (2016). </w:t>
      </w:r>
      <w:r w:rsidRPr="000B2554">
        <w:rPr>
          <w:rFonts w:asciiTheme="minorHAnsi" w:hAnsiTheme="minorHAnsi" w:cstheme="minorHAnsi"/>
          <w:i/>
          <w:iCs/>
          <w:color w:val="000000"/>
          <w:sz w:val="20"/>
          <w:szCs w:val="20"/>
        </w:rPr>
        <w:t>Climate-smart soils.</w:t>
      </w:r>
      <w:r w:rsidRPr="000B2554">
        <w:rPr>
          <w:rFonts w:asciiTheme="minorHAnsi" w:hAnsiTheme="minorHAnsi" w:cstheme="minorHAnsi"/>
          <w:color w:val="000000"/>
          <w:sz w:val="20"/>
          <w:szCs w:val="20"/>
        </w:rPr>
        <w:t xml:space="preserve"> Natu</w:t>
      </w:r>
      <w:r w:rsidRPr="000B2554">
        <w:rPr>
          <w:rFonts w:asciiTheme="minorHAnsi" w:hAnsiTheme="minorHAnsi" w:cstheme="minorHAnsi"/>
          <w:i/>
          <w:iCs/>
          <w:color w:val="000000"/>
          <w:sz w:val="20"/>
          <w:szCs w:val="20"/>
        </w:rPr>
        <w:t xml:space="preserve">re, 532, </w:t>
      </w:r>
      <w:r w:rsidRPr="000B2554">
        <w:rPr>
          <w:rFonts w:asciiTheme="minorHAnsi" w:hAnsiTheme="minorHAnsi" w:cstheme="minorHAnsi"/>
          <w:color w:val="000000"/>
          <w:sz w:val="20"/>
          <w:szCs w:val="20"/>
        </w:rPr>
        <w:t>49-57.</w:t>
      </w:r>
    </w:p>
    <w:p w14:paraId="42B35D1E" w14:textId="77777777" w:rsidR="001478CB" w:rsidRPr="000B2554" w:rsidRDefault="001478CB" w:rsidP="000B2554">
      <w:pPr>
        <w:spacing w:after="60" w:line="240" w:lineRule="auto"/>
        <w:jc w:val="both"/>
        <w:rPr>
          <w:rFonts w:cstheme="minorHAnsi"/>
          <w:sz w:val="20"/>
          <w:szCs w:val="20"/>
        </w:rPr>
      </w:pPr>
      <w:r w:rsidRPr="000B2554">
        <w:rPr>
          <w:rFonts w:cstheme="minorHAnsi"/>
          <w:sz w:val="20"/>
          <w:szCs w:val="20"/>
        </w:rPr>
        <w:t>R Core Team. (2018). R: A language and environment for statistical computing. Vienna, Austria: R Foundation for Statistical Computing. https://www.R-project.org/.</w:t>
      </w:r>
    </w:p>
    <w:p w14:paraId="7608281A"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Raile, G.K. (1982). Estimating stump volume. (Res. Paper NC-224). St. Paul, MN: U.S. Department of Agriculture, Forest Service. 7 p.</w:t>
      </w:r>
    </w:p>
    <w:p w14:paraId="31F77657" w14:textId="77777777" w:rsidR="001478CB" w:rsidRPr="000B2554" w:rsidRDefault="001478CB" w:rsidP="000B2554">
      <w:pPr>
        <w:spacing w:after="60" w:line="240" w:lineRule="auto"/>
        <w:rPr>
          <w:rStyle w:val="Hyperlink"/>
          <w:rFonts w:eastAsia="Calibri" w:cstheme="minorHAnsi"/>
          <w:sz w:val="20"/>
          <w:szCs w:val="20"/>
        </w:rPr>
      </w:pPr>
      <w:r w:rsidRPr="000B2554">
        <w:rPr>
          <w:rFonts w:cstheme="minorHAnsi"/>
          <w:sz w:val="20"/>
          <w:szCs w:val="20"/>
        </w:rPr>
        <w:t xml:space="preserve">Reams, G. (2017). Forest Inventory and Analysis Budget and Strategic Plan Implementation. U.S. Forest Service. </w:t>
      </w:r>
      <w:hyperlink r:id="rId33" w:history="1">
        <w:r w:rsidRPr="000B2554">
          <w:rPr>
            <w:rStyle w:val="Hyperlink"/>
            <w:rFonts w:cstheme="minorHAnsi"/>
            <w:sz w:val="20"/>
            <w:szCs w:val="20"/>
          </w:rPr>
          <w:t>http://www.ncasi.org/wp-content/uploads/2019/02/Reams.pdf</w:t>
        </w:r>
      </w:hyperlink>
    </w:p>
    <w:p w14:paraId="7D83BC0C"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 xml:space="preserve">Reay, D.S., Davidson, E.A., Smith, K.A., Smith, P., Melilo, J., Dentener, F., Crutzen, P.J. (2012). Global agriculture and nitrous oxide emissions. </w:t>
      </w:r>
      <w:r w:rsidRPr="000B2554">
        <w:rPr>
          <w:rFonts w:asciiTheme="minorHAnsi" w:hAnsiTheme="minorHAnsi" w:cstheme="minorHAnsi"/>
          <w:i/>
          <w:iCs/>
          <w:color w:val="000000"/>
          <w:sz w:val="20"/>
          <w:szCs w:val="20"/>
        </w:rPr>
        <w:t>Nature, 2,</w:t>
      </w:r>
      <w:r w:rsidRPr="000B2554">
        <w:rPr>
          <w:rFonts w:asciiTheme="minorHAnsi" w:hAnsiTheme="minorHAnsi" w:cstheme="minorHAnsi"/>
          <w:color w:val="000000"/>
          <w:sz w:val="20"/>
          <w:szCs w:val="20"/>
        </w:rPr>
        <w:t xml:space="preserve"> 410-416.</w:t>
      </w:r>
    </w:p>
    <w:p w14:paraId="41D20D66"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RGGI Inc. </w:t>
      </w:r>
      <w:r>
        <w:rPr>
          <w:rFonts w:cstheme="minorHAnsi"/>
          <w:sz w:val="20"/>
          <w:szCs w:val="20"/>
        </w:rPr>
        <w:t>(2021)</w:t>
      </w:r>
      <w:r w:rsidRPr="000B2554">
        <w:rPr>
          <w:rFonts w:cstheme="minorHAnsi"/>
          <w:sz w:val="20"/>
          <w:szCs w:val="20"/>
        </w:rPr>
        <w:t xml:space="preserve">. “RGGI CO2 Allowance Tracking System.” Accessed September 13, 2021. </w:t>
      </w:r>
      <w:hyperlink r:id="rId34" w:history="1">
        <w:r w:rsidRPr="000B2554">
          <w:rPr>
            <w:rStyle w:val="Hyperlink"/>
            <w:rFonts w:cstheme="minorHAnsi"/>
            <w:sz w:val="20"/>
            <w:szCs w:val="20"/>
          </w:rPr>
          <w:t>https://rggi-coats.org/eats/rggi/index.cfm?fuseaction=search.project_offset&amp;clearfuseattribs=true</w:t>
        </w:r>
      </w:hyperlink>
      <w:r w:rsidRPr="000B2554">
        <w:rPr>
          <w:rFonts w:cstheme="minorHAnsi"/>
          <w:sz w:val="20"/>
          <w:szCs w:val="20"/>
        </w:rPr>
        <w:t>.</w:t>
      </w:r>
    </w:p>
    <w:p w14:paraId="3258D168" w14:textId="77777777" w:rsidR="001478CB" w:rsidRPr="000B2554" w:rsidRDefault="001478CB" w:rsidP="000B2554">
      <w:pPr>
        <w:spacing w:after="60" w:line="240" w:lineRule="auto"/>
        <w:jc w:val="both"/>
        <w:rPr>
          <w:rFonts w:cstheme="minorHAnsi"/>
          <w:sz w:val="20"/>
          <w:szCs w:val="20"/>
        </w:rPr>
      </w:pPr>
      <w:r w:rsidRPr="000B2554">
        <w:rPr>
          <w:rFonts w:cstheme="minorHAnsi"/>
          <w:sz w:val="20"/>
          <w:szCs w:val="20"/>
        </w:rPr>
        <w:t>Ruefenacht, B., Finco, M. V., Nelson, M. D., Czaplewski, R., Helmer, E. H., Blackard, J. A., Holden, G. R., Lister, A. J., Salajanu, D., Weyermann, D., Winterberger, K. (2008). Conterminous U.S. and Alaska Forest Type Mapping Using Forest Inventory and Analysis. USDA Forest Service - Forest Inventory and Analysis Program &amp; Remote Sensing Applications Center. Available online at: http://data.fs.usda.gov/geodata/rastergateway/forest_type/</w:t>
      </w:r>
    </w:p>
    <w:p w14:paraId="146643F9"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 xml:space="preserve">Rumpel, C., Kogel-Knabner, I. (2010). Deep soil organic matter—a key but poorly understood component of terrestrial C cycle. </w:t>
      </w:r>
      <w:r w:rsidRPr="000B2554">
        <w:rPr>
          <w:rFonts w:asciiTheme="minorHAnsi" w:hAnsiTheme="minorHAnsi" w:cstheme="minorHAnsi"/>
          <w:i/>
          <w:iCs/>
          <w:color w:val="000000"/>
          <w:sz w:val="20"/>
          <w:szCs w:val="20"/>
        </w:rPr>
        <w:t>Plant and Soil, 338,</w:t>
      </w:r>
      <w:r w:rsidRPr="000B2554">
        <w:rPr>
          <w:rFonts w:asciiTheme="minorHAnsi" w:hAnsiTheme="minorHAnsi" w:cstheme="minorHAnsi"/>
          <w:color w:val="000000"/>
          <w:sz w:val="20"/>
          <w:szCs w:val="20"/>
        </w:rPr>
        <w:t xml:space="preserve"> 143-158.</w:t>
      </w:r>
    </w:p>
    <w:p w14:paraId="324A5BFC"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 xml:space="preserve">Schimel, J.P., Schaeffer, S.M. (2012). Microbial control over carbon cycling in soil. </w:t>
      </w:r>
      <w:r w:rsidRPr="000B2554">
        <w:rPr>
          <w:rFonts w:asciiTheme="minorHAnsi" w:hAnsiTheme="minorHAnsi" w:cstheme="minorHAnsi"/>
          <w:i/>
          <w:iCs/>
          <w:color w:val="000000"/>
          <w:sz w:val="20"/>
          <w:szCs w:val="20"/>
        </w:rPr>
        <w:t xml:space="preserve">Terrestrial Microbiology, 3, </w:t>
      </w:r>
      <w:r w:rsidRPr="000B2554">
        <w:rPr>
          <w:rFonts w:asciiTheme="minorHAnsi" w:hAnsiTheme="minorHAnsi" w:cstheme="minorHAnsi"/>
          <w:color w:val="000000"/>
          <w:sz w:val="20"/>
          <w:szCs w:val="20"/>
        </w:rPr>
        <w:t>1-10.</w:t>
      </w:r>
    </w:p>
    <w:p w14:paraId="69B792AF"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Schmidt, M.W., Torn, M.S., Abiven, S., Dittmar, T., Guggenberger, G., Janssens, I.A.</w:t>
      </w:r>
      <w:proofErr w:type="gramStart"/>
      <w:r w:rsidRPr="000B2554">
        <w:rPr>
          <w:rFonts w:asciiTheme="minorHAnsi" w:hAnsiTheme="minorHAnsi" w:cstheme="minorHAnsi"/>
          <w:color w:val="000000"/>
          <w:sz w:val="20"/>
          <w:szCs w:val="20"/>
        </w:rPr>
        <w:t>,…</w:t>
      </w:r>
      <w:proofErr w:type="gramEnd"/>
      <w:r w:rsidRPr="000B2554">
        <w:rPr>
          <w:rFonts w:asciiTheme="minorHAnsi" w:hAnsiTheme="minorHAnsi" w:cstheme="minorHAnsi"/>
          <w:color w:val="000000"/>
          <w:sz w:val="20"/>
          <w:szCs w:val="20"/>
        </w:rPr>
        <w:t xml:space="preserve">Trumbore, S.E. (2011). Persistence of soil organic matter as an ecosystem property. </w:t>
      </w:r>
      <w:r w:rsidRPr="000B2554">
        <w:rPr>
          <w:rFonts w:asciiTheme="minorHAnsi" w:hAnsiTheme="minorHAnsi" w:cstheme="minorHAnsi"/>
          <w:i/>
          <w:iCs/>
          <w:color w:val="000000"/>
          <w:sz w:val="20"/>
          <w:szCs w:val="20"/>
        </w:rPr>
        <w:t>Nature, 478,</w:t>
      </w:r>
      <w:r w:rsidRPr="000B2554">
        <w:rPr>
          <w:rFonts w:asciiTheme="minorHAnsi" w:hAnsiTheme="minorHAnsi" w:cstheme="minorHAnsi"/>
          <w:color w:val="000000"/>
          <w:sz w:val="20"/>
          <w:szCs w:val="20"/>
        </w:rPr>
        <w:t xml:space="preserve"> 49–56.</w:t>
      </w:r>
    </w:p>
    <w:p w14:paraId="42832FFF" w14:textId="77777777" w:rsidR="001478CB" w:rsidRPr="000B2554" w:rsidRDefault="001478CB" w:rsidP="000B2554">
      <w:pPr>
        <w:pStyle w:val="CommentText"/>
        <w:spacing w:after="60"/>
        <w:rPr>
          <w:rFonts w:cstheme="minorHAnsi"/>
        </w:rPr>
      </w:pPr>
      <w:r w:rsidRPr="000B2554">
        <w:rPr>
          <w:rFonts w:cstheme="minorHAnsi"/>
        </w:rPr>
        <w:t xml:space="preserve">Schroeder, P. (1994). Carbon Storage Benefits of Agroforestry Systems. </w:t>
      </w:r>
      <w:r w:rsidRPr="000B2554">
        <w:rPr>
          <w:rFonts w:cstheme="minorHAnsi"/>
          <w:i/>
        </w:rPr>
        <w:t>Agroforestry Systems, 27</w:t>
      </w:r>
      <w:r w:rsidRPr="000B2554">
        <w:rPr>
          <w:rFonts w:cstheme="minorHAnsi"/>
        </w:rPr>
        <w:t>: 89-97.</w:t>
      </w:r>
    </w:p>
    <w:p w14:paraId="3DD51D1B"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Selmants, P.C., Giardina, C.P., Jacobi, J.D., and Zhu, Zhiliang, eds. (2017). Baseline and projected future carbon storage and carbon fluxes in ecosystems of Hawai‘i: U.S. Geological Survey Professional Paper 1834, 134 p., </w:t>
      </w:r>
      <w:hyperlink r:id="rId35" w:history="1">
        <w:r w:rsidRPr="000B2554">
          <w:rPr>
            <w:rStyle w:val="Hyperlink"/>
            <w:rFonts w:cstheme="minorHAnsi"/>
            <w:sz w:val="20"/>
            <w:szCs w:val="20"/>
          </w:rPr>
          <w:t>https://doi.org/10.3133/pp1834</w:t>
        </w:r>
      </w:hyperlink>
      <w:r w:rsidRPr="000B2554">
        <w:rPr>
          <w:rFonts w:cstheme="minorHAnsi"/>
          <w:sz w:val="20"/>
          <w:szCs w:val="20"/>
        </w:rPr>
        <w:t>.</w:t>
      </w:r>
    </w:p>
    <w:p w14:paraId="33CA7BFC" w14:textId="77777777" w:rsidR="001478CB" w:rsidRPr="000B2554" w:rsidRDefault="001478CB" w:rsidP="000B2554">
      <w:pPr>
        <w:spacing w:after="60" w:line="240" w:lineRule="auto"/>
        <w:rPr>
          <w:rFonts w:cstheme="minorHAnsi"/>
          <w:sz w:val="20"/>
          <w:szCs w:val="20"/>
        </w:rPr>
      </w:pPr>
      <w:proofErr w:type="spellStart"/>
      <w:r w:rsidRPr="000B2554">
        <w:rPr>
          <w:rFonts w:cstheme="minorHAnsi"/>
          <w:sz w:val="20"/>
          <w:szCs w:val="20"/>
        </w:rPr>
        <w:t>Simonet</w:t>
      </w:r>
      <w:proofErr w:type="spellEnd"/>
      <w:r w:rsidRPr="000B2554">
        <w:rPr>
          <w:rFonts w:cstheme="minorHAnsi"/>
          <w:sz w:val="20"/>
          <w:szCs w:val="20"/>
        </w:rPr>
        <w:t xml:space="preserve">, G., S. </w:t>
      </w:r>
      <w:proofErr w:type="spellStart"/>
      <w:r w:rsidRPr="000B2554">
        <w:rPr>
          <w:rFonts w:cstheme="minorHAnsi"/>
          <w:sz w:val="20"/>
          <w:szCs w:val="20"/>
        </w:rPr>
        <w:t>Atmadja</w:t>
      </w:r>
      <w:proofErr w:type="spellEnd"/>
      <w:r w:rsidRPr="000B2554">
        <w:rPr>
          <w:rFonts w:cstheme="minorHAnsi"/>
          <w:sz w:val="20"/>
          <w:szCs w:val="20"/>
        </w:rPr>
        <w:t xml:space="preserve">, A. Agrawal, F. </w:t>
      </w:r>
      <w:proofErr w:type="spellStart"/>
      <w:r w:rsidRPr="000B2554">
        <w:rPr>
          <w:rFonts w:cstheme="minorHAnsi"/>
          <w:sz w:val="20"/>
          <w:szCs w:val="20"/>
        </w:rPr>
        <w:t>Benedet</w:t>
      </w:r>
      <w:proofErr w:type="spellEnd"/>
      <w:r w:rsidRPr="000B2554">
        <w:rPr>
          <w:rFonts w:cstheme="minorHAnsi"/>
          <w:sz w:val="20"/>
          <w:szCs w:val="20"/>
        </w:rPr>
        <w:t xml:space="preserve">, M. </w:t>
      </w:r>
      <w:proofErr w:type="spellStart"/>
      <w:r w:rsidRPr="000B2554">
        <w:rPr>
          <w:rFonts w:cstheme="minorHAnsi"/>
          <w:sz w:val="20"/>
          <w:szCs w:val="20"/>
        </w:rPr>
        <w:t>Cromberg</w:t>
      </w:r>
      <w:proofErr w:type="spellEnd"/>
      <w:r w:rsidRPr="000B2554">
        <w:rPr>
          <w:rFonts w:cstheme="minorHAnsi"/>
          <w:sz w:val="20"/>
          <w:szCs w:val="20"/>
        </w:rPr>
        <w:t xml:space="preserve">, C. de </w:t>
      </w:r>
      <w:proofErr w:type="spellStart"/>
      <w:r w:rsidRPr="000B2554">
        <w:rPr>
          <w:rFonts w:cstheme="minorHAnsi"/>
          <w:sz w:val="20"/>
          <w:szCs w:val="20"/>
        </w:rPr>
        <w:t>Perthuis</w:t>
      </w:r>
      <w:proofErr w:type="spellEnd"/>
      <w:r w:rsidRPr="000B2554">
        <w:rPr>
          <w:rFonts w:cstheme="minorHAnsi"/>
          <w:sz w:val="20"/>
          <w:szCs w:val="20"/>
        </w:rPr>
        <w:t xml:space="preserve">, D. Haggard, et al. </w:t>
      </w:r>
      <w:r>
        <w:rPr>
          <w:rFonts w:cstheme="minorHAnsi"/>
          <w:sz w:val="20"/>
          <w:szCs w:val="20"/>
        </w:rPr>
        <w:t>(</w:t>
      </w:r>
      <w:r w:rsidRPr="000B2554">
        <w:rPr>
          <w:rFonts w:cstheme="minorHAnsi"/>
          <w:sz w:val="20"/>
          <w:szCs w:val="20"/>
        </w:rPr>
        <w:t>2020</w:t>
      </w:r>
      <w:r>
        <w:rPr>
          <w:rFonts w:cstheme="minorHAnsi"/>
          <w:sz w:val="20"/>
          <w:szCs w:val="20"/>
        </w:rPr>
        <w:t>)</w:t>
      </w:r>
      <w:r w:rsidRPr="000B2554">
        <w:rPr>
          <w:rFonts w:cstheme="minorHAnsi"/>
          <w:sz w:val="20"/>
          <w:szCs w:val="20"/>
        </w:rPr>
        <w:t xml:space="preserve">. “ID-RECCO, International Database on REDD+ Projects and Programs: Linking Economics, Carbon and Communities.” version 4.1. </w:t>
      </w:r>
      <w:hyperlink r:id="rId36" w:history="1">
        <w:r w:rsidRPr="000B2554">
          <w:rPr>
            <w:rStyle w:val="Hyperlink"/>
            <w:rFonts w:cstheme="minorHAnsi"/>
            <w:sz w:val="20"/>
            <w:szCs w:val="20"/>
          </w:rPr>
          <w:t>https://www.reddprojectsdatabase.org</w:t>
        </w:r>
      </w:hyperlink>
      <w:r w:rsidRPr="000B2554">
        <w:rPr>
          <w:rFonts w:cstheme="minorHAnsi"/>
          <w:sz w:val="20"/>
          <w:szCs w:val="20"/>
        </w:rPr>
        <w:t>.</w:t>
      </w:r>
    </w:p>
    <w:p w14:paraId="7A0350F4"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 xml:space="preserve">Singh, B.P., Hatton. B.J., Singh, B., Cowie, A.L., Kathuria, A. (2009). Influence of Biochars on Nitrous Oxide Emission and Nitrogen Leaching from Two Contrasting Soils. </w:t>
      </w:r>
      <w:r w:rsidRPr="000B2554">
        <w:rPr>
          <w:rFonts w:asciiTheme="minorHAnsi" w:hAnsiTheme="minorHAnsi" w:cstheme="minorHAnsi"/>
          <w:i/>
          <w:iCs/>
          <w:color w:val="000000"/>
          <w:sz w:val="20"/>
          <w:szCs w:val="20"/>
        </w:rPr>
        <w:t>Journal of Environmental Quality Abstract, 20</w:t>
      </w:r>
      <w:r w:rsidRPr="000B2554">
        <w:rPr>
          <w:rFonts w:asciiTheme="minorHAnsi" w:hAnsiTheme="minorHAnsi" w:cstheme="minorHAnsi"/>
          <w:color w:val="000000"/>
          <w:sz w:val="20"/>
          <w:szCs w:val="20"/>
        </w:rPr>
        <w:t>(4), 1224-1235.</w:t>
      </w:r>
    </w:p>
    <w:p w14:paraId="6C459BBF"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lastRenderedPageBreak/>
        <w:t xml:space="preserve">Skog, K. E. (2008). Sequestration of carbon in harvested wood products for the United States. </w:t>
      </w:r>
      <w:r w:rsidRPr="000B2554">
        <w:rPr>
          <w:rFonts w:asciiTheme="minorHAnsi" w:hAnsiTheme="minorHAnsi" w:cstheme="minorHAnsi"/>
          <w:i/>
          <w:color w:val="000000"/>
          <w:sz w:val="20"/>
          <w:szCs w:val="20"/>
        </w:rPr>
        <w:t>Forest Products Journal, 58</w:t>
      </w:r>
      <w:r w:rsidRPr="000B2554">
        <w:rPr>
          <w:rFonts w:asciiTheme="minorHAnsi" w:hAnsiTheme="minorHAnsi" w:cstheme="minorHAnsi"/>
          <w:color w:val="000000"/>
          <w:sz w:val="20"/>
          <w:szCs w:val="20"/>
        </w:rPr>
        <w:t xml:space="preserve">(6), 56–72. </w:t>
      </w:r>
    </w:p>
    <w:p w14:paraId="4574D902"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 xml:space="preserve">Skog, K. E., Pingoud, K., Smith, J.E. (2004). A method countries can use to estimate changes in carbon stored in harvested wood products and the uncertainty of such estimates. </w:t>
      </w:r>
      <w:r w:rsidRPr="000B2554">
        <w:rPr>
          <w:rFonts w:asciiTheme="minorHAnsi" w:hAnsiTheme="minorHAnsi" w:cstheme="minorHAnsi"/>
          <w:i/>
          <w:color w:val="000000"/>
          <w:sz w:val="20"/>
          <w:szCs w:val="20"/>
        </w:rPr>
        <w:t>Environmental Management, 33</w:t>
      </w:r>
      <w:r w:rsidRPr="000B2554">
        <w:rPr>
          <w:rFonts w:asciiTheme="minorHAnsi" w:hAnsiTheme="minorHAnsi" w:cstheme="minorHAnsi"/>
          <w:color w:val="000000"/>
          <w:sz w:val="20"/>
          <w:szCs w:val="20"/>
        </w:rPr>
        <w:t xml:space="preserve">(1), S65–S73. </w:t>
      </w:r>
    </w:p>
    <w:p w14:paraId="2EB60DD9"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Smith, J. E., Heath, L. S., Jenkins, J. C. (2003). Forest volume-to-biomass models and estimates of mass for live and standing dead trees of U.S. forests. (Gen. Tech. Rep. NE-298). Newtown Square, PA: United States Department of Agriculture Forest Service.</w:t>
      </w:r>
    </w:p>
    <w:p w14:paraId="193E1BCB"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Soil Survey Staff, Natural Resources Conservation Service, United States Department of Agriculture. Soil Survey Geographic (SSURGO) Database. Accessed January 10, 2019.</w:t>
      </w:r>
    </w:p>
    <w:p w14:paraId="7EBD0C0A"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 xml:space="preserve">Spencer, S., Ogle, S.M., Breidt, F.J., Goebel, J.J., Paustian, K. (2011). Designing a national soil carbon monitoring network to support climate change policy: a case example for US agricultural lands. </w:t>
      </w:r>
      <w:r w:rsidRPr="000B2554">
        <w:rPr>
          <w:rFonts w:asciiTheme="minorHAnsi" w:hAnsiTheme="minorHAnsi" w:cstheme="minorHAnsi"/>
          <w:i/>
          <w:iCs/>
          <w:color w:val="000000"/>
          <w:sz w:val="20"/>
          <w:szCs w:val="20"/>
        </w:rPr>
        <w:t>Greenhouse Gas Measurement and Management, 1</w:t>
      </w:r>
      <w:r w:rsidRPr="000B2554">
        <w:rPr>
          <w:rFonts w:asciiTheme="minorHAnsi" w:hAnsiTheme="minorHAnsi" w:cstheme="minorHAnsi"/>
          <w:color w:val="000000"/>
          <w:sz w:val="20"/>
          <w:szCs w:val="20"/>
        </w:rPr>
        <w:t>(3-4), 167-178.</w:t>
      </w:r>
    </w:p>
    <w:p w14:paraId="3583DEE8"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Stockmann, U., Adams, M.A., Crawford, J.W., Field, D.J., Henakaarchchi, N., Jenkins, M.</w:t>
      </w:r>
      <w:proofErr w:type="gramStart"/>
      <w:r w:rsidRPr="000B2554">
        <w:rPr>
          <w:rFonts w:asciiTheme="minorHAnsi" w:hAnsiTheme="minorHAnsi" w:cstheme="minorHAnsi"/>
          <w:color w:val="000000"/>
          <w:sz w:val="20"/>
          <w:szCs w:val="20"/>
        </w:rPr>
        <w:t>,…,</w:t>
      </w:r>
      <w:proofErr w:type="gramEnd"/>
      <w:r w:rsidRPr="000B2554">
        <w:rPr>
          <w:rFonts w:asciiTheme="minorHAnsi" w:hAnsiTheme="minorHAnsi" w:cstheme="minorHAnsi"/>
          <w:color w:val="000000"/>
          <w:sz w:val="20"/>
          <w:szCs w:val="20"/>
        </w:rPr>
        <w:t xml:space="preserve"> Zimmerman, M. (2013). The knowns, known unknowns and unknowns of sequestration of soil organic carbon. </w:t>
      </w:r>
      <w:r w:rsidRPr="000B2554">
        <w:rPr>
          <w:rFonts w:asciiTheme="minorHAnsi" w:hAnsiTheme="minorHAnsi" w:cstheme="minorHAnsi"/>
          <w:i/>
          <w:iCs/>
          <w:color w:val="000000"/>
          <w:sz w:val="20"/>
          <w:szCs w:val="20"/>
        </w:rPr>
        <w:t xml:space="preserve">Agriculture, Ecosystems and Environment, 164, </w:t>
      </w:r>
      <w:r w:rsidRPr="000B2554">
        <w:rPr>
          <w:rFonts w:asciiTheme="minorHAnsi" w:hAnsiTheme="minorHAnsi" w:cstheme="minorHAnsi"/>
          <w:color w:val="000000"/>
          <w:sz w:val="20"/>
          <w:szCs w:val="20"/>
        </w:rPr>
        <w:t>80-99.</w:t>
      </w:r>
    </w:p>
    <w:p w14:paraId="1F0B4D1D" w14:textId="77777777" w:rsidR="001478CB" w:rsidRPr="000B2554" w:rsidRDefault="001478CB" w:rsidP="000B2554">
      <w:pPr>
        <w:spacing w:after="60" w:line="240" w:lineRule="auto"/>
        <w:rPr>
          <w:rFonts w:cstheme="minorHAnsi"/>
          <w:sz w:val="20"/>
          <w:szCs w:val="20"/>
        </w:rPr>
      </w:pPr>
      <w:r>
        <w:rPr>
          <w:rFonts w:cstheme="minorHAnsi"/>
          <w:sz w:val="20"/>
          <w:szCs w:val="20"/>
        </w:rPr>
        <w:t xml:space="preserve">U.N. </w:t>
      </w:r>
      <w:r w:rsidRPr="000B2554">
        <w:rPr>
          <w:rFonts w:cstheme="minorHAnsi"/>
          <w:sz w:val="20"/>
          <w:szCs w:val="20"/>
        </w:rPr>
        <w:t xml:space="preserve">FAO. </w:t>
      </w:r>
      <w:r>
        <w:rPr>
          <w:rFonts w:cstheme="minorHAnsi"/>
          <w:sz w:val="20"/>
          <w:szCs w:val="20"/>
        </w:rPr>
        <w:t>(2020)</w:t>
      </w:r>
      <w:r w:rsidRPr="000B2554">
        <w:rPr>
          <w:rFonts w:cstheme="minorHAnsi"/>
          <w:sz w:val="20"/>
          <w:szCs w:val="20"/>
        </w:rPr>
        <w:t xml:space="preserve"> “Global Forest Resources Assessment 2020, Desk Reference.” Rome: Food and Agriculture of the United Nations. </w:t>
      </w:r>
      <w:hyperlink r:id="rId37" w:history="1">
        <w:r w:rsidRPr="000B2554">
          <w:rPr>
            <w:rStyle w:val="Hyperlink"/>
            <w:rFonts w:cstheme="minorHAnsi"/>
            <w:sz w:val="20"/>
            <w:szCs w:val="20"/>
          </w:rPr>
          <w:t>http://www.fao.org/forestry/fra/fra2020/en/</w:t>
        </w:r>
      </w:hyperlink>
      <w:r w:rsidRPr="000B2554">
        <w:rPr>
          <w:rFonts w:cstheme="minorHAnsi"/>
          <w:sz w:val="20"/>
          <w:szCs w:val="20"/>
        </w:rPr>
        <w:t>.</w:t>
      </w:r>
    </w:p>
    <w:p w14:paraId="0F9A1B6B" w14:textId="77777777" w:rsidR="001478CB" w:rsidRPr="000B2554" w:rsidRDefault="001478CB" w:rsidP="000B2554">
      <w:pPr>
        <w:pStyle w:val="CommentText"/>
        <w:spacing w:after="60"/>
        <w:rPr>
          <w:rFonts w:cstheme="minorHAnsi"/>
        </w:rPr>
      </w:pPr>
      <w:r w:rsidRPr="000B2554">
        <w:rPr>
          <w:rFonts w:cstheme="minorHAnsi"/>
        </w:rPr>
        <w:t xml:space="preserve">U.S. National Marine Fisheries Service. (2017). Fisheries of the United States, 2016. U.S. Department of Commerce, NOAA Current Fishery Statistics No, 2016. Available at: </w:t>
      </w:r>
      <w:hyperlink r:id="rId38" w:history="1">
        <w:r w:rsidRPr="000B2554">
          <w:rPr>
            <w:rStyle w:val="Hyperlink"/>
            <w:rFonts w:cstheme="minorHAnsi"/>
          </w:rPr>
          <w:t>https://www.fisheries.noaa.gov/resource/document/fisheries-united-states-2016-report</w:t>
        </w:r>
      </w:hyperlink>
    </w:p>
    <w:p w14:paraId="261A8F18"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Udawatta, R., Jose, S. (2012). Carbon Sequestration Potential of Agroforestry Practices in Temperate North America. </w:t>
      </w:r>
      <w:r w:rsidRPr="000B2554">
        <w:rPr>
          <w:rFonts w:cstheme="minorHAnsi"/>
          <w:i/>
          <w:sz w:val="20"/>
          <w:szCs w:val="20"/>
        </w:rPr>
        <w:t>Agroforestry Systems, 86</w:t>
      </w:r>
      <w:r w:rsidRPr="000B2554">
        <w:rPr>
          <w:rFonts w:cstheme="minorHAnsi"/>
          <w:sz w:val="20"/>
          <w:szCs w:val="20"/>
        </w:rPr>
        <w:t>, 225-242.</w:t>
      </w:r>
    </w:p>
    <w:p w14:paraId="63F06089"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UNFCCC CDM. </w:t>
      </w:r>
      <w:r>
        <w:rPr>
          <w:rFonts w:cstheme="minorHAnsi"/>
          <w:sz w:val="20"/>
          <w:szCs w:val="20"/>
        </w:rPr>
        <w:t>(</w:t>
      </w:r>
      <w:r w:rsidRPr="000B2554">
        <w:rPr>
          <w:rFonts w:cstheme="minorHAnsi"/>
          <w:sz w:val="20"/>
          <w:szCs w:val="20"/>
        </w:rPr>
        <w:t>2021</w:t>
      </w:r>
      <w:r>
        <w:rPr>
          <w:rFonts w:cstheme="minorHAnsi"/>
          <w:sz w:val="20"/>
          <w:szCs w:val="20"/>
        </w:rPr>
        <w:t>)</w:t>
      </w:r>
      <w:r w:rsidRPr="000B2554">
        <w:rPr>
          <w:rFonts w:cstheme="minorHAnsi"/>
          <w:sz w:val="20"/>
          <w:szCs w:val="20"/>
        </w:rPr>
        <w:t xml:space="preserve">. “Clean Development Mechanism: Project Activities.” 2021. </w:t>
      </w:r>
      <w:hyperlink r:id="rId39" w:history="1">
        <w:r w:rsidRPr="000B2554">
          <w:rPr>
            <w:rStyle w:val="Hyperlink"/>
            <w:rFonts w:cstheme="minorHAnsi"/>
            <w:sz w:val="20"/>
            <w:szCs w:val="20"/>
          </w:rPr>
          <w:t>https://cdm.unfccc.int/Projects/projsearch.html</w:t>
        </w:r>
      </w:hyperlink>
      <w:r w:rsidRPr="000B2554">
        <w:rPr>
          <w:rFonts w:cstheme="minorHAnsi"/>
          <w:sz w:val="20"/>
          <w:szCs w:val="20"/>
        </w:rPr>
        <w:t>.</w:t>
      </w:r>
    </w:p>
    <w:p w14:paraId="17B4594A"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UNFCCC JI. </w:t>
      </w:r>
      <w:r>
        <w:rPr>
          <w:rFonts w:cstheme="minorHAnsi"/>
          <w:sz w:val="20"/>
          <w:szCs w:val="20"/>
        </w:rPr>
        <w:t>(</w:t>
      </w:r>
      <w:r w:rsidRPr="00CF5188">
        <w:rPr>
          <w:rFonts w:cstheme="minorHAnsi"/>
          <w:sz w:val="20"/>
          <w:szCs w:val="20"/>
        </w:rPr>
        <w:t>2021</w:t>
      </w:r>
      <w:r>
        <w:rPr>
          <w:rFonts w:cstheme="minorHAnsi"/>
          <w:sz w:val="20"/>
          <w:szCs w:val="20"/>
        </w:rPr>
        <w:t>)</w:t>
      </w:r>
      <w:r w:rsidRPr="000B2554">
        <w:rPr>
          <w:rFonts w:cstheme="minorHAnsi"/>
          <w:sz w:val="20"/>
          <w:szCs w:val="20"/>
        </w:rPr>
        <w:t xml:space="preserve">. “Joint Implementation: JI Projects.” </w:t>
      </w:r>
      <w:hyperlink r:id="rId40" w:history="1">
        <w:r w:rsidRPr="000B2554">
          <w:rPr>
            <w:rStyle w:val="Hyperlink"/>
            <w:rFonts w:cstheme="minorHAnsi"/>
            <w:sz w:val="20"/>
            <w:szCs w:val="20"/>
          </w:rPr>
          <w:t>https://ji.unfccc.int/JI_Projects/ProjectInfo.html</w:t>
        </w:r>
      </w:hyperlink>
      <w:r w:rsidRPr="000B2554">
        <w:rPr>
          <w:rFonts w:cstheme="minorHAnsi"/>
          <w:sz w:val="20"/>
          <w:szCs w:val="20"/>
        </w:rPr>
        <w:t>.</w:t>
      </w:r>
    </w:p>
    <w:p w14:paraId="7CD22679" w14:textId="77777777" w:rsidR="001478CB" w:rsidRPr="000B2554" w:rsidRDefault="001478CB" w:rsidP="000B2554">
      <w:pPr>
        <w:spacing w:after="60" w:line="240" w:lineRule="auto"/>
        <w:rPr>
          <w:rFonts w:cstheme="minorHAnsi"/>
          <w:sz w:val="20"/>
          <w:szCs w:val="20"/>
        </w:rPr>
      </w:pPr>
      <w:r w:rsidRPr="0076408E">
        <w:rPr>
          <w:rFonts w:cstheme="minorHAnsi"/>
          <w:sz w:val="20"/>
          <w:szCs w:val="20"/>
        </w:rPr>
        <w:t>UNFCCC</w:t>
      </w:r>
      <w:r w:rsidRPr="000B2554">
        <w:rPr>
          <w:rFonts w:cstheme="minorHAnsi"/>
          <w:sz w:val="20"/>
          <w:szCs w:val="20"/>
        </w:rPr>
        <w:t xml:space="preserve">. </w:t>
      </w:r>
      <w:r>
        <w:rPr>
          <w:rFonts w:cstheme="minorHAnsi"/>
          <w:sz w:val="20"/>
          <w:szCs w:val="20"/>
        </w:rPr>
        <w:t>(</w:t>
      </w:r>
      <w:r w:rsidRPr="0076408E">
        <w:rPr>
          <w:rFonts w:cstheme="minorHAnsi"/>
          <w:sz w:val="20"/>
          <w:szCs w:val="20"/>
        </w:rPr>
        <w:t>2021a</w:t>
      </w:r>
      <w:r>
        <w:rPr>
          <w:rFonts w:cstheme="minorHAnsi"/>
          <w:sz w:val="20"/>
          <w:szCs w:val="20"/>
        </w:rPr>
        <w:t>)</w:t>
      </w:r>
      <w:r w:rsidRPr="000B2554">
        <w:rPr>
          <w:rFonts w:cstheme="minorHAnsi"/>
          <w:sz w:val="20"/>
          <w:szCs w:val="20"/>
        </w:rPr>
        <w:t xml:space="preserve">. “Greenhouse Gas Inventory Data - Detailed Data by Party.” </w:t>
      </w:r>
      <w:hyperlink r:id="rId41" w:history="1">
        <w:r w:rsidRPr="000B2554">
          <w:rPr>
            <w:rStyle w:val="Hyperlink"/>
            <w:rFonts w:cstheme="minorHAnsi"/>
            <w:sz w:val="20"/>
            <w:szCs w:val="20"/>
          </w:rPr>
          <w:t>https://di.unfccc.int/detailed_data_by_party</w:t>
        </w:r>
      </w:hyperlink>
      <w:r w:rsidRPr="000B2554">
        <w:rPr>
          <w:rFonts w:cstheme="minorHAnsi"/>
          <w:sz w:val="20"/>
          <w:szCs w:val="20"/>
        </w:rPr>
        <w:t>.</w:t>
      </w:r>
    </w:p>
    <w:p w14:paraId="251AF1CF" w14:textId="77777777" w:rsidR="001478CB" w:rsidRPr="000B2554" w:rsidRDefault="001478CB" w:rsidP="000B2554">
      <w:pPr>
        <w:spacing w:after="60" w:line="240" w:lineRule="auto"/>
        <w:rPr>
          <w:rFonts w:cstheme="minorHAnsi"/>
          <w:sz w:val="20"/>
          <w:szCs w:val="20"/>
        </w:rPr>
      </w:pPr>
      <w:r w:rsidRPr="0076408E">
        <w:rPr>
          <w:rFonts w:cstheme="minorHAnsi"/>
          <w:sz w:val="20"/>
          <w:szCs w:val="20"/>
        </w:rPr>
        <w:t>UNFCCC</w:t>
      </w:r>
      <w:r w:rsidRPr="000B2554">
        <w:rPr>
          <w:rFonts w:cstheme="minorHAnsi"/>
          <w:sz w:val="20"/>
          <w:szCs w:val="20"/>
        </w:rPr>
        <w:t xml:space="preserve">. </w:t>
      </w:r>
      <w:r>
        <w:rPr>
          <w:rFonts w:cstheme="minorHAnsi"/>
          <w:sz w:val="20"/>
          <w:szCs w:val="20"/>
        </w:rPr>
        <w:t>(</w:t>
      </w:r>
      <w:r w:rsidRPr="0076408E">
        <w:rPr>
          <w:rFonts w:cstheme="minorHAnsi"/>
          <w:sz w:val="20"/>
          <w:szCs w:val="20"/>
        </w:rPr>
        <w:t>2021b</w:t>
      </w:r>
      <w:r>
        <w:rPr>
          <w:rFonts w:cstheme="minorHAnsi"/>
          <w:sz w:val="20"/>
          <w:szCs w:val="20"/>
        </w:rPr>
        <w:t>)</w:t>
      </w:r>
      <w:r w:rsidRPr="000B2554">
        <w:rPr>
          <w:rFonts w:cstheme="minorHAnsi"/>
          <w:sz w:val="20"/>
          <w:szCs w:val="20"/>
        </w:rPr>
        <w:t xml:space="preserve">. “National Communication Submissions from Non-Annex I Parties | UNFCCC.” </w:t>
      </w:r>
      <w:hyperlink r:id="rId42" w:history="1">
        <w:r w:rsidRPr="000B2554">
          <w:rPr>
            <w:rStyle w:val="Hyperlink"/>
            <w:rFonts w:cstheme="minorHAnsi"/>
            <w:sz w:val="20"/>
            <w:szCs w:val="20"/>
          </w:rPr>
          <w:t>https://unfccc.int/non-annex-I-NCs</w:t>
        </w:r>
      </w:hyperlink>
      <w:r w:rsidRPr="000B2554">
        <w:rPr>
          <w:rFonts w:cstheme="minorHAnsi"/>
          <w:sz w:val="20"/>
          <w:szCs w:val="20"/>
        </w:rPr>
        <w:t>.</w:t>
      </w:r>
    </w:p>
    <w:p w14:paraId="15BB63CD" w14:textId="77777777" w:rsidR="001478CB" w:rsidRPr="000B2554" w:rsidRDefault="001478CB" w:rsidP="000B2554">
      <w:pPr>
        <w:spacing w:after="60" w:line="240" w:lineRule="auto"/>
        <w:rPr>
          <w:rFonts w:cstheme="minorHAnsi"/>
          <w:sz w:val="20"/>
          <w:szCs w:val="20"/>
        </w:rPr>
      </w:pPr>
      <w:r w:rsidRPr="0076408E">
        <w:rPr>
          <w:rFonts w:cstheme="minorHAnsi"/>
          <w:sz w:val="20"/>
          <w:szCs w:val="20"/>
        </w:rPr>
        <w:t>UNFCCC</w:t>
      </w:r>
      <w:r w:rsidRPr="000B2554">
        <w:rPr>
          <w:rFonts w:cstheme="minorHAnsi"/>
          <w:sz w:val="20"/>
          <w:szCs w:val="20"/>
        </w:rPr>
        <w:t xml:space="preserve">. </w:t>
      </w:r>
      <w:r>
        <w:rPr>
          <w:rFonts w:cstheme="minorHAnsi"/>
          <w:sz w:val="20"/>
          <w:szCs w:val="20"/>
        </w:rPr>
        <w:t>(</w:t>
      </w:r>
      <w:r w:rsidRPr="0076408E">
        <w:rPr>
          <w:rFonts w:cstheme="minorHAnsi"/>
          <w:sz w:val="20"/>
          <w:szCs w:val="20"/>
        </w:rPr>
        <w:t>2021c</w:t>
      </w:r>
      <w:r>
        <w:rPr>
          <w:rFonts w:cstheme="minorHAnsi"/>
          <w:sz w:val="20"/>
          <w:szCs w:val="20"/>
        </w:rPr>
        <w:t>)</w:t>
      </w:r>
      <w:r w:rsidRPr="000B2554">
        <w:rPr>
          <w:rFonts w:cstheme="minorHAnsi"/>
          <w:sz w:val="20"/>
          <w:szCs w:val="20"/>
        </w:rPr>
        <w:t xml:space="preserve">. “National Inventory Submissions 2021 | UNFCCC.” </w:t>
      </w:r>
      <w:hyperlink r:id="rId43" w:history="1">
        <w:r w:rsidRPr="000B2554">
          <w:rPr>
            <w:rStyle w:val="Hyperlink"/>
            <w:rFonts w:cstheme="minorHAnsi"/>
            <w:sz w:val="20"/>
            <w:szCs w:val="20"/>
          </w:rPr>
          <w:t>https://unfccc.int/ghg-inventories-annex-i-parties/2021</w:t>
        </w:r>
      </w:hyperlink>
      <w:r w:rsidRPr="000B2554">
        <w:rPr>
          <w:rFonts w:cstheme="minorHAnsi"/>
          <w:sz w:val="20"/>
          <w:szCs w:val="20"/>
        </w:rPr>
        <w:t>.</w:t>
      </w:r>
    </w:p>
    <w:p w14:paraId="50F05B88"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UNFCCC. </w:t>
      </w:r>
      <w:r>
        <w:rPr>
          <w:rFonts w:cstheme="minorHAnsi"/>
          <w:sz w:val="20"/>
          <w:szCs w:val="20"/>
        </w:rPr>
        <w:t>(2021d)</w:t>
      </w:r>
      <w:r w:rsidRPr="000B2554">
        <w:rPr>
          <w:rFonts w:cstheme="minorHAnsi"/>
          <w:sz w:val="20"/>
          <w:szCs w:val="20"/>
        </w:rPr>
        <w:t xml:space="preserve">. “Biennial Update Report Submissions from Non-Annex I Parties | UNFCCC.” </w:t>
      </w:r>
      <w:hyperlink r:id="rId44" w:history="1">
        <w:r w:rsidRPr="000B2554">
          <w:rPr>
            <w:rStyle w:val="Hyperlink"/>
            <w:rFonts w:cstheme="minorHAnsi"/>
            <w:sz w:val="20"/>
            <w:szCs w:val="20"/>
          </w:rPr>
          <w:t>https://unfccc.int/BURs</w:t>
        </w:r>
      </w:hyperlink>
      <w:r w:rsidRPr="000B2554">
        <w:rPr>
          <w:rFonts w:cstheme="minorHAnsi"/>
          <w:sz w:val="20"/>
          <w:szCs w:val="20"/>
        </w:rPr>
        <w:t>.</w:t>
      </w:r>
    </w:p>
    <w:p w14:paraId="2FF442C1"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United States Department of State. (2016). Second Biennial Report of the United States of America. Washington, DC.</w:t>
      </w:r>
    </w:p>
    <w:p w14:paraId="48B1B17E"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United States Environmental Protection Agency. (2016). Inventory of U.S. Greenhouse Gas Emissions and Sinks: 1990 – 2016. Washington, DC.</w:t>
      </w:r>
    </w:p>
    <w:p w14:paraId="63F2FE45" w14:textId="77777777" w:rsidR="001478CB" w:rsidRPr="000B2554" w:rsidRDefault="001478CB" w:rsidP="000B2554">
      <w:pPr>
        <w:spacing w:after="60" w:line="240" w:lineRule="auto"/>
        <w:rPr>
          <w:rFonts w:cstheme="minorHAnsi"/>
          <w:sz w:val="20"/>
          <w:szCs w:val="20"/>
        </w:rPr>
      </w:pPr>
      <w:r>
        <w:rPr>
          <w:rFonts w:eastAsia="Calibri" w:cstheme="minorHAnsi"/>
          <w:sz w:val="20"/>
          <w:szCs w:val="20"/>
        </w:rPr>
        <w:t xml:space="preserve">United States </w:t>
      </w:r>
      <w:r w:rsidRPr="000B2554">
        <w:rPr>
          <w:rFonts w:eastAsia="Calibri" w:cstheme="minorHAnsi"/>
          <w:sz w:val="20"/>
          <w:szCs w:val="20"/>
        </w:rPr>
        <w:t xml:space="preserve">White House. (2015). Climate Change and the Land Sector: Improving Measurement, Mitigation and Resilience of our Natural Resources. </w:t>
      </w:r>
      <w:hyperlink r:id="rId45" w:history="1">
        <w:r w:rsidRPr="000B2554">
          <w:rPr>
            <w:rStyle w:val="Hyperlink"/>
            <w:rFonts w:cstheme="minorHAnsi"/>
            <w:sz w:val="20"/>
            <w:szCs w:val="20"/>
          </w:rPr>
          <w:t>https://obamawhitehouse.archives.gov/sites/whitehouse.gov/files/documents/Climate_Change_and_Land_Sector_Report_2015.pdf</w:t>
        </w:r>
      </w:hyperlink>
    </w:p>
    <w:p w14:paraId="7C11928D" w14:textId="77777777" w:rsidR="001478CB" w:rsidRPr="000B2554"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United States White House. (2016). U.S. Mid-Century Strategy for Deep Decarbonization. Washington, DC.</w:t>
      </w:r>
    </w:p>
    <w:p w14:paraId="4930243B" w14:textId="77777777" w:rsidR="001478CB" w:rsidRPr="000B2554" w:rsidRDefault="001478CB" w:rsidP="000B2554">
      <w:pPr>
        <w:spacing w:after="60" w:line="240" w:lineRule="auto"/>
        <w:jc w:val="both"/>
        <w:rPr>
          <w:rFonts w:cstheme="minorHAnsi"/>
          <w:sz w:val="20"/>
          <w:szCs w:val="20"/>
        </w:rPr>
      </w:pPr>
      <w:r w:rsidRPr="000B2554">
        <w:rPr>
          <w:rFonts w:cstheme="minorHAnsi"/>
          <w:sz w:val="20"/>
          <w:szCs w:val="20"/>
        </w:rPr>
        <w:t xml:space="preserve">USDA Forest Service. (2015). Forest Inventory and Analysis National Program: FIA Data Mart. Washington, DC: U.S. Department of Agriculture Forest Service. Available online at </w:t>
      </w:r>
      <w:hyperlink r:id="rId46" w:history="1">
        <w:r w:rsidRPr="000B2554">
          <w:rPr>
            <w:rStyle w:val="Hyperlink"/>
            <w:rFonts w:cstheme="minorHAnsi"/>
            <w:sz w:val="20"/>
            <w:szCs w:val="20"/>
          </w:rPr>
          <w:t>http://apps.fs.fed.us/fiadb- downloads/datamart.html</w:t>
        </w:r>
      </w:hyperlink>
      <w:r w:rsidRPr="000B2554">
        <w:rPr>
          <w:rFonts w:cstheme="minorHAnsi"/>
          <w:sz w:val="20"/>
          <w:szCs w:val="20"/>
        </w:rPr>
        <w:t xml:space="preserve">. </w:t>
      </w:r>
    </w:p>
    <w:p w14:paraId="56EAD2C2"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USDA Forest Service. (2018). Forest Inventory and Analysis National Program: FIA Data Mart. Washington, D.C. Available online at: https://apps.fs.usda.gov/fia/datamart/datamart.html. Accessed 25 August 2018. </w:t>
      </w:r>
    </w:p>
    <w:p w14:paraId="09A448D4" w14:textId="77777777" w:rsidR="001478CB" w:rsidRPr="000B2554" w:rsidRDefault="001478CB" w:rsidP="000B2554">
      <w:pPr>
        <w:widowControl w:val="0"/>
        <w:autoSpaceDE w:val="0"/>
        <w:autoSpaceDN w:val="0"/>
        <w:adjustRightInd w:val="0"/>
        <w:spacing w:after="60" w:line="240" w:lineRule="auto"/>
        <w:rPr>
          <w:rFonts w:cstheme="minorHAnsi"/>
          <w:sz w:val="20"/>
          <w:szCs w:val="20"/>
        </w:rPr>
      </w:pPr>
      <w:r w:rsidRPr="000B2554">
        <w:rPr>
          <w:rFonts w:cstheme="minorHAnsi"/>
          <w:sz w:val="20"/>
          <w:szCs w:val="20"/>
        </w:rPr>
        <w:t xml:space="preserve">USDA Natural Resources Conservation Service. (2015). Summary Report: 2012 National Resources Inventory, </w:t>
      </w:r>
      <w:r w:rsidRPr="000B2554">
        <w:rPr>
          <w:rFonts w:cstheme="minorHAnsi"/>
          <w:sz w:val="20"/>
          <w:szCs w:val="20"/>
        </w:rPr>
        <w:lastRenderedPageBreak/>
        <w:t xml:space="preserve">Natural Resources Conservation Service, Washington, D.C., and Center for Survey Statistics and Methodology, Iowa State University, Ames, Iowa. Available online at: http://www.nrcs.usda.gov/Internet/FSE_DOCUMENTS/nrcseprd396218.pdf. </w:t>
      </w:r>
    </w:p>
    <w:p w14:paraId="7E8A9327"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USDA. (2012). Agroforestry USDA Reports to America, Fiscal Years 201-2012 – Comprehensive Version. </w:t>
      </w:r>
      <w:hyperlink r:id="rId47" w:history="1">
        <w:r w:rsidRPr="000B2554">
          <w:rPr>
            <w:rStyle w:val="Hyperlink"/>
            <w:rFonts w:cstheme="minorHAnsi"/>
            <w:sz w:val="20"/>
            <w:szCs w:val="20"/>
          </w:rPr>
          <w:t>https://www.usda.gov/sites/default/files/documents/usda-reports-to-america-comprehensive.pdf</w:t>
        </w:r>
      </w:hyperlink>
    </w:p>
    <w:p w14:paraId="253C2A78" w14:textId="77777777" w:rsidR="001478CB" w:rsidRPr="000B2554" w:rsidRDefault="001478CB" w:rsidP="000B2554">
      <w:pPr>
        <w:spacing w:after="60" w:line="240" w:lineRule="auto"/>
        <w:rPr>
          <w:rFonts w:eastAsia="Calibri" w:cstheme="minorHAnsi"/>
          <w:sz w:val="20"/>
          <w:szCs w:val="20"/>
        </w:rPr>
      </w:pPr>
      <w:r w:rsidRPr="000B2554">
        <w:rPr>
          <w:rFonts w:cstheme="minorHAnsi"/>
          <w:sz w:val="20"/>
          <w:szCs w:val="20"/>
        </w:rPr>
        <w:t xml:space="preserve">USDA. (2013). </w:t>
      </w:r>
      <w:r w:rsidRPr="000B2554">
        <w:rPr>
          <w:rFonts w:cstheme="minorHAnsi"/>
          <w:color w:val="000000"/>
          <w:sz w:val="20"/>
          <w:szCs w:val="20"/>
          <w:shd w:val="clear" w:color="auto" w:fill="FFFFFF"/>
        </w:rPr>
        <w:t>Soil Survey Staff. Rapid Carbon Assessment (RaCA) project. United States Department of Agriculture, Natural Resources Conservation Service. Available online. June 1, 2013 (FY2013 official release).</w:t>
      </w:r>
    </w:p>
    <w:p w14:paraId="1035F545" w14:textId="77777777" w:rsidR="001478CB" w:rsidRPr="000B2554" w:rsidRDefault="001478CB" w:rsidP="000B2554">
      <w:pPr>
        <w:pStyle w:val="CommentText"/>
        <w:spacing w:after="60"/>
        <w:rPr>
          <w:rFonts w:cstheme="minorHAnsi"/>
        </w:rPr>
      </w:pPr>
      <w:r w:rsidRPr="000B2554">
        <w:rPr>
          <w:rFonts w:cstheme="minorHAnsi"/>
        </w:rPr>
        <w:t xml:space="preserve">USDA. (2014). U.S. Census of Agriculture. Available at: </w:t>
      </w:r>
      <w:hyperlink r:id="rId48" w:anchor="full_report" w:history="1">
        <w:r w:rsidRPr="000B2554">
          <w:rPr>
            <w:rStyle w:val="Hyperlink"/>
            <w:rFonts w:cstheme="minorHAnsi"/>
          </w:rPr>
          <w:t>https://www.nass.usda.gov/Publications/AgCensus/2012/#full_report</w:t>
        </w:r>
      </w:hyperlink>
    </w:p>
    <w:p w14:paraId="010F09F9" w14:textId="77777777" w:rsidR="001478CB" w:rsidRPr="000B2554" w:rsidRDefault="001478CB" w:rsidP="000B2554">
      <w:pPr>
        <w:spacing w:after="60" w:line="240" w:lineRule="auto"/>
        <w:rPr>
          <w:rFonts w:eastAsia="Times New Roman" w:cstheme="minorHAnsi"/>
          <w:color w:val="000000"/>
          <w:sz w:val="20"/>
          <w:szCs w:val="20"/>
        </w:rPr>
      </w:pPr>
      <w:r w:rsidRPr="000B2554">
        <w:rPr>
          <w:rFonts w:eastAsia="Times New Roman" w:cstheme="minorHAnsi"/>
          <w:color w:val="000000"/>
          <w:sz w:val="20"/>
          <w:szCs w:val="20"/>
        </w:rPr>
        <w:t xml:space="preserve">USGS. (1991–2016). Minerals Yearbook: Peat (1994–2016). United States Geological Survey, Reston, VA. </w:t>
      </w:r>
    </w:p>
    <w:p w14:paraId="38FE47E2" w14:textId="77777777" w:rsidR="001478CB" w:rsidRPr="000B2554" w:rsidRDefault="001478CB" w:rsidP="000B2554">
      <w:pPr>
        <w:spacing w:after="60" w:line="240" w:lineRule="auto"/>
        <w:rPr>
          <w:rFonts w:eastAsia="Times New Roman" w:cstheme="minorHAnsi"/>
          <w:color w:val="000000"/>
          <w:sz w:val="20"/>
          <w:szCs w:val="20"/>
        </w:rPr>
      </w:pPr>
      <w:r w:rsidRPr="000B2554">
        <w:rPr>
          <w:rFonts w:eastAsia="Times New Roman" w:cstheme="minorHAnsi"/>
          <w:color w:val="000000"/>
          <w:sz w:val="20"/>
          <w:szCs w:val="20"/>
        </w:rPr>
        <w:t xml:space="preserve">USGS. (2018). Mineral Commodity Summaries: Peat (2018). United States Geological Survey, Reston, VA. </w:t>
      </w:r>
    </w:p>
    <w:p w14:paraId="0E188C50" w14:textId="77777777" w:rsidR="001478CB" w:rsidRPr="000B2554" w:rsidRDefault="001478CB" w:rsidP="000B2554">
      <w:pPr>
        <w:spacing w:after="60" w:line="240" w:lineRule="auto"/>
        <w:rPr>
          <w:rFonts w:eastAsia="Times New Roman" w:cstheme="minorHAnsi"/>
          <w:color w:val="000000"/>
          <w:sz w:val="20"/>
          <w:szCs w:val="20"/>
        </w:rPr>
      </w:pPr>
      <w:r>
        <w:rPr>
          <w:rFonts w:eastAsia="Times New Roman" w:cstheme="minorHAnsi"/>
          <w:color w:val="000000"/>
          <w:sz w:val="20"/>
          <w:szCs w:val="20"/>
        </w:rPr>
        <w:t>V</w:t>
      </w:r>
      <w:r w:rsidRPr="000B2554">
        <w:rPr>
          <w:rFonts w:eastAsia="Times New Roman" w:cstheme="minorHAnsi"/>
          <w:color w:val="000000"/>
          <w:sz w:val="20"/>
          <w:szCs w:val="20"/>
        </w:rPr>
        <w:t xml:space="preserve">an den Boogaart, K. G., Tolosana-Delgado, R., Bren, M. (2018). </w:t>
      </w:r>
      <w:proofErr w:type="gramStart"/>
      <w:r w:rsidRPr="000B2554">
        <w:rPr>
          <w:rFonts w:eastAsia="Times New Roman" w:cstheme="minorHAnsi"/>
          <w:color w:val="000000"/>
          <w:sz w:val="20"/>
          <w:szCs w:val="20"/>
        </w:rPr>
        <w:t>compositions</w:t>
      </w:r>
      <w:proofErr w:type="gramEnd"/>
      <w:r w:rsidRPr="000B2554">
        <w:rPr>
          <w:rFonts w:eastAsia="Times New Roman" w:cstheme="minorHAnsi"/>
          <w:color w:val="000000"/>
          <w:sz w:val="20"/>
          <w:szCs w:val="20"/>
        </w:rPr>
        <w:t>: Compositional Data Analysis. (R package version 1.40-2). https://CRAN.R-project.org/package=compositions</w:t>
      </w:r>
    </w:p>
    <w:p w14:paraId="5ECB8485"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Van Groenigen, J.W., Velthof, G.L., Oenema, O., Van Groenigen, K.J., Van Kessel, C. (2010). Towards an agronomic assessment of N</w:t>
      </w:r>
      <w:r w:rsidRPr="000B2554">
        <w:rPr>
          <w:rFonts w:asciiTheme="minorHAnsi" w:hAnsiTheme="minorHAnsi" w:cstheme="minorHAnsi"/>
          <w:color w:val="000000"/>
          <w:sz w:val="20"/>
          <w:szCs w:val="20"/>
          <w:vertAlign w:val="subscript"/>
        </w:rPr>
        <w:t>2</w:t>
      </w:r>
      <w:r w:rsidRPr="000B2554">
        <w:rPr>
          <w:rFonts w:asciiTheme="minorHAnsi" w:hAnsiTheme="minorHAnsi" w:cstheme="minorHAnsi"/>
          <w:color w:val="000000"/>
          <w:sz w:val="20"/>
          <w:szCs w:val="20"/>
        </w:rPr>
        <w:t xml:space="preserve">O emissions: a case study for arable crops. </w:t>
      </w:r>
      <w:r w:rsidRPr="000B2554">
        <w:rPr>
          <w:rFonts w:asciiTheme="minorHAnsi" w:hAnsiTheme="minorHAnsi" w:cstheme="minorHAnsi"/>
          <w:i/>
          <w:iCs/>
          <w:color w:val="000000"/>
          <w:sz w:val="20"/>
          <w:szCs w:val="20"/>
        </w:rPr>
        <w:t>European Journal of Soil Science, 61</w:t>
      </w:r>
      <w:r w:rsidRPr="000B2554">
        <w:rPr>
          <w:rFonts w:asciiTheme="minorHAnsi" w:hAnsiTheme="minorHAnsi" w:cstheme="minorHAnsi"/>
          <w:color w:val="000000"/>
          <w:sz w:val="20"/>
          <w:szCs w:val="20"/>
        </w:rPr>
        <w:t>(6), 903-913.</w:t>
      </w:r>
    </w:p>
    <w:p w14:paraId="40A7C9A5"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 xml:space="preserve">Wagg, C., Bender, S.F., Widmer, F., van der Heijden, M.G.A. (2014). Soil biodiversity and soil community composition determine ecosystem multifunctionality. </w:t>
      </w:r>
      <w:r w:rsidRPr="000B2554">
        <w:rPr>
          <w:rFonts w:asciiTheme="minorHAnsi" w:hAnsiTheme="minorHAnsi" w:cstheme="minorHAnsi"/>
          <w:i/>
          <w:iCs/>
          <w:color w:val="000000"/>
          <w:sz w:val="20"/>
          <w:szCs w:val="20"/>
        </w:rPr>
        <w:t>Proceedings of the National Academy of Sciences of the United States of America, 111</w:t>
      </w:r>
      <w:r w:rsidRPr="000B2554">
        <w:rPr>
          <w:rFonts w:asciiTheme="minorHAnsi" w:hAnsiTheme="minorHAnsi" w:cstheme="minorHAnsi"/>
          <w:color w:val="000000"/>
          <w:sz w:val="20"/>
          <w:szCs w:val="20"/>
        </w:rPr>
        <w:t>(14), 5266-5270.</w:t>
      </w:r>
    </w:p>
    <w:p w14:paraId="7FEF84EC"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Watanabe, S., Hajima, T., Sudo, K., Nagashima, T., Takemura, T., Okajima, H.</w:t>
      </w:r>
      <w:proofErr w:type="gramStart"/>
      <w:r w:rsidRPr="000B2554">
        <w:rPr>
          <w:rFonts w:asciiTheme="minorHAnsi" w:hAnsiTheme="minorHAnsi" w:cstheme="minorHAnsi"/>
          <w:color w:val="000000"/>
          <w:sz w:val="20"/>
          <w:szCs w:val="20"/>
        </w:rPr>
        <w:t>,…</w:t>
      </w:r>
      <w:proofErr w:type="spellStart"/>
      <w:proofErr w:type="gramEnd"/>
      <w:r w:rsidRPr="000B2554">
        <w:rPr>
          <w:rFonts w:asciiTheme="minorHAnsi" w:hAnsiTheme="minorHAnsi" w:cstheme="minorHAnsi"/>
          <w:color w:val="000000"/>
          <w:sz w:val="20"/>
          <w:szCs w:val="20"/>
        </w:rPr>
        <w:t>Kawamiya</w:t>
      </w:r>
      <w:proofErr w:type="spellEnd"/>
      <w:r w:rsidRPr="000B2554">
        <w:rPr>
          <w:rFonts w:asciiTheme="minorHAnsi" w:hAnsiTheme="minorHAnsi" w:cstheme="minorHAnsi"/>
          <w:color w:val="000000"/>
          <w:sz w:val="20"/>
          <w:szCs w:val="20"/>
        </w:rPr>
        <w:t xml:space="preserve">, M. (2011). MIROC-ESM 2010: Model description and basic results of CMIP5-20c3m experiments. </w:t>
      </w:r>
      <w:r w:rsidRPr="000B2554">
        <w:rPr>
          <w:rFonts w:asciiTheme="minorHAnsi" w:hAnsiTheme="minorHAnsi" w:cstheme="minorHAnsi"/>
          <w:i/>
          <w:iCs/>
          <w:color w:val="000000"/>
          <w:sz w:val="20"/>
          <w:szCs w:val="20"/>
        </w:rPr>
        <w:t>Geoscientific Model Development, 4,</w:t>
      </w:r>
      <w:r w:rsidRPr="000B2554">
        <w:rPr>
          <w:rFonts w:asciiTheme="minorHAnsi" w:hAnsiTheme="minorHAnsi" w:cstheme="minorHAnsi"/>
          <w:color w:val="000000"/>
          <w:sz w:val="20"/>
          <w:szCs w:val="20"/>
        </w:rPr>
        <w:t xml:space="preserve"> 845-872.</w:t>
      </w:r>
    </w:p>
    <w:p w14:paraId="22CB449A"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 xml:space="preserve">Wear, D. N., Coulston, J. W. (2015). From sink to source: Regional variation in U.S. forest carbon futures. </w:t>
      </w:r>
      <w:r w:rsidRPr="000B2554">
        <w:rPr>
          <w:rFonts w:cstheme="minorHAnsi"/>
          <w:i/>
          <w:iCs/>
          <w:sz w:val="20"/>
          <w:szCs w:val="20"/>
        </w:rPr>
        <w:t xml:space="preserve">Scientific Reports </w:t>
      </w:r>
      <w:r w:rsidRPr="000B2554">
        <w:rPr>
          <w:rFonts w:cstheme="minorHAnsi"/>
          <w:bCs/>
          <w:i/>
          <w:sz w:val="20"/>
          <w:szCs w:val="20"/>
        </w:rPr>
        <w:t>5</w:t>
      </w:r>
      <w:r w:rsidRPr="000B2554">
        <w:rPr>
          <w:rFonts w:cstheme="minorHAnsi"/>
          <w:sz w:val="20"/>
          <w:szCs w:val="20"/>
        </w:rPr>
        <w:t>, 16518. https://doi.org/10.1038/srep16518.</w:t>
      </w:r>
    </w:p>
    <w:p w14:paraId="6B138CF4"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 xml:space="preserve">Well, R., Burkart, S., Giesemann, A., Grosz, B., Reent Köster, J., Lewicka‐Szczebak, D. (2018). Improvement of the 15N gas flux method for in situ measurement of soil denitrification and its product stoichiometry. </w:t>
      </w:r>
      <w:r w:rsidRPr="000B2554">
        <w:rPr>
          <w:rFonts w:asciiTheme="minorHAnsi" w:hAnsiTheme="minorHAnsi" w:cstheme="minorHAnsi"/>
          <w:i/>
          <w:iCs/>
          <w:color w:val="000000"/>
          <w:sz w:val="20"/>
          <w:szCs w:val="20"/>
        </w:rPr>
        <w:t>Rapid Communications in Mass Spectrometry</w:t>
      </w:r>
      <w:r w:rsidRPr="000B2554">
        <w:rPr>
          <w:rFonts w:asciiTheme="minorHAnsi" w:hAnsiTheme="minorHAnsi" w:cstheme="minorHAnsi"/>
          <w:color w:val="000000"/>
          <w:sz w:val="20"/>
          <w:szCs w:val="20"/>
        </w:rPr>
        <w:t xml:space="preserve"> </w:t>
      </w:r>
    </w:p>
    <w:p w14:paraId="681351A4" w14:textId="77777777" w:rsidR="001478CB" w:rsidRPr="000B2554" w:rsidRDefault="001478CB" w:rsidP="000B2554">
      <w:pPr>
        <w:spacing w:after="60" w:line="240" w:lineRule="auto"/>
        <w:rPr>
          <w:rFonts w:eastAsia="Calibri" w:cstheme="minorHAnsi"/>
          <w:sz w:val="20"/>
          <w:szCs w:val="20"/>
        </w:rPr>
      </w:pPr>
      <w:r w:rsidRPr="000B2554">
        <w:rPr>
          <w:rFonts w:cstheme="minorHAnsi"/>
          <w:sz w:val="20"/>
          <w:szCs w:val="20"/>
        </w:rPr>
        <w:t xml:space="preserve">Wickham, J., Stehman, S., Gass, L., Dewitz, J., Sorenson, D., Granneman, B., Poss, R., Baer, L. (2017). Thematic accuracy assessment of the 2011 National Land Cover Database (NLCD). </w:t>
      </w:r>
      <w:hyperlink r:id="rId49" w:history="1">
        <w:r w:rsidRPr="000B2554">
          <w:rPr>
            <w:rStyle w:val="Hyperlink"/>
            <w:rFonts w:cstheme="minorHAnsi"/>
            <w:sz w:val="20"/>
            <w:szCs w:val="20"/>
          </w:rPr>
          <w:t>https://pubs.er.usgs.gov/publication/70185756</w:t>
        </w:r>
      </w:hyperlink>
    </w:p>
    <w:p w14:paraId="482FFB16" w14:textId="77777777" w:rsidR="001478CB" w:rsidRPr="000B2554" w:rsidRDefault="001478CB" w:rsidP="000B2554">
      <w:pPr>
        <w:pStyle w:val="NormalWeb"/>
        <w:spacing w:before="0" w:beforeAutospacing="0" w:after="60" w:afterAutospacing="0"/>
        <w:rPr>
          <w:rFonts w:asciiTheme="minorHAnsi" w:hAnsiTheme="minorHAnsi" w:cstheme="minorHAnsi"/>
          <w:sz w:val="20"/>
          <w:szCs w:val="20"/>
        </w:rPr>
      </w:pPr>
      <w:r w:rsidRPr="000B2554">
        <w:rPr>
          <w:rFonts w:asciiTheme="minorHAnsi" w:hAnsiTheme="minorHAnsi" w:cstheme="minorHAnsi"/>
          <w:color w:val="000000"/>
          <w:sz w:val="20"/>
          <w:szCs w:val="20"/>
        </w:rPr>
        <w:t xml:space="preserve">Wieder, W.R., Bonan, G.B., Allison, S.D. (2013). Global soil carbon projections are improved by modelling microbial processes. </w:t>
      </w:r>
      <w:r w:rsidRPr="000B2554">
        <w:rPr>
          <w:rFonts w:asciiTheme="minorHAnsi" w:hAnsiTheme="minorHAnsi" w:cstheme="minorHAnsi"/>
          <w:i/>
          <w:iCs/>
          <w:color w:val="000000"/>
          <w:sz w:val="20"/>
          <w:szCs w:val="20"/>
        </w:rPr>
        <w:t>Nature Climate Change, 3,</w:t>
      </w:r>
      <w:r w:rsidRPr="000B2554">
        <w:rPr>
          <w:rFonts w:asciiTheme="minorHAnsi" w:hAnsiTheme="minorHAnsi" w:cstheme="minorHAnsi"/>
          <w:color w:val="000000"/>
          <w:sz w:val="20"/>
          <w:szCs w:val="20"/>
        </w:rPr>
        <w:t xml:space="preserve"> 909-912.</w:t>
      </w:r>
    </w:p>
    <w:p w14:paraId="73C05427"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Woodall, C. W., Coulston, J. W., Domke, G. M., Walters, B. F., Wear, D. N., Smith, J. E., Andersen, H.-E., Clough, B. J., Cohen, W. B., Griffith, D. M., Hagen, S. C., Hanou, I. S., Nichols, M. C., Perry, C. H., Russell, M. B., Westfall, J. A., Wilson, B. T. (2015). The U.S. Forest Carbon Accounting Framework: Stocks and Stock Change, 1990–2016. (Gen. Tech. Rep. NRS-154). Newtown Square, PA: U.S. Department of Agriculture, Forest Service. 60 p.</w:t>
      </w:r>
    </w:p>
    <w:p w14:paraId="34696237"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Woodall, C. W., Heath, L. S., Domke, G. M., Nichols, M. C. (2011). Methods and equations for estimating aboveground volume, biomass, and carbon for trees in the U.S. Forest Inventory, 2010. (Gen. Tech. Rep. NRS-88). Newtown Square, PA: U.S. Department of Agriculture, Forest Service. 34 p.</w:t>
      </w:r>
    </w:p>
    <w:p w14:paraId="49E9B02C"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World Bank. 2020. “State and Trends of Carbon Pricing 2021.” DOI: 0.1596/978-1-4648-1728-1. Washington, DC: World Bank.</w:t>
      </w:r>
    </w:p>
    <w:p w14:paraId="251859CF" w14:textId="77777777" w:rsidR="001478CB" w:rsidRPr="000B2554" w:rsidRDefault="001478CB" w:rsidP="000B2554">
      <w:pPr>
        <w:spacing w:after="60" w:line="240" w:lineRule="auto"/>
        <w:rPr>
          <w:rFonts w:cstheme="minorHAnsi"/>
          <w:sz w:val="20"/>
          <w:szCs w:val="20"/>
        </w:rPr>
      </w:pPr>
      <w:r w:rsidRPr="000B2554">
        <w:rPr>
          <w:rFonts w:cstheme="minorHAnsi"/>
          <w:sz w:val="20"/>
          <w:szCs w:val="20"/>
        </w:rPr>
        <w:t>World Bank. 2021. “State and Trends of Carbon Pricing 2020.” DOI: 0.1596/978-1-4648-1586-7. Washington, DC: World Bank.</w:t>
      </w:r>
    </w:p>
    <w:p w14:paraId="435F5A25" w14:textId="77777777" w:rsidR="001478CB" w:rsidRDefault="001478CB" w:rsidP="000B2554">
      <w:pPr>
        <w:pStyle w:val="NormalWeb"/>
        <w:spacing w:before="0" w:beforeAutospacing="0" w:after="60" w:afterAutospacing="0"/>
        <w:rPr>
          <w:rFonts w:asciiTheme="minorHAnsi" w:hAnsiTheme="minorHAnsi" w:cstheme="minorHAnsi"/>
          <w:color w:val="000000"/>
          <w:sz w:val="20"/>
          <w:szCs w:val="20"/>
        </w:rPr>
      </w:pPr>
      <w:r w:rsidRPr="000B2554">
        <w:rPr>
          <w:rFonts w:asciiTheme="minorHAnsi" w:hAnsiTheme="minorHAnsi" w:cstheme="minorHAnsi"/>
          <w:color w:val="000000"/>
          <w:sz w:val="20"/>
          <w:szCs w:val="20"/>
        </w:rPr>
        <w:t>Zhang, B., Tian, H., Ren, W., Tao, B., Lu, C., Yang, J.</w:t>
      </w:r>
      <w:proofErr w:type="gramStart"/>
      <w:r w:rsidRPr="000B2554">
        <w:rPr>
          <w:rFonts w:asciiTheme="minorHAnsi" w:hAnsiTheme="minorHAnsi" w:cstheme="minorHAnsi"/>
          <w:color w:val="000000"/>
          <w:sz w:val="20"/>
          <w:szCs w:val="20"/>
        </w:rPr>
        <w:t>,…</w:t>
      </w:r>
      <w:proofErr w:type="gramEnd"/>
      <w:r w:rsidRPr="000B2554">
        <w:rPr>
          <w:rFonts w:asciiTheme="minorHAnsi" w:hAnsiTheme="minorHAnsi" w:cstheme="minorHAnsi"/>
          <w:color w:val="000000"/>
          <w:sz w:val="20"/>
          <w:szCs w:val="20"/>
        </w:rPr>
        <w:t>Pan, S. (2016). Methane emissions from global rice fields: Magnitude, spatiotemporal patterns, and environmental controls.</w:t>
      </w:r>
      <w:r w:rsidRPr="000B2554">
        <w:rPr>
          <w:rFonts w:asciiTheme="minorHAnsi" w:hAnsiTheme="minorHAnsi" w:cstheme="minorHAnsi"/>
          <w:i/>
          <w:iCs/>
          <w:color w:val="000000"/>
          <w:sz w:val="20"/>
          <w:szCs w:val="20"/>
        </w:rPr>
        <w:t xml:space="preserve"> Global Biogeochemical Cycles, 30</w:t>
      </w:r>
      <w:r w:rsidRPr="000B2554">
        <w:rPr>
          <w:rFonts w:asciiTheme="minorHAnsi" w:hAnsiTheme="minorHAnsi" w:cstheme="minorHAnsi"/>
          <w:color w:val="000000"/>
          <w:sz w:val="20"/>
          <w:szCs w:val="20"/>
        </w:rPr>
        <w:t>(9), 1246-1263.</w:t>
      </w:r>
    </w:p>
    <w:p w14:paraId="50C0DF39" w14:textId="340A8005" w:rsidR="00146C34" w:rsidRPr="00146C34" w:rsidRDefault="001478CB" w:rsidP="000B2554">
      <w:pPr>
        <w:pStyle w:val="NormalWeb"/>
        <w:spacing w:before="0" w:beforeAutospacing="0" w:after="60" w:afterAutospacing="0"/>
      </w:pPr>
      <w:r w:rsidRPr="000B2554">
        <w:rPr>
          <w:rFonts w:asciiTheme="minorHAnsi" w:hAnsiTheme="minorHAnsi" w:cstheme="minorHAnsi"/>
          <w:sz w:val="20"/>
          <w:szCs w:val="20"/>
        </w:rPr>
        <w:t xml:space="preserve">Zhu, Zhiliang, McGuire, A.D., eds. (2016). Baseline and projected future carbon storage and greenhouse-gas fluxes in ecosystems of Alaska: U.S. Geological Survey Professional Paper 1826, 196 p., </w:t>
      </w:r>
      <w:hyperlink r:id="rId50" w:history="1">
        <w:r w:rsidRPr="000B2554">
          <w:rPr>
            <w:rFonts w:asciiTheme="minorHAnsi" w:hAnsiTheme="minorHAnsi" w:cstheme="minorHAnsi"/>
            <w:sz w:val="20"/>
            <w:szCs w:val="20"/>
          </w:rPr>
          <w:t>http://dx.doi.org/10.3133/pp1826</w:t>
        </w:r>
      </w:hyperlink>
      <w:r w:rsidRPr="000B2554">
        <w:rPr>
          <w:rFonts w:asciiTheme="minorHAnsi" w:hAnsiTheme="minorHAnsi" w:cstheme="minorHAnsi"/>
          <w:sz w:val="20"/>
          <w:szCs w:val="20"/>
        </w:rPr>
        <w:t>.</w:t>
      </w:r>
      <w:r w:rsidRPr="000B2554" w:rsidDel="001478CB">
        <w:rPr>
          <w:rFonts w:asciiTheme="minorHAnsi" w:hAnsiTheme="minorHAnsi" w:cstheme="minorHAnsi"/>
          <w:color w:val="000000"/>
          <w:sz w:val="20"/>
          <w:szCs w:val="20"/>
        </w:rPr>
        <w:t xml:space="preserve">Allison, S.D., Wallenstein, M.D., Bradford, M.A. (2010). Soil-carbon response to warming dependent on microbial physiology. </w:t>
      </w:r>
      <w:r w:rsidRPr="000B2554" w:rsidDel="001478CB">
        <w:rPr>
          <w:rFonts w:asciiTheme="minorHAnsi" w:hAnsiTheme="minorHAnsi" w:cstheme="minorHAnsi"/>
          <w:i/>
          <w:iCs/>
          <w:color w:val="000000"/>
          <w:sz w:val="20"/>
          <w:szCs w:val="20"/>
        </w:rPr>
        <w:t>Nature Geoscience, 3</w:t>
      </w:r>
      <w:r w:rsidRPr="000B2554" w:rsidDel="001478CB">
        <w:rPr>
          <w:rFonts w:asciiTheme="minorHAnsi" w:hAnsiTheme="minorHAnsi" w:cstheme="minorHAnsi"/>
          <w:color w:val="000000"/>
          <w:sz w:val="20"/>
          <w:szCs w:val="20"/>
        </w:rPr>
        <w:t>, 336-340</w:t>
      </w:r>
      <w:r w:rsidRPr="0076408E">
        <w:rPr>
          <w:rFonts w:asciiTheme="minorHAnsi" w:hAnsiTheme="minorHAnsi" w:cstheme="minorHAnsi"/>
          <w:color w:val="000000"/>
          <w:sz w:val="20"/>
          <w:szCs w:val="20"/>
        </w:rPr>
        <w:t>.</w:t>
      </w:r>
    </w:p>
    <w:sectPr w:rsidR="00146C34" w:rsidRPr="00146C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3E2ED" w14:textId="77777777" w:rsidR="00666B2D" w:rsidRDefault="00666B2D" w:rsidP="00CD2CFD">
      <w:pPr>
        <w:spacing w:after="0" w:line="240" w:lineRule="auto"/>
      </w:pPr>
      <w:r>
        <w:separator/>
      </w:r>
    </w:p>
  </w:endnote>
  <w:endnote w:type="continuationSeparator" w:id="0">
    <w:p w14:paraId="2B8E450B" w14:textId="77777777" w:rsidR="00666B2D" w:rsidRDefault="00666B2D" w:rsidP="00CD2CFD">
      <w:pPr>
        <w:spacing w:after="0" w:line="240" w:lineRule="auto"/>
      </w:pPr>
      <w:r>
        <w:continuationSeparator/>
      </w:r>
    </w:p>
  </w:endnote>
  <w:endnote w:id="1">
    <w:p w14:paraId="09121C4C" w14:textId="77777777" w:rsidR="00876770" w:rsidRDefault="00876770"/>
    <w:p w14:paraId="0004405C" w14:textId="77777777" w:rsidR="00876770" w:rsidRDefault="00876770" w:rsidP="00A862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hitney Semibold">
    <w:altName w:val="Whitney Semi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2303724"/>
      <w:docPartObj>
        <w:docPartGallery w:val="Page Numbers (Bottom of Page)"/>
        <w:docPartUnique/>
      </w:docPartObj>
    </w:sdtPr>
    <w:sdtEndPr>
      <w:rPr>
        <w:noProof/>
      </w:rPr>
    </w:sdtEndPr>
    <w:sdtContent>
      <w:p w14:paraId="0A342C21" w14:textId="5B135A9A" w:rsidR="00876770" w:rsidRDefault="00876770">
        <w:pPr>
          <w:pStyle w:val="Footer"/>
          <w:jc w:val="right"/>
        </w:pPr>
        <w:r>
          <w:fldChar w:fldCharType="begin"/>
        </w:r>
        <w:r>
          <w:instrText xml:space="preserve"> PAGE   \* MERGEFORMAT </w:instrText>
        </w:r>
        <w:r>
          <w:fldChar w:fldCharType="separate"/>
        </w:r>
        <w:r w:rsidR="00BE7458">
          <w:rPr>
            <w:noProof/>
          </w:rPr>
          <w:t>33</w:t>
        </w:r>
        <w:r>
          <w:rPr>
            <w:noProof/>
          </w:rPr>
          <w:fldChar w:fldCharType="end"/>
        </w:r>
      </w:p>
    </w:sdtContent>
  </w:sdt>
  <w:p w14:paraId="5F7126EB" w14:textId="77777777" w:rsidR="00876770" w:rsidRDefault="008767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FA64D" w14:textId="77777777" w:rsidR="00666B2D" w:rsidRDefault="00666B2D" w:rsidP="00CD2CFD">
      <w:pPr>
        <w:spacing w:after="0" w:line="240" w:lineRule="auto"/>
      </w:pPr>
      <w:r>
        <w:separator/>
      </w:r>
    </w:p>
  </w:footnote>
  <w:footnote w:type="continuationSeparator" w:id="0">
    <w:p w14:paraId="6846B307" w14:textId="77777777" w:rsidR="00666B2D" w:rsidRDefault="00666B2D" w:rsidP="00CD2CFD">
      <w:pPr>
        <w:spacing w:after="0" w:line="240" w:lineRule="auto"/>
      </w:pPr>
      <w:r>
        <w:continuationSeparator/>
      </w:r>
    </w:p>
  </w:footnote>
  <w:footnote w:id="1">
    <w:p w14:paraId="7E7EC5FB" w14:textId="0ACFF270" w:rsidR="00876770" w:rsidRDefault="00876770">
      <w:pPr>
        <w:pStyle w:val="FootnoteText"/>
      </w:pPr>
      <w:r>
        <w:rPr>
          <w:rStyle w:val="FootnoteReference"/>
        </w:rPr>
        <w:footnoteRef/>
      </w:r>
      <w:r>
        <w:t xml:space="preserve"> See </w:t>
      </w:r>
      <w:hyperlink r:id="rId1" w:history="1">
        <w:r w:rsidRPr="002A076F">
          <w:rPr>
            <w:rStyle w:val="Hyperlink"/>
          </w:rPr>
          <w:t>https://di.unfccc.int/detailed_data_by_party</w:t>
        </w:r>
      </w:hyperlink>
      <w:r>
        <w:t>, cited here as UNFCCC (2021a).</w:t>
      </w:r>
    </w:p>
  </w:footnote>
  <w:footnote w:id="2">
    <w:p w14:paraId="54E4ABD6" w14:textId="1EEE01D4" w:rsidR="00876770" w:rsidRDefault="00876770">
      <w:pPr>
        <w:pStyle w:val="FootnoteText"/>
      </w:pPr>
      <w:r>
        <w:rPr>
          <w:rStyle w:val="FootnoteReference"/>
        </w:rPr>
        <w:footnoteRef/>
      </w:r>
      <w:r>
        <w:t xml:space="preserve"> Puerto Rico, U.S. Virgin Islands, Guam, Northern Marianas Islands, and American Samoa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D5E05" w14:textId="5312B66C" w:rsidR="00876770" w:rsidRDefault="00876770" w:rsidP="0076408E">
    <w:pPr>
      <w:pStyle w:val="Header"/>
      <w:tabs>
        <w:tab w:val="clear" w:pos="4680"/>
        <w:tab w:val="clear" w:pos="9360"/>
        <w:tab w:val="left" w:pos="331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3A6"/>
    <w:multiLevelType w:val="hybridMultilevel"/>
    <w:tmpl w:val="332A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E26A7"/>
    <w:multiLevelType w:val="hybridMultilevel"/>
    <w:tmpl w:val="1354E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2206C"/>
    <w:multiLevelType w:val="hybridMultilevel"/>
    <w:tmpl w:val="01009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25BA2"/>
    <w:multiLevelType w:val="hybridMultilevel"/>
    <w:tmpl w:val="C7C66E14"/>
    <w:lvl w:ilvl="0" w:tplc="76E0EA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67FBC"/>
    <w:multiLevelType w:val="hybridMultilevel"/>
    <w:tmpl w:val="9B104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E57F3"/>
    <w:multiLevelType w:val="multilevel"/>
    <w:tmpl w:val="81C4A7CE"/>
    <w:lvl w:ilvl="0">
      <w:start w:val="1"/>
      <w:numFmt w:val="decimal"/>
      <w:lvlText w:val="%1."/>
      <w:lvlJc w:val="left"/>
      <w:pPr>
        <w:ind w:left="720" w:hanging="360"/>
      </w:pPr>
      <w:rPr>
        <w:rFonts w:hint="default"/>
      </w:rPr>
    </w:lvl>
    <w:lvl w:ilvl="1">
      <w:start w:val="3"/>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672" w:hanging="1800"/>
      </w:pPr>
      <w:rPr>
        <w:rFonts w:hint="default"/>
      </w:rPr>
    </w:lvl>
    <w:lvl w:ilvl="8">
      <w:start w:val="1"/>
      <w:numFmt w:val="decimal"/>
      <w:isLgl/>
      <w:lvlText w:val="%1.%2.%3.%4.%5.%6.%7.%8.%9"/>
      <w:lvlJc w:val="left"/>
      <w:pPr>
        <w:ind w:left="3888" w:hanging="1800"/>
      </w:pPr>
      <w:rPr>
        <w:rFonts w:hint="default"/>
      </w:rPr>
    </w:lvl>
  </w:abstractNum>
  <w:abstractNum w:abstractNumId="6" w15:restartNumberingAfterBreak="0">
    <w:nsid w:val="2934580D"/>
    <w:multiLevelType w:val="hybridMultilevel"/>
    <w:tmpl w:val="7F0EC4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767CB7"/>
    <w:multiLevelType w:val="hybridMultilevel"/>
    <w:tmpl w:val="B91ABA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8607DD"/>
    <w:multiLevelType w:val="multilevel"/>
    <w:tmpl w:val="D996F1FA"/>
    <w:lvl w:ilvl="0">
      <w:start w:val="4"/>
      <w:numFmt w:val="decimal"/>
      <w:lvlText w:val="%1"/>
      <w:lvlJc w:val="left"/>
      <w:pPr>
        <w:ind w:left="360" w:hanging="360"/>
      </w:pPr>
      <w:rPr>
        <w:rFonts w:hint="default"/>
      </w:rPr>
    </w:lvl>
    <w:lvl w:ilvl="1">
      <w:start w:val="3"/>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9" w15:restartNumberingAfterBreak="0">
    <w:nsid w:val="3CA01300"/>
    <w:multiLevelType w:val="hybridMultilevel"/>
    <w:tmpl w:val="2ECEE794"/>
    <w:lvl w:ilvl="0" w:tplc="17C41E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773053"/>
    <w:multiLevelType w:val="hybridMultilevel"/>
    <w:tmpl w:val="25BE6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253DC3"/>
    <w:multiLevelType w:val="hybridMultilevel"/>
    <w:tmpl w:val="437AEF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E0124C"/>
    <w:multiLevelType w:val="hybridMultilevel"/>
    <w:tmpl w:val="1DE8A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B6504A"/>
    <w:multiLevelType w:val="hybridMultilevel"/>
    <w:tmpl w:val="74E63BC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3C15EDD"/>
    <w:multiLevelType w:val="hybridMultilevel"/>
    <w:tmpl w:val="05ACD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D335DC"/>
    <w:multiLevelType w:val="multilevel"/>
    <w:tmpl w:val="03EEFB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8E64476"/>
    <w:multiLevelType w:val="multilevel"/>
    <w:tmpl w:val="A586B93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color w:val="5B9BD5" w:themeColor="accent1"/>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5D4C7FDD"/>
    <w:multiLevelType w:val="hybridMultilevel"/>
    <w:tmpl w:val="437AEF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6B5444"/>
    <w:multiLevelType w:val="hybridMultilevel"/>
    <w:tmpl w:val="F130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CB40CB"/>
    <w:multiLevelType w:val="hybridMultilevel"/>
    <w:tmpl w:val="D2CEC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431201"/>
    <w:multiLevelType w:val="hybridMultilevel"/>
    <w:tmpl w:val="5D981E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9C6FD2"/>
    <w:multiLevelType w:val="hybridMultilevel"/>
    <w:tmpl w:val="27262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452D8A"/>
    <w:multiLevelType w:val="multilevel"/>
    <w:tmpl w:val="7A0C8642"/>
    <w:lvl w:ilvl="0">
      <w:start w:val="1"/>
      <w:numFmt w:val="decimal"/>
      <w:lvlText w:val="%1."/>
      <w:lvlJc w:val="left"/>
      <w:pPr>
        <w:ind w:left="1080" w:hanging="540"/>
      </w:pPr>
      <w:rPr>
        <w:rFonts w:hint="default"/>
      </w:rPr>
    </w:lvl>
    <w:lvl w:ilvl="1">
      <w:start w:val="3"/>
      <w:numFmt w:val="decimal"/>
      <w:lvlText w:val="%1.%2."/>
      <w:lvlJc w:val="left"/>
      <w:pPr>
        <w:ind w:left="108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1980" w:hanging="1440"/>
      </w:pPr>
      <w:rPr>
        <w:rFonts w:hint="default"/>
      </w:rPr>
    </w:lvl>
    <w:lvl w:ilvl="8">
      <w:start w:val="1"/>
      <w:numFmt w:val="decimal"/>
      <w:lvlText w:val="%1.%2.%3.%4.%5.%6.%7.%8.%9."/>
      <w:lvlJc w:val="left"/>
      <w:pPr>
        <w:ind w:left="2340" w:hanging="1800"/>
      </w:pPr>
      <w:rPr>
        <w:rFonts w:hint="default"/>
      </w:rPr>
    </w:lvl>
  </w:abstractNum>
  <w:abstractNum w:abstractNumId="23" w15:restartNumberingAfterBreak="0">
    <w:nsid w:val="6B5C6F3F"/>
    <w:multiLevelType w:val="hybridMultilevel"/>
    <w:tmpl w:val="F2A89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1B7E67"/>
    <w:multiLevelType w:val="multilevel"/>
    <w:tmpl w:val="EE92066E"/>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5" w15:restartNumberingAfterBreak="0">
    <w:nsid w:val="70A363E4"/>
    <w:multiLevelType w:val="hybridMultilevel"/>
    <w:tmpl w:val="DA5C8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AA22E3"/>
    <w:multiLevelType w:val="hybridMultilevel"/>
    <w:tmpl w:val="2AB02B42"/>
    <w:lvl w:ilvl="0" w:tplc="08F882C4">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2F117F"/>
    <w:multiLevelType w:val="hybridMultilevel"/>
    <w:tmpl w:val="F47CD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FC6FCB"/>
    <w:multiLevelType w:val="hybridMultilevel"/>
    <w:tmpl w:val="7A7C5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D26A6F"/>
    <w:multiLevelType w:val="hybridMultilevel"/>
    <w:tmpl w:val="FC724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D75252"/>
    <w:multiLevelType w:val="hybridMultilevel"/>
    <w:tmpl w:val="C6DC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13"/>
  </w:num>
  <w:num w:numId="4">
    <w:abstractNumId w:val="26"/>
  </w:num>
  <w:num w:numId="5">
    <w:abstractNumId w:val="3"/>
  </w:num>
  <w:num w:numId="6">
    <w:abstractNumId w:val="16"/>
  </w:num>
  <w:num w:numId="7">
    <w:abstractNumId w:val="22"/>
  </w:num>
  <w:num w:numId="8">
    <w:abstractNumId w:val="5"/>
  </w:num>
  <w:num w:numId="9">
    <w:abstractNumId w:val="24"/>
  </w:num>
  <w:num w:numId="10">
    <w:abstractNumId w:val="8"/>
  </w:num>
  <w:num w:numId="11">
    <w:abstractNumId w:val="16"/>
  </w:num>
  <w:num w:numId="12">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7"/>
  </w:num>
  <w:num w:numId="15">
    <w:abstractNumId w:val="9"/>
  </w:num>
  <w:num w:numId="16">
    <w:abstractNumId w:val="16"/>
    <w:lvlOverride w:ilvl="0">
      <w:startOverride w:val="2"/>
    </w:lvlOverride>
    <w:lvlOverride w:ilvl="1">
      <w:startOverride w:val="6"/>
    </w:lvlOverride>
  </w:num>
  <w:num w:numId="17">
    <w:abstractNumId w:val="23"/>
  </w:num>
  <w:num w:numId="18">
    <w:abstractNumId w:val="19"/>
  </w:num>
  <w:num w:numId="19">
    <w:abstractNumId w:val="30"/>
  </w:num>
  <w:num w:numId="20">
    <w:abstractNumId w:val="2"/>
  </w:num>
  <w:num w:numId="21">
    <w:abstractNumId w:val="0"/>
  </w:num>
  <w:num w:numId="22">
    <w:abstractNumId w:val="1"/>
  </w:num>
  <w:num w:numId="23">
    <w:abstractNumId w:val="20"/>
  </w:num>
  <w:num w:numId="24">
    <w:abstractNumId w:val="11"/>
  </w:num>
  <w:num w:numId="25">
    <w:abstractNumId w:val="7"/>
  </w:num>
  <w:num w:numId="26">
    <w:abstractNumId w:val="29"/>
  </w:num>
  <w:num w:numId="27">
    <w:abstractNumId w:val="4"/>
  </w:num>
  <w:num w:numId="28">
    <w:abstractNumId w:val="21"/>
  </w:num>
  <w:num w:numId="29">
    <w:abstractNumId w:val="25"/>
  </w:num>
  <w:num w:numId="30">
    <w:abstractNumId w:val="12"/>
  </w:num>
  <w:num w:numId="31">
    <w:abstractNumId w:val="6"/>
  </w:num>
  <w:num w:numId="32">
    <w:abstractNumId w:val="17"/>
  </w:num>
  <w:num w:numId="33">
    <w:abstractNumId w:val="15"/>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8"/>
  </w:num>
  <w:num w:numId="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CFD"/>
    <w:rsid w:val="000013F0"/>
    <w:rsid w:val="00001669"/>
    <w:rsid w:val="00004760"/>
    <w:rsid w:val="00004A42"/>
    <w:rsid w:val="0000520C"/>
    <w:rsid w:val="000108CE"/>
    <w:rsid w:val="0001163C"/>
    <w:rsid w:val="00012F88"/>
    <w:rsid w:val="00013F15"/>
    <w:rsid w:val="00015E3E"/>
    <w:rsid w:val="0001625C"/>
    <w:rsid w:val="00016AE8"/>
    <w:rsid w:val="00020B19"/>
    <w:rsid w:val="00022124"/>
    <w:rsid w:val="00023B00"/>
    <w:rsid w:val="00023C3B"/>
    <w:rsid w:val="000265AF"/>
    <w:rsid w:val="0002685B"/>
    <w:rsid w:val="00026982"/>
    <w:rsid w:val="000271F0"/>
    <w:rsid w:val="00030AD7"/>
    <w:rsid w:val="00034E69"/>
    <w:rsid w:val="00036172"/>
    <w:rsid w:val="00036913"/>
    <w:rsid w:val="00036DD3"/>
    <w:rsid w:val="000415B6"/>
    <w:rsid w:val="00042007"/>
    <w:rsid w:val="000425EF"/>
    <w:rsid w:val="0004407A"/>
    <w:rsid w:val="000459F6"/>
    <w:rsid w:val="00046589"/>
    <w:rsid w:val="00046DD4"/>
    <w:rsid w:val="000477BC"/>
    <w:rsid w:val="00051155"/>
    <w:rsid w:val="00052051"/>
    <w:rsid w:val="000524F1"/>
    <w:rsid w:val="00053075"/>
    <w:rsid w:val="00053899"/>
    <w:rsid w:val="000539EA"/>
    <w:rsid w:val="000547AB"/>
    <w:rsid w:val="000558C0"/>
    <w:rsid w:val="000569E1"/>
    <w:rsid w:val="00057623"/>
    <w:rsid w:val="00057955"/>
    <w:rsid w:val="00057AF7"/>
    <w:rsid w:val="0006086B"/>
    <w:rsid w:val="000614E1"/>
    <w:rsid w:val="00062803"/>
    <w:rsid w:val="00062A73"/>
    <w:rsid w:val="0006530B"/>
    <w:rsid w:val="0006600A"/>
    <w:rsid w:val="0006624E"/>
    <w:rsid w:val="00070885"/>
    <w:rsid w:val="0007172C"/>
    <w:rsid w:val="000723C5"/>
    <w:rsid w:val="00073DE8"/>
    <w:rsid w:val="00074B66"/>
    <w:rsid w:val="0008052F"/>
    <w:rsid w:val="00080B89"/>
    <w:rsid w:val="00080F90"/>
    <w:rsid w:val="00081DBB"/>
    <w:rsid w:val="00081E93"/>
    <w:rsid w:val="00082CA0"/>
    <w:rsid w:val="00083485"/>
    <w:rsid w:val="00083B2E"/>
    <w:rsid w:val="00083D74"/>
    <w:rsid w:val="00087079"/>
    <w:rsid w:val="000872DF"/>
    <w:rsid w:val="00087332"/>
    <w:rsid w:val="00087794"/>
    <w:rsid w:val="00092C86"/>
    <w:rsid w:val="00093388"/>
    <w:rsid w:val="000951D5"/>
    <w:rsid w:val="000967D3"/>
    <w:rsid w:val="00096C1C"/>
    <w:rsid w:val="00097A20"/>
    <w:rsid w:val="00097BF2"/>
    <w:rsid w:val="00097ED4"/>
    <w:rsid w:val="00097F70"/>
    <w:rsid w:val="000A04A7"/>
    <w:rsid w:val="000A451D"/>
    <w:rsid w:val="000A4A0C"/>
    <w:rsid w:val="000A553A"/>
    <w:rsid w:val="000A769A"/>
    <w:rsid w:val="000B0E34"/>
    <w:rsid w:val="000B1D8B"/>
    <w:rsid w:val="000B2554"/>
    <w:rsid w:val="000B2CD0"/>
    <w:rsid w:val="000B2D1B"/>
    <w:rsid w:val="000B3CE3"/>
    <w:rsid w:val="000B63E9"/>
    <w:rsid w:val="000B6B96"/>
    <w:rsid w:val="000C0BE7"/>
    <w:rsid w:val="000C2148"/>
    <w:rsid w:val="000C4F26"/>
    <w:rsid w:val="000C77F0"/>
    <w:rsid w:val="000D1C8F"/>
    <w:rsid w:val="000D2A3B"/>
    <w:rsid w:val="000D3120"/>
    <w:rsid w:val="000D350E"/>
    <w:rsid w:val="000D42DE"/>
    <w:rsid w:val="000D4FF3"/>
    <w:rsid w:val="000D5C1C"/>
    <w:rsid w:val="000D6766"/>
    <w:rsid w:val="000D6BBB"/>
    <w:rsid w:val="000D70E2"/>
    <w:rsid w:val="000D7405"/>
    <w:rsid w:val="000E2401"/>
    <w:rsid w:val="000E3CC0"/>
    <w:rsid w:val="000E535B"/>
    <w:rsid w:val="000E5B6D"/>
    <w:rsid w:val="000E5BF7"/>
    <w:rsid w:val="000E742B"/>
    <w:rsid w:val="000F05B4"/>
    <w:rsid w:val="000F14D7"/>
    <w:rsid w:val="000F5104"/>
    <w:rsid w:val="000F6023"/>
    <w:rsid w:val="000F669A"/>
    <w:rsid w:val="000F7AB9"/>
    <w:rsid w:val="001006E4"/>
    <w:rsid w:val="00101260"/>
    <w:rsid w:val="0010169F"/>
    <w:rsid w:val="00101F66"/>
    <w:rsid w:val="001048A9"/>
    <w:rsid w:val="001056A4"/>
    <w:rsid w:val="00106719"/>
    <w:rsid w:val="001076F4"/>
    <w:rsid w:val="00107961"/>
    <w:rsid w:val="00107E45"/>
    <w:rsid w:val="00107F75"/>
    <w:rsid w:val="00110B68"/>
    <w:rsid w:val="00111651"/>
    <w:rsid w:val="0011235C"/>
    <w:rsid w:val="00112616"/>
    <w:rsid w:val="00113B16"/>
    <w:rsid w:val="001155CB"/>
    <w:rsid w:val="00116C36"/>
    <w:rsid w:val="001177BD"/>
    <w:rsid w:val="0011789D"/>
    <w:rsid w:val="00120351"/>
    <w:rsid w:val="001227CB"/>
    <w:rsid w:val="00122B2F"/>
    <w:rsid w:val="001240B4"/>
    <w:rsid w:val="00126352"/>
    <w:rsid w:val="001266BA"/>
    <w:rsid w:val="0013026A"/>
    <w:rsid w:val="00132636"/>
    <w:rsid w:val="00133F9E"/>
    <w:rsid w:val="0013497B"/>
    <w:rsid w:val="00134DCC"/>
    <w:rsid w:val="00137BE6"/>
    <w:rsid w:val="00141416"/>
    <w:rsid w:val="001415A9"/>
    <w:rsid w:val="001423EB"/>
    <w:rsid w:val="00143971"/>
    <w:rsid w:val="0014481F"/>
    <w:rsid w:val="00146C34"/>
    <w:rsid w:val="0014775A"/>
    <w:rsid w:val="001478CB"/>
    <w:rsid w:val="001500D6"/>
    <w:rsid w:val="001508A8"/>
    <w:rsid w:val="00150F44"/>
    <w:rsid w:val="0015214B"/>
    <w:rsid w:val="00153914"/>
    <w:rsid w:val="00154A1B"/>
    <w:rsid w:val="00156B6F"/>
    <w:rsid w:val="001575BD"/>
    <w:rsid w:val="00157AF0"/>
    <w:rsid w:val="00161BF5"/>
    <w:rsid w:val="00161DA0"/>
    <w:rsid w:val="00163C0F"/>
    <w:rsid w:val="00164275"/>
    <w:rsid w:val="00165D51"/>
    <w:rsid w:val="00166440"/>
    <w:rsid w:val="00167055"/>
    <w:rsid w:val="00167D1E"/>
    <w:rsid w:val="0017078C"/>
    <w:rsid w:val="00170CD2"/>
    <w:rsid w:val="001710FD"/>
    <w:rsid w:val="001713A8"/>
    <w:rsid w:val="0017321A"/>
    <w:rsid w:val="00174AF4"/>
    <w:rsid w:val="00174CAB"/>
    <w:rsid w:val="00176AED"/>
    <w:rsid w:val="0017769B"/>
    <w:rsid w:val="00180A4F"/>
    <w:rsid w:val="00181328"/>
    <w:rsid w:val="001815AD"/>
    <w:rsid w:val="001819E0"/>
    <w:rsid w:val="00183CD8"/>
    <w:rsid w:val="00183FB4"/>
    <w:rsid w:val="00184371"/>
    <w:rsid w:val="0018475D"/>
    <w:rsid w:val="00184B8F"/>
    <w:rsid w:val="001857D1"/>
    <w:rsid w:val="001862DF"/>
    <w:rsid w:val="001876CE"/>
    <w:rsid w:val="00190F0B"/>
    <w:rsid w:val="0019163F"/>
    <w:rsid w:val="00195D89"/>
    <w:rsid w:val="00195F4D"/>
    <w:rsid w:val="001A28AB"/>
    <w:rsid w:val="001A316D"/>
    <w:rsid w:val="001A34C7"/>
    <w:rsid w:val="001A3B5B"/>
    <w:rsid w:val="001A4568"/>
    <w:rsid w:val="001A7014"/>
    <w:rsid w:val="001B0539"/>
    <w:rsid w:val="001B0EA6"/>
    <w:rsid w:val="001B1A36"/>
    <w:rsid w:val="001B2AB7"/>
    <w:rsid w:val="001B3392"/>
    <w:rsid w:val="001B3A83"/>
    <w:rsid w:val="001B554C"/>
    <w:rsid w:val="001B5A68"/>
    <w:rsid w:val="001B6027"/>
    <w:rsid w:val="001B76C8"/>
    <w:rsid w:val="001B7C6F"/>
    <w:rsid w:val="001B7F20"/>
    <w:rsid w:val="001C0E88"/>
    <w:rsid w:val="001C16A9"/>
    <w:rsid w:val="001C24B5"/>
    <w:rsid w:val="001C28FA"/>
    <w:rsid w:val="001C2E30"/>
    <w:rsid w:val="001C3202"/>
    <w:rsid w:val="001C3337"/>
    <w:rsid w:val="001C375F"/>
    <w:rsid w:val="001C3B43"/>
    <w:rsid w:val="001C65C4"/>
    <w:rsid w:val="001C7051"/>
    <w:rsid w:val="001C7143"/>
    <w:rsid w:val="001D09E3"/>
    <w:rsid w:val="001D2338"/>
    <w:rsid w:val="001D3697"/>
    <w:rsid w:val="001D3D6D"/>
    <w:rsid w:val="001D4241"/>
    <w:rsid w:val="001D6927"/>
    <w:rsid w:val="001D7BEB"/>
    <w:rsid w:val="001E048A"/>
    <w:rsid w:val="001E1B76"/>
    <w:rsid w:val="001E2531"/>
    <w:rsid w:val="001E44C9"/>
    <w:rsid w:val="001E7F2C"/>
    <w:rsid w:val="001F0B7A"/>
    <w:rsid w:val="001F191A"/>
    <w:rsid w:val="001F3927"/>
    <w:rsid w:val="001F4282"/>
    <w:rsid w:val="001F4ECD"/>
    <w:rsid w:val="001F76BD"/>
    <w:rsid w:val="00200347"/>
    <w:rsid w:val="00202AB4"/>
    <w:rsid w:val="00202C64"/>
    <w:rsid w:val="00204138"/>
    <w:rsid w:val="002043D2"/>
    <w:rsid w:val="00204565"/>
    <w:rsid w:val="002051D2"/>
    <w:rsid w:val="00205780"/>
    <w:rsid w:val="00205D21"/>
    <w:rsid w:val="00205D4E"/>
    <w:rsid w:val="00206964"/>
    <w:rsid w:val="00206A6B"/>
    <w:rsid w:val="0020702C"/>
    <w:rsid w:val="00207BEA"/>
    <w:rsid w:val="00210381"/>
    <w:rsid w:val="00211B5D"/>
    <w:rsid w:val="00211C04"/>
    <w:rsid w:val="0021258E"/>
    <w:rsid w:val="00214372"/>
    <w:rsid w:val="00217AF0"/>
    <w:rsid w:val="00220D1B"/>
    <w:rsid w:val="00221C94"/>
    <w:rsid w:val="0022208D"/>
    <w:rsid w:val="002223BB"/>
    <w:rsid w:val="002260B0"/>
    <w:rsid w:val="00226291"/>
    <w:rsid w:val="002309A1"/>
    <w:rsid w:val="00232299"/>
    <w:rsid w:val="002327E8"/>
    <w:rsid w:val="00232905"/>
    <w:rsid w:val="00232A2D"/>
    <w:rsid w:val="00234C2A"/>
    <w:rsid w:val="00235061"/>
    <w:rsid w:val="00235B6C"/>
    <w:rsid w:val="00236BC7"/>
    <w:rsid w:val="002371D5"/>
    <w:rsid w:val="002378E9"/>
    <w:rsid w:val="0023791F"/>
    <w:rsid w:val="00241EDF"/>
    <w:rsid w:val="002428CB"/>
    <w:rsid w:val="00243047"/>
    <w:rsid w:val="00243068"/>
    <w:rsid w:val="00244E18"/>
    <w:rsid w:val="00246399"/>
    <w:rsid w:val="0025076A"/>
    <w:rsid w:val="00250DD0"/>
    <w:rsid w:val="00252421"/>
    <w:rsid w:val="002548BA"/>
    <w:rsid w:val="00254994"/>
    <w:rsid w:val="0025546D"/>
    <w:rsid w:val="0025568E"/>
    <w:rsid w:val="00256A9A"/>
    <w:rsid w:val="00261D4F"/>
    <w:rsid w:val="00264597"/>
    <w:rsid w:val="0026461F"/>
    <w:rsid w:val="00264C03"/>
    <w:rsid w:val="00266BE0"/>
    <w:rsid w:val="00266F18"/>
    <w:rsid w:val="002670FD"/>
    <w:rsid w:val="00267599"/>
    <w:rsid w:val="00267C26"/>
    <w:rsid w:val="002712F4"/>
    <w:rsid w:val="00272A2E"/>
    <w:rsid w:val="002731CF"/>
    <w:rsid w:val="00274E72"/>
    <w:rsid w:val="0027673F"/>
    <w:rsid w:val="002767CC"/>
    <w:rsid w:val="00277681"/>
    <w:rsid w:val="002814DA"/>
    <w:rsid w:val="002838AC"/>
    <w:rsid w:val="00283E0C"/>
    <w:rsid w:val="00283E60"/>
    <w:rsid w:val="002844E9"/>
    <w:rsid w:val="00284C0F"/>
    <w:rsid w:val="00284D8D"/>
    <w:rsid w:val="00286D85"/>
    <w:rsid w:val="00286ECE"/>
    <w:rsid w:val="00286F0D"/>
    <w:rsid w:val="0028707A"/>
    <w:rsid w:val="00287355"/>
    <w:rsid w:val="0028749D"/>
    <w:rsid w:val="0029104A"/>
    <w:rsid w:val="00291678"/>
    <w:rsid w:val="002948C3"/>
    <w:rsid w:val="0029637B"/>
    <w:rsid w:val="0029745B"/>
    <w:rsid w:val="00297B4E"/>
    <w:rsid w:val="002A2403"/>
    <w:rsid w:val="002A47AC"/>
    <w:rsid w:val="002A6E8A"/>
    <w:rsid w:val="002B13C5"/>
    <w:rsid w:val="002B2A8D"/>
    <w:rsid w:val="002B2D37"/>
    <w:rsid w:val="002B2D5A"/>
    <w:rsid w:val="002B3565"/>
    <w:rsid w:val="002B40A6"/>
    <w:rsid w:val="002B5371"/>
    <w:rsid w:val="002B6BA0"/>
    <w:rsid w:val="002B7ACD"/>
    <w:rsid w:val="002B7BC9"/>
    <w:rsid w:val="002C2247"/>
    <w:rsid w:val="002C281A"/>
    <w:rsid w:val="002C4741"/>
    <w:rsid w:val="002C618D"/>
    <w:rsid w:val="002C66F2"/>
    <w:rsid w:val="002C7FD1"/>
    <w:rsid w:val="002D322E"/>
    <w:rsid w:val="002D332A"/>
    <w:rsid w:val="002D35E5"/>
    <w:rsid w:val="002D5DF7"/>
    <w:rsid w:val="002E1115"/>
    <w:rsid w:val="002E35A4"/>
    <w:rsid w:val="002E67B2"/>
    <w:rsid w:val="002F0031"/>
    <w:rsid w:val="002F0960"/>
    <w:rsid w:val="002F164E"/>
    <w:rsid w:val="002F187F"/>
    <w:rsid w:val="002F1914"/>
    <w:rsid w:val="002F26A9"/>
    <w:rsid w:val="002F327D"/>
    <w:rsid w:val="002F4791"/>
    <w:rsid w:val="002F5398"/>
    <w:rsid w:val="002F5AAC"/>
    <w:rsid w:val="00302636"/>
    <w:rsid w:val="0030426B"/>
    <w:rsid w:val="003045CC"/>
    <w:rsid w:val="003046AD"/>
    <w:rsid w:val="00305BD3"/>
    <w:rsid w:val="00305D26"/>
    <w:rsid w:val="00307EF9"/>
    <w:rsid w:val="003100CC"/>
    <w:rsid w:val="003137E2"/>
    <w:rsid w:val="0031427A"/>
    <w:rsid w:val="00315122"/>
    <w:rsid w:val="0031672E"/>
    <w:rsid w:val="00320E07"/>
    <w:rsid w:val="00320F13"/>
    <w:rsid w:val="003225A5"/>
    <w:rsid w:val="00322E2A"/>
    <w:rsid w:val="003236B4"/>
    <w:rsid w:val="00324314"/>
    <w:rsid w:val="00324A36"/>
    <w:rsid w:val="00325051"/>
    <w:rsid w:val="003261B1"/>
    <w:rsid w:val="00326AE9"/>
    <w:rsid w:val="00327C41"/>
    <w:rsid w:val="0033172E"/>
    <w:rsid w:val="00331D98"/>
    <w:rsid w:val="003327EF"/>
    <w:rsid w:val="00332CE3"/>
    <w:rsid w:val="00333253"/>
    <w:rsid w:val="00334284"/>
    <w:rsid w:val="003358FF"/>
    <w:rsid w:val="003404E8"/>
    <w:rsid w:val="0034148B"/>
    <w:rsid w:val="00342A99"/>
    <w:rsid w:val="003443E2"/>
    <w:rsid w:val="003448E6"/>
    <w:rsid w:val="00345717"/>
    <w:rsid w:val="00345CB6"/>
    <w:rsid w:val="0034640B"/>
    <w:rsid w:val="00346CEA"/>
    <w:rsid w:val="00346D0C"/>
    <w:rsid w:val="00346FBC"/>
    <w:rsid w:val="00347A6E"/>
    <w:rsid w:val="00350713"/>
    <w:rsid w:val="003522F9"/>
    <w:rsid w:val="0035397F"/>
    <w:rsid w:val="003543B5"/>
    <w:rsid w:val="003543C4"/>
    <w:rsid w:val="0035449B"/>
    <w:rsid w:val="003561FD"/>
    <w:rsid w:val="00356A2E"/>
    <w:rsid w:val="00357DC2"/>
    <w:rsid w:val="003619B5"/>
    <w:rsid w:val="003619E7"/>
    <w:rsid w:val="00362399"/>
    <w:rsid w:val="00362E5D"/>
    <w:rsid w:val="0036483B"/>
    <w:rsid w:val="00365CF3"/>
    <w:rsid w:val="003660E2"/>
    <w:rsid w:val="003668EE"/>
    <w:rsid w:val="0036694B"/>
    <w:rsid w:val="003676A9"/>
    <w:rsid w:val="00367AA1"/>
    <w:rsid w:val="003702DF"/>
    <w:rsid w:val="00371126"/>
    <w:rsid w:val="00372294"/>
    <w:rsid w:val="003745A8"/>
    <w:rsid w:val="00374658"/>
    <w:rsid w:val="00374689"/>
    <w:rsid w:val="00374BDF"/>
    <w:rsid w:val="00375CDE"/>
    <w:rsid w:val="00376F01"/>
    <w:rsid w:val="00377473"/>
    <w:rsid w:val="003802E8"/>
    <w:rsid w:val="00383117"/>
    <w:rsid w:val="0038349F"/>
    <w:rsid w:val="003839E2"/>
    <w:rsid w:val="00385367"/>
    <w:rsid w:val="003861B7"/>
    <w:rsid w:val="003877AF"/>
    <w:rsid w:val="00390320"/>
    <w:rsid w:val="0039154E"/>
    <w:rsid w:val="00392467"/>
    <w:rsid w:val="003926B8"/>
    <w:rsid w:val="00392CC7"/>
    <w:rsid w:val="003931A0"/>
    <w:rsid w:val="00396D51"/>
    <w:rsid w:val="0039799A"/>
    <w:rsid w:val="003A138E"/>
    <w:rsid w:val="003A3162"/>
    <w:rsid w:val="003A39E4"/>
    <w:rsid w:val="003A54B2"/>
    <w:rsid w:val="003A69FB"/>
    <w:rsid w:val="003B0058"/>
    <w:rsid w:val="003B262F"/>
    <w:rsid w:val="003B2A5D"/>
    <w:rsid w:val="003B2BDA"/>
    <w:rsid w:val="003B4036"/>
    <w:rsid w:val="003B7830"/>
    <w:rsid w:val="003B7D1F"/>
    <w:rsid w:val="003B7EB1"/>
    <w:rsid w:val="003C05A0"/>
    <w:rsid w:val="003C076F"/>
    <w:rsid w:val="003C4985"/>
    <w:rsid w:val="003C52BA"/>
    <w:rsid w:val="003C574D"/>
    <w:rsid w:val="003C60F2"/>
    <w:rsid w:val="003C7178"/>
    <w:rsid w:val="003C79CB"/>
    <w:rsid w:val="003D09C6"/>
    <w:rsid w:val="003D163B"/>
    <w:rsid w:val="003D42CC"/>
    <w:rsid w:val="003D49A6"/>
    <w:rsid w:val="003D59CA"/>
    <w:rsid w:val="003D5FF4"/>
    <w:rsid w:val="003D6858"/>
    <w:rsid w:val="003E0868"/>
    <w:rsid w:val="003E1BAC"/>
    <w:rsid w:val="003E338A"/>
    <w:rsid w:val="003E4142"/>
    <w:rsid w:val="003E543C"/>
    <w:rsid w:val="003E5F0F"/>
    <w:rsid w:val="003E680D"/>
    <w:rsid w:val="003E6DD7"/>
    <w:rsid w:val="003E6E96"/>
    <w:rsid w:val="003F0F31"/>
    <w:rsid w:val="003F17EB"/>
    <w:rsid w:val="003F2792"/>
    <w:rsid w:val="003F3B92"/>
    <w:rsid w:val="003F44AD"/>
    <w:rsid w:val="003F4563"/>
    <w:rsid w:val="003F4AED"/>
    <w:rsid w:val="003F4FE1"/>
    <w:rsid w:val="003F6570"/>
    <w:rsid w:val="003F67CA"/>
    <w:rsid w:val="003F7AC0"/>
    <w:rsid w:val="00400BD2"/>
    <w:rsid w:val="00400E5D"/>
    <w:rsid w:val="004043E6"/>
    <w:rsid w:val="00404EFF"/>
    <w:rsid w:val="00405EA1"/>
    <w:rsid w:val="0040633A"/>
    <w:rsid w:val="004075EC"/>
    <w:rsid w:val="00411F55"/>
    <w:rsid w:val="00413562"/>
    <w:rsid w:val="0041380C"/>
    <w:rsid w:val="00413D5A"/>
    <w:rsid w:val="004143A4"/>
    <w:rsid w:val="00415476"/>
    <w:rsid w:val="00415970"/>
    <w:rsid w:val="00420461"/>
    <w:rsid w:val="0042092B"/>
    <w:rsid w:val="00421A86"/>
    <w:rsid w:val="00421FD5"/>
    <w:rsid w:val="00423BD4"/>
    <w:rsid w:val="00423CCC"/>
    <w:rsid w:val="004262E0"/>
    <w:rsid w:val="00426670"/>
    <w:rsid w:val="00426813"/>
    <w:rsid w:val="00426C14"/>
    <w:rsid w:val="00431853"/>
    <w:rsid w:val="004326E8"/>
    <w:rsid w:val="004329AD"/>
    <w:rsid w:val="004337AE"/>
    <w:rsid w:val="00434F5C"/>
    <w:rsid w:val="00435038"/>
    <w:rsid w:val="00441A92"/>
    <w:rsid w:val="00444CFE"/>
    <w:rsid w:val="004462D2"/>
    <w:rsid w:val="00446688"/>
    <w:rsid w:val="00446ED5"/>
    <w:rsid w:val="004470AD"/>
    <w:rsid w:val="004471F1"/>
    <w:rsid w:val="0044759A"/>
    <w:rsid w:val="00447A15"/>
    <w:rsid w:val="00447D7D"/>
    <w:rsid w:val="00447E10"/>
    <w:rsid w:val="0045175C"/>
    <w:rsid w:val="00451933"/>
    <w:rsid w:val="00453B86"/>
    <w:rsid w:val="004542B6"/>
    <w:rsid w:val="004547EC"/>
    <w:rsid w:val="00456F4A"/>
    <w:rsid w:val="004607E2"/>
    <w:rsid w:val="004639F6"/>
    <w:rsid w:val="004644D9"/>
    <w:rsid w:val="0046516D"/>
    <w:rsid w:val="00466883"/>
    <w:rsid w:val="00467758"/>
    <w:rsid w:val="00467FC8"/>
    <w:rsid w:val="00471DD5"/>
    <w:rsid w:val="00471E09"/>
    <w:rsid w:val="00472696"/>
    <w:rsid w:val="00473A68"/>
    <w:rsid w:val="004777D4"/>
    <w:rsid w:val="00477C7E"/>
    <w:rsid w:val="00480295"/>
    <w:rsid w:val="00480FF7"/>
    <w:rsid w:val="0048292F"/>
    <w:rsid w:val="00482F47"/>
    <w:rsid w:val="004832CD"/>
    <w:rsid w:val="004835A2"/>
    <w:rsid w:val="00486E92"/>
    <w:rsid w:val="00487CA1"/>
    <w:rsid w:val="004918BB"/>
    <w:rsid w:val="004934E0"/>
    <w:rsid w:val="00493665"/>
    <w:rsid w:val="00494BD7"/>
    <w:rsid w:val="00494EDC"/>
    <w:rsid w:val="0049512E"/>
    <w:rsid w:val="0049624E"/>
    <w:rsid w:val="00496F63"/>
    <w:rsid w:val="00497641"/>
    <w:rsid w:val="004A09EA"/>
    <w:rsid w:val="004A2505"/>
    <w:rsid w:val="004A4DE8"/>
    <w:rsid w:val="004A5467"/>
    <w:rsid w:val="004A5696"/>
    <w:rsid w:val="004A5C46"/>
    <w:rsid w:val="004A71AA"/>
    <w:rsid w:val="004A728C"/>
    <w:rsid w:val="004B28AA"/>
    <w:rsid w:val="004B3068"/>
    <w:rsid w:val="004B3ED3"/>
    <w:rsid w:val="004B56EA"/>
    <w:rsid w:val="004B6460"/>
    <w:rsid w:val="004B6901"/>
    <w:rsid w:val="004C0B7C"/>
    <w:rsid w:val="004C0E81"/>
    <w:rsid w:val="004C1409"/>
    <w:rsid w:val="004C27C3"/>
    <w:rsid w:val="004C4EF7"/>
    <w:rsid w:val="004C559B"/>
    <w:rsid w:val="004C5CD3"/>
    <w:rsid w:val="004C6267"/>
    <w:rsid w:val="004C767B"/>
    <w:rsid w:val="004D2CA7"/>
    <w:rsid w:val="004D2F0B"/>
    <w:rsid w:val="004D46F5"/>
    <w:rsid w:val="004D4A9E"/>
    <w:rsid w:val="004D590E"/>
    <w:rsid w:val="004D6B1B"/>
    <w:rsid w:val="004D785B"/>
    <w:rsid w:val="004E1BDD"/>
    <w:rsid w:val="004E1D51"/>
    <w:rsid w:val="004E3A78"/>
    <w:rsid w:val="004E3BAF"/>
    <w:rsid w:val="004E433B"/>
    <w:rsid w:val="004E6AC9"/>
    <w:rsid w:val="004E77FC"/>
    <w:rsid w:val="004E79AE"/>
    <w:rsid w:val="004E7A7E"/>
    <w:rsid w:val="004E7CFC"/>
    <w:rsid w:val="004F2A64"/>
    <w:rsid w:val="004F4602"/>
    <w:rsid w:val="004F53D0"/>
    <w:rsid w:val="004F6B3F"/>
    <w:rsid w:val="00500BF1"/>
    <w:rsid w:val="00501FAE"/>
    <w:rsid w:val="00502339"/>
    <w:rsid w:val="005031A9"/>
    <w:rsid w:val="00503554"/>
    <w:rsid w:val="00506B4C"/>
    <w:rsid w:val="00506F72"/>
    <w:rsid w:val="00507ABA"/>
    <w:rsid w:val="00510509"/>
    <w:rsid w:val="00510765"/>
    <w:rsid w:val="00510B8B"/>
    <w:rsid w:val="00512035"/>
    <w:rsid w:val="00512A98"/>
    <w:rsid w:val="005136D1"/>
    <w:rsid w:val="00513913"/>
    <w:rsid w:val="00513943"/>
    <w:rsid w:val="00514387"/>
    <w:rsid w:val="00517196"/>
    <w:rsid w:val="00522F83"/>
    <w:rsid w:val="005252B1"/>
    <w:rsid w:val="00525816"/>
    <w:rsid w:val="00526043"/>
    <w:rsid w:val="0052611F"/>
    <w:rsid w:val="005278DF"/>
    <w:rsid w:val="00530995"/>
    <w:rsid w:val="00530E8E"/>
    <w:rsid w:val="005330DD"/>
    <w:rsid w:val="0053483D"/>
    <w:rsid w:val="005367E1"/>
    <w:rsid w:val="005374BF"/>
    <w:rsid w:val="00540E7C"/>
    <w:rsid w:val="00541221"/>
    <w:rsid w:val="00541596"/>
    <w:rsid w:val="0054326A"/>
    <w:rsid w:val="00544BF2"/>
    <w:rsid w:val="00545185"/>
    <w:rsid w:val="0054587D"/>
    <w:rsid w:val="0054678A"/>
    <w:rsid w:val="00546DA7"/>
    <w:rsid w:val="005471D3"/>
    <w:rsid w:val="005509CA"/>
    <w:rsid w:val="0055149D"/>
    <w:rsid w:val="00552CE2"/>
    <w:rsid w:val="00553228"/>
    <w:rsid w:val="00555F5A"/>
    <w:rsid w:val="00557507"/>
    <w:rsid w:val="00557ED2"/>
    <w:rsid w:val="005602C5"/>
    <w:rsid w:val="00560EBF"/>
    <w:rsid w:val="00562534"/>
    <w:rsid w:val="0056410A"/>
    <w:rsid w:val="00564163"/>
    <w:rsid w:val="00565C00"/>
    <w:rsid w:val="00566185"/>
    <w:rsid w:val="00570685"/>
    <w:rsid w:val="00573B4E"/>
    <w:rsid w:val="0057627E"/>
    <w:rsid w:val="00580A5E"/>
    <w:rsid w:val="00583872"/>
    <w:rsid w:val="00584E85"/>
    <w:rsid w:val="00585254"/>
    <w:rsid w:val="00585909"/>
    <w:rsid w:val="005865FC"/>
    <w:rsid w:val="00587718"/>
    <w:rsid w:val="005908A9"/>
    <w:rsid w:val="00591326"/>
    <w:rsid w:val="005921AD"/>
    <w:rsid w:val="0059284D"/>
    <w:rsid w:val="00592A3F"/>
    <w:rsid w:val="00593C10"/>
    <w:rsid w:val="005949FB"/>
    <w:rsid w:val="00595F62"/>
    <w:rsid w:val="005A020D"/>
    <w:rsid w:val="005A0646"/>
    <w:rsid w:val="005A1385"/>
    <w:rsid w:val="005A3A45"/>
    <w:rsid w:val="005A6A3F"/>
    <w:rsid w:val="005A7411"/>
    <w:rsid w:val="005A7D83"/>
    <w:rsid w:val="005B110E"/>
    <w:rsid w:val="005B46B0"/>
    <w:rsid w:val="005B571E"/>
    <w:rsid w:val="005B7640"/>
    <w:rsid w:val="005B7E91"/>
    <w:rsid w:val="005C07AB"/>
    <w:rsid w:val="005C11FE"/>
    <w:rsid w:val="005C2442"/>
    <w:rsid w:val="005C37F6"/>
    <w:rsid w:val="005C4A7A"/>
    <w:rsid w:val="005C53C7"/>
    <w:rsid w:val="005C5720"/>
    <w:rsid w:val="005C74B8"/>
    <w:rsid w:val="005C7B8B"/>
    <w:rsid w:val="005C7DBE"/>
    <w:rsid w:val="005D0833"/>
    <w:rsid w:val="005D0BBA"/>
    <w:rsid w:val="005D275B"/>
    <w:rsid w:val="005D2E4A"/>
    <w:rsid w:val="005D310B"/>
    <w:rsid w:val="005D3CBD"/>
    <w:rsid w:val="005D403A"/>
    <w:rsid w:val="005D49C5"/>
    <w:rsid w:val="005D7E6A"/>
    <w:rsid w:val="005E0722"/>
    <w:rsid w:val="005E11D2"/>
    <w:rsid w:val="005E1383"/>
    <w:rsid w:val="005E179E"/>
    <w:rsid w:val="005E20D7"/>
    <w:rsid w:val="005E2D33"/>
    <w:rsid w:val="005E2DED"/>
    <w:rsid w:val="005E3407"/>
    <w:rsid w:val="005E377B"/>
    <w:rsid w:val="005E3C1B"/>
    <w:rsid w:val="005E482C"/>
    <w:rsid w:val="005E4B82"/>
    <w:rsid w:val="005E4D1E"/>
    <w:rsid w:val="005E51F4"/>
    <w:rsid w:val="005E586E"/>
    <w:rsid w:val="005E59E5"/>
    <w:rsid w:val="005E5BEE"/>
    <w:rsid w:val="005E76DC"/>
    <w:rsid w:val="005F159E"/>
    <w:rsid w:val="005F1603"/>
    <w:rsid w:val="005F182A"/>
    <w:rsid w:val="005F18C8"/>
    <w:rsid w:val="005F3452"/>
    <w:rsid w:val="005F4C12"/>
    <w:rsid w:val="005F5C7B"/>
    <w:rsid w:val="005F5D01"/>
    <w:rsid w:val="005F5DD0"/>
    <w:rsid w:val="005F6840"/>
    <w:rsid w:val="005F6F0C"/>
    <w:rsid w:val="00600A36"/>
    <w:rsid w:val="006016AC"/>
    <w:rsid w:val="00603C21"/>
    <w:rsid w:val="006043BB"/>
    <w:rsid w:val="006046C3"/>
    <w:rsid w:val="00607447"/>
    <w:rsid w:val="00610420"/>
    <w:rsid w:val="00610E34"/>
    <w:rsid w:val="006115E2"/>
    <w:rsid w:val="00611A57"/>
    <w:rsid w:val="00611D5F"/>
    <w:rsid w:val="00612368"/>
    <w:rsid w:val="00612BF3"/>
    <w:rsid w:val="00612E79"/>
    <w:rsid w:val="0061528A"/>
    <w:rsid w:val="00615342"/>
    <w:rsid w:val="0061560B"/>
    <w:rsid w:val="00615E8E"/>
    <w:rsid w:val="006175C6"/>
    <w:rsid w:val="006217AC"/>
    <w:rsid w:val="00621A5D"/>
    <w:rsid w:val="00621D70"/>
    <w:rsid w:val="0062544C"/>
    <w:rsid w:val="00625BDA"/>
    <w:rsid w:val="0062725B"/>
    <w:rsid w:val="00627E59"/>
    <w:rsid w:val="00630802"/>
    <w:rsid w:val="00632C81"/>
    <w:rsid w:val="006331D7"/>
    <w:rsid w:val="0063371D"/>
    <w:rsid w:val="00633F7A"/>
    <w:rsid w:val="0063587E"/>
    <w:rsid w:val="00635B20"/>
    <w:rsid w:val="00637F2C"/>
    <w:rsid w:val="0064138A"/>
    <w:rsid w:val="006425F1"/>
    <w:rsid w:val="006428D4"/>
    <w:rsid w:val="006440DB"/>
    <w:rsid w:val="0064787C"/>
    <w:rsid w:val="006508FC"/>
    <w:rsid w:val="00650B98"/>
    <w:rsid w:val="00651306"/>
    <w:rsid w:val="00651675"/>
    <w:rsid w:val="00651EA8"/>
    <w:rsid w:val="006526A9"/>
    <w:rsid w:val="00652BD5"/>
    <w:rsid w:val="00653D26"/>
    <w:rsid w:val="00654C52"/>
    <w:rsid w:val="00655098"/>
    <w:rsid w:val="0066082C"/>
    <w:rsid w:val="00661FF7"/>
    <w:rsid w:val="0066237C"/>
    <w:rsid w:val="00662C4F"/>
    <w:rsid w:val="0066371E"/>
    <w:rsid w:val="006639BB"/>
    <w:rsid w:val="00663FBD"/>
    <w:rsid w:val="006658F6"/>
    <w:rsid w:val="006664B0"/>
    <w:rsid w:val="00666B2D"/>
    <w:rsid w:val="0067283C"/>
    <w:rsid w:val="00674237"/>
    <w:rsid w:val="006746AE"/>
    <w:rsid w:val="00675B98"/>
    <w:rsid w:val="0068052A"/>
    <w:rsid w:val="00682B4D"/>
    <w:rsid w:val="006832E0"/>
    <w:rsid w:val="006835CB"/>
    <w:rsid w:val="00683F4B"/>
    <w:rsid w:val="006844E6"/>
    <w:rsid w:val="00684A1C"/>
    <w:rsid w:val="00685EA4"/>
    <w:rsid w:val="00687516"/>
    <w:rsid w:val="006878CA"/>
    <w:rsid w:val="00690079"/>
    <w:rsid w:val="00690D97"/>
    <w:rsid w:val="00691B4B"/>
    <w:rsid w:val="006936BF"/>
    <w:rsid w:val="00694898"/>
    <w:rsid w:val="00695C4D"/>
    <w:rsid w:val="00695E16"/>
    <w:rsid w:val="00696A7B"/>
    <w:rsid w:val="00697160"/>
    <w:rsid w:val="00697BC4"/>
    <w:rsid w:val="006A1884"/>
    <w:rsid w:val="006A277F"/>
    <w:rsid w:val="006A37AC"/>
    <w:rsid w:val="006A42D6"/>
    <w:rsid w:val="006A59D2"/>
    <w:rsid w:val="006A64BB"/>
    <w:rsid w:val="006A6C58"/>
    <w:rsid w:val="006A764E"/>
    <w:rsid w:val="006A76C2"/>
    <w:rsid w:val="006B00C5"/>
    <w:rsid w:val="006B0D84"/>
    <w:rsid w:val="006B0D99"/>
    <w:rsid w:val="006B1DA7"/>
    <w:rsid w:val="006B1FB3"/>
    <w:rsid w:val="006B283B"/>
    <w:rsid w:val="006B3FEB"/>
    <w:rsid w:val="006B4E00"/>
    <w:rsid w:val="006B5EFF"/>
    <w:rsid w:val="006B7ECC"/>
    <w:rsid w:val="006B7F16"/>
    <w:rsid w:val="006C003A"/>
    <w:rsid w:val="006C1732"/>
    <w:rsid w:val="006C3741"/>
    <w:rsid w:val="006C3DCC"/>
    <w:rsid w:val="006C50C0"/>
    <w:rsid w:val="006C5B11"/>
    <w:rsid w:val="006C69A1"/>
    <w:rsid w:val="006C7DDE"/>
    <w:rsid w:val="006D077B"/>
    <w:rsid w:val="006D2085"/>
    <w:rsid w:val="006D26A5"/>
    <w:rsid w:val="006D3215"/>
    <w:rsid w:val="006D33DC"/>
    <w:rsid w:val="006D49B6"/>
    <w:rsid w:val="006D50CD"/>
    <w:rsid w:val="006D52BD"/>
    <w:rsid w:val="006D5735"/>
    <w:rsid w:val="006D73E1"/>
    <w:rsid w:val="006E26D7"/>
    <w:rsid w:val="006E2C94"/>
    <w:rsid w:val="006E383F"/>
    <w:rsid w:val="006E38A8"/>
    <w:rsid w:val="006E6ADF"/>
    <w:rsid w:val="006E7171"/>
    <w:rsid w:val="006E7324"/>
    <w:rsid w:val="006E765D"/>
    <w:rsid w:val="006F0C74"/>
    <w:rsid w:val="006F111A"/>
    <w:rsid w:val="006F2DF5"/>
    <w:rsid w:val="006F4832"/>
    <w:rsid w:val="006F4F65"/>
    <w:rsid w:val="006F644D"/>
    <w:rsid w:val="006F698E"/>
    <w:rsid w:val="006F720B"/>
    <w:rsid w:val="007012CE"/>
    <w:rsid w:val="007014FC"/>
    <w:rsid w:val="00702ABB"/>
    <w:rsid w:val="00703699"/>
    <w:rsid w:val="007042FA"/>
    <w:rsid w:val="00705AC2"/>
    <w:rsid w:val="00707730"/>
    <w:rsid w:val="00710897"/>
    <w:rsid w:val="00714AF5"/>
    <w:rsid w:val="00716468"/>
    <w:rsid w:val="0071656E"/>
    <w:rsid w:val="00716FBB"/>
    <w:rsid w:val="00717443"/>
    <w:rsid w:val="0072087B"/>
    <w:rsid w:val="00721550"/>
    <w:rsid w:val="00721574"/>
    <w:rsid w:val="00722D91"/>
    <w:rsid w:val="00723194"/>
    <w:rsid w:val="00724497"/>
    <w:rsid w:val="00724F6F"/>
    <w:rsid w:val="00725598"/>
    <w:rsid w:val="007268FE"/>
    <w:rsid w:val="00726F7D"/>
    <w:rsid w:val="007315F1"/>
    <w:rsid w:val="00732007"/>
    <w:rsid w:val="007329D5"/>
    <w:rsid w:val="00733124"/>
    <w:rsid w:val="00734504"/>
    <w:rsid w:val="007345AF"/>
    <w:rsid w:val="00735172"/>
    <w:rsid w:val="00736657"/>
    <w:rsid w:val="0073769E"/>
    <w:rsid w:val="00737814"/>
    <w:rsid w:val="00740C9C"/>
    <w:rsid w:val="007431BC"/>
    <w:rsid w:val="007448D1"/>
    <w:rsid w:val="007465F2"/>
    <w:rsid w:val="007515C9"/>
    <w:rsid w:val="007516B1"/>
    <w:rsid w:val="00752346"/>
    <w:rsid w:val="007525F2"/>
    <w:rsid w:val="00752ABD"/>
    <w:rsid w:val="00752D78"/>
    <w:rsid w:val="007544C8"/>
    <w:rsid w:val="0075454A"/>
    <w:rsid w:val="00754BC2"/>
    <w:rsid w:val="00755783"/>
    <w:rsid w:val="0075699A"/>
    <w:rsid w:val="007613FB"/>
    <w:rsid w:val="0076408E"/>
    <w:rsid w:val="0076408F"/>
    <w:rsid w:val="007643A7"/>
    <w:rsid w:val="00764B5B"/>
    <w:rsid w:val="00765887"/>
    <w:rsid w:val="007669A1"/>
    <w:rsid w:val="00766CC4"/>
    <w:rsid w:val="00770F16"/>
    <w:rsid w:val="00772BE5"/>
    <w:rsid w:val="00773033"/>
    <w:rsid w:val="00773212"/>
    <w:rsid w:val="00773394"/>
    <w:rsid w:val="007738D8"/>
    <w:rsid w:val="00775A74"/>
    <w:rsid w:val="00775D04"/>
    <w:rsid w:val="00776D4D"/>
    <w:rsid w:val="007772CE"/>
    <w:rsid w:val="0078127E"/>
    <w:rsid w:val="00781AF4"/>
    <w:rsid w:val="00782EE6"/>
    <w:rsid w:val="007845A4"/>
    <w:rsid w:val="00786332"/>
    <w:rsid w:val="00791891"/>
    <w:rsid w:val="00791D61"/>
    <w:rsid w:val="007921FF"/>
    <w:rsid w:val="0079402E"/>
    <w:rsid w:val="00795462"/>
    <w:rsid w:val="007963A8"/>
    <w:rsid w:val="00796CB3"/>
    <w:rsid w:val="0079748F"/>
    <w:rsid w:val="007A6C47"/>
    <w:rsid w:val="007B3C4A"/>
    <w:rsid w:val="007B58C3"/>
    <w:rsid w:val="007B6F40"/>
    <w:rsid w:val="007B7B2C"/>
    <w:rsid w:val="007C0714"/>
    <w:rsid w:val="007C08F3"/>
    <w:rsid w:val="007C092B"/>
    <w:rsid w:val="007C0E98"/>
    <w:rsid w:val="007C2192"/>
    <w:rsid w:val="007C269D"/>
    <w:rsid w:val="007C3216"/>
    <w:rsid w:val="007C4C87"/>
    <w:rsid w:val="007C7195"/>
    <w:rsid w:val="007D00D4"/>
    <w:rsid w:val="007D0A38"/>
    <w:rsid w:val="007D14BE"/>
    <w:rsid w:val="007D2AB8"/>
    <w:rsid w:val="007D33B4"/>
    <w:rsid w:val="007D3648"/>
    <w:rsid w:val="007D6037"/>
    <w:rsid w:val="007D6D6E"/>
    <w:rsid w:val="007D7662"/>
    <w:rsid w:val="007E0192"/>
    <w:rsid w:val="007E36BF"/>
    <w:rsid w:val="007E38B2"/>
    <w:rsid w:val="007E3BF6"/>
    <w:rsid w:val="007E4294"/>
    <w:rsid w:val="007E4503"/>
    <w:rsid w:val="007F00FA"/>
    <w:rsid w:val="007F040C"/>
    <w:rsid w:val="007F1188"/>
    <w:rsid w:val="007F1C52"/>
    <w:rsid w:val="00800A05"/>
    <w:rsid w:val="00801FD3"/>
    <w:rsid w:val="00810518"/>
    <w:rsid w:val="008142CE"/>
    <w:rsid w:val="0081544B"/>
    <w:rsid w:val="008156C7"/>
    <w:rsid w:val="008161A0"/>
    <w:rsid w:val="0081703E"/>
    <w:rsid w:val="00820D99"/>
    <w:rsid w:val="00822880"/>
    <w:rsid w:val="00825060"/>
    <w:rsid w:val="00825F2D"/>
    <w:rsid w:val="008260E6"/>
    <w:rsid w:val="0082647F"/>
    <w:rsid w:val="008273DF"/>
    <w:rsid w:val="00830351"/>
    <w:rsid w:val="0083049F"/>
    <w:rsid w:val="008309E9"/>
    <w:rsid w:val="00833CCC"/>
    <w:rsid w:val="0083456C"/>
    <w:rsid w:val="00834CEB"/>
    <w:rsid w:val="00835935"/>
    <w:rsid w:val="00835C77"/>
    <w:rsid w:val="00843E73"/>
    <w:rsid w:val="00844E8A"/>
    <w:rsid w:val="00845C94"/>
    <w:rsid w:val="00846A24"/>
    <w:rsid w:val="00846BDA"/>
    <w:rsid w:val="00850EE9"/>
    <w:rsid w:val="00852DAC"/>
    <w:rsid w:val="00853000"/>
    <w:rsid w:val="0085548D"/>
    <w:rsid w:val="008559D7"/>
    <w:rsid w:val="00855D54"/>
    <w:rsid w:val="00857936"/>
    <w:rsid w:val="008606B5"/>
    <w:rsid w:val="00861DD7"/>
    <w:rsid w:val="00863968"/>
    <w:rsid w:val="00865DA7"/>
    <w:rsid w:val="00870C57"/>
    <w:rsid w:val="00871AF9"/>
    <w:rsid w:val="00871CA1"/>
    <w:rsid w:val="00873681"/>
    <w:rsid w:val="0087455A"/>
    <w:rsid w:val="008754EF"/>
    <w:rsid w:val="00875DB4"/>
    <w:rsid w:val="00876770"/>
    <w:rsid w:val="00876E6D"/>
    <w:rsid w:val="00877312"/>
    <w:rsid w:val="00880FB3"/>
    <w:rsid w:val="00883115"/>
    <w:rsid w:val="00885958"/>
    <w:rsid w:val="008901C9"/>
    <w:rsid w:val="008909F0"/>
    <w:rsid w:val="00890A87"/>
    <w:rsid w:val="00892673"/>
    <w:rsid w:val="0089287D"/>
    <w:rsid w:val="00895213"/>
    <w:rsid w:val="00895DCA"/>
    <w:rsid w:val="00895FFA"/>
    <w:rsid w:val="00896232"/>
    <w:rsid w:val="008A2CBB"/>
    <w:rsid w:val="008A35DC"/>
    <w:rsid w:val="008A3DA7"/>
    <w:rsid w:val="008A43A7"/>
    <w:rsid w:val="008A4AB9"/>
    <w:rsid w:val="008A650E"/>
    <w:rsid w:val="008A692F"/>
    <w:rsid w:val="008B0D68"/>
    <w:rsid w:val="008B21E9"/>
    <w:rsid w:val="008B2435"/>
    <w:rsid w:val="008B2BC0"/>
    <w:rsid w:val="008B3F4F"/>
    <w:rsid w:val="008B425A"/>
    <w:rsid w:val="008B772D"/>
    <w:rsid w:val="008B7A01"/>
    <w:rsid w:val="008C367D"/>
    <w:rsid w:val="008C3B03"/>
    <w:rsid w:val="008C65AB"/>
    <w:rsid w:val="008C675D"/>
    <w:rsid w:val="008C71B4"/>
    <w:rsid w:val="008C727C"/>
    <w:rsid w:val="008D3E64"/>
    <w:rsid w:val="008D55D5"/>
    <w:rsid w:val="008D6881"/>
    <w:rsid w:val="008D7E62"/>
    <w:rsid w:val="008D7F47"/>
    <w:rsid w:val="008E04CD"/>
    <w:rsid w:val="008E10F7"/>
    <w:rsid w:val="008E2DBE"/>
    <w:rsid w:val="008E3797"/>
    <w:rsid w:val="008E4F0D"/>
    <w:rsid w:val="008E58FF"/>
    <w:rsid w:val="008E76E2"/>
    <w:rsid w:val="008E77A4"/>
    <w:rsid w:val="008F01F3"/>
    <w:rsid w:val="008F05BB"/>
    <w:rsid w:val="008F0968"/>
    <w:rsid w:val="008F18DF"/>
    <w:rsid w:val="008F19B5"/>
    <w:rsid w:val="008F244C"/>
    <w:rsid w:val="008F2910"/>
    <w:rsid w:val="008F319E"/>
    <w:rsid w:val="008F33E8"/>
    <w:rsid w:val="008F4A63"/>
    <w:rsid w:val="008F4C88"/>
    <w:rsid w:val="008F4DC2"/>
    <w:rsid w:val="008F5C6C"/>
    <w:rsid w:val="008F6D5A"/>
    <w:rsid w:val="008F792B"/>
    <w:rsid w:val="00901EA5"/>
    <w:rsid w:val="00902CB0"/>
    <w:rsid w:val="009040B4"/>
    <w:rsid w:val="00906A61"/>
    <w:rsid w:val="00911508"/>
    <w:rsid w:val="00911A72"/>
    <w:rsid w:val="00912344"/>
    <w:rsid w:val="009145BD"/>
    <w:rsid w:val="00914DED"/>
    <w:rsid w:val="009203C4"/>
    <w:rsid w:val="00920E8C"/>
    <w:rsid w:val="0092119F"/>
    <w:rsid w:val="00925432"/>
    <w:rsid w:val="0092561F"/>
    <w:rsid w:val="009275BF"/>
    <w:rsid w:val="00930A80"/>
    <w:rsid w:val="00930C73"/>
    <w:rsid w:val="00931A94"/>
    <w:rsid w:val="009323DC"/>
    <w:rsid w:val="00932CBB"/>
    <w:rsid w:val="0093358B"/>
    <w:rsid w:val="009339F2"/>
    <w:rsid w:val="00933B0F"/>
    <w:rsid w:val="0093413C"/>
    <w:rsid w:val="00934DCF"/>
    <w:rsid w:val="0093583F"/>
    <w:rsid w:val="009366B2"/>
    <w:rsid w:val="00936D29"/>
    <w:rsid w:val="00942002"/>
    <w:rsid w:val="009424A8"/>
    <w:rsid w:val="009426CC"/>
    <w:rsid w:val="00942B20"/>
    <w:rsid w:val="0094300D"/>
    <w:rsid w:val="009433C8"/>
    <w:rsid w:val="00944A61"/>
    <w:rsid w:val="00944B6C"/>
    <w:rsid w:val="00947777"/>
    <w:rsid w:val="009505DE"/>
    <w:rsid w:val="00950640"/>
    <w:rsid w:val="009518A7"/>
    <w:rsid w:val="009535D7"/>
    <w:rsid w:val="00956271"/>
    <w:rsid w:val="00956BFD"/>
    <w:rsid w:val="009605AB"/>
    <w:rsid w:val="009612DE"/>
    <w:rsid w:val="00961562"/>
    <w:rsid w:val="0096239D"/>
    <w:rsid w:val="009625BF"/>
    <w:rsid w:val="00963F13"/>
    <w:rsid w:val="00965B8E"/>
    <w:rsid w:val="00967E1D"/>
    <w:rsid w:val="009713BC"/>
    <w:rsid w:val="00971F47"/>
    <w:rsid w:val="00974B24"/>
    <w:rsid w:val="00980AE7"/>
    <w:rsid w:val="00983DAD"/>
    <w:rsid w:val="00986981"/>
    <w:rsid w:val="00986A87"/>
    <w:rsid w:val="00986B42"/>
    <w:rsid w:val="00991CB6"/>
    <w:rsid w:val="00993232"/>
    <w:rsid w:val="009936C1"/>
    <w:rsid w:val="00997A8E"/>
    <w:rsid w:val="009A0084"/>
    <w:rsid w:val="009A1E24"/>
    <w:rsid w:val="009A2A34"/>
    <w:rsid w:val="009A2EB5"/>
    <w:rsid w:val="009A3466"/>
    <w:rsid w:val="009A3668"/>
    <w:rsid w:val="009A4460"/>
    <w:rsid w:val="009A5760"/>
    <w:rsid w:val="009A5984"/>
    <w:rsid w:val="009A6A8F"/>
    <w:rsid w:val="009B49D4"/>
    <w:rsid w:val="009B4C5C"/>
    <w:rsid w:val="009C01EE"/>
    <w:rsid w:val="009C0C7B"/>
    <w:rsid w:val="009C20F2"/>
    <w:rsid w:val="009C364E"/>
    <w:rsid w:val="009C49E3"/>
    <w:rsid w:val="009C4FDB"/>
    <w:rsid w:val="009D032E"/>
    <w:rsid w:val="009D1E33"/>
    <w:rsid w:val="009D2E35"/>
    <w:rsid w:val="009D40C9"/>
    <w:rsid w:val="009D44AB"/>
    <w:rsid w:val="009D5DD4"/>
    <w:rsid w:val="009E1513"/>
    <w:rsid w:val="009E1A0F"/>
    <w:rsid w:val="009E3683"/>
    <w:rsid w:val="009E42B1"/>
    <w:rsid w:val="009E48A9"/>
    <w:rsid w:val="009E5DB6"/>
    <w:rsid w:val="009E6A5F"/>
    <w:rsid w:val="009E780F"/>
    <w:rsid w:val="009F256C"/>
    <w:rsid w:val="009F2A01"/>
    <w:rsid w:val="009F4761"/>
    <w:rsid w:val="009F51DF"/>
    <w:rsid w:val="009F72B8"/>
    <w:rsid w:val="009F761A"/>
    <w:rsid w:val="00A0011F"/>
    <w:rsid w:val="00A002B3"/>
    <w:rsid w:val="00A00822"/>
    <w:rsid w:val="00A008CE"/>
    <w:rsid w:val="00A00F47"/>
    <w:rsid w:val="00A01089"/>
    <w:rsid w:val="00A013B4"/>
    <w:rsid w:val="00A01AFD"/>
    <w:rsid w:val="00A02496"/>
    <w:rsid w:val="00A056F3"/>
    <w:rsid w:val="00A058CF"/>
    <w:rsid w:val="00A06C13"/>
    <w:rsid w:val="00A073B9"/>
    <w:rsid w:val="00A1070D"/>
    <w:rsid w:val="00A108EF"/>
    <w:rsid w:val="00A10F39"/>
    <w:rsid w:val="00A1241C"/>
    <w:rsid w:val="00A12AD9"/>
    <w:rsid w:val="00A12DB9"/>
    <w:rsid w:val="00A12F37"/>
    <w:rsid w:val="00A13866"/>
    <w:rsid w:val="00A13C30"/>
    <w:rsid w:val="00A144DA"/>
    <w:rsid w:val="00A16B2D"/>
    <w:rsid w:val="00A20344"/>
    <w:rsid w:val="00A204D7"/>
    <w:rsid w:val="00A2247A"/>
    <w:rsid w:val="00A226A6"/>
    <w:rsid w:val="00A23458"/>
    <w:rsid w:val="00A240A7"/>
    <w:rsid w:val="00A24348"/>
    <w:rsid w:val="00A2464B"/>
    <w:rsid w:val="00A258BD"/>
    <w:rsid w:val="00A262F9"/>
    <w:rsid w:val="00A2684D"/>
    <w:rsid w:val="00A27B94"/>
    <w:rsid w:val="00A3018D"/>
    <w:rsid w:val="00A3076F"/>
    <w:rsid w:val="00A3139F"/>
    <w:rsid w:val="00A324A4"/>
    <w:rsid w:val="00A32B72"/>
    <w:rsid w:val="00A33000"/>
    <w:rsid w:val="00A336C3"/>
    <w:rsid w:val="00A3523E"/>
    <w:rsid w:val="00A35CAA"/>
    <w:rsid w:val="00A36D94"/>
    <w:rsid w:val="00A40ED4"/>
    <w:rsid w:val="00A41BB3"/>
    <w:rsid w:val="00A427A1"/>
    <w:rsid w:val="00A42CCE"/>
    <w:rsid w:val="00A433B9"/>
    <w:rsid w:val="00A434BE"/>
    <w:rsid w:val="00A448F6"/>
    <w:rsid w:val="00A46408"/>
    <w:rsid w:val="00A4653B"/>
    <w:rsid w:val="00A46DFF"/>
    <w:rsid w:val="00A4727E"/>
    <w:rsid w:val="00A472C9"/>
    <w:rsid w:val="00A47971"/>
    <w:rsid w:val="00A5342F"/>
    <w:rsid w:val="00A53E22"/>
    <w:rsid w:val="00A5406D"/>
    <w:rsid w:val="00A55376"/>
    <w:rsid w:val="00A564BA"/>
    <w:rsid w:val="00A57F92"/>
    <w:rsid w:val="00A6008E"/>
    <w:rsid w:val="00A63811"/>
    <w:rsid w:val="00A64297"/>
    <w:rsid w:val="00A70994"/>
    <w:rsid w:val="00A7105A"/>
    <w:rsid w:val="00A71C94"/>
    <w:rsid w:val="00A722EF"/>
    <w:rsid w:val="00A72362"/>
    <w:rsid w:val="00A73189"/>
    <w:rsid w:val="00A751E5"/>
    <w:rsid w:val="00A755F0"/>
    <w:rsid w:val="00A76A00"/>
    <w:rsid w:val="00A76A17"/>
    <w:rsid w:val="00A76D0F"/>
    <w:rsid w:val="00A80004"/>
    <w:rsid w:val="00A800D4"/>
    <w:rsid w:val="00A8074A"/>
    <w:rsid w:val="00A80BDF"/>
    <w:rsid w:val="00A8237B"/>
    <w:rsid w:val="00A83511"/>
    <w:rsid w:val="00A86203"/>
    <w:rsid w:val="00A8647D"/>
    <w:rsid w:val="00A870D8"/>
    <w:rsid w:val="00A93FC4"/>
    <w:rsid w:val="00A955A4"/>
    <w:rsid w:val="00A9645A"/>
    <w:rsid w:val="00AA0216"/>
    <w:rsid w:val="00AA1F20"/>
    <w:rsid w:val="00AA2444"/>
    <w:rsid w:val="00AA2C68"/>
    <w:rsid w:val="00AA3256"/>
    <w:rsid w:val="00AA368D"/>
    <w:rsid w:val="00AB0875"/>
    <w:rsid w:val="00AB153C"/>
    <w:rsid w:val="00AB1610"/>
    <w:rsid w:val="00AB36F5"/>
    <w:rsid w:val="00AB57CC"/>
    <w:rsid w:val="00AB602D"/>
    <w:rsid w:val="00AB6040"/>
    <w:rsid w:val="00AB60B7"/>
    <w:rsid w:val="00AB6BA9"/>
    <w:rsid w:val="00AB730C"/>
    <w:rsid w:val="00AC382E"/>
    <w:rsid w:val="00AC4F43"/>
    <w:rsid w:val="00AC7B37"/>
    <w:rsid w:val="00AC7B3C"/>
    <w:rsid w:val="00AD1E50"/>
    <w:rsid w:val="00AD41C7"/>
    <w:rsid w:val="00AD4B80"/>
    <w:rsid w:val="00AD6889"/>
    <w:rsid w:val="00AE071E"/>
    <w:rsid w:val="00AE2C66"/>
    <w:rsid w:val="00AE32B6"/>
    <w:rsid w:val="00AE3D5D"/>
    <w:rsid w:val="00AE4728"/>
    <w:rsid w:val="00AE476F"/>
    <w:rsid w:val="00AE55A4"/>
    <w:rsid w:val="00AF05A3"/>
    <w:rsid w:val="00AF0BFD"/>
    <w:rsid w:val="00AF0EC6"/>
    <w:rsid w:val="00AF4420"/>
    <w:rsid w:val="00AF5FF2"/>
    <w:rsid w:val="00B006DF"/>
    <w:rsid w:val="00B00924"/>
    <w:rsid w:val="00B009A4"/>
    <w:rsid w:val="00B06105"/>
    <w:rsid w:val="00B0711B"/>
    <w:rsid w:val="00B07459"/>
    <w:rsid w:val="00B10499"/>
    <w:rsid w:val="00B11A0C"/>
    <w:rsid w:val="00B11CBA"/>
    <w:rsid w:val="00B13E0F"/>
    <w:rsid w:val="00B16327"/>
    <w:rsid w:val="00B164BD"/>
    <w:rsid w:val="00B20F7F"/>
    <w:rsid w:val="00B211D3"/>
    <w:rsid w:val="00B24F88"/>
    <w:rsid w:val="00B2516C"/>
    <w:rsid w:val="00B2530F"/>
    <w:rsid w:val="00B263AB"/>
    <w:rsid w:val="00B3124A"/>
    <w:rsid w:val="00B3131A"/>
    <w:rsid w:val="00B324B6"/>
    <w:rsid w:val="00B331F1"/>
    <w:rsid w:val="00B334A1"/>
    <w:rsid w:val="00B3391B"/>
    <w:rsid w:val="00B33E85"/>
    <w:rsid w:val="00B34051"/>
    <w:rsid w:val="00B36F39"/>
    <w:rsid w:val="00B373A1"/>
    <w:rsid w:val="00B37899"/>
    <w:rsid w:val="00B37A73"/>
    <w:rsid w:val="00B40D3E"/>
    <w:rsid w:val="00B428DB"/>
    <w:rsid w:val="00B42D48"/>
    <w:rsid w:val="00B4372B"/>
    <w:rsid w:val="00B44ED5"/>
    <w:rsid w:val="00B509E1"/>
    <w:rsid w:val="00B511D2"/>
    <w:rsid w:val="00B5282C"/>
    <w:rsid w:val="00B53A71"/>
    <w:rsid w:val="00B5458E"/>
    <w:rsid w:val="00B57476"/>
    <w:rsid w:val="00B602E8"/>
    <w:rsid w:val="00B60A67"/>
    <w:rsid w:val="00B63030"/>
    <w:rsid w:val="00B63971"/>
    <w:rsid w:val="00B63E81"/>
    <w:rsid w:val="00B6406B"/>
    <w:rsid w:val="00B67A22"/>
    <w:rsid w:val="00B7065A"/>
    <w:rsid w:val="00B70B1F"/>
    <w:rsid w:val="00B71BDA"/>
    <w:rsid w:val="00B72AE9"/>
    <w:rsid w:val="00B72C1A"/>
    <w:rsid w:val="00B737E7"/>
    <w:rsid w:val="00B7507F"/>
    <w:rsid w:val="00B755F4"/>
    <w:rsid w:val="00B756F7"/>
    <w:rsid w:val="00B7623E"/>
    <w:rsid w:val="00B77624"/>
    <w:rsid w:val="00B77E1E"/>
    <w:rsid w:val="00B80C15"/>
    <w:rsid w:val="00B81A90"/>
    <w:rsid w:val="00B81F25"/>
    <w:rsid w:val="00B82423"/>
    <w:rsid w:val="00B82602"/>
    <w:rsid w:val="00B83659"/>
    <w:rsid w:val="00B83714"/>
    <w:rsid w:val="00B848E1"/>
    <w:rsid w:val="00B87641"/>
    <w:rsid w:val="00B92935"/>
    <w:rsid w:val="00B94506"/>
    <w:rsid w:val="00B94E78"/>
    <w:rsid w:val="00B9627D"/>
    <w:rsid w:val="00B96D94"/>
    <w:rsid w:val="00B9779B"/>
    <w:rsid w:val="00BA14C2"/>
    <w:rsid w:val="00BA185F"/>
    <w:rsid w:val="00BA5DAA"/>
    <w:rsid w:val="00BA6D02"/>
    <w:rsid w:val="00BB18F6"/>
    <w:rsid w:val="00BB1B47"/>
    <w:rsid w:val="00BB3E15"/>
    <w:rsid w:val="00BB553B"/>
    <w:rsid w:val="00BB6FF0"/>
    <w:rsid w:val="00BB7D2E"/>
    <w:rsid w:val="00BC067A"/>
    <w:rsid w:val="00BC1C2E"/>
    <w:rsid w:val="00BC49A9"/>
    <w:rsid w:val="00BD016B"/>
    <w:rsid w:val="00BD0273"/>
    <w:rsid w:val="00BD0515"/>
    <w:rsid w:val="00BD420F"/>
    <w:rsid w:val="00BD43F1"/>
    <w:rsid w:val="00BD44C0"/>
    <w:rsid w:val="00BD5185"/>
    <w:rsid w:val="00BD61EA"/>
    <w:rsid w:val="00BD6530"/>
    <w:rsid w:val="00BD6E1E"/>
    <w:rsid w:val="00BD6FFF"/>
    <w:rsid w:val="00BD70FC"/>
    <w:rsid w:val="00BD7C5F"/>
    <w:rsid w:val="00BE0482"/>
    <w:rsid w:val="00BE05B1"/>
    <w:rsid w:val="00BE24A5"/>
    <w:rsid w:val="00BE275A"/>
    <w:rsid w:val="00BE2E16"/>
    <w:rsid w:val="00BE368E"/>
    <w:rsid w:val="00BE3F4E"/>
    <w:rsid w:val="00BE4DA7"/>
    <w:rsid w:val="00BE542B"/>
    <w:rsid w:val="00BE58D8"/>
    <w:rsid w:val="00BE7436"/>
    <w:rsid w:val="00BE7458"/>
    <w:rsid w:val="00BF01C8"/>
    <w:rsid w:val="00BF15F8"/>
    <w:rsid w:val="00BF2749"/>
    <w:rsid w:val="00BF2DCB"/>
    <w:rsid w:val="00BF39AF"/>
    <w:rsid w:val="00BF410B"/>
    <w:rsid w:val="00BF5117"/>
    <w:rsid w:val="00BF6683"/>
    <w:rsid w:val="00BF6801"/>
    <w:rsid w:val="00C00416"/>
    <w:rsid w:val="00C01B80"/>
    <w:rsid w:val="00C04393"/>
    <w:rsid w:val="00C07DA0"/>
    <w:rsid w:val="00C12097"/>
    <w:rsid w:val="00C14C6F"/>
    <w:rsid w:val="00C14F31"/>
    <w:rsid w:val="00C17F5B"/>
    <w:rsid w:val="00C20341"/>
    <w:rsid w:val="00C20D38"/>
    <w:rsid w:val="00C24A3B"/>
    <w:rsid w:val="00C27B37"/>
    <w:rsid w:val="00C30155"/>
    <w:rsid w:val="00C30243"/>
    <w:rsid w:val="00C30277"/>
    <w:rsid w:val="00C30738"/>
    <w:rsid w:val="00C315D0"/>
    <w:rsid w:val="00C31C88"/>
    <w:rsid w:val="00C322FB"/>
    <w:rsid w:val="00C3239B"/>
    <w:rsid w:val="00C33734"/>
    <w:rsid w:val="00C33944"/>
    <w:rsid w:val="00C34C5C"/>
    <w:rsid w:val="00C36189"/>
    <w:rsid w:val="00C36C6D"/>
    <w:rsid w:val="00C36FDC"/>
    <w:rsid w:val="00C40951"/>
    <w:rsid w:val="00C40D0B"/>
    <w:rsid w:val="00C40D3A"/>
    <w:rsid w:val="00C415E4"/>
    <w:rsid w:val="00C42C5F"/>
    <w:rsid w:val="00C436CC"/>
    <w:rsid w:val="00C442A0"/>
    <w:rsid w:val="00C44E45"/>
    <w:rsid w:val="00C455E4"/>
    <w:rsid w:val="00C456F8"/>
    <w:rsid w:val="00C506C5"/>
    <w:rsid w:val="00C50ED0"/>
    <w:rsid w:val="00C51BA7"/>
    <w:rsid w:val="00C51FC1"/>
    <w:rsid w:val="00C52177"/>
    <w:rsid w:val="00C521CC"/>
    <w:rsid w:val="00C542A4"/>
    <w:rsid w:val="00C5600A"/>
    <w:rsid w:val="00C56B4F"/>
    <w:rsid w:val="00C5777B"/>
    <w:rsid w:val="00C57E47"/>
    <w:rsid w:val="00C6026D"/>
    <w:rsid w:val="00C60F12"/>
    <w:rsid w:val="00C61292"/>
    <w:rsid w:val="00C62ED2"/>
    <w:rsid w:val="00C6508D"/>
    <w:rsid w:val="00C654B6"/>
    <w:rsid w:val="00C6557D"/>
    <w:rsid w:val="00C66A32"/>
    <w:rsid w:val="00C6775B"/>
    <w:rsid w:val="00C70755"/>
    <w:rsid w:val="00C71678"/>
    <w:rsid w:val="00C71BFC"/>
    <w:rsid w:val="00C74F68"/>
    <w:rsid w:val="00C808F3"/>
    <w:rsid w:val="00C81080"/>
    <w:rsid w:val="00C81F69"/>
    <w:rsid w:val="00C826B3"/>
    <w:rsid w:val="00C83D2C"/>
    <w:rsid w:val="00C85873"/>
    <w:rsid w:val="00C874A0"/>
    <w:rsid w:val="00C87EFB"/>
    <w:rsid w:val="00C92C38"/>
    <w:rsid w:val="00C93E96"/>
    <w:rsid w:val="00C94363"/>
    <w:rsid w:val="00C94D44"/>
    <w:rsid w:val="00C976B2"/>
    <w:rsid w:val="00CA0FC6"/>
    <w:rsid w:val="00CA1B1C"/>
    <w:rsid w:val="00CA1B2D"/>
    <w:rsid w:val="00CA203F"/>
    <w:rsid w:val="00CA34F0"/>
    <w:rsid w:val="00CA413D"/>
    <w:rsid w:val="00CA474B"/>
    <w:rsid w:val="00CA602C"/>
    <w:rsid w:val="00CA6172"/>
    <w:rsid w:val="00CA7F72"/>
    <w:rsid w:val="00CB32F6"/>
    <w:rsid w:val="00CB361D"/>
    <w:rsid w:val="00CB3B79"/>
    <w:rsid w:val="00CB4C6D"/>
    <w:rsid w:val="00CB5252"/>
    <w:rsid w:val="00CB5554"/>
    <w:rsid w:val="00CB5FE6"/>
    <w:rsid w:val="00CB78D7"/>
    <w:rsid w:val="00CC0ACC"/>
    <w:rsid w:val="00CC29BC"/>
    <w:rsid w:val="00CC46A8"/>
    <w:rsid w:val="00CC4AD6"/>
    <w:rsid w:val="00CC5D2B"/>
    <w:rsid w:val="00CD2580"/>
    <w:rsid w:val="00CD2CFD"/>
    <w:rsid w:val="00CD3319"/>
    <w:rsid w:val="00CD3787"/>
    <w:rsid w:val="00CD37C1"/>
    <w:rsid w:val="00CD4C75"/>
    <w:rsid w:val="00CD501F"/>
    <w:rsid w:val="00CD5C4B"/>
    <w:rsid w:val="00CE0321"/>
    <w:rsid w:val="00CE2801"/>
    <w:rsid w:val="00CE32DB"/>
    <w:rsid w:val="00CE3AA0"/>
    <w:rsid w:val="00CE3E60"/>
    <w:rsid w:val="00CE4487"/>
    <w:rsid w:val="00CE5011"/>
    <w:rsid w:val="00CE5B98"/>
    <w:rsid w:val="00CE5BB6"/>
    <w:rsid w:val="00CE61BE"/>
    <w:rsid w:val="00CE62F5"/>
    <w:rsid w:val="00CE63C1"/>
    <w:rsid w:val="00CE6C2C"/>
    <w:rsid w:val="00CE6EB0"/>
    <w:rsid w:val="00CE7597"/>
    <w:rsid w:val="00CE7C69"/>
    <w:rsid w:val="00CF0B86"/>
    <w:rsid w:val="00CF23BE"/>
    <w:rsid w:val="00CF2751"/>
    <w:rsid w:val="00CF2A61"/>
    <w:rsid w:val="00CF6655"/>
    <w:rsid w:val="00CF6EED"/>
    <w:rsid w:val="00CF71B5"/>
    <w:rsid w:val="00D00409"/>
    <w:rsid w:val="00D01A99"/>
    <w:rsid w:val="00D02855"/>
    <w:rsid w:val="00D0311B"/>
    <w:rsid w:val="00D03670"/>
    <w:rsid w:val="00D04505"/>
    <w:rsid w:val="00D050C7"/>
    <w:rsid w:val="00D10811"/>
    <w:rsid w:val="00D1193C"/>
    <w:rsid w:val="00D1285C"/>
    <w:rsid w:val="00D131B5"/>
    <w:rsid w:val="00D131B6"/>
    <w:rsid w:val="00D1364D"/>
    <w:rsid w:val="00D13771"/>
    <w:rsid w:val="00D161F6"/>
    <w:rsid w:val="00D166B7"/>
    <w:rsid w:val="00D16FD2"/>
    <w:rsid w:val="00D20A10"/>
    <w:rsid w:val="00D236DE"/>
    <w:rsid w:val="00D23C9C"/>
    <w:rsid w:val="00D245E9"/>
    <w:rsid w:val="00D26251"/>
    <w:rsid w:val="00D2649C"/>
    <w:rsid w:val="00D277D4"/>
    <w:rsid w:val="00D27A40"/>
    <w:rsid w:val="00D306D3"/>
    <w:rsid w:val="00D31F15"/>
    <w:rsid w:val="00D329D0"/>
    <w:rsid w:val="00D33330"/>
    <w:rsid w:val="00D34368"/>
    <w:rsid w:val="00D35EC2"/>
    <w:rsid w:val="00D36836"/>
    <w:rsid w:val="00D3714B"/>
    <w:rsid w:val="00D37778"/>
    <w:rsid w:val="00D40C8D"/>
    <w:rsid w:val="00D416E2"/>
    <w:rsid w:val="00D420F6"/>
    <w:rsid w:val="00D43858"/>
    <w:rsid w:val="00D43A38"/>
    <w:rsid w:val="00D441B7"/>
    <w:rsid w:val="00D45470"/>
    <w:rsid w:val="00D46034"/>
    <w:rsid w:val="00D4612C"/>
    <w:rsid w:val="00D4630A"/>
    <w:rsid w:val="00D477BB"/>
    <w:rsid w:val="00D51B2C"/>
    <w:rsid w:val="00D5365F"/>
    <w:rsid w:val="00D54A48"/>
    <w:rsid w:val="00D54B06"/>
    <w:rsid w:val="00D577BA"/>
    <w:rsid w:val="00D61AC6"/>
    <w:rsid w:val="00D623B3"/>
    <w:rsid w:val="00D626DA"/>
    <w:rsid w:val="00D62ECA"/>
    <w:rsid w:val="00D638A3"/>
    <w:rsid w:val="00D65F8D"/>
    <w:rsid w:val="00D6622B"/>
    <w:rsid w:val="00D671CC"/>
    <w:rsid w:val="00D674FC"/>
    <w:rsid w:val="00D723B9"/>
    <w:rsid w:val="00D72B36"/>
    <w:rsid w:val="00D737B3"/>
    <w:rsid w:val="00D7490A"/>
    <w:rsid w:val="00D7498E"/>
    <w:rsid w:val="00D805B5"/>
    <w:rsid w:val="00D814A0"/>
    <w:rsid w:val="00D81E41"/>
    <w:rsid w:val="00D82C42"/>
    <w:rsid w:val="00D8383D"/>
    <w:rsid w:val="00D85BF3"/>
    <w:rsid w:val="00D87068"/>
    <w:rsid w:val="00D8756B"/>
    <w:rsid w:val="00D87981"/>
    <w:rsid w:val="00D87F96"/>
    <w:rsid w:val="00D907B2"/>
    <w:rsid w:val="00D91C43"/>
    <w:rsid w:val="00D91DAE"/>
    <w:rsid w:val="00D94899"/>
    <w:rsid w:val="00D952D2"/>
    <w:rsid w:val="00D960BA"/>
    <w:rsid w:val="00D9649D"/>
    <w:rsid w:val="00D96608"/>
    <w:rsid w:val="00D978E2"/>
    <w:rsid w:val="00D97A26"/>
    <w:rsid w:val="00DA1A5C"/>
    <w:rsid w:val="00DA24C6"/>
    <w:rsid w:val="00DA253B"/>
    <w:rsid w:val="00DA2AAD"/>
    <w:rsid w:val="00DA30D4"/>
    <w:rsid w:val="00DA3CE6"/>
    <w:rsid w:val="00DA4247"/>
    <w:rsid w:val="00DA7B4C"/>
    <w:rsid w:val="00DB127A"/>
    <w:rsid w:val="00DB13CF"/>
    <w:rsid w:val="00DB1A0B"/>
    <w:rsid w:val="00DB1D10"/>
    <w:rsid w:val="00DB3C7E"/>
    <w:rsid w:val="00DB5C25"/>
    <w:rsid w:val="00DB60AF"/>
    <w:rsid w:val="00DB798C"/>
    <w:rsid w:val="00DB7F98"/>
    <w:rsid w:val="00DC1E25"/>
    <w:rsid w:val="00DC30E6"/>
    <w:rsid w:val="00DC3904"/>
    <w:rsid w:val="00DC57C7"/>
    <w:rsid w:val="00DC7510"/>
    <w:rsid w:val="00DC7E9F"/>
    <w:rsid w:val="00DD0655"/>
    <w:rsid w:val="00DD0FD9"/>
    <w:rsid w:val="00DD26EB"/>
    <w:rsid w:val="00DD2790"/>
    <w:rsid w:val="00DD297E"/>
    <w:rsid w:val="00DD336A"/>
    <w:rsid w:val="00DD3ACE"/>
    <w:rsid w:val="00DD6743"/>
    <w:rsid w:val="00DD6767"/>
    <w:rsid w:val="00DE1150"/>
    <w:rsid w:val="00DE1CAA"/>
    <w:rsid w:val="00DE2373"/>
    <w:rsid w:val="00DE2AB6"/>
    <w:rsid w:val="00DE3296"/>
    <w:rsid w:val="00DE3EA3"/>
    <w:rsid w:val="00DE42CD"/>
    <w:rsid w:val="00DE4909"/>
    <w:rsid w:val="00DE65F2"/>
    <w:rsid w:val="00DE6B04"/>
    <w:rsid w:val="00DE7903"/>
    <w:rsid w:val="00DE7ACE"/>
    <w:rsid w:val="00DF015A"/>
    <w:rsid w:val="00DF01F7"/>
    <w:rsid w:val="00DF049C"/>
    <w:rsid w:val="00DF0924"/>
    <w:rsid w:val="00DF0A71"/>
    <w:rsid w:val="00DF0BB1"/>
    <w:rsid w:val="00DF55C8"/>
    <w:rsid w:val="00DF5A6F"/>
    <w:rsid w:val="00E00B92"/>
    <w:rsid w:val="00E01567"/>
    <w:rsid w:val="00E040EF"/>
    <w:rsid w:val="00E04DBD"/>
    <w:rsid w:val="00E074FE"/>
    <w:rsid w:val="00E117EF"/>
    <w:rsid w:val="00E13330"/>
    <w:rsid w:val="00E14BE3"/>
    <w:rsid w:val="00E1709A"/>
    <w:rsid w:val="00E17A33"/>
    <w:rsid w:val="00E20141"/>
    <w:rsid w:val="00E22472"/>
    <w:rsid w:val="00E24852"/>
    <w:rsid w:val="00E24BE8"/>
    <w:rsid w:val="00E2518C"/>
    <w:rsid w:val="00E25D7A"/>
    <w:rsid w:val="00E265C2"/>
    <w:rsid w:val="00E27A27"/>
    <w:rsid w:val="00E27B3A"/>
    <w:rsid w:val="00E27DC9"/>
    <w:rsid w:val="00E3178F"/>
    <w:rsid w:val="00E31CF0"/>
    <w:rsid w:val="00E3270D"/>
    <w:rsid w:val="00E32E3F"/>
    <w:rsid w:val="00E33D55"/>
    <w:rsid w:val="00E36D99"/>
    <w:rsid w:val="00E376C6"/>
    <w:rsid w:val="00E37ED0"/>
    <w:rsid w:val="00E37F9C"/>
    <w:rsid w:val="00E4385F"/>
    <w:rsid w:val="00E43ACF"/>
    <w:rsid w:val="00E43CCF"/>
    <w:rsid w:val="00E44758"/>
    <w:rsid w:val="00E46C30"/>
    <w:rsid w:val="00E46FCC"/>
    <w:rsid w:val="00E50644"/>
    <w:rsid w:val="00E51E93"/>
    <w:rsid w:val="00E548DE"/>
    <w:rsid w:val="00E54B86"/>
    <w:rsid w:val="00E55396"/>
    <w:rsid w:val="00E6280A"/>
    <w:rsid w:val="00E62BA2"/>
    <w:rsid w:val="00E62D4B"/>
    <w:rsid w:val="00E6343F"/>
    <w:rsid w:val="00E63455"/>
    <w:rsid w:val="00E648E8"/>
    <w:rsid w:val="00E64DF6"/>
    <w:rsid w:val="00E6578B"/>
    <w:rsid w:val="00E66D2F"/>
    <w:rsid w:val="00E6714E"/>
    <w:rsid w:val="00E678D3"/>
    <w:rsid w:val="00E707CA"/>
    <w:rsid w:val="00E718F8"/>
    <w:rsid w:val="00E7193D"/>
    <w:rsid w:val="00E722D0"/>
    <w:rsid w:val="00E74797"/>
    <w:rsid w:val="00E80D45"/>
    <w:rsid w:val="00E81D32"/>
    <w:rsid w:val="00E83446"/>
    <w:rsid w:val="00E83AFC"/>
    <w:rsid w:val="00E84149"/>
    <w:rsid w:val="00E84C2F"/>
    <w:rsid w:val="00E84F8B"/>
    <w:rsid w:val="00E8661C"/>
    <w:rsid w:val="00E911C8"/>
    <w:rsid w:val="00E91243"/>
    <w:rsid w:val="00E92D95"/>
    <w:rsid w:val="00E9309F"/>
    <w:rsid w:val="00E93DD4"/>
    <w:rsid w:val="00E94332"/>
    <w:rsid w:val="00E950FB"/>
    <w:rsid w:val="00E97F3A"/>
    <w:rsid w:val="00EA2024"/>
    <w:rsid w:val="00EA335C"/>
    <w:rsid w:val="00EA3BDC"/>
    <w:rsid w:val="00EA44AE"/>
    <w:rsid w:val="00EA7937"/>
    <w:rsid w:val="00EA7FF3"/>
    <w:rsid w:val="00EB0558"/>
    <w:rsid w:val="00EB08D4"/>
    <w:rsid w:val="00EB118C"/>
    <w:rsid w:val="00EB1D48"/>
    <w:rsid w:val="00EB3928"/>
    <w:rsid w:val="00EB3F15"/>
    <w:rsid w:val="00EC0560"/>
    <w:rsid w:val="00EC102A"/>
    <w:rsid w:val="00EC290E"/>
    <w:rsid w:val="00EC32EF"/>
    <w:rsid w:val="00EC35C8"/>
    <w:rsid w:val="00EC3D5E"/>
    <w:rsid w:val="00EC3F3A"/>
    <w:rsid w:val="00EC4376"/>
    <w:rsid w:val="00EC44A8"/>
    <w:rsid w:val="00EC475D"/>
    <w:rsid w:val="00EC482C"/>
    <w:rsid w:val="00EC5E19"/>
    <w:rsid w:val="00ED43A1"/>
    <w:rsid w:val="00ED4794"/>
    <w:rsid w:val="00ED5794"/>
    <w:rsid w:val="00ED6761"/>
    <w:rsid w:val="00ED7FAC"/>
    <w:rsid w:val="00EE0799"/>
    <w:rsid w:val="00EE0892"/>
    <w:rsid w:val="00EE17B9"/>
    <w:rsid w:val="00EE1FBA"/>
    <w:rsid w:val="00EE2967"/>
    <w:rsid w:val="00EE37CB"/>
    <w:rsid w:val="00EE42B7"/>
    <w:rsid w:val="00EE47F1"/>
    <w:rsid w:val="00EE6112"/>
    <w:rsid w:val="00EE625F"/>
    <w:rsid w:val="00EE64AD"/>
    <w:rsid w:val="00EE6B9F"/>
    <w:rsid w:val="00EE6C81"/>
    <w:rsid w:val="00EE6DB2"/>
    <w:rsid w:val="00EE73F0"/>
    <w:rsid w:val="00EF0947"/>
    <w:rsid w:val="00EF1F21"/>
    <w:rsid w:val="00EF497D"/>
    <w:rsid w:val="00EF4FAB"/>
    <w:rsid w:val="00EF6052"/>
    <w:rsid w:val="00EF6236"/>
    <w:rsid w:val="00EF6477"/>
    <w:rsid w:val="00EF7C68"/>
    <w:rsid w:val="00F0092B"/>
    <w:rsid w:val="00F00A4F"/>
    <w:rsid w:val="00F00F73"/>
    <w:rsid w:val="00F02222"/>
    <w:rsid w:val="00F023D9"/>
    <w:rsid w:val="00F03C28"/>
    <w:rsid w:val="00F03CB4"/>
    <w:rsid w:val="00F066DB"/>
    <w:rsid w:val="00F11B9B"/>
    <w:rsid w:val="00F121F0"/>
    <w:rsid w:val="00F14507"/>
    <w:rsid w:val="00F20552"/>
    <w:rsid w:val="00F22898"/>
    <w:rsid w:val="00F23E2F"/>
    <w:rsid w:val="00F301B1"/>
    <w:rsid w:val="00F3063D"/>
    <w:rsid w:val="00F322E1"/>
    <w:rsid w:val="00F338FF"/>
    <w:rsid w:val="00F33F56"/>
    <w:rsid w:val="00F349EF"/>
    <w:rsid w:val="00F35CC5"/>
    <w:rsid w:val="00F3658D"/>
    <w:rsid w:val="00F374B5"/>
    <w:rsid w:val="00F406B6"/>
    <w:rsid w:val="00F416F1"/>
    <w:rsid w:val="00F41DDA"/>
    <w:rsid w:val="00F42EA0"/>
    <w:rsid w:val="00F43808"/>
    <w:rsid w:val="00F43A7C"/>
    <w:rsid w:val="00F4408E"/>
    <w:rsid w:val="00F449DA"/>
    <w:rsid w:val="00F45C68"/>
    <w:rsid w:val="00F45D34"/>
    <w:rsid w:val="00F461C1"/>
    <w:rsid w:val="00F50D5D"/>
    <w:rsid w:val="00F515AB"/>
    <w:rsid w:val="00F51774"/>
    <w:rsid w:val="00F56410"/>
    <w:rsid w:val="00F56C60"/>
    <w:rsid w:val="00F56FE9"/>
    <w:rsid w:val="00F6110A"/>
    <w:rsid w:val="00F61B76"/>
    <w:rsid w:val="00F6230B"/>
    <w:rsid w:val="00F634DE"/>
    <w:rsid w:val="00F659C2"/>
    <w:rsid w:val="00F65C6F"/>
    <w:rsid w:val="00F65E39"/>
    <w:rsid w:val="00F6726A"/>
    <w:rsid w:val="00F73F05"/>
    <w:rsid w:val="00F7437B"/>
    <w:rsid w:val="00F753DE"/>
    <w:rsid w:val="00F770FF"/>
    <w:rsid w:val="00F803CF"/>
    <w:rsid w:val="00F80431"/>
    <w:rsid w:val="00F804AD"/>
    <w:rsid w:val="00F8323B"/>
    <w:rsid w:val="00F83AEA"/>
    <w:rsid w:val="00F8540A"/>
    <w:rsid w:val="00F855B2"/>
    <w:rsid w:val="00F8654F"/>
    <w:rsid w:val="00F8698D"/>
    <w:rsid w:val="00F86C54"/>
    <w:rsid w:val="00F86D78"/>
    <w:rsid w:val="00F86EF4"/>
    <w:rsid w:val="00F90861"/>
    <w:rsid w:val="00F90926"/>
    <w:rsid w:val="00F9195B"/>
    <w:rsid w:val="00F932C5"/>
    <w:rsid w:val="00F93687"/>
    <w:rsid w:val="00F96574"/>
    <w:rsid w:val="00F9730B"/>
    <w:rsid w:val="00F97605"/>
    <w:rsid w:val="00FA097E"/>
    <w:rsid w:val="00FA17CD"/>
    <w:rsid w:val="00FA261C"/>
    <w:rsid w:val="00FA301C"/>
    <w:rsid w:val="00FA3E4F"/>
    <w:rsid w:val="00FA4F85"/>
    <w:rsid w:val="00FA7400"/>
    <w:rsid w:val="00FB05B8"/>
    <w:rsid w:val="00FB06FE"/>
    <w:rsid w:val="00FB0C87"/>
    <w:rsid w:val="00FB175B"/>
    <w:rsid w:val="00FB26DF"/>
    <w:rsid w:val="00FB4911"/>
    <w:rsid w:val="00FB4CFE"/>
    <w:rsid w:val="00FB7052"/>
    <w:rsid w:val="00FB75A7"/>
    <w:rsid w:val="00FC128E"/>
    <w:rsid w:val="00FC193C"/>
    <w:rsid w:val="00FC1964"/>
    <w:rsid w:val="00FC2766"/>
    <w:rsid w:val="00FC2AA2"/>
    <w:rsid w:val="00FC2F2D"/>
    <w:rsid w:val="00FC4425"/>
    <w:rsid w:val="00FC62D5"/>
    <w:rsid w:val="00FD0E0D"/>
    <w:rsid w:val="00FD257E"/>
    <w:rsid w:val="00FD379B"/>
    <w:rsid w:val="00FD47EC"/>
    <w:rsid w:val="00FD556E"/>
    <w:rsid w:val="00FD6B69"/>
    <w:rsid w:val="00FD6BC9"/>
    <w:rsid w:val="00FD6FE3"/>
    <w:rsid w:val="00FE0807"/>
    <w:rsid w:val="00FE1BD2"/>
    <w:rsid w:val="00FE1D7F"/>
    <w:rsid w:val="00FE31EA"/>
    <w:rsid w:val="00FE3AC7"/>
    <w:rsid w:val="00FE3B7F"/>
    <w:rsid w:val="00FE4D32"/>
    <w:rsid w:val="00FE6EF7"/>
    <w:rsid w:val="00FE79BA"/>
    <w:rsid w:val="00FF0B5E"/>
    <w:rsid w:val="00FF1E27"/>
    <w:rsid w:val="00FF1F7F"/>
    <w:rsid w:val="00FF20F9"/>
    <w:rsid w:val="00FF2B1B"/>
    <w:rsid w:val="00FF2B3F"/>
    <w:rsid w:val="00FF5EA6"/>
    <w:rsid w:val="00FF69DF"/>
    <w:rsid w:val="00FF7F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3A9ABA"/>
  <w15:docId w15:val="{4A1992C2-B18E-4E24-B20D-E2E04AF92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E79BA"/>
    <w:pPr>
      <w:keepNext/>
      <w:keepLines/>
      <w:numPr>
        <w:numId w:val="1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E6ADF"/>
    <w:pPr>
      <w:keepNext/>
      <w:keepLines/>
      <w:numPr>
        <w:ilvl w:val="1"/>
        <w:numId w:val="1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F720B"/>
    <w:pPr>
      <w:numPr>
        <w:ilvl w:val="2"/>
        <w:numId w:val="11"/>
      </w:num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CD3319"/>
    <w:pPr>
      <w:keepNext/>
      <w:keepLines/>
      <w:numPr>
        <w:ilvl w:val="3"/>
        <w:numId w:val="1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874A0"/>
    <w:pPr>
      <w:keepNext/>
      <w:keepLines/>
      <w:numPr>
        <w:ilvl w:val="4"/>
        <w:numId w:val="1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874A0"/>
    <w:pPr>
      <w:keepNext/>
      <w:keepLines/>
      <w:numPr>
        <w:ilvl w:val="5"/>
        <w:numId w:val="1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874A0"/>
    <w:pPr>
      <w:keepNext/>
      <w:keepLines/>
      <w:numPr>
        <w:ilvl w:val="6"/>
        <w:numId w:val="1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874A0"/>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874A0"/>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C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CFD"/>
  </w:style>
  <w:style w:type="paragraph" w:styleId="Footer">
    <w:name w:val="footer"/>
    <w:basedOn w:val="Normal"/>
    <w:link w:val="FooterChar"/>
    <w:uiPriority w:val="99"/>
    <w:unhideWhenUsed/>
    <w:rsid w:val="00CD2C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CFD"/>
  </w:style>
  <w:style w:type="paragraph" w:customStyle="1" w:styleId="Default">
    <w:name w:val="Default"/>
    <w:uiPriority w:val="99"/>
    <w:rsid w:val="00A870D8"/>
    <w:pPr>
      <w:autoSpaceDE w:val="0"/>
      <w:autoSpaceDN w:val="0"/>
      <w:adjustRightInd w:val="0"/>
      <w:spacing w:after="0" w:line="240" w:lineRule="auto"/>
    </w:pPr>
    <w:rPr>
      <w:rFonts w:ascii="Whitney Semibold" w:hAnsi="Whitney Semibold" w:cs="Whitney Semibold"/>
      <w:color w:val="000000"/>
      <w:sz w:val="24"/>
      <w:szCs w:val="24"/>
    </w:rPr>
  </w:style>
  <w:style w:type="paragraph" w:styleId="ListParagraph">
    <w:name w:val="List Paragraph"/>
    <w:basedOn w:val="Normal"/>
    <w:uiPriority w:val="34"/>
    <w:qFormat/>
    <w:rsid w:val="00BF01C8"/>
    <w:pPr>
      <w:ind w:left="720"/>
      <w:contextualSpacing/>
    </w:pPr>
  </w:style>
  <w:style w:type="character" w:styleId="CommentReference">
    <w:name w:val="annotation reference"/>
    <w:basedOn w:val="DefaultParagraphFont"/>
    <w:uiPriority w:val="99"/>
    <w:semiHidden/>
    <w:unhideWhenUsed/>
    <w:rsid w:val="00467758"/>
    <w:rPr>
      <w:sz w:val="16"/>
      <w:szCs w:val="16"/>
    </w:rPr>
  </w:style>
  <w:style w:type="paragraph" w:styleId="CommentText">
    <w:name w:val="annotation text"/>
    <w:basedOn w:val="Normal"/>
    <w:link w:val="CommentTextChar"/>
    <w:uiPriority w:val="99"/>
    <w:unhideWhenUsed/>
    <w:rsid w:val="00467758"/>
    <w:pPr>
      <w:spacing w:line="240" w:lineRule="auto"/>
    </w:pPr>
    <w:rPr>
      <w:sz w:val="20"/>
      <w:szCs w:val="20"/>
    </w:rPr>
  </w:style>
  <w:style w:type="character" w:customStyle="1" w:styleId="CommentTextChar">
    <w:name w:val="Comment Text Char"/>
    <w:basedOn w:val="DefaultParagraphFont"/>
    <w:link w:val="CommentText"/>
    <w:uiPriority w:val="99"/>
    <w:rsid w:val="00467758"/>
    <w:rPr>
      <w:sz w:val="20"/>
      <w:szCs w:val="20"/>
    </w:rPr>
  </w:style>
  <w:style w:type="table" w:styleId="TableGrid">
    <w:name w:val="Table Grid"/>
    <w:basedOn w:val="TableNormal"/>
    <w:uiPriority w:val="39"/>
    <w:rsid w:val="00467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7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758"/>
    <w:rPr>
      <w:rFonts w:ascii="Segoe UI" w:hAnsi="Segoe UI" w:cs="Segoe UI"/>
      <w:sz w:val="18"/>
      <w:szCs w:val="18"/>
    </w:rPr>
  </w:style>
  <w:style w:type="character" w:styleId="Hyperlink">
    <w:name w:val="Hyperlink"/>
    <w:basedOn w:val="DefaultParagraphFont"/>
    <w:uiPriority w:val="99"/>
    <w:unhideWhenUsed/>
    <w:rsid w:val="00467758"/>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82647F"/>
    <w:rPr>
      <w:b/>
      <w:bCs/>
    </w:rPr>
  </w:style>
  <w:style w:type="character" w:customStyle="1" w:styleId="CommentSubjectChar">
    <w:name w:val="Comment Subject Char"/>
    <w:basedOn w:val="CommentTextChar"/>
    <w:link w:val="CommentSubject"/>
    <w:uiPriority w:val="99"/>
    <w:semiHidden/>
    <w:rsid w:val="0082647F"/>
    <w:rPr>
      <w:b/>
      <w:bCs/>
      <w:sz w:val="20"/>
      <w:szCs w:val="20"/>
    </w:rPr>
  </w:style>
  <w:style w:type="character" w:customStyle="1" w:styleId="Heading3Char">
    <w:name w:val="Heading 3 Char"/>
    <w:basedOn w:val="DefaultParagraphFont"/>
    <w:link w:val="Heading3"/>
    <w:uiPriority w:val="9"/>
    <w:rsid w:val="006F720B"/>
    <w:rPr>
      <w:rFonts w:ascii="Times New Roman" w:eastAsia="Times New Roman" w:hAnsi="Times New Roman" w:cs="Times New Roman"/>
      <w:b/>
      <w:bCs/>
      <w:sz w:val="27"/>
      <w:szCs w:val="27"/>
    </w:rPr>
  </w:style>
  <w:style w:type="character" w:styleId="Strong">
    <w:name w:val="Strong"/>
    <w:basedOn w:val="DefaultParagraphFont"/>
    <w:uiPriority w:val="22"/>
    <w:qFormat/>
    <w:rsid w:val="006F720B"/>
    <w:rPr>
      <w:b/>
      <w:bCs/>
    </w:rPr>
  </w:style>
  <w:style w:type="paragraph" w:styleId="z-TopofForm">
    <w:name w:val="HTML Top of Form"/>
    <w:basedOn w:val="Normal"/>
    <w:next w:val="Normal"/>
    <w:link w:val="z-TopofFormChar"/>
    <w:hidden/>
    <w:uiPriority w:val="99"/>
    <w:semiHidden/>
    <w:unhideWhenUsed/>
    <w:rsid w:val="006F720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F720B"/>
    <w:rPr>
      <w:rFonts w:ascii="Arial" w:eastAsia="Times New Roman" w:hAnsi="Arial" w:cs="Arial"/>
      <w:vanish/>
      <w:sz w:val="16"/>
      <w:szCs w:val="16"/>
    </w:rPr>
  </w:style>
  <w:style w:type="character" w:customStyle="1" w:styleId="user-generated">
    <w:name w:val="user-generated"/>
    <w:basedOn w:val="DefaultParagraphFont"/>
    <w:rsid w:val="006F720B"/>
  </w:style>
  <w:style w:type="paragraph" w:styleId="z-BottomofForm">
    <w:name w:val="HTML Bottom of Form"/>
    <w:basedOn w:val="Normal"/>
    <w:next w:val="Normal"/>
    <w:link w:val="z-BottomofFormChar"/>
    <w:hidden/>
    <w:uiPriority w:val="99"/>
    <w:semiHidden/>
    <w:unhideWhenUsed/>
    <w:rsid w:val="006F720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F720B"/>
    <w:rPr>
      <w:rFonts w:ascii="Arial" w:eastAsia="Times New Roman" w:hAnsi="Arial" w:cs="Arial"/>
      <w:vanish/>
      <w:sz w:val="16"/>
      <w:szCs w:val="16"/>
    </w:rPr>
  </w:style>
  <w:style w:type="character" w:styleId="PlaceholderText">
    <w:name w:val="Placeholder Text"/>
    <w:basedOn w:val="DefaultParagraphFont"/>
    <w:uiPriority w:val="99"/>
    <w:semiHidden/>
    <w:rsid w:val="005D0833"/>
    <w:rPr>
      <w:color w:val="808080"/>
    </w:rPr>
  </w:style>
  <w:style w:type="paragraph" w:styleId="Revision">
    <w:name w:val="Revision"/>
    <w:hidden/>
    <w:uiPriority w:val="99"/>
    <w:semiHidden/>
    <w:rsid w:val="000614E1"/>
    <w:pPr>
      <w:spacing w:after="0" w:line="240" w:lineRule="auto"/>
    </w:pPr>
  </w:style>
  <w:style w:type="character" w:styleId="FollowedHyperlink">
    <w:name w:val="FollowedHyperlink"/>
    <w:basedOn w:val="DefaultParagraphFont"/>
    <w:uiPriority w:val="99"/>
    <w:semiHidden/>
    <w:unhideWhenUsed/>
    <w:rsid w:val="0076408F"/>
    <w:rPr>
      <w:color w:val="954F72" w:themeColor="followedHyperlink"/>
      <w:u w:val="single"/>
    </w:rPr>
  </w:style>
  <w:style w:type="paragraph" w:styleId="Caption">
    <w:name w:val="caption"/>
    <w:basedOn w:val="Normal"/>
    <w:next w:val="Normal"/>
    <w:uiPriority w:val="35"/>
    <w:unhideWhenUsed/>
    <w:qFormat/>
    <w:rsid w:val="005D275B"/>
    <w:pPr>
      <w:spacing w:after="200" w:line="240" w:lineRule="auto"/>
    </w:pPr>
    <w:rPr>
      <w:i/>
      <w:iCs/>
      <w:color w:val="44546A" w:themeColor="text2"/>
      <w:sz w:val="18"/>
      <w:szCs w:val="18"/>
    </w:rPr>
  </w:style>
  <w:style w:type="character" w:styleId="IntenseEmphasis">
    <w:name w:val="Intense Emphasis"/>
    <w:basedOn w:val="DefaultParagraphFont"/>
    <w:uiPriority w:val="21"/>
    <w:qFormat/>
    <w:rsid w:val="00FE79BA"/>
    <w:rPr>
      <w:i/>
      <w:iCs/>
      <w:color w:val="5B9BD5" w:themeColor="accent1"/>
    </w:rPr>
  </w:style>
  <w:style w:type="character" w:customStyle="1" w:styleId="Heading1Char">
    <w:name w:val="Heading 1 Char"/>
    <w:basedOn w:val="DefaultParagraphFont"/>
    <w:link w:val="Heading1"/>
    <w:uiPriority w:val="9"/>
    <w:rsid w:val="00FE79B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E6ADF"/>
    <w:rPr>
      <w:rFonts w:asciiTheme="majorHAnsi" w:eastAsiaTheme="majorEastAsia" w:hAnsiTheme="majorHAnsi" w:cstheme="majorBidi"/>
      <w:color w:val="2E74B5" w:themeColor="accent1" w:themeShade="BF"/>
      <w:sz w:val="26"/>
      <w:szCs w:val="26"/>
    </w:rPr>
  </w:style>
  <w:style w:type="paragraph" w:customStyle="1" w:styleId="1-Header">
    <w:name w:val="1- Header"/>
    <w:basedOn w:val="Heading1"/>
    <w:link w:val="1-HeaderChar"/>
    <w:autoRedefine/>
    <w:qFormat/>
    <w:rsid w:val="00083485"/>
    <w:pPr>
      <w:numPr>
        <w:numId w:val="0"/>
      </w:numPr>
      <w:ind w:left="360" w:hanging="360"/>
    </w:pPr>
    <w:rPr>
      <w:b/>
    </w:rPr>
  </w:style>
  <w:style w:type="paragraph" w:customStyle="1" w:styleId="Style1">
    <w:name w:val="Style1"/>
    <w:basedOn w:val="Heading2"/>
    <w:link w:val="Style1Char"/>
    <w:autoRedefine/>
    <w:rsid w:val="00603C21"/>
    <w:pPr>
      <w:ind w:left="720"/>
    </w:pPr>
  </w:style>
  <w:style w:type="character" w:customStyle="1" w:styleId="1-HeaderChar">
    <w:name w:val="1- Header Char"/>
    <w:basedOn w:val="Heading1Char"/>
    <w:link w:val="1-Header"/>
    <w:rsid w:val="00083485"/>
    <w:rPr>
      <w:rFonts w:asciiTheme="majorHAnsi" w:eastAsiaTheme="majorEastAsia" w:hAnsiTheme="majorHAnsi" w:cstheme="majorBidi"/>
      <w:b/>
      <w:color w:val="2E74B5" w:themeColor="accent1" w:themeShade="BF"/>
      <w:sz w:val="32"/>
      <w:szCs w:val="32"/>
    </w:rPr>
  </w:style>
  <w:style w:type="character" w:customStyle="1" w:styleId="Heading4Char">
    <w:name w:val="Heading 4 Char"/>
    <w:basedOn w:val="DefaultParagraphFont"/>
    <w:link w:val="Heading4"/>
    <w:uiPriority w:val="9"/>
    <w:rsid w:val="00CD3319"/>
    <w:rPr>
      <w:rFonts w:asciiTheme="majorHAnsi" w:eastAsiaTheme="majorEastAsia" w:hAnsiTheme="majorHAnsi" w:cstheme="majorBidi"/>
      <w:i/>
      <w:iCs/>
      <w:color w:val="2E74B5" w:themeColor="accent1" w:themeShade="BF"/>
    </w:rPr>
  </w:style>
  <w:style w:type="character" w:customStyle="1" w:styleId="Style1Char">
    <w:name w:val="Style1 Char"/>
    <w:basedOn w:val="Heading2Char"/>
    <w:link w:val="Style1"/>
    <w:rsid w:val="00603C21"/>
    <w:rPr>
      <w:rFonts w:asciiTheme="majorHAnsi" w:eastAsiaTheme="majorEastAsia" w:hAnsiTheme="majorHAnsi" w:cstheme="majorBidi"/>
      <w:color w:val="2E74B5" w:themeColor="accent1" w:themeShade="BF"/>
      <w:sz w:val="26"/>
      <w:szCs w:val="26"/>
    </w:rPr>
  </w:style>
  <w:style w:type="paragraph" w:customStyle="1" w:styleId="4-Heading">
    <w:name w:val="4 - Heading"/>
    <w:basedOn w:val="Heading4"/>
    <w:link w:val="4-HeadingChar"/>
    <w:autoRedefine/>
    <w:qFormat/>
    <w:rsid w:val="00564163"/>
    <w:pPr>
      <w:numPr>
        <w:ilvl w:val="0"/>
        <w:numId w:val="0"/>
      </w:numPr>
      <w:spacing w:before="240"/>
      <w:ind w:left="864" w:hanging="864"/>
    </w:pPr>
    <w:rPr>
      <w:color w:val="auto"/>
    </w:rPr>
  </w:style>
  <w:style w:type="paragraph" w:customStyle="1" w:styleId="2-Header">
    <w:name w:val="2- Header"/>
    <w:basedOn w:val="Heading2"/>
    <w:link w:val="2-HeaderChar"/>
    <w:qFormat/>
    <w:rsid w:val="00A002B3"/>
    <w:rPr>
      <w:rFonts w:asciiTheme="minorHAnsi" w:hAnsiTheme="minorHAnsi"/>
    </w:rPr>
  </w:style>
  <w:style w:type="character" w:customStyle="1" w:styleId="4-HeadingChar">
    <w:name w:val="4 - Heading Char"/>
    <w:basedOn w:val="Heading4Char"/>
    <w:link w:val="4-Heading"/>
    <w:rsid w:val="0056416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C874A0"/>
    <w:rPr>
      <w:rFonts w:asciiTheme="majorHAnsi" w:eastAsiaTheme="majorEastAsia" w:hAnsiTheme="majorHAnsi" w:cstheme="majorBidi"/>
      <w:color w:val="2E74B5" w:themeColor="accent1" w:themeShade="BF"/>
    </w:rPr>
  </w:style>
  <w:style w:type="character" w:customStyle="1" w:styleId="2-HeaderChar">
    <w:name w:val="2- Header Char"/>
    <w:basedOn w:val="Heading2Char"/>
    <w:link w:val="2-Header"/>
    <w:rsid w:val="00A002B3"/>
    <w:rPr>
      <w:rFonts w:asciiTheme="majorHAnsi" w:eastAsiaTheme="majorEastAsia" w:hAnsiTheme="majorHAnsi" w:cstheme="majorBidi"/>
      <w:color w:val="2E74B5" w:themeColor="accent1" w:themeShade="BF"/>
      <w:sz w:val="26"/>
      <w:szCs w:val="26"/>
    </w:rPr>
  </w:style>
  <w:style w:type="character" w:customStyle="1" w:styleId="Heading6Char">
    <w:name w:val="Heading 6 Char"/>
    <w:basedOn w:val="DefaultParagraphFont"/>
    <w:link w:val="Heading6"/>
    <w:uiPriority w:val="9"/>
    <w:semiHidden/>
    <w:rsid w:val="00C874A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C874A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C874A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874A0"/>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7C4C87"/>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3B2BDA"/>
    <w:pPr>
      <w:numPr>
        <w:numId w:val="0"/>
      </w:numPr>
      <w:outlineLvl w:val="9"/>
    </w:pPr>
  </w:style>
  <w:style w:type="paragraph" w:styleId="TOC1">
    <w:name w:val="toc 1"/>
    <w:basedOn w:val="Normal"/>
    <w:next w:val="Normal"/>
    <w:autoRedefine/>
    <w:uiPriority w:val="39"/>
    <w:unhideWhenUsed/>
    <w:rsid w:val="003B2BDA"/>
    <w:pPr>
      <w:spacing w:after="100"/>
    </w:pPr>
  </w:style>
  <w:style w:type="paragraph" w:styleId="TOC2">
    <w:name w:val="toc 2"/>
    <w:basedOn w:val="Normal"/>
    <w:next w:val="Normal"/>
    <w:autoRedefine/>
    <w:uiPriority w:val="39"/>
    <w:unhideWhenUsed/>
    <w:rsid w:val="003B2BDA"/>
    <w:pPr>
      <w:spacing w:after="100"/>
      <w:ind w:left="220"/>
    </w:pPr>
  </w:style>
  <w:style w:type="paragraph" w:styleId="TOC3">
    <w:name w:val="toc 3"/>
    <w:basedOn w:val="Normal"/>
    <w:next w:val="Normal"/>
    <w:autoRedefine/>
    <w:uiPriority w:val="39"/>
    <w:unhideWhenUsed/>
    <w:rsid w:val="003B2BDA"/>
    <w:pPr>
      <w:spacing w:after="100"/>
      <w:ind w:left="440"/>
    </w:pPr>
  </w:style>
  <w:style w:type="paragraph" w:styleId="FootnoteText">
    <w:name w:val="footnote text"/>
    <w:basedOn w:val="Normal"/>
    <w:link w:val="FootnoteTextChar"/>
    <w:uiPriority w:val="99"/>
    <w:unhideWhenUsed/>
    <w:rsid w:val="00F301B1"/>
    <w:pPr>
      <w:spacing w:after="0" w:line="240" w:lineRule="auto"/>
    </w:pPr>
    <w:rPr>
      <w:sz w:val="20"/>
      <w:szCs w:val="20"/>
    </w:rPr>
  </w:style>
  <w:style w:type="character" w:customStyle="1" w:styleId="FootnoteTextChar">
    <w:name w:val="Footnote Text Char"/>
    <w:basedOn w:val="DefaultParagraphFont"/>
    <w:link w:val="FootnoteText"/>
    <w:uiPriority w:val="99"/>
    <w:rsid w:val="00F301B1"/>
    <w:rPr>
      <w:sz w:val="20"/>
      <w:szCs w:val="20"/>
    </w:rPr>
  </w:style>
  <w:style w:type="character" w:styleId="FootnoteReference">
    <w:name w:val="footnote reference"/>
    <w:basedOn w:val="DefaultParagraphFont"/>
    <w:uiPriority w:val="99"/>
    <w:unhideWhenUsed/>
    <w:rsid w:val="00F301B1"/>
    <w:rPr>
      <w:vertAlign w:val="superscript"/>
    </w:rPr>
  </w:style>
  <w:style w:type="paragraph" w:styleId="NoSpacing">
    <w:name w:val="No Spacing"/>
    <w:uiPriority w:val="1"/>
    <w:qFormat/>
    <w:rsid w:val="00EB1D48"/>
    <w:pPr>
      <w:spacing w:after="0" w:line="240" w:lineRule="auto"/>
    </w:pPr>
  </w:style>
  <w:style w:type="paragraph" w:customStyle="1" w:styleId="CM1">
    <w:name w:val="CM1"/>
    <w:basedOn w:val="Default"/>
    <w:next w:val="Default"/>
    <w:uiPriority w:val="99"/>
    <w:rsid w:val="00C71678"/>
    <w:pPr>
      <w:widowControl w:val="0"/>
      <w:spacing w:line="280" w:lineRule="atLeast"/>
    </w:pPr>
    <w:rPr>
      <w:rFonts w:ascii="Times New Roman" w:eastAsia="Times New Roman" w:hAnsi="Times New Roman" w:cs="Times New Roman"/>
      <w:color w:val="auto"/>
    </w:rPr>
  </w:style>
  <w:style w:type="paragraph" w:styleId="Title">
    <w:name w:val="Title"/>
    <w:basedOn w:val="Normal"/>
    <w:next w:val="Normal"/>
    <w:link w:val="TitleChar"/>
    <w:uiPriority w:val="10"/>
    <w:qFormat/>
    <w:rsid w:val="00E438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385F"/>
    <w:rPr>
      <w:rFonts w:asciiTheme="majorHAnsi" w:eastAsiaTheme="majorEastAsia" w:hAnsiTheme="majorHAnsi" w:cstheme="majorBidi"/>
      <w:spacing w:val="-10"/>
      <w:kern w:val="28"/>
      <w:sz w:val="56"/>
      <w:szCs w:val="56"/>
    </w:rPr>
  </w:style>
  <w:style w:type="numbering" w:customStyle="1" w:styleId="NoList1">
    <w:name w:val="No List1"/>
    <w:next w:val="NoList"/>
    <w:uiPriority w:val="99"/>
    <w:semiHidden/>
    <w:unhideWhenUsed/>
    <w:rsid w:val="00DF55C8"/>
  </w:style>
  <w:style w:type="table" w:customStyle="1" w:styleId="TableGrid1">
    <w:name w:val="Table Grid1"/>
    <w:basedOn w:val="TableNormal"/>
    <w:next w:val="TableGrid"/>
    <w:uiPriority w:val="39"/>
    <w:rsid w:val="00DF55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Text1">
    <w:name w:val="Endnote Text1"/>
    <w:basedOn w:val="Normal"/>
    <w:next w:val="EndnoteText"/>
    <w:link w:val="EndnoteTextChar"/>
    <w:uiPriority w:val="99"/>
    <w:semiHidden/>
    <w:unhideWhenUsed/>
    <w:rsid w:val="00DF55C8"/>
    <w:pPr>
      <w:spacing w:after="0" w:line="240" w:lineRule="auto"/>
    </w:pPr>
    <w:rPr>
      <w:sz w:val="20"/>
      <w:szCs w:val="20"/>
    </w:rPr>
  </w:style>
  <w:style w:type="character" w:customStyle="1" w:styleId="EndnoteTextChar">
    <w:name w:val="Endnote Text Char"/>
    <w:basedOn w:val="DefaultParagraphFont"/>
    <w:link w:val="EndnoteText1"/>
    <w:uiPriority w:val="99"/>
    <w:semiHidden/>
    <w:rsid w:val="00DF55C8"/>
    <w:rPr>
      <w:sz w:val="20"/>
      <w:szCs w:val="20"/>
    </w:rPr>
  </w:style>
  <w:style w:type="character" w:styleId="EndnoteReference">
    <w:name w:val="endnote reference"/>
    <w:basedOn w:val="DefaultParagraphFont"/>
    <w:uiPriority w:val="99"/>
    <w:semiHidden/>
    <w:unhideWhenUsed/>
    <w:rsid w:val="00DF55C8"/>
    <w:rPr>
      <w:vertAlign w:val="superscript"/>
    </w:rPr>
  </w:style>
  <w:style w:type="character" w:customStyle="1" w:styleId="visually-hidden">
    <w:name w:val="visually-hidden"/>
    <w:basedOn w:val="DefaultParagraphFont"/>
    <w:rsid w:val="00DF55C8"/>
  </w:style>
  <w:style w:type="character" w:styleId="Emphasis">
    <w:name w:val="Emphasis"/>
    <w:basedOn w:val="DefaultParagraphFont"/>
    <w:uiPriority w:val="20"/>
    <w:qFormat/>
    <w:rsid w:val="00DF55C8"/>
    <w:rPr>
      <w:i/>
      <w:iCs/>
    </w:rPr>
  </w:style>
  <w:style w:type="character" w:customStyle="1" w:styleId="required-asterisk">
    <w:name w:val="required-asterisk"/>
    <w:basedOn w:val="DefaultParagraphFont"/>
    <w:rsid w:val="00DF55C8"/>
  </w:style>
  <w:style w:type="character" w:customStyle="1" w:styleId="radio-button-label-text">
    <w:name w:val="radio-button-label-text"/>
    <w:basedOn w:val="DefaultParagraphFont"/>
    <w:rsid w:val="00DF55C8"/>
  </w:style>
  <w:style w:type="table" w:customStyle="1" w:styleId="GridTable5Dark-Accent61">
    <w:name w:val="Grid Table 5 Dark - Accent 61"/>
    <w:basedOn w:val="TableNormal"/>
    <w:next w:val="GridTable5Dark-Accent6"/>
    <w:uiPriority w:val="50"/>
    <w:rsid w:val="00DF55C8"/>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2-Accent61">
    <w:name w:val="Grid Table 2 - Accent 61"/>
    <w:basedOn w:val="TableNormal"/>
    <w:next w:val="GridTable2-Accent6"/>
    <w:uiPriority w:val="47"/>
    <w:rsid w:val="00DF55C8"/>
    <w:pPr>
      <w:spacing w:after="0" w:line="240" w:lineRule="auto"/>
    </w:p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61">
    <w:name w:val="Grid Table 4 - Accent 61"/>
    <w:basedOn w:val="TableNormal"/>
    <w:next w:val="GridTable4-Accent6"/>
    <w:uiPriority w:val="49"/>
    <w:rsid w:val="00DF55C8"/>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EndnoteText">
    <w:name w:val="endnote text"/>
    <w:basedOn w:val="Normal"/>
    <w:link w:val="EndnoteTextChar1"/>
    <w:uiPriority w:val="99"/>
    <w:semiHidden/>
    <w:unhideWhenUsed/>
    <w:rsid w:val="00DF55C8"/>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DF55C8"/>
    <w:rPr>
      <w:sz w:val="20"/>
      <w:szCs w:val="20"/>
    </w:rPr>
  </w:style>
  <w:style w:type="table" w:styleId="GridTable5Dark-Accent6">
    <w:name w:val="Grid Table 5 Dark Accent 6"/>
    <w:basedOn w:val="TableNormal"/>
    <w:uiPriority w:val="50"/>
    <w:rsid w:val="00DF5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2-Accent6">
    <w:name w:val="Grid Table 2 Accent 6"/>
    <w:basedOn w:val="TableNormal"/>
    <w:uiPriority w:val="47"/>
    <w:rsid w:val="00DF55C8"/>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6">
    <w:name w:val="Grid Table 4 Accent 6"/>
    <w:basedOn w:val="TableNormal"/>
    <w:uiPriority w:val="49"/>
    <w:rsid w:val="00DF55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PlainTable3">
    <w:name w:val="Plain Table 3"/>
    <w:basedOn w:val="TableNormal"/>
    <w:uiPriority w:val="99"/>
    <w:rsid w:val="00FA261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656801">
      <w:bodyDiv w:val="1"/>
      <w:marLeft w:val="0"/>
      <w:marRight w:val="0"/>
      <w:marTop w:val="0"/>
      <w:marBottom w:val="0"/>
      <w:divBdr>
        <w:top w:val="none" w:sz="0" w:space="0" w:color="auto"/>
        <w:left w:val="none" w:sz="0" w:space="0" w:color="auto"/>
        <w:bottom w:val="none" w:sz="0" w:space="0" w:color="auto"/>
        <w:right w:val="none" w:sz="0" w:space="0" w:color="auto"/>
      </w:divBdr>
    </w:div>
    <w:div w:id="734205005">
      <w:bodyDiv w:val="1"/>
      <w:marLeft w:val="0"/>
      <w:marRight w:val="0"/>
      <w:marTop w:val="0"/>
      <w:marBottom w:val="0"/>
      <w:divBdr>
        <w:top w:val="none" w:sz="0" w:space="0" w:color="auto"/>
        <w:left w:val="none" w:sz="0" w:space="0" w:color="auto"/>
        <w:bottom w:val="none" w:sz="0" w:space="0" w:color="auto"/>
        <w:right w:val="none" w:sz="0" w:space="0" w:color="auto"/>
      </w:divBdr>
      <w:divsChild>
        <w:div w:id="121004703">
          <w:marLeft w:val="446"/>
          <w:marRight w:val="0"/>
          <w:marTop w:val="0"/>
          <w:marBottom w:val="0"/>
          <w:divBdr>
            <w:top w:val="none" w:sz="0" w:space="0" w:color="auto"/>
            <w:left w:val="none" w:sz="0" w:space="0" w:color="auto"/>
            <w:bottom w:val="none" w:sz="0" w:space="0" w:color="auto"/>
            <w:right w:val="none" w:sz="0" w:space="0" w:color="auto"/>
          </w:divBdr>
        </w:div>
        <w:div w:id="258105094">
          <w:marLeft w:val="274"/>
          <w:marRight w:val="0"/>
          <w:marTop w:val="0"/>
          <w:marBottom w:val="0"/>
          <w:divBdr>
            <w:top w:val="none" w:sz="0" w:space="0" w:color="auto"/>
            <w:left w:val="none" w:sz="0" w:space="0" w:color="auto"/>
            <w:bottom w:val="none" w:sz="0" w:space="0" w:color="auto"/>
            <w:right w:val="none" w:sz="0" w:space="0" w:color="auto"/>
          </w:divBdr>
        </w:div>
        <w:div w:id="281234582">
          <w:marLeft w:val="3067"/>
          <w:marRight w:val="0"/>
          <w:marTop w:val="0"/>
          <w:marBottom w:val="0"/>
          <w:divBdr>
            <w:top w:val="none" w:sz="0" w:space="0" w:color="auto"/>
            <w:left w:val="none" w:sz="0" w:space="0" w:color="auto"/>
            <w:bottom w:val="none" w:sz="0" w:space="0" w:color="auto"/>
            <w:right w:val="none" w:sz="0" w:space="0" w:color="auto"/>
          </w:divBdr>
        </w:div>
        <w:div w:id="524369151">
          <w:marLeft w:val="2160"/>
          <w:marRight w:val="0"/>
          <w:marTop w:val="0"/>
          <w:marBottom w:val="0"/>
          <w:divBdr>
            <w:top w:val="none" w:sz="0" w:space="0" w:color="auto"/>
            <w:left w:val="none" w:sz="0" w:space="0" w:color="auto"/>
            <w:bottom w:val="none" w:sz="0" w:space="0" w:color="auto"/>
            <w:right w:val="none" w:sz="0" w:space="0" w:color="auto"/>
          </w:divBdr>
        </w:div>
        <w:div w:id="628247600">
          <w:marLeft w:val="2160"/>
          <w:marRight w:val="0"/>
          <w:marTop w:val="0"/>
          <w:marBottom w:val="0"/>
          <w:divBdr>
            <w:top w:val="none" w:sz="0" w:space="0" w:color="auto"/>
            <w:left w:val="none" w:sz="0" w:space="0" w:color="auto"/>
            <w:bottom w:val="none" w:sz="0" w:space="0" w:color="auto"/>
            <w:right w:val="none" w:sz="0" w:space="0" w:color="auto"/>
          </w:divBdr>
        </w:div>
        <w:div w:id="1055815802">
          <w:marLeft w:val="446"/>
          <w:marRight w:val="0"/>
          <w:marTop w:val="0"/>
          <w:marBottom w:val="0"/>
          <w:divBdr>
            <w:top w:val="none" w:sz="0" w:space="0" w:color="auto"/>
            <w:left w:val="none" w:sz="0" w:space="0" w:color="auto"/>
            <w:bottom w:val="none" w:sz="0" w:space="0" w:color="auto"/>
            <w:right w:val="none" w:sz="0" w:space="0" w:color="auto"/>
          </w:divBdr>
        </w:div>
        <w:div w:id="1121536269">
          <w:marLeft w:val="3067"/>
          <w:marRight w:val="0"/>
          <w:marTop w:val="0"/>
          <w:marBottom w:val="0"/>
          <w:divBdr>
            <w:top w:val="none" w:sz="0" w:space="0" w:color="auto"/>
            <w:left w:val="none" w:sz="0" w:space="0" w:color="auto"/>
            <w:bottom w:val="none" w:sz="0" w:space="0" w:color="auto"/>
            <w:right w:val="none" w:sz="0" w:space="0" w:color="auto"/>
          </w:divBdr>
        </w:div>
        <w:div w:id="1402365659">
          <w:marLeft w:val="446"/>
          <w:marRight w:val="0"/>
          <w:marTop w:val="0"/>
          <w:marBottom w:val="0"/>
          <w:divBdr>
            <w:top w:val="none" w:sz="0" w:space="0" w:color="auto"/>
            <w:left w:val="none" w:sz="0" w:space="0" w:color="auto"/>
            <w:bottom w:val="none" w:sz="0" w:space="0" w:color="auto"/>
            <w:right w:val="none" w:sz="0" w:space="0" w:color="auto"/>
          </w:divBdr>
        </w:div>
        <w:div w:id="1414811661">
          <w:marLeft w:val="2160"/>
          <w:marRight w:val="0"/>
          <w:marTop w:val="0"/>
          <w:marBottom w:val="0"/>
          <w:divBdr>
            <w:top w:val="none" w:sz="0" w:space="0" w:color="auto"/>
            <w:left w:val="none" w:sz="0" w:space="0" w:color="auto"/>
            <w:bottom w:val="none" w:sz="0" w:space="0" w:color="auto"/>
            <w:right w:val="none" w:sz="0" w:space="0" w:color="auto"/>
          </w:divBdr>
        </w:div>
        <w:div w:id="1521041225">
          <w:marLeft w:val="446"/>
          <w:marRight w:val="0"/>
          <w:marTop w:val="0"/>
          <w:marBottom w:val="0"/>
          <w:divBdr>
            <w:top w:val="none" w:sz="0" w:space="0" w:color="auto"/>
            <w:left w:val="none" w:sz="0" w:space="0" w:color="auto"/>
            <w:bottom w:val="none" w:sz="0" w:space="0" w:color="auto"/>
            <w:right w:val="none" w:sz="0" w:space="0" w:color="auto"/>
          </w:divBdr>
        </w:div>
        <w:div w:id="1536504822">
          <w:marLeft w:val="446"/>
          <w:marRight w:val="0"/>
          <w:marTop w:val="0"/>
          <w:marBottom w:val="0"/>
          <w:divBdr>
            <w:top w:val="none" w:sz="0" w:space="0" w:color="auto"/>
            <w:left w:val="none" w:sz="0" w:space="0" w:color="auto"/>
            <w:bottom w:val="none" w:sz="0" w:space="0" w:color="auto"/>
            <w:right w:val="none" w:sz="0" w:space="0" w:color="auto"/>
          </w:divBdr>
        </w:div>
        <w:div w:id="1554462034">
          <w:marLeft w:val="446"/>
          <w:marRight w:val="0"/>
          <w:marTop w:val="0"/>
          <w:marBottom w:val="0"/>
          <w:divBdr>
            <w:top w:val="none" w:sz="0" w:space="0" w:color="auto"/>
            <w:left w:val="none" w:sz="0" w:space="0" w:color="auto"/>
            <w:bottom w:val="none" w:sz="0" w:space="0" w:color="auto"/>
            <w:right w:val="none" w:sz="0" w:space="0" w:color="auto"/>
          </w:divBdr>
        </w:div>
        <w:div w:id="1706173323">
          <w:marLeft w:val="2160"/>
          <w:marRight w:val="0"/>
          <w:marTop w:val="0"/>
          <w:marBottom w:val="0"/>
          <w:divBdr>
            <w:top w:val="none" w:sz="0" w:space="0" w:color="auto"/>
            <w:left w:val="none" w:sz="0" w:space="0" w:color="auto"/>
            <w:bottom w:val="none" w:sz="0" w:space="0" w:color="auto"/>
            <w:right w:val="none" w:sz="0" w:space="0" w:color="auto"/>
          </w:divBdr>
        </w:div>
        <w:div w:id="1727296797">
          <w:marLeft w:val="446"/>
          <w:marRight w:val="0"/>
          <w:marTop w:val="0"/>
          <w:marBottom w:val="0"/>
          <w:divBdr>
            <w:top w:val="none" w:sz="0" w:space="0" w:color="auto"/>
            <w:left w:val="none" w:sz="0" w:space="0" w:color="auto"/>
            <w:bottom w:val="none" w:sz="0" w:space="0" w:color="auto"/>
            <w:right w:val="none" w:sz="0" w:space="0" w:color="auto"/>
          </w:divBdr>
        </w:div>
        <w:div w:id="1793476587">
          <w:marLeft w:val="446"/>
          <w:marRight w:val="0"/>
          <w:marTop w:val="0"/>
          <w:marBottom w:val="0"/>
          <w:divBdr>
            <w:top w:val="none" w:sz="0" w:space="0" w:color="auto"/>
            <w:left w:val="none" w:sz="0" w:space="0" w:color="auto"/>
            <w:bottom w:val="none" w:sz="0" w:space="0" w:color="auto"/>
            <w:right w:val="none" w:sz="0" w:space="0" w:color="auto"/>
          </w:divBdr>
        </w:div>
        <w:div w:id="2004119988">
          <w:marLeft w:val="274"/>
          <w:marRight w:val="0"/>
          <w:marTop w:val="0"/>
          <w:marBottom w:val="0"/>
          <w:divBdr>
            <w:top w:val="none" w:sz="0" w:space="0" w:color="auto"/>
            <w:left w:val="none" w:sz="0" w:space="0" w:color="auto"/>
            <w:bottom w:val="none" w:sz="0" w:space="0" w:color="auto"/>
            <w:right w:val="none" w:sz="0" w:space="0" w:color="auto"/>
          </w:divBdr>
        </w:div>
        <w:div w:id="2087801230">
          <w:marLeft w:val="2160"/>
          <w:marRight w:val="0"/>
          <w:marTop w:val="0"/>
          <w:marBottom w:val="0"/>
          <w:divBdr>
            <w:top w:val="none" w:sz="0" w:space="0" w:color="auto"/>
            <w:left w:val="none" w:sz="0" w:space="0" w:color="auto"/>
            <w:bottom w:val="none" w:sz="0" w:space="0" w:color="auto"/>
            <w:right w:val="none" w:sz="0" w:space="0" w:color="auto"/>
          </w:divBdr>
        </w:div>
        <w:div w:id="2119256237">
          <w:marLeft w:val="274"/>
          <w:marRight w:val="0"/>
          <w:marTop w:val="0"/>
          <w:marBottom w:val="0"/>
          <w:divBdr>
            <w:top w:val="none" w:sz="0" w:space="0" w:color="auto"/>
            <w:left w:val="none" w:sz="0" w:space="0" w:color="auto"/>
            <w:bottom w:val="none" w:sz="0" w:space="0" w:color="auto"/>
            <w:right w:val="none" w:sz="0" w:space="0" w:color="auto"/>
          </w:divBdr>
        </w:div>
      </w:divsChild>
    </w:div>
    <w:div w:id="871310606">
      <w:bodyDiv w:val="1"/>
      <w:marLeft w:val="0"/>
      <w:marRight w:val="0"/>
      <w:marTop w:val="0"/>
      <w:marBottom w:val="0"/>
      <w:divBdr>
        <w:top w:val="none" w:sz="0" w:space="0" w:color="auto"/>
        <w:left w:val="none" w:sz="0" w:space="0" w:color="auto"/>
        <w:bottom w:val="none" w:sz="0" w:space="0" w:color="auto"/>
        <w:right w:val="none" w:sz="0" w:space="0" w:color="auto"/>
      </w:divBdr>
    </w:div>
    <w:div w:id="989594773">
      <w:bodyDiv w:val="1"/>
      <w:marLeft w:val="0"/>
      <w:marRight w:val="0"/>
      <w:marTop w:val="0"/>
      <w:marBottom w:val="0"/>
      <w:divBdr>
        <w:top w:val="none" w:sz="0" w:space="0" w:color="auto"/>
        <w:left w:val="none" w:sz="0" w:space="0" w:color="auto"/>
        <w:bottom w:val="none" w:sz="0" w:space="0" w:color="auto"/>
        <w:right w:val="none" w:sz="0" w:space="0" w:color="auto"/>
      </w:divBdr>
    </w:div>
    <w:div w:id="1402629953">
      <w:bodyDiv w:val="1"/>
      <w:marLeft w:val="0"/>
      <w:marRight w:val="0"/>
      <w:marTop w:val="0"/>
      <w:marBottom w:val="0"/>
      <w:divBdr>
        <w:top w:val="none" w:sz="0" w:space="0" w:color="auto"/>
        <w:left w:val="none" w:sz="0" w:space="0" w:color="auto"/>
        <w:bottom w:val="none" w:sz="0" w:space="0" w:color="auto"/>
        <w:right w:val="none" w:sz="0" w:space="0" w:color="auto"/>
      </w:divBdr>
    </w:div>
    <w:div w:id="1577282234">
      <w:bodyDiv w:val="1"/>
      <w:marLeft w:val="0"/>
      <w:marRight w:val="0"/>
      <w:marTop w:val="0"/>
      <w:marBottom w:val="0"/>
      <w:divBdr>
        <w:top w:val="none" w:sz="0" w:space="0" w:color="auto"/>
        <w:left w:val="none" w:sz="0" w:space="0" w:color="auto"/>
        <w:bottom w:val="none" w:sz="0" w:space="0" w:color="auto"/>
        <w:right w:val="none" w:sz="0" w:space="0" w:color="auto"/>
      </w:divBdr>
      <w:divsChild>
        <w:div w:id="274947821">
          <w:marLeft w:val="480"/>
          <w:marRight w:val="0"/>
          <w:marTop w:val="0"/>
          <w:marBottom w:val="0"/>
          <w:divBdr>
            <w:top w:val="none" w:sz="0" w:space="0" w:color="auto"/>
            <w:left w:val="none" w:sz="0" w:space="0" w:color="auto"/>
            <w:bottom w:val="none" w:sz="0" w:space="0" w:color="auto"/>
            <w:right w:val="none" w:sz="0" w:space="0" w:color="auto"/>
          </w:divBdr>
          <w:divsChild>
            <w:div w:id="313722115">
              <w:marLeft w:val="0"/>
              <w:marRight w:val="0"/>
              <w:marTop w:val="0"/>
              <w:marBottom w:val="0"/>
              <w:divBdr>
                <w:top w:val="none" w:sz="0" w:space="0" w:color="auto"/>
                <w:left w:val="none" w:sz="0" w:space="0" w:color="auto"/>
                <w:bottom w:val="none" w:sz="0" w:space="0" w:color="auto"/>
                <w:right w:val="none" w:sz="0" w:space="0" w:color="auto"/>
              </w:divBdr>
            </w:div>
            <w:div w:id="1426924875">
              <w:marLeft w:val="0"/>
              <w:marRight w:val="0"/>
              <w:marTop w:val="0"/>
              <w:marBottom w:val="0"/>
              <w:divBdr>
                <w:top w:val="none" w:sz="0" w:space="0" w:color="auto"/>
                <w:left w:val="none" w:sz="0" w:space="0" w:color="auto"/>
                <w:bottom w:val="none" w:sz="0" w:space="0" w:color="auto"/>
                <w:right w:val="none" w:sz="0" w:space="0" w:color="auto"/>
              </w:divBdr>
            </w:div>
            <w:div w:id="1008219171">
              <w:marLeft w:val="0"/>
              <w:marRight w:val="0"/>
              <w:marTop w:val="0"/>
              <w:marBottom w:val="0"/>
              <w:divBdr>
                <w:top w:val="none" w:sz="0" w:space="0" w:color="auto"/>
                <w:left w:val="none" w:sz="0" w:space="0" w:color="auto"/>
                <w:bottom w:val="none" w:sz="0" w:space="0" w:color="auto"/>
                <w:right w:val="none" w:sz="0" w:space="0" w:color="auto"/>
              </w:divBdr>
            </w:div>
            <w:div w:id="1114060727">
              <w:marLeft w:val="0"/>
              <w:marRight w:val="0"/>
              <w:marTop w:val="0"/>
              <w:marBottom w:val="0"/>
              <w:divBdr>
                <w:top w:val="none" w:sz="0" w:space="0" w:color="auto"/>
                <w:left w:val="none" w:sz="0" w:space="0" w:color="auto"/>
                <w:bottom w:val="none" w:sz="0" w:space="0" w:color="auto"/>
                <w:right w:val="none" w:sz="0" w:space="0" w:color="auto"/>
              </w:divBdr>
            </w:div>
            <w:div w:id="236087504">
              <w:marLeft w:val="0"/>
              <w:marRight w:val="0"/>
              <w:marTop w:val="0"/>
              <w:marBottom w:val="0"/>
              <w:divBdr>
                <w:top w:val="none" w:sz="0" w:space="0" w:color="auto"/>
                <w:left w:val="none" w:sz="0" w:space="0" w:color="auto"/>
                <w:bottom w:val="none" w:sz="0" w:space="0" w:color="auto"/>
                <w:right w:val="none" w:sz="0" w:space="0" w:color="auto"/>
              </w:divBdr>
            </w:div>
            <w:div w:id="430319314">
              <w:marLeft w:val="0"/>
              <w:marRight w:val="0"/>
              <w:marTop w:val="0"/>
              <w:marBottom w:val="0"/>
              <w:divBdr>
                <w:top w:val="none" w:sz="0" w:space="0" w:color="auto"/>
                <w:left w:val="none" w:sz="0" w:space="0" w:color="auto"/>
                <w:bottom w:val="none" w:sz="0" w:space="0" w:color="auto"/>
                <w:right w:val="none" w:sz="0" w:space="0" w:color="auto"/>
              </w:divBdr>
            </w:div>
            <w:div w:id="1578592883">
              <w:marLeft w:val="0"/>
              <w:marRight w:val="0"/>
              <w:marTop w:val="0"/>
              <w:marBottom w:val="0"/>
              <w:divBdr>
                <w:top w:val="none" w:sz="0" w:space="0" w:color="auto"/>
                <w:left w:val="none" w:sz="0" w:space="0" w:color="auto"/>
                <w:bottom w:val="none" w:sz="0" w:space="0" w:color="auto"/>
                <w:right w:val="none" w:sz="0" w:space="0" w:color="auto"/>
              </w:divBdr>
            </w:div>
            <w:div w:id="1596129629">
              <w:marLeft w:val="0"/>
              <w:marRight w:val="0"/>
              <w:marTop w:val="0"/>
              <w:marBottom w:val="0"/>
              <w:divBdr>
                <w:top w:val="none" w:sz="0" w:space="0" w:color="auto"/>
                <w:left w:val="none" w:sz="0" w:space="0" w:color="auto"/>
                <w:bottom w:val="none" w:sz="0" w:space="0" w:color="auto"/>
                <w:right w:val="none" w:sz="0" w:space="0" w:color="auto"/>
              </w:divBdr>
            </w:div>
            <w:div w:id="1249004152">
              <w:marLeft w:val="0"/>
              <w:marRight w:val="0"/>
              <w:marTop w:val="0"/>
              <w:marBottom w:val="0"/>
              <w:divBdr>
                <w:top w:val="none" w:sz="0" w:space="0" w:color="auto"/>
                <w:left w:val="none" w:sz="0" w:space="0" w:color="auto"/>
                <w:bottom w:val="none" w:sz="0" w:space="0" w:color="auto"/>
                <w:right w:val="none" w:sz="0" w:space="0" w:color="auto"/>
              </w:divBdr>
            </w:div>
            <w:div w:id="2012442390">
              <w:marLeft w:val="0"/>
              <w:marRight w:val="0"/>
              <w:marTop w:val="0"/>
              <w:marBottom w:val="0"/>
              <w:divBdr>
                <w:top w:val="none" w:sz="0" w:space="0" w:color="auto"/>
                <w:left w:val="none" w:sz="0" w:space="0" w:color="auto"/>
                <w:bottom w:val="none" w:sz="0" w:space="0" w:color="auto"/>
                <w:right w:val="none" w:sz="0" w:space="0" w:color="auto"/>
              </w:divBdr>
            </w:div>
            <w:div w:id="1528059863">
              <w:marLeft w:val="0"/>
              <w:marRight w:val="0"/>
              <w:marTop w:val="0"/>
              <w:marBottom w:val="0"/>
              <w:divBdr>
                <w:top w:val="none" w:sz="0" w:space="0" w:color="auto"/>
                <w:left w:val="none" w:sz="0" w:space="0" w:color="auto"/>
                <w:bottom w:val="none" w:sz="0" w:space="0" w:color="auto"/>
                <w:right w:val="none" w:sz="0" w:space="0" w:color="auto"/>
              </w:divBdr>
            </w:div>
            <w:div w:id="40174873">
              <w:marLeft w:val="0"/>
              <w:marRight w:val="0"/>
              <w:marTop w:val="0"/>
              <w:marBottom w:val="0"/>
              <w:divBdr>
                <w:top w:val="none" w:sz="0" w:space="0" w:color="auto"/>
                <w:left w:val="none" w:sz="0" w:space="0" w:color="auto"/>
                <w:bottom w:val="none" w:sz="0" w:space="0" w:color="auto"/>
                <w:right w:val="none" w:sz="0" w:space="0" w:color="auto"/>
              </w:divBdr>
            </w:div>
            <w:div w:id="405298343">
              <w:marLeft w:val="0"/>
              <w:marRight w:val="0"/>
              <w:marTop w:val="0"/>
              <w:marBottom w:val="0"/>
              <w:divBdr>
                <w:top w:val="none" w:sz="0" w:space="0" w:color="auto"/>
                <w:left w:val="none" w:sz="0" w:space="0" w:color="auto"/>
                <w:bottom w:val="none" w:sz="0" w:space="0" w:color="auto"/>
                <w:right w:val="none" w:sz="0" w:space="0" w:color="auto"/>
              </w:divBdr>
            </w:div>
            <w:div w:id="690184759">
              <w:marLeft w:val="0"/>
              <w:marRight w:val="0"/>
              <w:marTop w:val="0"/>
              <w:marBottom w:val="0"/>
              <w:divBdr>
                <w:top w:val="none" w:sz="0" w:space="0" w:color="auto"/>
                <w:left w:val="none" w:sz="0" w:space="0" w:color="auto"/>
                <w:bottom w:val="none" w:sz="0" w:space="0" w:color="auto"/>
                <w:right w:val="none" w:sz="0" w:space="0" w:color="auto"/>
              </w:divBdr>
            </w:div>
            <w:div w:id="229122799">
              <w:marLeft w:val="0"/>
              <w:marRight w:val="0"/>
              <w:marTop w:val="0"/>
              <w:marBottom w:val="0"/>
              <w:divBdr>
                <w:top w:val="none" w:sz="0" w:space="0" w:color="auto"/>
                <w:left w:val="none" w:sz="0" w:space="0" w:color="auto"/>
                <w:bottom w:val="none" w:sz="0" w:space="0" w:color="auto"/>
                <w:right w:val="none" w:sz="0" w:space="0" w:color="auto"/>
              </w:divBdr>
            </w:div>
            <w:div w:id="982931525">
              <w:marLeft w:val="0"/>
              <w:marRight w:val="0"/>
              <w:marTop w:val="0"/>
              <w:marBottom w:val="0"/>
              <w:divBdr>
                <w:top w:val="none" w:sz="0" w:space="0" w:color="auto"/>
                <w:left w:val="none" w:sz="0" w:space="0" w:color="auto"/>
                <w:bottom w:val="none" w:sz="0" w:space="0" w:color="auto"/>
                <w:right w:val="none" w:sz="0" w:space="0" w:color="auto"/>
              </w:divBdr>
            </w:div>
            <w:div w:id="1971473755">
              <w:marLeft w:val="0"/>
              <w:marRight w:val="0"/>
              <w:marTop w:val="0"/>
              <w:marBottom w:val="0"/>
              <w:divBdr>
                <w:top w:val="none" w:sz="0" w:space="0" w:color="auto"/>
                <w:left w:val="none" w:sz="0" w:space="0" w:color="auto"/>
                <w:bottom w:val="none" w:sz="0" w:space="0" w:color="auto"/>
                <w:right w:val="none" w:sz="0" w:space="0" w:color="auto"/>
              </w:divBdr>
            </w:div>
            <w:div w:id="717047638">
              <w:marLeft w:val="0"/>
              <w:marRight w:val="0"/>
              <w:marTop w:val="0"/>
              <w:marBottom w:val="0"/>
              <w:divBdr>
                <w:top w:val="none" w:sz="0" w:space="0" w:color="auto"/>
                <w:left w:val="none" w:sz="0" w:space="0" w:color="auto"/>
                <w:bottom w:val="none" w:sz="0" w:space="0" w:color="auto"/>
                <w:right w:val="none" w:sz="0" w:space="0" w:color="auto"/>
              </w:divBdr>
            </w:div>
            <w:div w:id="1086223071">
              <w:marLeft w:val="0"/>
              <w:marRight w:val="0"/>
              <w:marTop w:val="0"/>
              <w:marBottom w:val="0"/>
              <w:divBdr>
                <w:top w:val="none" w:sz="0" w:space="0" w:color="auto"/>
                <w:left w:val="none" w:sz="0" w:space="0" w:color="auto"/>
                <w:bottom w:val="none" w:sz="0" w:space="0" w:color="auto"/>
                <w:right w:val="none" w:sz="0" w:space="0" w:color="auto"/>
              </w:divBdr>
            </w:div>
            <w:div w:id="1996496904">
              <w:marLeft w:val="0"/>
              <w:marRight w:val="0"/>
              <w:marTop w:val="0"/>
              <w:marBottom w:val="0"/>
              <w:divBdr>
                <w:top w:val="none" w:sz="0" w:space="0" w:color="auto"/>
                <w:left w:val="none" w:sz="0" w:space="0" w:color="auto"/>
                <w:bottom w:val="none" w:sz="0" w:space="0" w:color="auto"/>
                <w:right w:val="none" w:sz="0" w:space="0" w:color="auto"/>
              </w:divBdr>
            </w:div>
            <w:div w:id="146958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438309">
      <w:bodyDiv w:val="1"/>
      <w:marLeft w:val="0"/>
      <w:marRight w:val="0"/>
      <w:marTop w:val="0"/>
      <w:marBottom w:val="0"/>
      <w:divBdr>
        <w:top w:val="none" w:sz="0" w:space="0" w:color="auto"/>
        <w:left w:val="none" w:sz="0" w:space="0" w:color="auto"/>
        <w:bottom w:val="none" w:sz="0" w:space="0" w:color="auto"/>
        <w:right w:val="none" w:sz="0" w:space="0" w:color="auto"/>
      </w:divBdr>
    </w:div>
    <w:div w:id="1899318045">
      <w:bodyDiv w:val="1"/>
      <w:marLeft w:val="0"/>
      <w:marRight w:val="0"/>
      <w:marTop w:val="0"/>
      <w:marBottom w:val="0"/>
      <w:divBdr>
        <w:top w:val="none" w:sz="0" w:space="0" w:color="auto"/>
        <w:left w:val="none" w:sz="0" w:space="0" w:color="auto"/>
        <w:bottom w:val="none" w:sz="0" w:space="0" w:color="auto"/>
        <w:right w:val="none" w:sz="0" w:space="0" w:color="auto"/>
      </w:divBdr>
      <w:divsChild>
        <w:div w:id="245261389">
          <w:marLeft w:val="0"/>
          <w:marRight w:val="0"/>
          <w:marTop w:val="0"/>
          <w:marBottom w:val="240"/>
          <w:divBdr>
            <w:top w:val="none" w:sz="0" w:space="0" w:color="auto"/>
            <w:left w:val="none" w:sz="0" w:space="0" w:color="auto"/>
            <w:bottom w:val="none" w:sz="0" w:space="0" w:color="auto"/>
            <w:right w:val="none" w:sz="0" w:space="0" w:color="auto"/>
          </w:divBdr>
          <w:divsChild>
            <w:div w:id="1801604228">
              <w:marLeft w:val="0"/>
              <w:marRight w:val="0"/>
              <w:marTop w:val="0"/>
              <w:marBottom w:val="450"/>
              <w:divBdr>
                <w:top w:val="none" w:sz="0" w:space="0" w:color="auto"/>
                <w:left w:val="none" w:sz="0" w:space="0" w:color="auto"/>
                <w:bottom w:val="none" w:sz="0" w:space="0" w:color="auto"/>
                <w:right w:val="none" w:sz="0" w:space="0" w:color="auto"/>
              </w:divBdr>
              <w:divsChild>
                <w:div w:id="787242003">
                  <w:marLeft w:val="0"/>
                  <w:marRight w:val="0"/>
                  <w:marTop w:val="0"/>
                  <w:marBottom w:val="0"/>
                  <w:divBdr>
                    <w:top w:val="none" w:sz="0" w:space="0" w:color="auto"/>
                    <w:left w:val="none" w:sz="0" w:space="0" w:color="auto"/>
                    <w:bottom w:val="none" w:sz="0" w:space="0" w:color="auto"/>
                    <w:right w:val="none" w:sz="0" w:space="0" w:color="auto"/>
                  </w:divBdr>
                  <w:divsChild>
                    <w:div w:id="1776897104">
                      <w:marLeft w:val="0"/>
                      <w:marRight w:val="0"/>
                      <w:marTop w:val="0"/>
                      <w:marBottom w:val="0"/>
                      <w:divBdr>
                        <w:top w:val="none" w:sz="0" w:space="0" w:color="auto"/>
                        <w:left w:val="none" w:sz="0" w:space="0" w:color="auto"/>
                        <w:bottom w:val="none" w:sz="0" w:space="0" w:color="auto"/>
                        <w:right w:val="none" w:sz="0" w:space="0" w:color="auto"/>
                      </w:divBdr>
                      <w:divsChild>
                        <w:div w:id="6162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676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verra.org/project/california-offset-project-registry/" TargetMode="External"/><Relationship Id="rId18" Type="http://schemas.openxmlformats.org/officeDocument/2006/relationships/hyperlink" Target="https://www.nature.com/articles/ngeo905" TargetMode="External"/><Relationship Id="rId26" Type="http://schemas.openxmlformats.org/officeDocument/2006/relationships/hyperlink" Target="http://www.cleanenergyregulator.gov.au/ERF/project-and-contracts-registers/project-register" TargetMode="External"/><Relationship Id="rId39" Type="http://schemas.openxmlformats.org/officeDocument/2006/relationships/hyperlink" Target="https://cdm.unfccc.int/Projects/projsearch.html" TargetMode="External"/><Relationship Id="rId3" Type="http://schemas.openxmlformats.org/officeDocument/2006/relationships/styles" Target="styles.xml"/><Relationship Id="rId21" Type="http://schemas.openxmlformats.org/officeDocument/2006/relationships/hyperlink" Target="https://alberta.csaregistries.ca/GHGR_Listing/AEOR_Listing.aspx" TargetMode="External"/><Relationship Id="rId34" Type="http://schemas.openxmlformats.org/officeDocument/2006/relationships/hyperlink" Target="https://rggi-coats.org/eats/rggi/index.cfm?fuseaction=search.project_offset&amp;clearfuseattribs=true" TargetMode="External"/><Relationship Id="rId42" Type="http://schemas.openxmlformats.org/officeDocument/2006/relationships/hyperlink" Target="https://unfccc.int/non-annex-I-NCs" TargetMode="External"/><Relationship Id="rId47" Type="http://schemas.openxmlformats.org/officeDocument/2006/relationships/hyperlink" Target="https://www.usda.gov/sites/default/files/documents/usda-reports-to-america-comprehensive.pdf" TargetMode="External"/><Relationship Id="rId50" Type="http://schemas.openxmlformats.org/officeDocument/2006/relationships/hyperlink" Target="http://dx.doi.org/10.3133/pp1826" TargetMode="External"/><Relationship Id="rId7" Type="http://schemas.openxmlformats.org/officeDocument/2006/relationships/endnotes" Target="endnotes.xml"/><Relationship Id="rId12" Type="http://schemas.openxmlformats.org/officeDocument/2006/relationships/hyperlink" Target="http://www.climateactionreserve.org/" TargetMode="External"/><Relationship Id="rId17" Type="http://schemas.openxmlformats.org/officeDocument/2006/relationships/hyperlink" Target="https://www.nature.com/articles/ngeo905" TargetMode="External"/><Relationship Id="rId25" Type="http://schemas.openxmlformats.org/officeDocument/2006/relationships/hyperlink" Target="https://www.nature.com/articles/ngeo905" TargetMode="External"/><Relationship Id="rId33" Type="http://schemas.openxmlformats.org/officeDocument/2006/relationships/hyperlink" Target="http://www.ncasi.org/wp-content/uploads/2019/02/Reams.pdf" TargetMode="External"/><Relationship Id="rId38" Type="http://schemas.openxmlformats.org/officeDocument/2006/relationships/hyperlink" Target="https://www.fisheries.noaa.gov/resource/document/fisheries-united-states-2016-report" TargetMode="External"/><Relationship Id="rId46" Type="http://schemas.openxmlformats.org/officeDocument/2006/relationships/hyperlink" Target="http://apps.fs.fed.us/fiadb-%20downloads/datamart.html" TargetMode="External"/><Relationship Id="rId2" Type="http://schemas.openxmlformats.org/officeDocument/2006/relationships/numbering" Target="numbering.xml"/><Relationship Id="rId16" Type="http://schemas.openxmlformats.org/officeDocument/2006/relationships/hyperlink" Target="https://www.epa.gov/sites/production/files/2018-01/documents/2018_chapter_6_land_use_land-use_change_and_forestry.pdf" TargetMode="External"/><Relationship Id="rId20" Type="http://schemas.openxmlformats.org/officeDocument/2006/relationships/hyperlink" Target="https://www.nature.com/articles/ngeo905" TargetMode="External"/><Relationship Id="rId29" Type="http://schemas.openxmlformats.org/officeDocument/2006/relationships/hyperlink" Target="https://gspp.berkeley.edu/faculty-and-impact/centers/cepp/projects/berkeley-carbon-trading-project/offsets-database" TargetMode="External"/><Relationship Id="rId41" Type="http://schemas.openxmlformats.org/officeDocument/2006/relationships/hyperlink" Target="https://di.unfccc.int/detailed_data_by_par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mericancarbonregistry.org/" TargetMode="External"/><Relationship Id="rId24" Type="http://schemas.openxmlformats.org/officeDocument/2006/relationships/hyperlink" Target="https://www.nature.com/articles/ngeo905" TargetMode="External"/><Relationship Id="rId32" Type="http://schemas.openxmlformats.org/officeDocument/2006/relationships/hyperlink" Target="https://doi.org/10.1016/j.landurbplan.2012.04.005" TargetMode="External"/><Relationship Id="rId37" Type="http://schemas.openxmlformats.org/officeDocument/2006/relationships/hyperlink" Target="http://www.fao.org/forestry/fra/fra2020/en/" TargetMode="External"/><Relationship Id="rId40" Type="http://schemas.openxmlformats.org/officeDocument/2006/relationships/hyperlink" Target="https://ji.unfccc.int/JI_Projects/ProjectInfo.html" TargetMode="External"/><Relationship Id="rId45" Type="http://schemas.openxmlformats.org/officeDocument/2006/relationships/hyperlink" Target="https://obamawhitehouse.archives.gov/sites/whitehouse.gov/files/documents/Climate_Change_and_Land_Sector_Report_2015.pdf" TargetMode="External"/><Relationship Id="rId5" Type="http://schemas.openxmlformats.org/officeDocument/2006/relationships/webSettings" Target="webSettings.xml"/><Relationship Id="rId15" Type="http://schemas.openxmlformats.org/officeDocument/2006/relationships/hyperlink" Target="https://www.surveymonkey.com/r/LULUCFinventory" TargetMode="External"/><Relationship Id="rId23" Type="http://schemas.openxmlformats.org/officeDocument/2006/relationships/hyperlink" Target="https://www.nature.com/articles/ngeo905" TargetMode="External"/><Relationship Id="rId28" Type="http://schemas.openxmlformats.org/officeDocument/2006/relationships/hyperlink" Target="https://www.eea.europa.eu/publications/emep-eea-guidebook-2019" TargetMode="External"/><Relationship Id="rId36" Type="http://schemas.openxmlformats.org/officeDocument/2006/relationships/hyperlink" Target="https://www.reddprojectsdatabase.org" TargetMode="External"/><Relationship Id="rId49" Type="http://schemas.openxmlformats.org/officeDocument/2006/relationships/hyperlink" Target="https://pubs.er.usgs.gov/publication/70185756" TargetMode="External"/><Relationship Id="rId10" Type="http://schemas.openxmlformats.org/officeDocument/2006/relationships/footer" Target="footer1.xml"/><Relationship Id="rId19" Type="http://schemas.openxmlformats.org/officeDocument/2006/relationships/hyperlink" Target="https://www.nature.com/articles/ngeo905" TargetMode="External"/><Relationship Id="rId31" Type="http://schemas.openxmlformats.org/officeDocument/2006/relationships/hyperlink" Target="https://doi.org/10.1073/pnas.1319946111" TargetMode="External"/><Relationship Id="rId44" Type="http://schemas.openxmlformats.org/officeDocument/2006/relationships/hyperlink" Target="https://unfccc.int/BURs"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yperlink" Target="https://www.nature.com/articles/ngeo905" TargetMode="External"/><Relationship Id="rId27" Type="http://schemas.openxmlformats.org/officeDocument/2006/relationships/hyperlink" Target="https://carbonregistry.gov.bc.ca/br-reg/public/bc/index.jsp?entity=issuance&amp;name=&amp;standardId=&amp;acronym=&amp;unitClass=&amp;sort=project_type_name&amp;dir=DESC&amp;start=75" TargetMode="External"/><Relationship Id="rId30" Type="http://schemas.openxmlformats.org/officeDocument/2006/relationships/hyperlink" Target="https://www.ipcc-nggip.iges.or.jp/public/2019rf/index.html" TargetMode="External"/><Relationship Id="rId35" Type="http://schemas.openxmlformats.org/officeDocument/2006/relationships/hyperlink" Target="https://doi.org/10.3133/pp1834" TargetMode="External"/><Relationship Id="rId43" Type="http://schemas.openxmlformats.org/officeDocument/2006/relationships/hyperlink" Target="https://unfccc.int/ghg-inventories-annex-i-parties/2021" TargetMode="External"/><Relationship Id="rId48" Type="http://schemas.openxmlformats.org/officeDocument/2006/relationships/hyperlink" Target="https://www.nass.usda.gov/Publications/AgCensus/2012/" TargetMode="External"/><Relationship Id="rId8" Type="http://schemas.openxmlformats.org/officeDocument/2006/relationships/hyperlink" Target="mailto:efmcglynn@ucdavis.edu" TargetMode="Externa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i.unfccc.int/detailed_data_by_pa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1ECEF-5664-4A54-8FA3-C21CE3413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117</Pages>
  <Words>46390</Words>
  <Characters>264423</Characters>
  <Application>Microsoft Office Word</Application>
  <DocSecurity>0</DocSecurity>
  <Lines>2203</Lines>
  <Paragraphs>620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McGlynn</dc:creator>
  <cp:keywords/>
  <dc:description/>
  <cp:lastModifiedBy>Emily McGlynn</cp:lastModifiedBy>
  <cp:revision>4</cp:revision>
  <cp:lastPrinted>2019-12-31T23:55:00Z</cp:lastPrinted>
  <dcterms:created xsi:type="dcterms:W3CDTF">2021-10-11T02:02:00Z</dcterms:created>
  <dcterms:modified xsi:type="dcterms:W3CDTF">2021-10-11T02:15:00Z</dcterms:modified>
</cp:coreProperties>
</file>