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0B507" w14:textId="77777777" w:rsidR="00E645F8" w:rsidRDefault="00E645F8" w:rsidP="0082202F">
      <w:pPr>
        <w:jc w:val="both"/>
        <w:rPr>
          <w:rFonts w:ascii="Times New Roman" w:hAnsi="Times New Roman" w:cs="Times New Roman"/>
          <w:b/>
          <w:sz w:val="24"/>
          <w:lang w:val="en-US"/>
        </w:rPr>
      </w:pPr>
      <w:r>
        <w:rPr>
          <w:rFonts w:ascii="Times New Roman" w:hAnsi="Times New Roman" w:cs="Times New Roman"/>
          <w:b/>
          <w:sz w:val="24"/>
          <w:lang w:val="en-US"/>
        </w:rPr>
        <w:t>Supplementary material</w:t>
      </w:r>
    </w:p>
    <w:p w14:paraId="7DDD8835" w14:textId="77777777" w:rsidR="003D6155" w:rsidRPr="00CA690D" w:rsidRDefault="003D6155" w:rsidP="0082202F">
      <w:pPr>
        <w:jc w:val="both"/>
        <w:rPr>
          <w:rFonts w:ascii="Times New Roman" w:hAnsi="Times New Roman" w:cs="Times New Roman"/>
          <w:b/>
          <w:sz w:val="24"/>
          <w:lang w:val="en-US"/>
        </w:rPr>
      </w:pPr>
      <w:r w:rsidRPr="00CA690D">
        <w:rPr>
          <w:rFonts w:ascii="Times New Roman" w:hAnsi="Times New Roman" w:cs="Times New Roman"/>
          <w:b/>
          <w:sz w:val="24"/>
          <w:lang w:val="en-US"/>
        </w:rPr>
        <w:t>Evapotranspiration in hydrological models under rising CO</w:t>
      </w:r>
      <w:r w:rsidRPr="00796444">
        <w:rPr>
          <w:rFonts w:ascii="Times New Roman" w:hAnsi="Times New Roman" w:cs="Times New Roman"/>
          <w:b/>
          <w:sz w:val="24"/>
          <w:vertAlign w:val="subscript"/>
          <w:lang w:val="en-US"/>
        </w:rPr>
        <w:t>2</w:t>
      </w:r>
      <w:r w:rsidRPr="00CA690D">
        <w:rPr>
          <w:rFonts w:ascii="Times New Roman" w:hAnsi="Times New Roman" w:cs="Times New Roman"/>
          <w:b/>
          <w:sz w:val="24"/>
          <w:lang w:val="en-US"/>
        </w:rPr>
        <w:t>: a jump into the unknown</w:t>
      </w:r>
    </w:p>
    <w:p w14:paraId="36BF6213" w14:textId="77777777" w:rsidR="003D6155" w:rsidRPr="00CA690D" w:rsidRDefault="003D6155" w:rsidP="0082202F">
      <w:pPr>
        <w:jc w:val="both"/>
        <w:rPr>
          <w:rFonts w:ascii="Times New Roman" w:hAnsi="Times New Roman" w:cs="Times New Roman"/>
          <w:sz w:val="24"/>
          <w:lang w:val="en-US"/>
        </w:rPr>
      </w:pPr>
      <w:r w:rsidRPr="00CA690D">
        <w:rPr>
          <w:rFonts w:ascii="Times New Roman" w:hAnsi="Times New Roman" w:cs="Times New Roman"/>
          <w:sz w:val="24"/>
          <w:lang w:val="en-US"/>
        </w:rPr>
        <w:t xml:space="preserve">Fig. S1 presents observed runoff (Q observed) for a set of catchments over contrasted climate conditions in France compared to runoff derived from non-parametric Budyko curve. We used the set of 171 French catchments selected by de Lavenne and Andréassian (2018). Fig. S1 shows good similarity between observed runoff and runoff derived from </w:t>
      </w:r>
      <w:r w:rsidR="00E645F8">
        <w:rPr>
          <w:rFonts w:ascii="Times New Roman" w:hAnsi="Times New Roman" w:cs="Times New Roman"/>
          <w:sz w:val="24"/>
          <w:lang w:val="en-US"/>
        </w:rPr>
        <w:t xml:space="preserve">the </w:t>
      </w:r>
      <w:r w:rsidRPr="00CA690D">
        <w:rPr>
          <w:rFonts w:ascii="Times New Roman" w:hAnsi="Times New Roman" w:cs="Times New Roman"/>
          <w:sz w:val="24"/>
          <w:lang w:val="en-US"/>
        </w:rPr>
        <w:t>non-parametric Budyko curve, to validate the use of this equation over France.</w:t>
      </w:r>
    </w:p>
    <w:p w14:paraId="67224073" w14:textId="69EEA20E" w:rsidR="00B35975" w:rsidRDefault="00B35975" w:rsidP="0082202F">
      <w:pPr>
        <w:jc w:val="both"/>
        <w:rPr>
          <w:rFonts w:ascii="Times New Roman" w:hAnsi="Times New Roman" w:cs="Times New Roman"/>
          <w:sz w:val="24"/>
          <w:lang w:val="en-US"/>
        </w:rPr>
      </w:pPr>
      <w:r w:rsidRPr="00CA690D">
        <w:rPr>
          <w:rFonts w:ascii="Times New Roman" w:hAnsi="Times New Roman" w:cs="Times New Roman"/>
          <w:sz w:val="24"/>
          <w:lang w:val="en-US"/>
        </w:rPr>
        <w:t xml:space="preserve">To compute Budyko curve we used hydro-climatic data from the </w:t>
      </w:r>
      <w:r w:rsidR="0082202F">
        <w:rPr>
          <w:rFonts w:ascii="Times New Roman" w:hAnsi="Times New Roman" w:cs="Times New Roman"/>
          <w:sz w:val="24"/>
          <w:lang w:val="en-US"/>
        </w:rPr>
        <w:fldChar w:fldCharType="begin"/>
      </w:r>
      <w:r w:rsidR="0082202F">
        <w:rPr>
          <w:rFonts w:ascii="Times New Roman" w:hAnsi="Times New Roman" w:cs="Times New Roman"/>
          <w:sz w:val="24"/>
          <w:lang w:val="en-US"/>
        </w:rPr>
        <w:instrText xml:space="preserve"> ADDIN ZOTERO_ITEM CSL_CITATION {"citationID":"zj6cB4tU","properties":{"formattedCitation":"(Brigode et al. 2020)","plainCitation":"(Brigode et al. 2020)","noteIndex":0},"citationItems":[{"id":2222,"uris":["http://zotero.org/users/5829124/items/TUVMKSYB"],"uri":["http://zotero.org/users/5829124/items/TUVMKSYB"],"itemData":{"id":2222,"type":"article","title":"Summary sheets of watershed-scale hydroclimatic observed data for France","publisher":"Portail Data INRAE","source":"DOI.org (Datacite)","abstract":"The summary sheets outline aggregated hydrological data from the French national database (Banque Hydro) and climatic Safran reanalysis from Météo-France at the catchment scale.","URL":"https://data.inra.fr/citation?persistentId=doi:10.15454/UV01P1","note":"Type: dataset\nDOI: 10.15454/UV01P1","author":[{"family":"Brigode","given":"Pierre"},{"family":"Génot","given":"Benoît"},{"family":"Lobligeois","given":"Florent"},{"family":"Delaigue","given":"Olivier"}],"issued":{"date-parts":[["2020"]]},"accessed":{"date-parts":[["2022",2,22]]}}}],"schema":"https://github.com/citation-style-language/schema/raw/master/csl-citation.json"} </w:instrText>
      </w:r>
      <w:r w:rsidR="0082202F">
        <w:rPr>
          <w:rFonts w:ascii="Times New Roman" w:hAnsi="Times New Roman" w:cs="Times New Roman"/>
          <w:sz w:val="24"/>
          <w:lang w:val="en-US"/>
        </w:rPr>
        <w:fldChar w:fldCharType="separate"/>
      </w:r>
      <w:r w:rsidR="0082202F" w:rsidRPr="0082202F">
        <w:rPr>
          <w:rFonts w:ascii="Times New Roman" w:hAnsi="Times New Roman" w:cs="Times New Roman"/>
          <w:sz w:val="24"/>
          <w:lang w:val="en-US"/>
        </w:rPr>
        <w:t>(Brigode et al. 2020)</w:t>
      </w:r>
      <w:r w:rsidR="0082202F">
        <w:rPr>
          <w:rFonts w:ascii="Times New Roman" w:hAnsi="Times New Roman" w:cs="Times New Roman"/>
          <w:sz w:val="24"/>
          <w:lang w:val="en-US"/>
        </w:rPr>
        <w:fldChar w:fldCharType="end"/>
      </w:r>
      <w:r w:rsidR="0082202F">
        <w:rPr>
          <w:rFonts w:ascii="Times New Roman" w:hAnsi="Times New Roman" w:cs="Times New Roman"/>
          <w:sz w:val="24"/>
          <w:lang w:val="en-US"/>
        </w:rPr>
        <w:t xml:space="preserve"> </w:t>
      </w:r>
      <w:r w:rsidR="00E645F8">
        <w:rPr>
          <w:rFonts w:ascii="Times New Roman" w:hAnsi="Times New Roman" w:cs="Times New Roman"/>
          <w:sz w:val="24"/>
          <w:lang w:val="en-US"/>
        </w:rPr>
        <w:t>database</w:t>
      </w:r>
      <w:r w:rsidR="00C646BB">
        <w:rPr>
          <w:rFonts w:ascii="Times New Roman" w:hAnsi="Times New Roman" w:cs="Times New Roman"/>
          <w:sz w:val="24"/>
          <w:lang w:val="en-US"/>
        </w:rPr>
        <w:t xml:space="preserve">, </w:t>
      </w:r>
      <w:r w:rsidR="00C646BB" w:rsidRPr="00C646BB">
        <w:rPr>
          <w:rFonts w:ascii="Times New Roman" w:hAnsi="Times New Roman" w:cs="Times New Roman"/>
          <w:sz w:val="24"/>
          <w:lang w:val="en-US"/>
        </w:rPr>
        <w:t>for w</w:t>
      </w:r>
      <w:r w:rsidR="00C646BB">
        <w:rPr>
          <w:rFonts w:ascii="Times New Roman" w:hAnsi="Times New Roman" w:cs="Times New Roman"/>
          <w:sz w:val="24"/>
          <w:lang w:val="en-US"/>
        </w:rPr>
        <w:t xml:space="preserve">hich </w:t>
      </w:r>
      <w:r w:rsidR="00E645F8">
        <w:rPr>
          <w:rFonts w:ascii="Times New Roman" w:hAnsi="Times New Roman" w:cs="Times New Roman"/>
          <w:sz w:val="24"/>
          <w:lang w:val="en-US"/>
        </w:rPr>
        <w:t xml:space="preserve">daily </w:t>
      </w:r>
      <w:r w:rsidR="00C646BB">
        <w:rPr>
          <w:rFonts w:ascii="Times New Roman" w:hAnsi="Times New Roman" w:cs="Times New Roman"/>
          <w:sz w:val="24"/>
          <w:lang w:val="en-US"/>
        </w:rPr>
        <w:t xml:space="preserve">climate data </w:t>
      </w:r>
      <w:r w:rsidR="00C646BB" w:rsidRPr="00C646BB">
        <w:rPr>
          <w:rFonts w:ascii="Times New Roman" w:hAnsi="Times New Roman" w:cs="Times New Roman"/>
          <w:sz w:val="24"/>
          <w:lang w:val="en-US"/>
        </w:rPr>
        <w:t xml:space="preserve">come from the </w:t>
      </w:r>
      <w:r w:rsidR="00E645F8">
        <w:rPr>
          <w:rFonts w:ascii="Times New Roman" w:hAnsi="Times New Roman" w:cs="Times New Roman"/>
          <w:sz w:val="24"/>
          <w:lang w:val="en-US"/>
        </w:rPr>
        <w:t>(</w:t>
      </w:r>
      <w:r w:rsidR="00E645F8" w:rsidRPr="00CA690D">
        <w:rPr>
          <w:rFonts w:ascii="Times New Roman" w:hAnsi="Times New Roman" w:cs="Times New Roman"/>
          <w:sz w:val="24"/>
          <w:lang w:val="en-US"/>
        </w:rPr>
        <w:t>Système d’Analyse Fournissant des Renseignements atmosphériques à la Neige</w:t>
      </w:r>
      <w:r w:rsidR="00E645F8" w:rsidRPr="00C646BB">
        <w:rPr>
          <w:rFonts w:ascii="Times New Roman" w:hAnsi="Times New Roman" w:cs="Times New Roman"/>
          <w:sz w:val="24"/>
          <w:lang w:val="en-US"/>
        </w:rPr>
        <w:t xml:space="preserve"> </w:t>
      </w:r>
      <w:r w:rsidR="00E645F8">
        <w:rPr>
          <w:rFonts w:ascii="Times New Roman" w:hAnsi="Times New Roman" w:cs="Times New Roman"/>
          <w:sz w:val="24"/>
          <w:lang w:val="en-US"/>
        </w:rPr>
        <w:t xml:space="preserve">) </w:t>
      </w:r>
      <w:r w:rsidR="00C646BB" w:rsidRPr="00C646BB">
        <w:rPr>
          <w:rFonts w:ascii="Times New Roman" w:hAnsi="Times New Roman" w:cs="Times New Roman"/>
          <w:sz w:val="24"/>
          <w:lang w:val="en-US"/>
        </w:rPr>
        <w:t>S</w:t>
      </w:r>
      <w:r w:rsidR="00C646BB">
        <w:rPr>
          <w:rFonts w:ascii="Times New Roman" w:hAnsi="Times New Roman" w:cs="Times New Roman"/>
          <w:sz w:val="24"/>
          <w:lang w:val="en-US"/>
        </w:rPr>
        <w:t xml:space="preserve">AFRAN meteorological reanalysis </w:t>
      </w:r>
      <w:r w:rsidR="00C646BB" w:rsidRPr="00C646BB">
        <w:rPr>
          <w:rFonts w:ascii="Times New Roman" w:hAnsi="Times New Roman" w:cs="Times New Roman"/>
          <w:sz w:val="24"/>
          <w:lang w:val="en-US"/>
        </w:rPr>
        <w:t xml:space="preserve">(Vidal et al. 2010) and </w:t>
      </w:r>
      <w:r w:rsidR="00E645F8">
        <w:rPr>
          <w:rFonts w:ascii="Times New Roman" w:hAnsi="Times New Roman" w:cs="Times New Roman"/>
          <w:sz w:val="24"/>
          <w:lang w:val="en-US"/>
        </w:rPr>
        <w:t xml:space="preserve">daily </w:t>
      </w:r>
      <w:r w:rsidR="00C646BB">
        <w:rPr>
          <w:rFonts w:ascii="Times New Roman" w:hAnsi="Times New Roman" w:cs="Times New Roman"/>
          <w:sz w:val="24"/>
          <w:lang w:val="en-US"/>
        </w:rPr>
        <w:t xml:space="preserve">observed </w:t>
      </w:r>
      <w:r w:rsidR="00E645F8">
        <w:rPr>
          <w:rFonts w:ascii="Times New Roman" w:hAnsi="Times New Roman" w:cs="Times New Roman"/>
          <w:sz w:val="24"/>
          <w:lang w:val="en-US"/>
        </w:rPr>
        <w:t xml:space="preserve">streamflow </w:t>
      </w:r>
      <w:r w:rsidR="00C646BB">
        <w:rPr>
          <w:rFonts w:ascii="Times New Roman" w:hAnsi="Times New Roman" w:cs="Times New Roman"/>
          <w:sz w:val="24"/>
          <w:lang w:val="en-US"/>
        </w:rPr>
        <w:t xml:space="preserve">series come from the </w:t>
      </w:r>
      <w:r w:rsidR="00C646BB" w:rsidRPr="00C646BB">
        <w:rPr>
          <w:rFonts w:ascii="Times New Roman" w:hAnsi="Times New Roman" w:cs="Times New Roman"/>
          <w:sz w:val="24"/>
          <w:lang w:val="en-US"/>
        </w:rPr>
        <w:t>Banque Hydro database (Leleu et al. 2014).</w:t>
      </w:r>
    </w:p>
    <w:p w14:paraId="280F7BE8" w14:textId="77777777" w:rsidR="00E645F8" w:rsidRPr="00C646BB" w:rsidRDefault="00E645F8" w:rsidP="0082202F">
      <w:pPr>
        <w:jc w:val="both"/>
        <w:rPr>
          <w:rFonts w:ascii="Times New Roman" w:hAnsi="Times New Roman" w:cs="Times New Roman"/>
          <w:sz w:val="24"/>
          <w:lang w:val="en-US"/>
        </w:rPr>
      </w:pPr>
      <w:r>
        <w:rPr>
          <w:rFonts w:ascii="Times New Roman" w:hAnsi="Times New Roman" w:cs="Times New Roman"/>
          <w:sz w:val="24"/>
          <w:lang w:val="en-US"/>
        </w:rPr>
        <w:t xml:space="preserve">In Figure S1, we see that the correspondence between Budyko simulated streamflow and observed streamflow is very high under these 171 catchments, indicating that the Budyko framework can be considered as reliable over France for the present study. </w:t>
      </w:r>
    </w:p>
    <w:p w14:paraId="75113DFB" w14:textId="77777777" w:rsidR="003D6155" w:rsidRPr="00C646BB" w:rsidRDefault="003D6155" w:rsidP="0082202F">
      <w:pPr>
        <w:jc w:val="both"/>
        <w:rPr>
          <w:rFonts w:ascii="Times New Roman" w:hAnsi="Times New Roman" w:cs="Times New Roman"/>
          <w:sz w:val="24"/>
          <w:lang w:val="en-US"/>
        </w:rPr>
      </w:pPr>
    </w:p>
    <w:p w14:paraId="3183CA0F" w14:textId="4816C32A" w:rsidR="00B35975" w:rsidRPr="00CA690D" w:rsidRDefault="00CA690D" w:rsidP="0082202F">
      <w:pPr>
        <w:jc w:val="both"/>
        <w:rPr>
          <w:rFonts w:ascii="Times New Roman" w:hAnsi="Times New Roman" w:cs="Times New Roman"/>
          <w:sz w:val="24"/>
          <w:lang w:val="en-US"/>
        </w:rPr>
      </w:pPr>
      <w:r>
        <w:rPr>
          <w:rFonts w:ascii="Times New Roman" w:hAnsi="Times New Roman" w:cs="Times New Roman"/>
          <w:sz w:val="24"/>
          <w:lang w:val="en-US"/>
        </w:rPr>
        <w:t>Fig S1</w:t>
      </w:r>
      <w:r w:rsidR="003D6155" w:rsidRPr="00CA690D">
        <w:rPr>
          <w:rFonts w:ascii="Times New Roman" w:hAnsi="Times New Roman" w:cs="Times New Roman"/>
          <w:sz w:val="24"/>
          <w:lang w:val="en-US"/>
        </w:rPr>
        <w:t xml:space="preserve"> Evaluation of the non-parametric Budyko framework against </w:t>
      </w:r>
      <w:r w:rsidR="00E645F8">
        <w:rPr>
          <w:rFonts w:ascii="Times New Roman" w:hAnsi="Times New Roman" w:cs="Times New Roman"/>
          <w:sz w:val="24"/>
          <w:lang w:val="en-US"/>
        </w:rPr>
        <w:t>streamflow</w:t>
      </w:r>
      <w:r w:rsidR="00E645F8" w:rsidRPr="00CA690D">
        <w:rPr>
          <w:rFonts w:ascii="Times New Roman" w:hAnsi="Times New Roman" w:cs="Times New Roman"/>
          <w:sz w:val="24"/>
          <w:lang w:val="en-US"/>
        </w:rPr>
        <w:t xml:space="preserve"> </w:t>
      </w:r>
      <w:r w:rsidR="003D6155" w:rsidRPr="00CA690D">
        <w:rPr>
          <w:rFonts w:ascii="Times New Roman" w:hAnsi="Times New Roman" w:cs="Times New Roman"/>
          <w:sz w:val="24"/>
          <w:lang w:val="en-US"/>
        </w:rPr>
        <w:t>observations for a set of 171 water catchments (in blue) over 30 years (1970–1999)</w:t>
      </w:r>
      <w:r>
        <w:rPr>
          <w:rFonts w:ascii="Times New Roman" w:hAnsi="Times New Roman" w:cs="Times New Roman"/>
          <w:sz w:val="24"/>
          <w:lang w:val="en-US"/>
        </w:rPr>
        <w:t>.</w:t>
      </w:r>
    </w:p>
    <w:p w14:paraId="27EB6F4D" w14:textId="77777777" w:rsidR="00755DC9" w:rsidRDefault="003D6155" w:rsidP="0082202F">
      <w:pPr>
        <w:jc w:val="both"/>
        <w:rPr>
          <w:lang w:val="en-US"/>
        </w:rPr>
      </w:pPr>
      <w:r>
        <w:rPr>
          <w:noProof/>
          <w:lang w:val="en-US"/>
        </w:rPr>
        <w:drawing>
          <wp:inline distT="0" distB="0" distL="0" distR="0" wp14:anchorId="7E7819C1" wp14:editId="60810CC7">
            <wp:extent cx="4019550" cy="3800475"/>
            <wp:effectExtent l="0" t="0" r="0" b="9525"/>
            <wp:docPr id="1" name="Image 1" descr="C:\Users\thibault.lemaitre\AppData\Local\Microsoft\Windows\INetCache\Content.Word\Compo_Test_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ibault.lemaitre\AppData\Local\Microsoft\Windows\INetCache\Content.Word\Compo_Test_Review.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19550" cy="3800475"/>
                    </a:xfrm>
                    <a:prstGeom prst="rect">
                      <a:avLst/>
                    </a:prstGeom>
                    <a:noFill/>
                    <a:ln>
                      <a:noFill/>
                    </a:ln>
                  </pic:spPr>
                </pic:pic>
              </a:graphicData>
            </a:graphic>
          </wp:inline>
        </w:drawing>
      </w:r>
    </w:p>
    <w:p w14:paraId="0E19AC40" w14:textId="77777777" w:rsidR="00B35975" w:rsidRDefault="00B35975" w:rsidP="0082202F">
      <w:pPr>
        <w:jc w:val="both"/>
        <w:rPr>
          <w:lang w:val="en-US"/>
        </w:rPr>
      </w:pPr>
    </w:p>
    <w:p w14:paraId="09F1CD79" w14:textId="77777777" w:rsidR="00B35975" w:rsidRPr="00CA690D" w:rsidRDefault="00B35975" w:rsidP="0082202F">
      <w:pPr>
        <w:ind w:left="426" w:hanging="426"/>
        <w:jc w:val="both"/>
        <w:rPr>
          <w:rFonts w:ascii="Times New Roman" w:hAnsi="Times New Roman" w:cs="Times New Roman"/>
          <w:b/>
          <w:sz w:val="24"/>
          <w:lang w:val="en-US"/>
        </w:rPr>
      </w:pPr>
      <w:r w:rsidRPr="00CA690D">
        <w:rPr>
          <w:rFonts w:ascii="Times New Roman" w:hAnsi="Times New Roman" w:cs="Times New Roman"/>
          <w:b/>
          <w:sz w:val="24"/>
          <w:lang w:val="en-US"/>
        </w:rPr>
        <w:t>References SI:</w:t>
      </w:r>
      <w:r w:rsidR="00CA690D" w:rsidRPr="00CA690D">
        <w:rPr>
          <w:rFonts w:ascii="Times New Roman" w:hAnsi="Times New Roman" w:cs="Times New Roman"/>
          <w:b/>
          <w:sz w:val="24"/>
          <w:lang w:val="en-US"/>
        </w:rPr>
        <w:t xml:space="preserve"> </w:t>
      </w:r>
      <w:bookmarkStart w:id="0" w:name="_GoBack"/>
      <w:bookmarkEnd w:id="0"/>
    </w:p>
    <w:p w14:paraId="47B5760B" w14:textId="77777777" w:rsidR="0082202F" w:rsidRDefault="0082202F" w:rsidP="0082202F">
      <w:pPr>
        <w:ind w:left="426" w:hanging="426"/>
        <w:jc w:val="both"/>
        <w:rPr>
          <w:rFonts w:ascii="Times New Roman" w:hAnsi="Times New Roman" w:cs="Times New Roman"/>
          <w:sz w:val="24"/>
          <w:szCs w:val="24"/>
          <w:lang w:val="en-US"/>
        </w:rPr>
      </w:pPr>
    </w:p>
    <w:p w14:paraId="65C02DF7" w14:textId="2B632C93" w:rsidR="0082202F" w:rsidRDefault="00332756" w:rsidP="00332756">
      <w:pPr>
        <w:widowControl w:val="0"/>
        <w:autoSpaceDE w:val="0"/>
        <w:autoSpaceDN w:val="0"/>
        <w:adjustRightInd w:val="0"/>
        <w:spacing w:after="240" w:line="240" w:lineRule="auto"/>
        <w:ind w:left="720" w:hanging="720"/>
        <w:rPr>
          <w:rFonts w:ascii="Times New Roman" w:hAnsi="Times New Roman" w:cs="Times New Roman"/>
          <w:sz w:val="24"/>
          <w:szCs w:val="24"/>
          <w:lang w:val="en-US"/>
        </w:rPr>
      </w:pPr>
      <w:r w:rsidRPr="00332756">
        <w:rPr>
          <w:rFonts w:ascii="Times New Roman" w:hAnsi="Times New Roman" w:cs="Times New Roman"/>
          <w:sz w:val="24"/>
          <w:szCs w:val="24"/>
          <w:lang w:val="en-US"/>
        </w:rPr>
        <w:lastRenderedPageBreak/>
        <w:t>Brigode P, Génot B, Lobligeois F, Delaigue O (2020) Summary sheets of watershed-scale hydrocl</w:t>
      </w:r>
      <w:r>
        <w:rPr>
          <w:rFonts w:ascii="Times New Roman" w:hAnsi="Times New Roman" w:cs="Times New Roman"/>
          <w:sz w:val="24"/>
          <w:szCs w:val="24"/>
          <w:lang w:val="en-US"/>
        </w:rPr>
        <w:t>imatic observed data for France</w:t>
      </w:r>
    </w:p>
    <w:p w14:paraId="1C64539B" w14:textId="177E5CF0" w:rsidR="00CA690D" w:rsidRPr="0082202F" w:rsidRDefault="00CA690D" w:rsidP="0082202F">
      <w:pPr>
        <w:ind w:left="426" w:hanging="426"/>
        <w:jc w:val="both"/>
        <w:rPr>
          <w:rFonts w:ascii="Times New Roman" w:hAnsi="Times New Roman" w:cs="Times New Roman"/>
          <w:sz w:val="24"/>
          <w:szCs w:val="24"/>
          <w:lang w:val="en-US"/>
        </w:rPr>
      </w:pPr>
      <w:r w:rsidRPr="0082202F">
        <w:rPr>
          <w:rFonts w:ascii="Times New Roman" w:hAnsi="Times New Roman" w:cs="Times New Roman"/>
          <w:sz w:val="24"/>
          <w:szCs w:val="24"/>
          <w:lang w:val="en-US"/>
        </w:rPr>
        <w:t xml:space="preserve">de Lavenne A, Andréassian V (2018) Impact of climate seasonality on catchment yield: A parameterization for commonly-used water balance formulas. J Hydrol 558:266–274. </w:t>
      </w:r>
      <w:hyperlink r:id="rId5" w:history="1">
        <w:r w:rsidR="00796444" w:rsidRPr="0082202F">
          <w:rPr>
            <w:rStyle w:val="Lienhypertexte"/>
            <w:rFonts w:ascii="Times New Roman" w:hAnsi="Times New Roman" w:cs="Times New Roman"/>
            <w:sz w:val="24"/>
            <w:szCs w:val="24"/>
            <w:lang w:val="en-US"/>
          </w:rPr>
          <w:t>https://doi.org/10.1016/j.jhydrol.2018.01.009</w:t>
        </w:r>
      </w:hyperlink>
    </w:p>
    <w:p w14:paraId="381329BA" w14:textId="77777777" w:rsidR="00796444" w:rsidRPr="0082202F" w:rsidRDefault="00796444" w:rsidP="0082202F">
      <w:pPr>
        <w:widowControl w:val="0"/>
        <w:autoSpaceDE w:val="0"/>
        <w:autoSpaceDN w:val="0"/>
        <w:adjustRightInd w:val="0"/>
        <w:spacing w:after="240" w:line="240" w:lineRule="auto"/>
        <w:ind w:left="720" w:hanging="720"/>
        <w:jc w:val="both"/>
        <w:rPr>
          <w:rFonts w:ascii="Times New Roman" w:hAnsi="Times New Roman" w:cs="Times New Roman"/>
          <w:sz w:val="24"/>
          <w:szCs w:val="24"/>
        </w:rPr>
      </w:pPr>
      <w:r w:rsidRPr="0082202F">
        <w:rPr>
          <w:rFonts w:ascii="Times New Roman" w:hAnsi="Times New Roman" w:cs="Times New Roman"/>
          <w:sz w:val="24"/>
          <w:szCs w:val="24"/>
          <w:lang w:val="en-US"/>
        </w:rPr>
        <w:t xml:space="preserve">Vidal J-P, Martin E, Franchistéguy L, et al (2010) A 50-year high-resolution atmospheric reanalysis over France with the Safran system. </w:t>
      </w:r>
      <w:r w:rsidRPr="0082202F">
        <w:rPr>
          <w:rFonts w:ascii="Times New Roman" w:hAnsi="Times New Roman" w:cs="Times New Roman"/>
          <w:sz w:val="24"/>
          <w:szCs w:val="24"/>
        </w:rPr>
        <w:t>International Journal of Climatology 30:1627–1644. https://doi.org/10.1002/joc.2003</w:t>
      </w:r>
    </w:p>
    <w:p w14:paraId="16B687C9" w14:textId="77777777" w:rsidR="00537B81" w:rsidRPr="0082202F" w:rsidRDefault="00537B81" w:rsidP="0082202F">
      <w:pPr>
        <w:widowControl w:val="0"/>
        <w:autoSpaceDE w:val="0"/>
        <w:autoSpaceDN w:val="0"/>
        <w:adjustRightInd w:val="0"/>
        <w:spacing w:after="240" w:line="240" w:lineRule="auto"/>
        <w:ind w:left="720" w:hanging="720"/>
        <w:jc w:val="both"/>
        <w:rPr>
          <w:rFonts w:ascii="Times New Roman" w:hAnsi="Times New Roman" w:cs="Times New Roman"/>
          <w:sz w:val="24"/>
          <w:szCs w:val="24"/>
        </w:rPr>
      </w:pPr>
      <w:r w:rsidRPr="0082202F">
        <w:rPr>
          <w:rFonts w:ascii="Times New Roman" w:hAnsi="Times New Roman" w:cs="Times New Roman"/>
          <w:sz w:val="24"/>
          <w:szCs w:val="24"/>
        </w:rPr>
        <w:t>Leleu I, Tonnelier I, Puechberty R, et al (2014) La refonte du système d’information national pour la gestion et la mise à disposition des données hydrométriques. La Houille Blanche 100:25–32. https://doi.org/10.1051/lhb/2014004</w:t>
      </w:r>
    </w:p>
    <w:p w14:paraId="1A1B4E03" w14:textId="77777777" w:rsidR="00796444" w:rsidRPr="00CA690D" w:rsidRDefault="00796444" w:rsidP="0082202F">
      <w:pPr>
        <w:ind w:left="426" w:hanging="426"/>
        <w:jc w:val="both"/>
        <w:rPr>
          <w:rFonts w:ascii="Times New Roman" w:hAnsi="Times New Roman" w:cs="Times New Roman"/>
        </w:rPr>
      </w:pPr>
    </w:p>
    <w:p w14:paraId="4FE82112" w14:textId="77777777" w:rsidR="00B35975" w:rsidRDefault="00B35975" w:rsidP="0082202F">
      <w:pPr>
        <w:ind w:left="426" w:hanging="426"/>
        <w:jc w:val="both"/>
        <w:rPr>
          <w:rFonts w:ascii="Times New Roman" w:hAnsi="Times New Roman" w:cs="Times New Roman"/>
          <w:b/>
        </w:rPr>
      </w:pPr>
    </w:p>
    <w:p w14:paraId="17499F7C" w14:textId="77777777" w:rsidR="00B35975" w:rsidRPr="003D6155" w:rsidRDefault="00B35975" w:rsidP="0082202F">
      <w:pPr>
        <w:jc w:val="both"/>
        <w:rPr>
          <w:lang w:val="en-US"/>
        </w:rPr>
      </w:pPr>
    </w:p>
    <w:sectPr w:rsidR="00B35975" w:rsidRPr="003D6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155"/>
    <w:rsid w:val="001F6AE0"/>
    <w:rsid w:val="00332756"/>
    <w:rsid w:val="003D6155"/>
    <w:rsid w:val="003D62DB"/>
    <w:rsid w:val="004673FD"/>
    <w:rsid w:val="0049020A"/>
    <w:rsid w:val="00537B81"/>
    <w:rsid w:val="00796444"/>
    <w:rsid w:val="00797406"/>
    <w:rsid w:val="007E11E7"/>
    <w:rsid w:val="007F28C4"/>
    <w:rsid w:val="0082202F"/>
    <w:rsid w:val="008B3DE1"/>
    <w:rsid w:val="00B35975"/>
    <w:rsid w:val="00C646BB"/>
    <w:rsid w:val="00CA690D"/>
    <w:rsid w:val="00E645F8"/>
    <w:rsid w:val="00F31668"/>
    <w:rsid w:val="00F505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EF15"/>
  <w15:chartTrackingRefBased/>
  <w15:docId w15:val="{65E69514-4219-472C-BCAE-1EFF20E2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2DB"/>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hD-Titre">
    <w:name w:val="PhD-Titre"/>
    <w:basedOn w:val="Normal"/>
    <w:next w:val="Normal"/>
    <w:autoRedefine/>
    <w:qFormat/>
    <w:rsid w:val="003D62DB"/>
    <w:pPr>
      <w:spacing w:before="120" w:after="120" w:line="240" w:lineRule="auto"/>
      <w:jc w:val="center"/>
      <w:outlineLvl w:val="0"/>
    </w:pPr>
    <w:rPr>
      <w:rFonts w:ascii="Times New Roman" w:hAnsi="Times New Roman"/>
      <w:smallCaps/>
      <w:sz w:val="32"/>
    </w:rPr>
  </w:style>
  <w:style w:type="paragraph" w:customStyle="1" w:styleId="PhD-Partie">
    <w:name w:val="PhD-Partie"/>
    <w:basedOn w:val="Normal"/>
    <w:next w:val="Normal"/>
    <w:autoRedefine/>
    <w:qFormat/>
    <w:rsid w:val="003D62DB"/>
    <w:pPr>
      <w:pBdr>
        <w:top w:val="single" w:sz="4" w:space="1" w:color="auto"/>
        <w:left w:val="single" w:sz="4" w:space="4" w:color="auto"/>
        <w:bottom w:val="single" w:sz="4" w:space="1" w:color="auto"/>
        <w:right w:val="single" w:sz="4" w:space="4" w:color="auto"/>
      </w:pBdr>
      <w:spacing w:before="120" w:after="120" w:line="240" w:lineRule="auto"/>
      <w:ind w:left="284"/>
      <w:contextualSpacing/>
      <w:outlineLvl w:val="1"/>
    </w:pPr>
    <w:rPr>
      <w:rFonts w:ascii="Times New Roman" w:hAnsi="Times New Roman"/>
      <w:b/>
      <w:sz w:val="28"/>
    </w:rPr>
  </w:style>
  <w:style w:type="paragraph" w:customStyle="1" w:styleId="PhD-Chapitre">
    <w:name w:val="PhD-Chapitre"/>
    <w:basedOn w:val="Normal"/>
    <w:next w:val="Normal"/>
    <w:autoRedefine/>
    <w:qFormat/>
    <w:rsid w:val="003D62DB"/>
    <w:pPr>
      <w:spacing w:before="120" w:after="120"/>
      <w:ind w:left="284"/>
      <w:outlineLvl w:val="2"/>
    </w:pPr>
    <w:rPr>
      <w:rFonts w:ascii="Times New Roman" w:hAnsi="Times New Roman"/>
      <w:sz w:val="24"/>
    </w:rPr>
  </w:style>
  <w:style w:type="paragraph" w:customStyle="1" w:styleId="PhD-Paragraphe">
    <w:name w:val="PhD-Paragraphe"/>
    <w:basedOn w:val="Normal"/>
    <w:next w:val="Normal"/>
    <w:autoRedefine/>
    <w:qFormat/>
    <w:rsid w:val="003D62DB"/>
    <w:pPr>
      <w:spacing w:after="120" w:line="240" w:lineRule="auto"/>
      <w:ind w:firstLine="284"/>
      <w:jc w:val="both"/>
    </w:pPr>
    <w:rPr>
      <w:rFonts w:ascii="Times New Roman" w:hAnsi="Times New Roman"/>
    </w:rPr>
  </w:style>
  <w:style w:type="paragraph" w:styleId="Textedebulles">
    <w:name w:val="Balloon Text"/>
    <w:basedOn w:val="Normal"/>
    <w:link w:val="TextedebullesCar"/>
    <w:uiPriority w:val="99"/>
    <w:semiHidden/>
    <w:unhideWhenUsed/>
    <w:rsid w:val="00E645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45F8"/>
    <w:rPr>
      <w:rFonts w:ascii="Segoe UI" w:hAnsi="Segoe UI" w:cs="Segoe UI"/>
      <w:sz w:val="18"/>
      <w:szCs w:val="18"/>
    </w:rPr>
  </w:style>
  <w:style w:type="character" w:styleId="Marquedecommentaire">
    <w:name w:val="annotation reference"/>
    <w:basedOn w:val="Policepardfaut"/>
    <w:uiPriority w:val="99"/>
    <w:semiHidden/>
    <w:unhideWhenUsed/>
    <w:rsid w:val="00E645F8"/>
    <w:rPr>
      <w:sz w:val="16"/>
      <w:szCs w:val="16"/>
    </w:rPr>
  </w:style>
  <w:style w:type="paragraph" w:styleId="Commentaire">
    <w:name w:val="annotation text"/>
    <w:basedOn w:val="Normal"/>
    <w:link w:val="CommentaireCar"/>
    <w:uiPriority w:val="99"/>
    <w:semiHidden/>
    <w:unhideWhenUsed/>
    <w:rsid w:val="00E645F8"/>
    <w:pPr>
      <w:spacing w:line="240" w:lineRule="auto"/>
    </w:pPr>
    <w:rPr>
      <w:sz w:val="20"/>
      <w:szCs w:val="20"/>
    </w:rPr>
  </w:style>
  <w:style w:type="character" w:customStyle="1" w:styleId="CommentaireCar">
    <w:name w:val="Commentaire Car"/>
    <w:basedOn w:val="Policepardfaut"/>
    <w:link w:val="Commentaire"/>
    <w:uiPriority w:val="99"/>
    <w:semiHidden/>
    <w:rsid w:val="00E645F8"/>
    <w:rPr>
      <w:sz w:val="20"/>
      <w:szCs w:val="20"/>
    </w:rPr>
  </w:style>
  <w:style w:type="paragraph" w:styleId="Objetducommentaire">
    <w:name w:val="annotation subject"/>
    <w:basedOn w:val="Commentaire"/>
    <w:next w:val="Commentaire"/>
    <w:link w:val="ObjetducommentaireCar"/>
    <w:uiPriority w:val="99"/>
    <w:semiHidden/>
    <w:unhideWhenUsed/>
    <w:rsid w:val="00E645F8"/>
    <w:rPr>
      <w:b/>
      <w:bCs/>
    </w:rPr>
  </w:style>
  <w:style w:type="character" w:customStyle="1" w:styleId="ObjetducommentaireCar">
    <w:name w:val="Objet du commentaire Car"/>
    <w:basedOn w:val="CommentaireCar"/>
    <w:link w:val="Objetducommentaire"/>
    <w:uiPriority w:val="99"/>
    <w:semiHidden/>
    <w:rsid w:val="00E645F8"/>
    <w:rPr>
      <w:b/>
      <w:bCs/>
      <w:sz w:val="20"/>
      <w:szCs w:val="20"/>
    </w:rPr>
  </w:style>
  <w:style w:type="character" w:styleId="Lienhypertexte">
    <w:name w:val="Hyperlink"/>
    <w:basedOn w:val="Policepardfaut"/>
    <w:uiPriority w:val="99"/>
    <w:unhideWhenUsed/>
    <w:rsid w:val="0079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1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16/j.jhydrol.2018.01.009"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Irstea</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Lemaitre Thibault</dc:creator>
  <cp:keywords/>
  <dc:description/>
  <cp:lastModifiedBy>Lemaitre Thibault</cp:lastModifiedBy>
  <cp:revision>3</cp:revision>
  <dcterms:created xsi:type="dcterms:W3CDTF">2022-03-04T14:33:00Z</dcterms:created>
  <dcterms:modified xsi:type="dcterms:W3CDTF">2022-03-04T14:33:00Z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id="d6MUG9hq"/&gt;&lt;style id="http://www.zotero.org/styles/climatic-change" hasBibliography="1" bibliographyStyleHasBeenSet="0"/&gt;&lt;prefs&gt;&lt;pref name="fieldType" value="Field"/&gt;&lt;/prefs&gt;&lt;/data&gt;</vt:lpwstr>
  </property>
</Properties>
</file>