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F1DF2" w14:textId="77777777" w:rsidR="00935B0E" w:rsidRDefault="00935B0E"/>
    <w:p w14:paraId="11314635" w14:textId="73E66B7D" w:rsidR="00C5395F" w:rsidRPr="006676B0" w:rsidRDefault="00C5395F">
      <w:pPr>
        <w:rPr>
          <w:rFonts w:ascii="Calibri" w:hAnsi="Calibri" w:cs="Calibri"/>
          <w:sz w:val="24"/>
          <w:szCs w:val="24"/>
        </w:rPr>
      </w:pPr>
      <w:r w:rsidRPr="006676B0">
        <w:rPr>
          <w:rFonts w:ascii="Calibri" w:hAnsi="Calibri" w:cs="Calibri"/>
          <w:sz w:val="24"/>
          <w:szCs w:val="24"/>
        </w:rPr>
        <w:t>Online supplemental information</w:t>
      </w:r>
    </w:p>
    <w:p w14:paraId="20E5BF9A" w14:textId="1FE0D65C" w:rsidR="00F04ED6" w:rsidRPr="006676B0" w:rsidRDefault="00F04ED6" w:rsidP="00F04ED6">
      <w:pPr>
        <w:spacing w:after="0" w:line="480" w:lineRule="auto"/>
        <w:rPr>
          <w:rFonts w:ascii="Calibri" w:hAnsi="Calibri" w:cs="Calibri"/>
          <w:sz w:val="24"/>
          <w:szCs w:val="24"/>
        </w:rPr>
      </w:pPr>
      <w:r w:rsidRPr="006676B0">
        <w:rPr>
          <w:rFonts w:ascii="Calibri" w:hAnsi="Calibri" w:cs="Calibri"/>
          <w:sz w:val="24"/>
          <w:szCs w:val="24"/>
        </w:rPr>
        <w:t xml:space="preserve">Political Conflict and the Siting of Solar Farms: An Analysis of the Effects of Local Authority Enabling Policy </w:t>
      </w:r>
    </w:p>
    <w:p w14:paraId="1199DCC8" w14:textId="6E7DE60F" w:rsidR="00F04ED6" w:rsidRPr="006676B0" w:rsidRDefault="00F04ED6" w:rsidP="00F04ED6">
      <w:pPr>
        <w:spacing w:after="0" w:line="480" w:lineRule="auto"/>
        <w:rPr>
          <w:rFonts w:ascii="Calibri" w:hAnsi="Calibri" w:cs="Calibri"/>
          <w:sz w:val="24"/>
          <w:szCs w:val="24"/>
        </w:rPr>
      </w:pPr>
      <w:r w:rsidRPr="006676B0">
        <w:rPr>
          <w:rFonts w:ascii="Calibri" w:hAnsi="Calibri" w:cs="Calibri"/>
          <w:sz w:val="24"/>
          <w:szCs w:val="24"/>
        </w:rPr>
        <w:t>Journal: Climatic Change</w:t>
      </w:r>
    </w:p>
    <w:p w14:paraId="2C92D4B7" w14:textId="29CF2D6D" w:rsidR="00F04ED6" w:rsidRPr="006676B0" w:rsidRDefault="00F04ED6" w:rsidP="00F04ED6">
      <w:pPr>
        <w:spacing w:after="0" w:line="480" w:lineRule="auto"/>
        <w:rPr>
          <w:rFonts w:ascii="Calibri" w:hAnsi="Calibri" w:cs="Calibri"/>
          <w:sz w:val="24"/>
          <w:szCs w:val="24"/>
        </w:rPr>
      </w:pPr>
      <w:r w:rsidRPr="006676B0">
        <w:rPr>
          <w:rFonts w:ascii="Calibri" w:hAnsi="Calibri" w:cs="Calibri"/>
          <w:sz w:val="24"/>
          <w:szCs w:val="24"/>
        </w:rPr>
        <w:t xml:space="preserve">Author names: </w:t>
      </w:r>
    </w:p>
    <w:p w14:paraId="1FCF5953" w14:textId="56FD0F56" w:rsidR="00F04ED6" w:rsidRPr="006676B0" w:rsidRDefault="00F04ED6" w:rsidP="00F04ED6">
      <w:pPr>
        <w:spacing w:after="0" w:line="480" w:lineRule="auto"/>
        <w:rPr>
          <w:rFonts w:ascii="Calibri" w:hAnsi="Calibri" w:cs="Calibri"/>
          <w:sz w:val="24"/>
          <w:szCs w:val="24"/>
        </w:rPr>
      </w:pPr>
      <w:r w:rsidRPr="006676B0">
        <w:rPr>
          <w:rFonts w:ascii="Calibri" w:hAnsi="Calibri" w:cs="Calibri"/>
          <w:sz w:val="24"/>
          <w:szCs w:val="24"/>
        </w:rPr>
        <w:t>Email of corresponding author:</w:t>
      </w:r>
    </w:p>
    <w:p w14:paraId="1F3A20B2" w14:textId="73C90F7A" w:rsidR="00F04ED6" w:rsidRDefault="0026484D" w:rsidP="004E2532">
      <w:pPr>
        <w:rPr>
          <w:rFonts w:ascii="Calibri" w:hAnsi="Calibri" w:cs="Calibri"/>
          <w:sz w:val="24"/>
          <w:szCs w:val="24"/>
        </w:rPr>
      </w:pPr>
      <w:r>
        <w:rPr>
          <w:rFonts w:ascii="Calibri" w:hAnsi="Calibri" w:cs="Calibri"/>
          <w:sz w:val="24"/>
          <w:szCs w:val="24"/>
        </w:rPr>
        <w:t>The supplemental information includes the following sections:</w:t>
      </w:r>
    </w:p>
    <w:p w14:paraId="213DF689" w14:textId="77777777" w:rsidR="0026484D" w:rsidRDefault="0026484D" w:rsidP="004E2532">
      <w:pPr>
        <w:rPr>
          <w:rFonts w:ascii="Calibri" w:hAnsi="Calibri" w:cs="Calibri"/>
          <w:sz w:val="24"/>
          <w:szCs w:val="24"/>
        </w:rPr>
      </w:pPr>
    </w:p>
    <w:p w14:paraId="4B08CB33" w14:textId="20C33DA1" w:rsidR="0026484D" w:rsidRDefault="0026484D" w:rsidP="00DB4F32">
      <w:r>
        <w:t xml:space="preserve">1. List of </w:t>
      </w:r>
      <w:r w:rsidR="000041EF">
        <w:t>C</w:t>
      </w:r>
      <w:r>
        <w:t>ases</w:t>
      </w:r>
    </w:p>
    <w:p w14:paraId="396C97F2" w14:textId="52768CE3" w:rsidR="0026484D" w:rsidRDefault="0026484D" w:rsidP="00DB4F32">
      <w:r>
        <w:t xml:space="preserve">2. County </w:t>
      </w:r>
      <w:r w:rsidR="000041EF">
        <w:t>R</w:t>
      </w:r>
      <w:r>
        <w:t xml:space="preserve">esolutions against </w:t>
      </w:r>
      <w:r w:rsidR="000041EF">
        <w:t>S</w:t>
      </w:r>
      <w:r>
        <w:t xml:space="preserve">olar </w:t>
      </w:r>
      <w:r w:rsidR="000041EF">
        <w:t>F</w:t>
      </w:r>
      <w:r>
        <w:t>arms</w:t>
      </w:r>
    </w:p>
    <w:p w14:paraId="26FA9CE5" w14:textId="1FFEF214" w:rsidR="0026484D" w:rsidRDefault="0026484D" w:rsidP="004E2532">
      <w:pPr>
        <w:rPr>
          <w:rFonts w:ascii="Calibri" w:hAnsi="Calibri" w:cs="Calibri"/>
          <w:sz w:val="24"/>
          <w:szCs w:val="24"/>
        </w:rPr>
      </w:pPr>
      <w:r>
        <w:rPr>
          <w:rFonts w:ascii="Calibri" w:hAnsi="Calibri" w:cs="Calibri"/>
          <w:sz w:val="24"/>
          <w:szCs w:val="24"/>
        </w:rPr>
        <w:t xml:space="preserve">3. </w:t>
      </w:r>
      <w:r w:rsidR="000041EF">
        <w:rPr>
          <w:rFonts w:ascii="Calibri" w:hAnsi="Calibri" w:cs="Calibri"/>
          <w:sz w:val="24"/>
          <w:szCs w:val="24"/>
        </w:rPr>
        <w:t>Coding Rules for Opposition Documents</w:t>
      </w:r>
    </w:p>
    <w:p w14:paraId="3F782718" w14:textId="6E70C000" w:rsidR="00204CFD" w:rsidRDefault="00204CFD" w:rsidP="004E2532">
      <w:pPr>
        <w:rPr>
          <w:rFonts w:ascii="Calibri" w:hAnsi="Calibri" w:cs="Calibri"/>
          <w:sz w:val="24"/>
          <w:szCs w:val="24"/>
        </w:rPr>
      </w:pPr>
      <w:r>
        <w:rPr>
          <w:rFonts w:ascii="Calibri" w:hAnsi="Calibri" w:cs="Calibri"/>
          <w:sz w:val="24"/>
          <w:szCs w:val="24"/>
        </w:rPr>
        <w:t xml:space="preserve">4. </w:t>
      </w:r>
      <w:r w:rsidR="0019422E">
        <w:rPr>
          <w:rFonts w:ascii="Calibri" w:hAnsi="Calibri" w:cs="Calibri"/>
          <w:sz w:val="24"/>
          <w:szCs w:val="24"/>
        </w:rPr>
        <w:t xml:space="preserve">Multivariate </w:t>
      </w:r>
      <w:r w:rsidR="000041EF">
        <w:rPr>
          <w:rFonts w:ascii="Calibri" w:hAnsi="Calibri" w:cs="Calibri"/>
          <w:sz w:val="24"/>
          <w:szCs w:val="24"/>
        </w:rPr>
        <w:t>Analysis</w:t>
      </w:r>
    </w:p>
    <w:p w14:paraId="2E9A31FB" w14:textId="77777777" w:rsidR="0026484D" w:rsidRDefault="0026484D" w:rsidP="004E2532">
      <w:pPr>
        <w:rPr>
          <w:rFonts w:ascii="Calibri" w:hAnsi="Calibri" w:cs="Calibri"/>
          <w:sz w:val="24"/>
          <w:szCs w:val="24"/>
        </w:rPr>
      </w:pPr>
    </w:p>
    <w:p w14:paraId="72E0932A" w14:textId="38B579C5" w:rsidR="0026484D" w:rsidRPr="006676B0" w:rsidRDefault="0026484D" w:rsidP="00DB4F32">
      <w:pPr>
        <w:pStyle w:val="Heading1"/>
      </w:pPr>
      <w:r>
        <w:t xml:space="preserve">1. List of </w:t>
      </w:r>
      <w:r w:rsidR="00A82F02">
        <w:t>C</w:t>
      </w:r>
      <w:r>
        <w:t>ases</w:t>
      </w:r>
    </w:p>
    <w:p w14:paraId="1541D005" w14:textId="6C25287C" w:rsidR="00F04ED6" w:rsidRDefault="003B2064" w:rsidP="00F04ED6">
      <w:pPr>
        <w:rPr>
          <w:rFonts w:ascii="Calibri" w:hAnsi="Calibri" w:cs="Calibri"/>
          <w:sz w:val="24"/>
          <w:szCs w:val="24"/>
        </w:rPr>
      </w:pPr>
      <w:r>
        <w:rPr>
          <w:rFonts w:ascii="Calibri" w:hAnsi="Calibri" w:cs="Calibri"/>
          <w:sz w:val="24"/>
          <w:szCs w:val="24"/>
        </w:rPr>
        <w:t>The l</w:t>
      </w:r>
      <w:r w:rsidRPr="006676B0">
        <w:rPr>
          <w:rFonts w:ascii="Calibri" w:hAnsi="Calibri" w:cs="Calibri"/>
          <w:sz w:val="24"/>
          <w:szCs w:val="24"/>
        </w:rPr>
        <w:t xml:space="preserve">ist </w:t>
      </w:r>
      <w:r w:rsidR="00F04ED6" w:rsidRPr="006676B0">
        <w:rPr>
          <w:rFonts w:ascii="Calibri" w:hAnsi="Calibri" w:cs="Calibri"/>
          <w:sz w:val="24"/>
          <w:szCs w:val="24"/>
        </w:rPr>
        <w:t>of cases included: Alamo, Angelina, Arche, Atlanta Farms, Big Plain (Madison Solar), Birch Solar I, Blossom, Border Basin, Cadence, Cepheus Solar, Chestnut, Chipmunk, Circleville, Clear Mountain Energy Center, Clearview, Dixon Run, Dodson Creek, Fountain Point, Fox Squirrel, Frasier, Hardin Solar Energy Facility, Harvey, Highland, Hillcrest, Juliet, Kensington, Kingwood, Madison Fields, Marion, Mark Center, Mink, Nestlewood, New Market, Nottingham, Oak Run, Palomino, Pleasant Prairie, Powell Creek, Richwood, Ross County, Scioto Farms, Scioto Ridge, South Branch, Springwater, Stark, Sycamore Creek, Tymochtee, Union Ridge, Union, Vinton, Wheatsborough, Wild Grains, Willowbrook, Yellow Wood, Yellowbud</w:t>
      </w:r>
      <w:r>
        <w:rPr>
          <w:rFonts w:ascii="Calibri" w:hAnsi="Calibri" w:cs="Calibri"/>
          <w:sz w:val="24"/>
          <w:szCs w:val="24"/>
        </w:rPr>
        <w:t>.</w:t>
      </w:r>
    </w:p>
    <w:p w14:paraId="40607633" w14:textId="77777777" w:rsidR="0026484D" w:rsidRDefault="0026484D" w:rsidP="00F04ED6">
      <w:pPr>
        <w:rPr>
          <w:rFonts w:ascii="Calibri" w:hAnsi="Calibri" w:cs="Calibri"/>
          <w:sz w:val="24"/>
          <w:szCs w:val="24"/>
        </w:rPr>
      </w:pPr>
    </w:p>
    <w:p w14:paraId="4B06DDB5" w14:textId="7B75A841" w:rsidR="0026484D" w:rsidRPr="006676B0" w:rsidRDefault="0026484D" w:rsidP="00DB4F32">
      <w:pPr>
        <w:pStyle w:val="Heading1"/>
      </w:pPr>
      <w:r>
        <w:t xml:space="preserve">2. County </w:t>
      </w:r>
      <w:r w:rsidR="00A82F02">
        <w:t>R</w:t>
      </w:r>
      <w:r>
        <w:t xml:space="preserve">esolutions against </w:t>
      </w:r>
      <w:r w:rsidR="00A82F02">
        <w:t>S</w:t>
      </w:r>
      <w:r>
        <w:t xml:space="preserve">olar </w:t>
      </w:r>
      <w:r w:rsidR="00A82F02">
        <w:t>F</w:t>
      </w:r>
      <w:r>
        <w:t>arms</w:t>
      </w:r>
    </w:p>
    <w:p w14:paraId="69D9FF66" w14:textId="77777777" w:rsidR="0026484D" w:rsidRDefault="0026484D" w:rsidP="00435196">
      <w:pPr>
        <w:spacing w:after="0" w:line="480" w:lineRule="auto"/>
        <w:rPr>
          <w:rFonts w:ascii="Calibri" w:hAnsi="Calibri" w:cs="Calibri"/>
          <w:sz w:val="24"/>
          <w:szCs w:val="24"/>
        </w:rPr>
      </w:pPr>
      <w:r>
        <w:rPr>
          <w:rFonts w:ascii="Calibri" w:hAnsi="Calibri" w:cs="Calibri"/>
          <w:sz w:val="24"/>
          <w:szCs w:val="24"/>
        </w:rPr>
        <w:t>There is no central database of all such resolutions, and the number of resolutions was still growing as of the time of completion of research (June 2024).</w:t>
      </w:r>
    </w:p>
    <w:p w14:paraId="074B5E8B" w14:textId="77777777" w:rsidR="004E2532" w:rsidRDefault="004E2532" w:rsidP="004E253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8"/>
        <w:gridCol w:w="1950"/>
        <w:gridCol w:w="6022"/>
      </w:tblGrid>
      <w:tr w:rsidR="008741D2" w:rsidRPr="003C3516" w14:paraId="7FE91707" w14:textId="77777777" w:rsidTr="009F6374">
        <w:tc>
          <w:tcPr>
            <w:tcW w:w="1388" w:type="dxa"/>
            <w:tcBorders>
              <w:bottom w:val="single" w:sz="8" w:space="0" w:color="auto"/>
            </w:tcBorders>
          </w:tcPr>
          <w:p w14:paraId="4DC5C7EB" w14:textId="77777777" w:rsidR="008741D2" w:rsidRPr="003C3516" w:rsidRDefault="008741D2" w:rsidP="009F6374">
            <w:pPr>
              <w:rPr>
                <w:rFonts w:ascii="Calibri" w:hAnsi="Calibri" w:cs="Calibri"/>
                <w:sz w:val="24"/>
                <w:szCs w:val="24"/>
              </w:rPr>
            </w:pPr>
            <w:r w:rsidRPr="003C3516">
              <w:rPr>
                <w:rFonts w:ascii="Calibri" w:hAnsi="Calibri" w:cs="Calibri"/>
                <w:sz w:val="24"/>
                <w:szCs w:val="24"/>
              </w:rPr>
              <w:t>County</w:t>
            </w:r>
          </w:p>
        </w:tc>
        <w:tc>
          <w:tcPr>
            <w:tcW w:w="1950" w:type="dxa"/>
            <w:tcBorders>
              <w:bottom w:val="single" w:sz="8" w:space="0" w:color="auto"/>
            </w:tcBorders>
          </w:tcPr>
          <w:p w14:paraId="37936E32" w14:textId="77777777" w:rsidR="008741D2" w:rsidRPr="003C3516" w:rsidRDefault="008741D2" w:rsidP="009F6374">
            <w:pPr>
              <w:rPr>
                <w:rFonts w:ascii="Calibri" w:hAnsi="Calibri" w:cs="Calibri"/>
                <w:sz w:val="24"/>
                <w:szCs w:val="24"/>
              </w:rPr>
            </w:pPr>
            <w:r w:rsidRPr="003C3516">
              <w:rPr>
                <w:rFonts w:ascii="Calibri" w:hAnsi="Calibri" w:cs="Calibri"/>
                <w:sz w:val="24"/>
                <w:szCs w:val="24"/>
              </w:rPr>
              <w:t>Date of County Statement or Resolution</w:t>
            </w:r>
          </w:p>
        </w:tc>
        <w:tc>
          <w:tcPr>
            <w:tcW w:w="6022" w:type="dxa"/>
            <w:tcBorders>
              <w:bottom w:val="single" w:sz="8" w:space="0" w:color="auto"/>
            </w:tcBorders>
          </w:tcPr>
          <w:p w14:paraId="2DF73641" w14:textId="77777777" w:rsidR="008741D2" w:rsidRPr="003C3516" w:rsidRDefault="008741D2" w:rsidP="009F6374">
            <w:pPr>
              <w:rPr>
                <w:rFonts w:ascii="Calibri" w:hAnsi="Calibri" w:cs="Calibri"/>
                <w:sz w:val="24"/>
                <w:szCs w:val="24"/>
              </w:rPr>
            </w:pPr>
            <w:r w:rsidRPr="003C3516">
              <w:rPr>
                <w:rFonts w:ascii="Calibri" w:hAnsi="Calibri" w:cs="Calibri"/>
                <w:sz w:val="24"/>
                <w:szCs w:val="24"/>
              </w:rPr>
              <w:t>Scope of Opposition Stated by County</w:t>
            </w:r>
          </w:p>
        </w:tc>
      </w:tr>
      <w:tr w:rsidR="008741D2" w:rsidRPr="003C3516" w14:paraId="27A50E97" w14:textId="77777777" w:rsidTr="009F6374">
        <w:tc>
          <w:tcPr>
            <w:tcW w:w="1388" w:type="dxa"/>
            <w:tcBorders>
              <w:top w:val="single" w:sz="8" w:space="0" w:color="auto"/>
            </w:tcBorders>
          </w:tcPr>
          <w:p w14:paraId="2C256952"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Adams</w:t>
            </w:r>
          </w:p>
        </w:tc>
        <w:tc>
          <w:tcPr>
            <w:tcW w:w="1950" w:type="dxa"/>
            <w:tcBorders>
              <w:top w:val="single" w:sz="8" w:space="0" w:color="auto"/>
            </w:tcBorders>
          </w:tcPr>
          <w:p w14:paraId="32463958"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Feb. 20, 2024</w:t>
            </w:r>
          </w:p>
        </w:tc>
        <w:tc>
          <w:tcPr>
            <w:tcW w:w="6022" w:type="dxa"/>
            <w:tcBorders>
              <w:top w:val="single" w:sz="8" w:space="0" w:color="auto"/>
            </w:tcBorders>
          </w:tcPr>
          <w:p w14:paraId="4B12B48B"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Unincorporated areas of townships that opposed solar farms</w:t>
            </w:r>
          </w:p>
        </w:tc>
      </w:tr>
      <w:tr w:rsidR="008741D2" w:rsidRPr="003C3516" w14:paraId="22CEE777" w14:textId="77777777" w:rsidTr="009F6374">
        <w:tc>
          <w:tcPr>
            <w:tcW w:w="1388" w:type="dxa"/>
          </w:tcPr>
          <w:p w14:paraId="022D8562"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Allen</w:t>
            </w:r>
          </w:p>
        </w:tc>
        <w:tc>
          <w:tcPr>
            <w:tcW w:w="1950" w:type="dxa"/>
          </w:tcPr>
          <w:p w14:paraId="2762C1DE"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Apr. 4, 2022</w:t>
            </w:r>
          </w:p>
        </w:tc>
        <w:tc>
          <w:tcPr>
            <w:tcW w:w="6022" w:type="dxa"/>
          </w:tcPr>
          <w:p w14:paraId="12B41D26"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Unincorporated areas except for two areas zoned industrial</w:t>
            </w:r>
          </w:p>
        </w:tc>
      </w:tr>
      <w:tr w:rsidR="008741D2" w:rsidRPr="003C3516" w14:paraId="1EFD00B8" w14:textId="77777777" w:rsidTr="009F6374">
        <w:tc>
          <w:tcPr>
            <w:tcW w:w="1388" w:type="dxa"/>
          </w:tcPr>
          <w:p w14:paraId="76927D98"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Auglaize</w:t>
            </w:r>
          </w:p>
        </w:tc>
        <w:tc>
          <w:tcPr>
            <w:tcW w:w="1950" w:type="dxa"/>
          </w:tcPr>
          <w:p w14:paraId="6CE9275A"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Apr. 26, 2022</w:t>
            </w:r>
          </w:p>
        </w:tc>
        <w:tc>
          <w:tcPr>
            <w:tcW w:w="6022" w:type="dxa"/>
          </w:tcPr>
          <w:p w14:paraId="4797A0B4"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w:t>
            </w:r>
          </w:p>
        </w:tc>
      </w:tr>
      <w:tr w:rsidR="008741D2" w:rsidRPr="003C3516" w14:paraId="68ADED27" w14:textId="77777777" w:rsidTr="009F6374">
        <w:tc>
          <w:tcPr>
            <w:tcW w:w="1388" w:type="dxa"/>
          </w:tcPr>
          <w:p w14:paraId="6B1158D3"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Butler</w:t>
            </w:r>
          </w:p>
        </w:tc>
        <w:tc>
          <w:tcPr>
            <w:tcW w:w="1950" w:type="dxa"/>
          </w:tcPr>
          <w:p w14:paraId="13898985"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Jun. 23, 2022</w:t>
            </w:r>
          </w:p>
        </w:tc>
        <w:tc>
          <w:tcPr>
            <w:tcW w:w="6022" w:type="dxa"/>
          </w:tcPr>
          <w:p w14:paraId="1E6D7854"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 of 12 of 13 townships</w:t>
            </w:r>
          </w:p>
        </w:tc>
      </w:tr>
      <w:tr w:rsidR="008741D2" w:rsidRPr="003C3516" w14:paraId="769A1AC9" w14:textId="77777777" w:rsidTr="009F6374">
        <w:tc>
          <w:tcPr>
            <w:tcW w:w="1388" w:type="dxa"/>
          </w:tcPr>
          <w:p w14:paraId="736FEBAC"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Clermont</w:t>
            </w:r>
          </w:p>
        </w:tc>
        <w:tc>
          <w:tcPr>
            <w:tcW w:w="1950" w:type="dxa"/>
          </w:tcPr>
          <w:p w14:paraId="27B12504"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Jun. 21, 2023</w:t>
            </w:r>
          </w:p>
        </w:tc>
        <w:tc>
          <w:tcPr>
            <w:tcW w:w="6022" w:type="dxa"/>
          </w:tcPr>
          <w:p w14:paraId="51E5C3EC"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Unincorporated areas of 7 townships</w:t>
            </w:r>
          </w:p>
        </w:tc>
      </w:tr>
      <w:tr w:rsidR="008741D2" w:rsidRPr="003C3516" w14:paraId="7A86E4BE" w14:textId="77777777" w:rsidTr="009F6374">
        <w:tc>
          <w:tcPr>
            <w:tcW w:w="1388" w:type="dxa"/>
          </w:tcPr>
          <w:p w14:paraId="110279FF"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Clinton</w:t>
            </w:r>
          </w:p>
        </w:tc>
        <w:tc>
          <w:tcPr>
            <w:tcW w:w="1950" w:type="dxa"/>
          </w:tcPr>
          <w:p w14:paraId="270EF18C"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June 16, 2022</w:t>
            </w:r>
          </w:p>
        </w:tc>
        <w:tc>
          <w:tcPr>
            <w:tcW w:w="6022" w:type="dxa"/>
          </w:tcPr>
          <w:p w14:paraId="03554D66"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Specific opposition to proposed Yellow Wood Solar Farm</w:t>
            </w:r>
          </w:p>
        </w:tc>
      </w:tr>
      <w:tr w:rsidR="008741D2" w:rsidRPr="003C3516" w14:paraId="740EEBAF" w14:textId="77777777" w:rsidTr="009F6374">
        <w:tc>
          <w:tcPr>
            <w:tcW w:w="1388" w:type="dxa"/>
          </w:tcPr>
          <w:p w14:paraId="2402510D"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Columbiana</w:t>
            </w:r>
          </w:p>
        </w:tc>
        <w:tc>
          <w:tcPr>
            <w:tcW w:w="1950" w:type="dxa"/>
          </w:tcPr>
          <w:p w14:paraId="07EC2C3A"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Aug. 17, 2022</w:t>
            </w:r>
          </w:p>
          <w:p w14:paraId="0A697202"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Mar. 2, 2023</w:t>
            </w:r>
          </w:p>
          <w:p w14:paraId="0A476E67"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Jan. 10, 2024</w:t>
            </w:r>
          </w:p>
        </w:tc>
        <w:tc>
          <w:tcPr>
            <w:tcW w:w="6022" w:type="dxa"/>
          </w:tcPr>
          <w:p w14:paraId="71631751"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Specific resolution against Kensington</w:t>
            </w:r>
          </w:p>
          <w:p w14:paraId="01827D95"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Unincorporated areas of four townships (later extended)</w:t>
            </w:r>
          </w:p>
          <w:p w14:paraId="06187A0D"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Specific objections to Kensington Proposal.</w:t>
            </w:r>
          </w:p>
        </w:tc>
      </w:tr>
      <w:tr w:rsidR="001354FC" w:rsidRPr="003C3516" w14:paraId="5470DF18" w14:textId="77777777" w:rsidTr="009F6374">
        <w:tc>
          <w:tcPr>
            <w:tcW w:w="1388" w:type="dxa"/>
          </w:tcPr>
          <w:p w14:paraId="0FA42353" w14:textId="362910A2" w:rsidR="001354FC" w:rsidRPr="003C3516" w:rsidRDefault="001354FC" w:rsidP="009F6374">
            <w:pPr>
              <w:rPr>
                <w:rFonts w:ascii="Calibri" w:hAnsi="Calibri" w:cs="Calibri"/>
                <w:color w:val="000000" w:themeColor="text1"/>
                <w:sz w:val="24"/>
                <w:szCs w:val="24"/>
              </w:rPr>
            </w:pPr>
            <w:r>
              <w:rPr>
                <w:rFonts w:ascii="Calibri" w:hAnsi="Calibri" w:cs="Calibri"/>
                <w:color w:val="000000" w:themeColor="text1"/>
                <w:sz w:val="24"/>
                <w:szCs w:val="24"/>
              </w:rPr>
              <w:t>Defiance</w:t>
            </w:r>
          </w:p>
        </w:tc>
        <w:tc>
          <w:tcPr>
            <w:tcW w:w="1950" w:type="dxa"/>
          </w:tcPr>
          <w:p w14:paraId="26EBD755" w14:textId="5E0F7A25" w:rsidR="001354FC" w:rsidRPr="003C3516" w:rsidRDefault="001354FC" w:rsidP="009F6374">
            <w:pPr>
              <w:rPr>
                <w:rFonts w:ascii="Calibri" w:hAnsi="Calibri" w:cs="Calibri"/>
                <w:color w:val="000000" w:themeColor="text1"/>
                <w:sz w:val="24"/>
                <w:szCs w:val="24"/>
              </w:rPr>
            </w:pPr>
            <w:r>
              <w:rPr>
                <w:rFonts w:ascii="Calibri" w:hAnsi="Calibri" w:cs="Calibri"/>
                <w:color w:val="000000" w:themeColor="text1"/>
                <w:sz w:val="24"/>
                <w:szCs w:val="24"/>
              </w:rPr>
              <w:t>Nov. 21, 2021</w:t>
            </w:r>
          </w:p>
        </w:tc>
        <w:tc>
          <w:tcPr>
            <w:tcW w:w="6022" w:type="dxa"/>
          </w:tcPr>
          <w:p w14:paraId="40B0A9DA" w14:textId="30C0131D" w:rsidR="001354FC" w:rsidRPr="003C3516" w:rsidRDefault="001354FC" w:rsidP="009F6374">
            <w:pPr>
              <w:rPr>
                <w:rFonts w:ascii="Calibri" w:hAnsi="Calibri" w:cs="Calibri"/>
                <w:color w:val="000000" w:themeColor="text1"/>
                <w:sz w:val="24"/>
                <w:szCs w:val="24"/>
              </w:rPr>
            </w:pPr>
            <w:r>
              <w:rPr>
                <w:rFonts w:ascii="Calibri" w:hAnsi="Calibri" w:cs="Calibri"/>
                <w:color w:val="000000" w:themeColor="text1"/>
                <w:sz w:val="24"/>
                <w:szCs w:val="24"/>
              </w:rPr>
              <w:t>Against Cepheus Proposal.</w:t>
            </w:r>
          </w:p>
        </w:tc>
      </w:tr>
      <w:tr w:rsidR="008741D2" w:rsidRPr="003C3516" w14:paraId="5E2993AD" w14:textId="77777777" w:rsidTr="009F6374">
        <w:tc>
          <w:tcPr>
            <w:tcW w:w="1388" w:type="dxa"/>
          </w:tcPr>
          <w:p w14:paraId="7B748F4A"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Fairfield</w:t>
            </w:r>
          </w:p>
        </w:tc>
        <w:tc>
          <w:tcPr>
            <w:tcW w:w="1950" w:type="dxa"/>
          </w:tcPr>
          <w:p w14:paraId="41AA0E6E"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May, 2024</w:t>
            </w:r>
          </w:p>
        </w:tc>
        <w:tc>
          <w:tcPr>
            <w:tcW w:w="6022" w:type="dxa"/>
          </w:tcPr>
          <w:p w14:paraId="33F8783D"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w:t>
            </w:r>
          </w:p>
        </w:tc>
      </w:tr>
      <w:tr w:rsidR="008741D2" w:rsidRPr="003C3516" w14:paraId="2E2D7000" w14:textId="77777777" w:rsidTr="009F6374">
        <w:tc>
          <w:tcPr>
            <w:tcW w:w="1388" w:type="dxa"/>
          </w:tcPr>
          <w:p w14:paraId="7C1333AD"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Greene</w:t>
            </w:r>
          </w:p>
        </w:tc>
        <w:tc>
          <w:tcPr>
            <w:tcW w:w="1950" w:type="dxa"/>
          </w:tcPr>
          <w:p w14:paraId="07B28044"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Oct. 28, 2021</w:t>
            </w:r>
          </w:p>
        </w:tc>
        <w:tc>
          <w:tcPr>
            <w:tcW w:w="6022" w:type="dxa"/>
          </w:tcPr>
          <w:p w14:paraId="65EF7376"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Resolution against Kingwood Solar Project</w:t>
            </w:r>
          </w:p>
        </w:tc>
      </w:tr>
      <w:tr w:rsidR="008741D2" w:rsidRPr="003C3516" w14:paraId="004ECC82" w14:textId="77777777" w:rsidTr="009F6374">
        <w:tc>
          <w:tcPr>
            <w:tcW w:w="1388" w:type="dxa"/>
          </w:tcPr>
          <w:p w14:paraId="202E8CB0"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Hancock</w:t>
            </w:r>
          </w:p>
        </w:tc>
        <w:tc>
          <w:tcPr>
            <w:tcW w:w="1950" w:type="dxa"/>
          </w:tcPr>
          <w:p w14:paraId="34D809DD"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Apr. 19, 2022</w:t>
            </w:r>
          </w:p>
        </w:tc>
        <w:tc>
          <w:tcPr>
            <w:tcW w:w="6022" w:type="dxa"/>
          </w:tcPr>
          <w:p w14:paraId="5EFF3987"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 except 1 township</w:t>
            </w:r>
          </w:p>
        </w:tc>
      </w:tr>
      <w:tr w:rsidR="008741D2" w:rsidRPr="003C3516" w14:paraId="5B46674A" w14:textId="77777777" w:rsidTr="009F6374">
        <w:tc>
          <w:tcPr>
            <w:tcW w:w="1388" w:type="dxa"/>
          </w:tcPr>
          <w:p w14:paraId="6A08503F"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Henry</w:t>
            </w:r>
          </w:p>
        </w:tc>
        <w:tc>
          <w:tcPr>
            <w:tcW w:w="1950" w:type="dxa"/>
          </w:tcPr>
          <w:p w14:paraId="5BFB637E"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Dec. 23, 2023</w:t>
            </w:r>
          </w:p>
        </w:tc>
        <w:tc>
          <w:tcPr>
            <w:tcW w:w="6022" w:type="dxa"/>
          </w:tcPr>
          <w:p w14:paraId="5624C27F"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w:t>
            </w:r>
          </w:p>
        </w:tc>
      </w:tr>
      <w:tr w:rsidR="008741D2" w:rsidRPr="003C3516" w14:paraId="48E60498" w14:textId="77777777" w:rsidTr="009F6374">
        <w:tc>
          <w:tcPr>
            <w:tcW w:w="1388" w:type="dxa"/>
          </w:tcPr>
          <w:p w14:paraId="36F563F7"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Knox</w:t>
            </w:r>
          </w:p>
        </w:tc>
        <w:tc>
          <w:tcPr>
            <w:tcW w:w="1950" w:type="dxa"/>
          </w:tcPr>
          <w:p w14:paraId="7F08CBA6"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March, 2024</w:t>
            </w:r>
          </w:p>
        </w:tc>
        <w:tc>
          <w:tcPr>
            <w:tcW w:w="6022" w:type="dxa"/>
          </w:tcPr>
          <w:p w14:paraId="0F79A61B"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Opposition from newly elected commissioner to large solar farms and proposed Frasier Solar Farm</w:t>
            </w:r>
          </w:p>
        </w:tc>
      </w:tr>
      <w:tr w:rsidR="008741D2" w:rsidRPr="003C3516" w14:paraId="583BEF7E" w14:textId="77777777" w:rsidTr="009F6374">
        <w:tc>
          <w:tcPr>
            <w:tcW w:w="1388" w:type="dxa"/>
          </w:tcPr>
          <w:p w14:paraId="3B4B0A32"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Licking</w:t>
            </w:r>
          </w:p>
        </w:tc>
        <w:tc>
          <w:tcPr>
            <w:tcW w:w="1950" w:type="dxa"/>
          </w:tcPr>
          <w:p w14:paraId="48D2E4E0"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April 13, 2024</w:t>
            </w:r>
          </w:p>
        </w:tc>
        <w:tc>
          <w:tcPr>
            <w:tcW w:w="6022" w:type="dxa"/>
          </w:tcPr>
          <w:p w14:paraId="5DA32E81"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In unincorporated areas of townships that request ban (two as of April 2024)</w:t>
            </w:r>
          </w:p>
        </w:tc>
      </w:tr>
      <w:tr w:rsidR="008741D2" w:rsidRPr="003C3516" w14:paraId="74212C5C" w14:textId="77777777" w:rsidTr="009F6374">
        <w:tc>
          <w:tcPr>
            <w:tcW w:w="1388" w:type="dxa"/>
          </w:tcPr>
          <w:p w14:paraId="0E5F8C71"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Logan</w:t>
            </w:r>
          </w:p>
        </w:tc>
        <w:tc>
          <w:tcPr>
            <w:tcW w:w="1950" w:type="dxa"/>
          </w:tcPr>
          <w:p w14:paraId="029B9276"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Aug. 11, 2022</w:t>
            </w:r>
          </w:p>
          <w:p w14:paraId="254E7051"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Nov. 9, 2022</w:t>
            </w:r>
          </w:p>
        </w:tc>
        <w:tc>
          <w:tcPr>
            <w:tcW w:w="6022" w:type="dxa"/>
          </w:tcPr>
          <w:p w14:paraId="4D3796CA"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 except one township</w:t>
            </w:r>
          </w:p>
          <w:p w14:paraId="68A0992C"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Specific opposition to Fountain Point project</w:t>
            </w:r>
          </w:p>
        </w:tc>
      </w:tr>
      <w:tr w:rsidR="008741D2" w:rsidRPr="003C3516" w14:paraId="2BF5ABDE" w14:textId="77777777" w:rsidTr="009F6374">
        <w:tc>
          <w:tcPr>
            <w:tcW w:w="1388" w:type="dxa"/>
          </w:tcPr>
          <w:p w14:paraId="37AFBD88"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Madison</w:t>
            </w:r>
          </w:p>
        </w:tc>
        <w:tc>
          <w:tcPr>
            <w:tcW w:w="1950" w:type="dxa"/>
          </w:tcPr>
          <w:p w14:paraId="6C06EAD6"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Apr. 4, 2023</w:t>
            </w:r>
          </w:p>
        </w:tc>
        <w:tc>
          <w:tcPr>
            <w:tcW w:w="6022" w:type="dxa"/>
          </w:tcPr>
          <w:p w14:paraId="606C0B2D"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Opposes Oak Run project, pause on other future solar</w:t>
            </w:r>
          </w:p>
        </w:tc>
      </w:tr>
      <w:tr w:rsidR="008741D2" w:rsidRPr="003C3516" w14:paraId="77113EBA" w14:textId="77777777" w:rsidTr="009F6374">
        <w:tc>
          <w:tcPr>
            <w:tcW w:w="1388" w:type="dxa"/>
          </w:tcPr>
          <w:p w14:paraId="0ACF3A6B"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Mahoning</w:t>
            </w:r>
          </w:p>
        </w:tc>
        <w:tc>
          <w:tcPr>
            <w:tcW w:w="1950" w:type="dxa"/>
          </w:tcPr>
          <w:p w14:paraId="4B00DB62"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March, 2024</w:t>
            </w:r>
          </w:p>
        </w:tc>
        <w:tc>
          <w:tcPr>
            <w:tcW w:w="6022" w:type="dxa"/>
          </w:tcPr>
          <w:p w14:paraId="7AED277F"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Unincorporated areas of 11 townships</w:t>
            </w:r>
          </w:p>
        </w:tc>
      </w:tr>
      <w:tr w:rsidR="008741D2" w:rsidRPr="003C3516" w14:paraId="1B56A797" w14:textId="77777777" w:rsidTr="009F6374">
        <w:tc>
          <w:tcPr>
            <w:tcW w:w="1388" w:type="dxa"/>
          </w:tcPr>
          <w:p w14:paraId="6BA04EB1"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Marion</w:t>
            </w:r>
          </w:p>
        </w:tc>
        <w:tc>
          <w:tcPr>
            <w:tcW w:w="1950" w:type="dxa"/>
          </w:tcPr>
          <w:p w14:paraId="7FF7D681"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2022-2023</w:t>
            </w:r>
          </w:p>
          <w:p w14:paraId="61ED1CF4"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Feb. 12, 2023</w:t>
            </w:r>
          </w:p>
        </w:tc>
        <w:tc>
          <w:tcPr>
            <w:tcW w:w="6022" w:type="dxa"/>
          </w:tcPr>
          <w:p w14:paraId="607CB3DA"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Unincorporated areas of multiple townships</w:t>
            </w:r>
          </w:p>
          <w:p w14:paraId="2B0C8BA9"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 xml:space="preserve">County opposes Chestnut </w:t>
            </w:r>
          </w:p>
        </w:tc>
      </w:tr>
      <w:tr w:rsidR="008741D2" w:rsidRPr="003C3516" w14:paraId="7BEEE6CD" w14:textId="77777777" w:rsidTr="009F6374">
        <w:tc>
          <w:tcPr>
            <w:tcW w:w="1388" w:type="dxa"/>
          </w:tcPr>
          <w:p w14:paraId="6668137C"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Medina</w:t>
            </w:r>
          </w:p>
        </w:tc>
        <w:tc>
          <w:tcPr>
            <w:tcW w:w="1950" w:type="dxa"/>
          </w:tcPr>
          <w:p w14:paraId="41C06EC3"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Jan. 25, 2022</w:t>
            </w:r>
          </w:p>
        </w:tc>
        <w:tc>
          <w:tcPr>
            <w:tcW w:w="6022" w:type="dxa"/>
          </w:tcPr>
          <w:p w14:paraId="0E660C34"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w:t>
            </w:r>
          </w:p>
        </w:tc>
      </w:tr>
      <w:tr w:rsidR="008741D2" w:rsidRPr="003C3516" w14:paraId="7F3C0EB1" w14:textId="77777777" w:rsidTr="009F6374">
        <w:tc>
          <w:tcPr>
            <w:tcW w:w="1388" w:type="dxa"/>
          </w:tcPr>
          <w:p w14:paraId="1719445B"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Ottawa</w:t>
            </w:r>
          </w:p>
        </w:tc>
        <w:tc>
          <w:tcPr>
            <w:tcW w:w="1950" w:type="dxa"/>
          </w:tcPr>
          <w:p w14:paraId="3F601087"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Dec. 13, 2022</w:t>
            </w:r>
          </w:p>
        </w:tc>
        <w:tc>
          <w:tcPr>
            <w:tcW w:w="6022" w:type="dxa"/>
          </w:tcPr>
          <w:p w14:paraId="6366F118"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 xml:space="preserve">County allows two townships to accept new solar farms </w:t>
            </w:r>
          </w:p>
        </w:tc>
      </w:tr>
      <w:tr w:rsidR="008741D2" w:rsidRPr="003C3516" w14:paraId="6BA772FB" w14:textId="77777777" w:rsidTr="009F6374">
        <w:tc>
          <w:tcPr>
            <w:tcW w:w="1388" w:type="dxa"/>
          </w:tcPr>
          <w:p w14:paraId="3E0C887F"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Pickaway</w:t>
            </w:r>
          </w:p>
        </w:tc>
        <w:tc>
          <w:tcPr>
            <w:tcW w:w="1950" w:type="dxa"/>
          </w:tcPr>
          <w:p w14:paraId="01DD5512"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Dec. 13, 2021</w:t>
            </w:r>
          </w:p>
          <w:p w14:paraId="23153A5B"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Apr. 12, 2022</w:t>
            </w:r>
          </w:p>
          <w:p w14:paraId="006C6BFD"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Feb. 21, 2023</w:t>
            </w:r>
          </w:p>
        </w:tc>
        <w:tc>
          <w:tcPr>
            <w:tcW w:w="6022" w:type="dxa"/>
          </w:tcPr>
          <w:p w14:paraId="5A77727E"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Scioto Farms</w:t>
            </w:r>
          </w:p>
          <w:p w14:paraId="337044B6"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Circleville</w:t>
            </w:r>
          </w:p>
          <w:p w14:paraId="7508BF7F"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w:t>
            </w:r>
          </w:p>
        </w:tc>
      </w:tr>
      <w:tr w:rsidR="008741D2" w:rsidRPr="003C3516" w14:paraId="343B7B75" w14:textId="77777777" w:rsidTr="009F6374">
        <w:tc>
          <w:tcPr>
            <w:tcW w:w="1388" w:type="dxa"/>
          </w:tcPr>
          <w:p w14:paraId="11F2ED2A"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Preble</w:t>
            </w:r>
          </w:p>
        </w:tc>
        <w:tc>
          <w:tcPr>
            <w:tcW w:w="1950" w:type="dxa"/>
          </w:tcPr>
          <w:p w14:paraId="2F811FFA"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Feb. 27, 2024</w:t>
            </w:r>
          </w:p>
        </w:tc>
        <w:tc>
          <w:tcPr>
            <w:tcW w:w="6022" w:type="dxa"/>
          </w:tcPr>
          <w:p w14:paraId="07B48ABF"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Unincorporated areas of 1 township</w:t>
            </w:r>
          </w:p>
        </w:tc>
      </w:tr>
      <w:tr w:rsidR="008741D2" w:rsidRPr="003C3516" w14:paraId="3A4DAA99" w14:textId="77777777" w:rsidTr="009F6374">
        <w:tc>
          <w:tcPr>
            <w:tcW w:w="1388" w:type="dxa"/>
          </w:tcPr>
          <w:p w14:paraId="68FC0893"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Putnam</w:t>
            </w:r>
          </w:p>
        </w:tc>
        <w:tc>
          <w:tcPr>
            <w:tcW w:w="1950" w:type="dxa"/>
          </w:tcPr>
          <w:p w14:paraId="27E1DDC6"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Dec. 13, 2022</w:t>
            </w:r>
          </w:p>
        </w:tc>
        <w:tc>
          <w:tcPr>
            <w:tcW w:w="6022" w:type="dxa"/>
          </w:tcPr>
          <w:p w14:paraId="1F05BDC3"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w:t>
            </w:r>
          </w:p>
        </w:tc>
      </w:tr>
      <w:tr w:rsidR="008741D2" w:rsidRPr="003C3516" w14:paraId="35CDB99F" w14:textId="77777777" w:rsidTr="009F6374">
        <w:tc>
          <w:tcPr>
            <w:tcW w:w="1388" w:type="dxa"/>
          </w:tcPr>
          <w:p w14:paraId="5096715E"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Seneca</w:t>
            </w:r>
          </w:p>
        </w:tc>
        <w:tc>
          <w:tcPr>
            <w:tcW w:w="1950" w:type="dxa"/>
          </w:tcPr>
          <w:p w14:paraId="36880F6C"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Nov. 23, 2021</w:t>
            </w:r>
          </w:p>
        </w:tc>
        <w:tc>
          <w:tcPr>
            <w:tcW w:w="6022" w:type="dxa"/>
          </w:tcPr>
          <w:p w14:paraId="1CC467C5"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w:t>
            </w:r>
          </w:p>
        </w:tc>
      </w:tr>
      <w:tr w:rsidR="008741D2" w:rsidRPr="003C3516" w14:paraId="4E09F2F3" w14:textId="77777777" w:rsidTr="009F6374">
        <w:tc>
          <w:tcPr>
            <w:tcW w:w="1388" w:type="dxa"/>
          </w:tcPr>
          <w:p w14:paraId="3056E66C"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Stark</w:t>
            </w:r>
          </w:p>
        </w:tc>
        <w:tc>
          <w:tcPr>
            <w:tcW w:w="1950" w:type="dxa"/>
          </w:tcPr>
          <w:p w14:paraId="10D29906"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May 17, 2024</w:t>
            </w:r>
          </w:p>
        </w:tc>
        <w:tc>
          <w:tcPr>
            <w:tcW w:w="6022" w:type="dxa"/>
          </w:tcPr>
          <w:p w14:paraId="7A454235"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Opposes Stark proposal; county-level restrictions in progress</w:t>
            </w:r>
          </w:p>
        </w:tc>
      </w:tr>
      <w:tr w:rsidR="008741D2" w:rsidRPr="003C3516" w14:paraId="0F6FCD24" w14:textId="77777777" w:rsidTr="009F6374">
        <w:tc>
          <w:tcPr>
            <w:tcW w:w="1388" w:type="dxa"/>
          </w:tcPr>
          <w:p w14:paraId="6EBA2C51"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Union</w:t>
            </w:r>
          </w:p>
        </w:tc>
        <w:tc>
          <w:tcPr>
            <w:tcW w:w="1950" w:type="dxa"/>
          </w:tcPr>
          <w:p w14:paraId="774309AC"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Jun. 15, 2022</w:t>
            </w:r>
          </w:p>
        </w:tc>
        <w:tc>
          <w:tcPr>
            <w:tcW w:w="6022" w:type="dxa"/>
          </w:tcPr>
          <w:p w14:paraId="61D6FB33"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Unincorporated areas of 8 townships</w:t>
            </w:r>
          </w:p>
        </w:tc>
      </w:tr>
      <w:tr w:rsidR="008741D2" w:rsidRPr="003C3516" w14:paraId="4E665EE5" w14:textId="77777777" w:rsidTr="009F6374">
        <w:tc>
          <w:tcPr>
            <w:tcW w:w="1388" w:type="dxa"/>
          </w:tcPr>
          <w:p w14:paraId="4F1D89FC"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Van Wert</w:t>
            </w:r>
          </w:p>
        </w:tc>
        <w:tc>
          <w:tcPr>
            <w:tcW w:w="1950" w:type="dxa"/>
          </w:tcPr>
          <w:p w14:paraId="3B437352"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Feb. 7, 2024</w:t>
            </w:r>
          </w:p>
        </w:tc>
        <w:tc>
          <w:tcPr>
            <w:tcW w:w="6022" w:type="dxa"/>
          </w:tcPr>
          <w:p w14:paraId="25ABE469"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Restricted in most townships</w:t>
            </w:r>
          </w:p>
        </w:tc>
      </w:tr>
      <w:tr w:rsidR="008741D2" w:rsidRPr="003C3516" w14:paraId="5F18B6D2" w14:textId="77777777" w:rsidTr="009F6374">
        <w:trPr>
          <w:trHeight w:val="359"/>
        </w:trPr>
        <w:tc>
          <w:tcPr>
            <w:tcW w:w="1388" w:type="dxa"/>
          </w:tcPr>
          <w:p w14:paraId="48534D5C"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Wayne</w:t>
            </w:r>
          </w:p>
        </w:tc>
        <w:tc>
          <w:tcPr>
            <w:tcW w:w="1950" w:type="dxa"/>
          </w:tcPr>
          <w:p w14:paraId="3ECB97EA"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July 13, 2023</w:t>
            </w:r>
          </w:p>
        </w:tc>
        <w:tc>
          <w:tcPr>
            <w:tcW w:w="6022" w:type="dxa"/>
          </w:tcPr>
          <w:p w14:paraId="238FCF84" w14:textId="77777777" w:rsidR="008741D2" w:rsidRPr="003C3516" w:rsidRDefault="008741D2" w:rsidP="009F6374">
            <w:pPr>
              <w:rPr>
                <w:rFonts w:ascii="Calibri" w:hAnsi="Calibri" w:cs="Calibri"/>
                <w:color w:val="000000" w:themeColor="text1"/>
                <w:sz w:val="24"/>
                <w:szCs w:val="24"/>
              </w:rPr>
            </w:pPr>
            <w:r w:rsidRPr="003C3516">
              <w:rPr>
                <w:rFonts w:ascii="Calibri" w:hAnsi="Calibri" w:cs="Calibri"/>
                <w:color w:val="000000" w:themeColor="text1"/>
                <w:sz w:val="24"/>
                <w:szCs w:val="24"/>
              </w:rPr>
              <w:t>All unincorporated areas</w:t>
            </w:r>
          </w:p>
        </w:tc>
      </w:tr>
    </w:tbl>
    <w:p w14:paraId="522A7526" w14:textId="77777777" w:rsidR="008741D2" w:rsidRDefault="008741D2" w:rsidP="008741D2">
      <w:pPr>
        <w:rPr>
          <w:rFonts w:ascii="Calibri" w:hAnsi="Calibri" w:cs="Calibri"/>
          <w:sz w:val="24"/>
          <w:szCs w:val="24"/>
        </w:rPr>
      </w:pPr>
    </w:p>
    <w:p w14:paraId="65817422" w14:textId="77777777" w:rsidR="006676B0" w:rsidRPr="003C3516" w:rsidRDefault="006676B0" w:rsidP="008741D2">
      <w:pPr>
        <w:rPr>
          <w:rFonts w:ascii="Calibri" w:hAnsi="Calibri" w:cs="Calibri"/>
          <w:sz w:val="24"/>
          <w:szCs w:val="24"/>
        </w:rPr>
      </w:pPr>
    </w:p>
    <w:p w14:paraId="41DD0AFF" w14:textId="095D0005" w:rsidR="008741D2" w:rsidRPr="003C3516" w:rsidRDefault="008741D2" w:rsidP="008741D2">
      <w:pPr>
        <w:rPr>
          <w:rFonts w:ascii="Calibri" w:hAnsi="Calibri" w:cs="Calibri"/>
          <w:sz w:val="24"/>
          <w:szCs w:val="24"/>
        </w:rPr>
      </w:pPr>
      <w:r w:rsidRPr="003C3516">
        <w:rPr>
          <w:rFonts w:ascii="Calibri" w:hAnsi="Calibri" w:cs="Calibri"/>
          <w:sz w:val="24"/>
          <w:szCs w:val="24"/>
        </w:rPr>
        <w:t xml:space="preserve">Table </w:t>
      </w:r>
      <w:r>
        <w:rPr>
          <w:rFonts w:ascii="Calibri" w:hAnsi="Calibri" w:cs="Calibri"/>
          <w:sz w:val="24"/>
          <w:szCs w:val="24"/>
        </w:rPr>
        <w:t>S</w:t>
      </w:r>
      <w:r w:rsidR="00CB41A0">
        <w:rPr>
          <w:rFonts w:ascii="Calibri" w:hAnsi="Calibri" w:cs="Calibri"/>
          <w:sz w:val="24"/>
          <w:szCs w:val="24"/>
        </w:rPr>
        <w:t>1</w:t>
      </w:r>
      <w:r w:rsidRPr="003C3516">
        <w:rPr>
          <w:rFonts w:ascii="Calibri" w:hAnsi="Calibri" w:cs="Calibri"/>
          <w:sz w:val="24"/>
          <w:szCs w:val="24"/>
        </w:rPr>
        <w:t>. County Resolutions against Solar Farms.</w:t>
      </w:r>
    </w:p>
    <w:p w14:paraId="57FBAA75" w14:textId="66D4D21D" w:rsidR="008741D2" w:rsidRDefault="008741D2" w:rsidP="008741D2">
      <w:pPr>
        <w:rPr>
          <w:rFonts w:ascii="Calibri" w:hAnsi="Calibri" w:cs="Calibri"/>
          <w:sz w:val="24"/>
          <w:szCs w:val="24"/>
        </w:rPr>
      </w:pPr>
      <w:r w:rsidRPr="003C3516">
        <w:rPr>
          <w:rFonts w:ascii="Calibri" w:hAnsi="Calibri" w:cs="Calibri"/>
          <w:sz w:val="24"/>
          <w:szCs w:val="24"/>
        </w:rPr>
        <w:t>Source: Author.</w:t>
      </w:r>
    </w:p>
    <w:p w14:paraId="6E0247BA" w14:textId="77777777" w:rsidR="0026484D" w:rsidRDefault="0026484D" w:rsidP="008741D2">
      <w:pPr>
        <w:rPr>
          <w:rFonts w:ascii="Calibri" w:hAnsi="Calibri" w:cs="Calibri"/>
          <w:sz w:val="24"/>
          <w:szCs w:val="24"/>
        </w:rPr>
      </w:pPr>
    </w:p>
    <w:p w14:paraId="53152530" w14:textId="34FE72D2" w:rsidR="0035727B" w:rsidRDefault="00EC4AD5" w:rsidP="0035727B">
      <w:pPr>
        <w:pStyle w:val="Heading1"/>
      </w:pPr>
      <w:r>
        <w:t>3</w:t>
      </w:r>
      <w:r w:rsidR="0035727B">
        <w:t>. Coding Rules for Opposition Documents</w:t>
      </w:r>
    </w:p>
    <w:p w14:paraId="2842AE2A" w14:textId="29BE9488" w:rsidR="00F3251F" w:rsidRDefault="00A42794" w:rsidP="00F3251F">
      <w:pPr>
        <w:spacing w:after="0" w:line="480" w:lineRule="auto"/>
        <w:ind w:firstLine="720"/>
        <w:rPr>
          <w:rFonts w:ascii="Calibri" w:hAnsi="Calibri" w:cs="Calibri"/>
          <w:sz w:val="24"/>
          <w:szCs w:val="24"/>
        </w:rPr>
      </w:pPr>
      <w:r>
        <w:rPr>
          <w:rFonts w:ascii="Calibri" w:hAnsi="Calibri" w:cs="Calibri"/>
          <w:sz w:val="24"/>
          <w:szCs w:val="24"/>
        </w:rPr>
        <w:t xml:space="preserve">The use of opposition documents filed under public comments at the regulatory agency’s web site </w:t>
      </w:r>
      <w:r w:rsidR="00F3251F">
        <w:rPr>
          <w:rFonts w:ascii="Calibri" w:hAnsi="Calibri" w:cs="Calibri"/>
          <w:sz w:val="24"/>
          <w:szCs w:val="24"/>
        </w:rPr>
        <w:t>involves multiple coding decisions</w:t>
      </w:r>
      <w:r w:rsidR="00CA3BEB">
        <w:rPr>
          <w:rFonts w:ascii="Calibri" w:hAnsi="Calibri" w:cs="Calibri"/>
          <w:sz w:val="24"/>
          <w:szCs w:val="24"/>
        </w:rPr>
        <w:t>. As noted in the study, this unit of analysis</w:t>
      </w:r>
      <w:r w:rsidR="00341C3A">
        <w:rPr>
          <w:rFonts w:ascii="Calibri" w:hAnsi="Calibri" w:cs="Calibri"/>
          <w:sz w:val="24"/>
          <w:szCs w:val="24"/>
        </w:rPr>
        <w:t xml:space="preserve"> has limitations as an indicator of change in opposition over time</w:t>
      </w:r>
      <w:r w:rsidR="00F3251F">
        <w:rPr>
          <w:rFonts w:ascii="Calibri" w:hAnsi="Calibri" w:cs="Calibri"/>
          <w:sz w:val="24"/>
          <w:szCs w:val="24"/>
        </w:rPr>
        <w:t xml:space="preserve">. </w:t>
      </w:r>
      <w:r w:rsidRPr="00CA3BEB">
        <w:rPr>
          <w:rFonts w:ascii="Calibri" w:hAnsi="Calibri" w:cs="Calibri"/>
          <w:sz w:val="24"/>
          <w:szCs w:val="24"/>
        </w:rPr>
        <w:t xml:space="preserve">We adopted </w:t>
      </w:r>
      <w:r w:rsidR="00F3251F">
        <w:rPr>
          <w:rFonts w:ascii="Calibri" w:hAnsi="Calibri" w:cs="Calibri"/>
          <w:sz w:val="24"/>
          <w:szCs w:val="24"/>
        </w:rPr>
        <w:t xml:space="preserve">the same coding rules </w:t>
      </w:r>
      <w:r w:rsidR="000C6307">
        <w:rPr>
          <w:rFonts w:ascii="Calibri" w:hAnsi="Calibri" w:cs="Calibri"/>
          <w:sz w:val="24"/>
          <w:szCs w:val="24"/>
        </w:rPr>
        <w:t>for</w:t>
      </w:r>
      <w:r w:rsidR="00F3251F">
        <w:rPr>
          <w:rFonts w:ascii="Calibri" w:hAnsi="Calibri" w:cs="Calibri"/>
          <w:sz w:val="24"/>
          <w:szCs w:val="24"/>
        </w:rPr>
        <w:t xml:space="preserve"> all 10,005 documents (55 cases) to define an opposition document in a uniform way. </w:t>
      </w:r>
      <w:r w:rsidR="00883378">
        <w:rPr>
          <w:rFonts w:ascii="Calibri" w:hAnsi="Calibri" w:cs="Calibri"/>
          <w:sz w:val="24"/>
          <w:szCs w:val="24"/>
        </w:rPr>
        <w:t xml:space="preserve">Although researchers might prefer other coding rules, </w:t>
      </w:r>
      <w:r w:rsidR="004F76FD">
        <w:rPr>
          <w:rFonts w:ascii="Calibri" w:hAnsi="Calibri" w:cs="Calibri"/>
          <w:sz w:val="24"/>
          <w:szCs w:val="24"/>
        </w:rPr>
        <w:t>the classification of the cases into quintiles</w:t>
      </w:r>
      <w:r w:rsidR="00CA3BEB">
        <w:rPr>
          <w:rFonts w:ascii="Calibri" w:hAnsi="Calibri" w:cs="Calibri"/>
          <w:sz w:val="24"/>
          <w:szCs w:val="24"/>
        </w:rPr>
        <w:t>, in combination with the steep increase of opposition documents in the most recent quintiles of decision dates,</w:t>
      </w:r>
      <w:r w:rsidR="004F76FD">
        <w:rPr>
          <w:rFonts w:ascii="Calibri" w:hAnsi="Calibri" w:cs="Calibri"/>
          <w:sz w:val="24"/>
          <w:szCs w:val="24"/>
        </w:rPr>
        <w:t xml:space="preserve"> reduces the likelihood that changes in the coding rules would </w:t>
      </w:r>
      <w:r w:rsidR="00B0079E">
        <w:rPr>
          <w:rFonts w:ascii="Calibri" w:hAnsi="Calibri" w:cs="Calibri"/>
          <w:sz w:val="24"/>
          <w:szCs w:val="24"/>
        </w:rPr>
        <w:t>affect</w:t>
      </w:r>
      <w:r w:rsidR="004F76FD">
        <w:rPr>
          <w:rFonts w:ascii="Calibri" w:hAnsi="Calibri" w:cs="Calibri"/>
          <w:sz w:val="24"/>
          <w:szCs w:val="24"/>
        </w:rPr>
        <w:t xml:space="preserve"> </w:t>
      </w:r>
      <w:r w:rsidR="00B0079E">
        <w:rPr>
          <w:rFonts w:ascii="Calibri" w:hAnsi="Calibri" w:cs="Calibri"/>
          <w:sz w:val="24"/>
          <w:szCs w:val="24"/>
        </w:rPr>
        <w:t xml:space="preserve">the general pattern </w:t>
      </w:r>
      <w:r w:rsidR="000C6307">
        <w:rPr>
          <w:rFonts w:ascii="Calibri" w:hAnsi="Calibri" w:cs="Calibri"/>
          <w:sz w:val="24"/>
          <w:szCs w:val="24"/>
        </w:rPr>
        <w:t>of an increase in opposition after passage of the law</w:t>
      </w:r>
      <w:r w:rsidR="004F76FD">
        <w:rPr>
          <w:rFonts w:ascii="Calibri" w:hAnsi="Calibri" w:cs="Calibri"/>
          <w:sz w:val="24"/>
          <w:szCs w:val="24"/>
        </w:rPr>
        <w:t xml:space="preserve">. </w:t>
      </w:r>
      <w:r w:rsidR="00F3251F">
        <w:rPr>
          <w:rFonts w:ascii="Calibri" w:hAnsi="Calibri" w:cs="Calibri"/>
          <w:sz w:val="24"/>
          <w:szCs w:val="24"/>
        </w:rPr>
        <w:t xml:space="preserve">The coding rules were </w:t>
      </w:r>
      <w:r w:rsidR="004F76FD">
        <w:rPr>
          <w:rFonts w:ascii="Calibri" w:hAnsi="Calibri" w:cs="Calibri"/>
          <w:sz w:val="24"/>
          <w:szCs w:val="24"/>
        </w:rPr>
        <w:t>as follows</w:t>
      </w:r>
      <w:r w:rsidR="00F3251F">
        <w:rPr>
          <w:rFonts w:ascii="Calibri" w:hAnsi="Calibri" w:cs="Calibri"/>
          <w:sz w:val="24"/>
          <w:szCs w:val="24"/>
        </w:rPr>
        <w:t xml:space="preserve">: </w:t>
      </w:r>
    </w:p>
    <w:p w14:paraId="1A936CFF" w14:textId="77777777" w:rsidR="00F3251F" w:rsidRPr="00CA3BEB" w:rsidRDefault="00F3251F" w:rsidP="00CA3BEB">
      <w:pPr>
        <w:spacing w:after="0" w:line="480" w:lineRule="auto"/>
        <w:ind w:left="720"/>
        <w:rPr>
          <w:rFonts w:ascii="Calibri" w:hAnsi="Calibri" w:cs="Calibri"/>
          <w:color w:val="000000" w:themeColor="text1"/>
          <w:sz w:val="24"/>
          <w:szCs w:val="24"/>
        </w:rPr>
      </w:pPr>
      <w:r w:rsidRPr="00CA3BEB">
        <w:rPr>
          <w:rFonts w:ascii="Calibri" w:hAnsi="Calibri" w:cs="Calibri"/>
          <w:color w:val="000000" w:themeColor="text1"/>
          <w:sz w:val="24"/>
          <w:szCs w:val="24"/>
        </w:rPr>
        <w:t>1. The unit of analysis is the document submitted.</w:t>
      </w:r>
    </w:p>
    <w:p w14:paraId="24C93699" w14:textId="7B427989" w:rsidR="00F3251F" w:rsidRPr="00CA3BEB" w:rsidRDefault="00F3251F" w:rsidP="00CA3BEB">
      <w:pPr>
        <w:spacing w:after="0" w:line="480" w:lineRule="auto"/>
        <w:ind w:left="720"/>
        <w:rPr>
          <w:rFonts w:ascii="Calibri" w:hAnsi="Calibri" w:cs="Calibri"/>
          <w:color w:val="000000" w:themeColor="text1"/>
          <w:sz w:val="24"/>
          <w:szCs w:val="24"/>
        </w:rPr>
      </w:pPr>
      <w:r w:rsidRPr="00CA3BEB">
        <w:rPr>
          <w:rFonts w:ascii="Calibri" w:hAnsi="Calibri" w:cs="Calibri"/>
          <w:color w:val="000000" w:themeColor="text1"/>
          <w:sz w:val="24"/>
          <w:szCs w:val="24"/>
        </w:rPr>
        <w:t>2. If a document include</w:t>
      </w:r>
      <w:r>
        <w:rPr>
          <w:rFonts w:ascii="Calibri" w:hAnsi="Calibri" w:cs="Calibri"/>
          <w:color w:val="000000" w:themeColor="text1"/>
          <w:sz w:val="24"/>
          <w:szCs w:val="24"/>
        </w:rPr>
        <w:t xml:space="preserve">d </w:t>
      </w:r>
      <w:r w:rsidRPr="00CA3BEB">
        <w:rPr>
          <w:rFonts w:ascii="Calibri" w:hAnsi="Calibri" w:cs="Calibri"/>
          <w:color w:val="000000" w:themeColor="text1"/>
          <w:sz w:val="24"/>
          <w:szCs w:val="24"/>
        </w:rPr>
        <w:t>multiple comments that were exactly identical, the comments were treated as one document with multiple signatures. (Rationale: In some cases, there were batches of comments submitted in one document. Most of the examples were batches of comments with the same form letter and submitted in support of the project. These comments did not contribute to the count of opposition documents.)</w:t>
      </w:r>
    </w:p>
    <w:p w14:paraId="56405BC1" w14:textId="77777777" w:rsidR="00F3251F" w:rsidRPr="00CA3BEB" w:rsidRDefault="00F3251F" w:rsidP="00CA3BEB">
      <w:pPr>
        <w:spacing w:after="0" w:line="480" w:lineRule="auto"/>
        <w:ind w:left="720"/>
        <w:rPr>
          <w:rFonts w:ascii="Calibri" w:hAnsi="Calibri" w:cs="Calibri"/>
          <w:color w:val="000000" w:themeColor="text1"/>
          <w:sz w:val="24"/>
          <w:szCs w:val="24"/>
        </w:rPr>
      </w:pPr>
      <w:r w:rsidRPr="00CA3BEB">
        <w:rPr>
          <w:rFonts w:ascii="Calibri" w:hAnsi="Calibri" w:cs="Calibri"/>
          <w:color w:val="000000" w:themeColor="text1"/>
          <w:sz w:val="24"/>
          <w:szCs w:val="24"/>
        </w:rPr>
        <w:lastRenderedPageBreak/>
        <w:t>3. A document with multiple comments that were each unique was coded as a single comment from 0 to 1 based on the ratio of opposition comments to all comments. For example, if 3 of 4 comments were in opposition, the code was .75.</w:t>
      </w:r>
    </w:p>
    <w:p w14:paraId="7E0CE296" w14:textId="77777777" w:rsidR="00F3251F" w:rsidRPr="00CA3BEB" w:rsidRDefault="00F3251F" w:rsidP="00CA3BEB">
      <w:pPr>
        <w:spacing w:after="0" w:line="480" w:lineRule="auto"/>
        <w:ind w:left="720"/>
        <w:rPr>
          <w:rFonts w:ascii="Calibri" w:hAnsi="Calibri" w:cs="Calibri"/>
          <w:color w:val="000000" w:themeColor="text1"/>
          <w:sz w:val="24"/>
          <w:szCs w:val="24"/>
        </w:rPr>
      </w:pPr>
      <w:r w:rsidRPr="00CA3BEB">
        <w:rPr>
          <w:rFonts w:ascii="Calibri" w:hAnsi="Calibri" w:cs="Calibri"/>
          <w:color w:val="000000" w:themeColor="text1"/>
          <w:sz w:val="24"/>
          <w:szCs w:val="24"/>
        </w:rPr>
        <w:t>4. A document with multiple signatures on a single comment was treated as one document.</w:t>
      </w:r>
    </w:p>
    <w:p w14:paraId="4F5D8EC6" w14:textId="51C8B8A6" w:rsidR="00F3251F" w:rsidRPr="00CA3BEB" w:rsidRDefault="00F3251F" w:rsidP="00CA3BEB">
      <w:pPr>
        <w:spacing w:after="0" w:line="480" w:lineRule="auto"/>
        <w:ind w:left="720"/>
        <w:rPr>
          <w:rFonts w:ascii="Calibri" w:hAnsi="Calibri" w:cs="Calibri"/>
          <w:color w:val="000000" w:themeColor="text1"/>
          <w:sz w:val="24"/>
          <w:szCs w:val="24"/>
        </w:rPr>
      </w:pPr>
      <w:r w:rsidRPr="00CA3BEB">
        <w:rPr>
          <w:rFonts w:ascii="Calibri" w:hAnsi="Calibri" w:cs="Calibri"/>
          <w:color w:val="000000" w:themeColor="text1"/>
          <w:sz w:val="24"/>
          <w:szCs w:val="24"/>
        </w:rPr>
        <w:t>5. A document that was an exact duplicate (same person, same signature) was excluded. However, unique documents filed by the same person were included. Rationale: Some people submitted more than one opposition document, generally with different reasons, at different phases of the process. In some cases, the same individual submitted documents by other people, such as</w:t>
      </w:r>
      <w:r w:rsidR="00B0079E">
        <w:rPr>
          <w:rFonts w:ascii="Calibri" w:hAnsi="Calibri" w:cs="Calibri"/>
          <w:color w:val="000000" w:themeColor="text1"/>
          <w:sz w:val="24"/>
          <w:szCs w:val="24"/>
        </w:rPr>
        <w:t xml:space="preserve"> other citizens or</w:t>
      </w:r>
      <w:r w:rsidRPr="00CA3BEB">
        <w:rPr>
          <w:rFonts w:ascii="Calibri" w:hAnsi="Calibri" w:cs="Calibri"/>
          <w:color w:val="000000" w:themeColor="text1"/>
          <w:sz w:val="24"/>
          <w:szCs w:val="24"/>
        </w:rPr>
        <w:t xml:space="preserve"> local government resolutions.</w:t>
      </w:r>
    </w:p>
    <w:p w14:paraId="533B2C8D" w14:textId="2B50943F" w:rsidR="00F3251F" w:rsidRPr="00CA3BEB" w:rsidRDefault="00F3251F" w:rsidP="00CA3BEB">
      <w:pPr>
        <w:spacing w:after="0" w:line="480" w:lineRule="auto"/>
        <w:ind w:left="720"/>
        <w:rPr>
          <w:rFonts w:ascii="Calibri" w:hAnsi="Calibri" w:cs="Calibri"/>
          <w:color w:val="000000" w:themeColor="text1"/>
          <w:sz w:val="24"/>
          <w:szCs w:val="24"/>
        </w:rPr>
      </w:pPr>
      <w:r w:rsidRPr="00CA3BEB">
        <w:rPr>
          <w:rFonts w:ascii="Calibri" w:hAnsi="Calibri" w:cs="Calibri"/>
          <w:color w:val="000000" w:themeColor="text1"/>
          <w:sz w:val="24"/>
          <w:szCs w:val="24"/>
        </w:rPr>
        <w:t xml:space="preserve">6. A document was not </w:t>
      </w:r>
      <w:r w:rsidR="00B0079E">
        <w:rPr>
          <w:rFonts w:ascii="Calibri" w:hAnsi="Calibri" w:cs="Calibri"/>
          <w:color w:val="000000" w:themeColor="text1"/>
          <w:sz w:val="24"/>
          <w:szCs w:val="24"/>
        </w:rPr>
        <w:t>included in the opposition count</w:t>
      </w:r>
      <w:r w:rsidRPr="00CA3BEB">
        <w:rPr>
          <w:rFonts w:ascii="Calibri" w:hAnsi="Calibri" w:cs="Calibri"/>
          <w:color w:val="000000" w:themeColor="text1"/>
          <w:sz w:val="24"/>
          <w:szCs w:val="24"/>
        </w:rPr>
        <w:t xml:space="preserve"> if it was in support, neutral (e.g., information sharing), or without a clear position.</w:t>
      </w:r>
    </w:p>
    <w:p w14:paraId="20290946" w14:textId="18DEC6B6" w:rsidR="00F3251F" w:rsidRPr="00CA3BEB" w:rsidRDefault="00F3251F" w:rsidP="00CA3BEB">
      <w:pPr>
        <w:spacing w:after="0" w:line="480" w:lineRule="auto"/>
        <w:ind w:left="720"/>
        <w:rPr>
          <w:rFonts w:ascii="Calibri" w:hAnsi="Calibri" w:cs="Calibri"/>
          <w:color w:val="000000" w:themeColor="text1"/>
          <w:sz w:val="24"/>
          <w:szCs w:val="24"/>
        </w:rPr>
      </w:pPr>
      <w:r w:rsidRPr="00CA3BEB">
        <w:rPr>
          <w:rFonts w:ascii="Calibri" w:hAnsi="Calibri" w:cs="Calibri"/>
          <w:color w:val="000000" w:themeColor="text1"/>
          <w:sz w:val="24"/>
          <w:szCs w:val="24"/>
        </w:rPr>
        <w:t xml:space="preserve">7. If different people submitted an opposition comment as a separate document, it was counted even if the content of the comment was similar to </w:t>
      </w:r>
      <w:r w:rsidR="00B46775">
        <w:rPr>
          <w:rFonts w:ascii="Calibri" w:hAnsi="Calibri" w:cs="Calibri"/>
          <w:color w:val="000000" w:themeColor="text1"/>
          <w:sz w:val="24"/>
          <w:szCs w:val="24"/>
        </w:rPr>
        <w:t>other documents or a form letter. (Rationale: even if similar language was used, the separate document was interpreted here as a separate effort by an individual to express an opinion, in contrast with an organized effort that resulted in the submission of a batch of comments as one document.)</w:t>
      </w:r>
    </w:p>
    <w:p w14:paraId="013BE1C2" w14:textId="77777777" w:rsidR="000C6307" w:rsidRDefault="00A42794" w:rsidP="00883378">
      <w:pPr>
        <w:spacing w:after="0" w:line="480" w:lineRule="auto"/>
        <w:ind w:firstLine="720"/>
        <w:rPr>
          <w:rFonts w:ascii="Calibri" w:hAnsi="Calibri" w:cs="Calibri"/>
          <w:sz w:val="24"/>
          <w:szCs w:val="24"/>
        </w:rPr>
      </w:pPr>
      <w:r w:rsidRPr="00CA3BEB">
        <w:rPr>
          <w:rFonts w:ascii="Calibri" w:hAnsi="Calibri" w:cs="Calibri"/>
          <w:sz w:val="24"/>
          <w:szCs w:val="24"/>
        </w:rPr>
        <w:t xml:space="preserve">In cases with fewer than </w:t>
      </w:r>
      <w:r w:rsidR="00D76F01">
        <w:rPr>
          <w:rFonts w:ascii="Calibri" w:hAnsi="Calibri" w:cs="Calibri"/>
          <w:sz w:val="24"/>
          <w:szCs w:val="24"/>
        </w:rPr>
        <w:t>10</w:t>
      </w:r>
      <w:r w:rsidRPr="00CA3BEB">
        <w:rPr>
          <w:rFonts w:ascii="Calibri" w:hAnsi="Calibri" w:cs="Calibri"/>
          <w:sz w:val="24"/>
          <w:szCs w:val="24"/>
        </w:rPr>
        <w:t xml:space="preserve">0 documents, </w:t>
      </w:r>
      <w:r w:rsidR="00B0079E">
        <w:rPr>
          <w:rFonts w:ascii="Calibri" w:hAnsi="Calibri" w:cs="Calibri"/>
          <w:sz w:val="24"/>
          <w:szCs w:val="24"/>
        </w:rPr>
        <w:t>the lead author</w:t>
      </w:r>
      <w:r w:rsidRPr="00CA3BEB">
        <w:rPr>
          <w:rFonts w:ascii="Calibri" w:hAnsi="Calibri" w:cs="Calibri"/>
          <w:sz w:val="24"/>
          <w:szCs w:val="24"/>
        </w:rPr>
        <w:t xml:space="preserve"> read and classified all documents as opposition versus in support or neutral. In cases with more than </w:t>
      </w:r>
      <w:r w:rsidR="00D76F01">
        <w:rPr>
          <w:rFonts w:ascii="Calibri" w:hAnsi="Calibri" w:cs="Calibri"/>
          <w:sz w:val="24"/>
          <w:szCs w:val="24"/>
        </w:rPr>
        <w:t>10</w:t>
      </w:r>
      <w:r w:rsidRPr="00CA3BEB">
        <w:rPr>
          <w:rFonts w:ascii="Calibri" w:hAnsi="Calibri" w:cs="Calibri"/>
          <w:sz w:val="24"/>
          <w:szCs w:val="24"/>
        </w:rPr>
        <w:t xml:space="preserve">0 documents, we sampled on an nth name basis to get a minimum of </w:t>
      </w:r>
      <w:r w:rsidR="00D76F01">
        <w:rPr>
          <w:rFonts w:ascii="Calibri" w:hAnsi="Calibri" w:cs="Calibri"/>
          <w:sz w:val="24"/>
          <w:szCs w:val="24"/>
        </w:rPr>
        <w:t>30</w:t>
      </w:r>
      <w:r w:rsidRPr="00CA3BEB">
        <w:rPr>
          <w:rFonts w:ascii="Calibri" w:hAnsi="Calibri" w:cs="Calibri"/>
          <w:sz w:val="24"/>
          <w:szCs w:val="24"/>
        </w:rPr>
        <w:t xml:space="preserve"> documents to determine the percentage of opposition, then multiplied the total number of documents</w:t>
      </w:r>
      <w:r w:rsidR="00D76F01">
        <w:rPr>
          <w:rFonts w:ascii="Calibri" w:hAnsi="Calibri" w:cs="Calibri"/>
          <w:sz w:val="24"/>
          <w:szCs w:val="24"/>
        </w:rPr>
        <w:t xml:space="preserve"> by </w:t>
      </w:r>
      <w:r w:rsidR="00883378">
        <w:rPr>
          <w:rFonts w:ascii="Calibri" w:hAnsi="Calibri" w:cs="Calibri"/>
          <w:sz w:val="24"/>
          <w:szCs w:val="24"/>
        </w:rPr>
        <w:t xml:space="preserve">the sampled rate </w:t>
      </w:r>
      <w:r w:rsidR="00883378">
        <w:rPr>
          <w:rFonts w:ascii="Calibri" w:hAnsi="Calibri" w:cs="Calibri"/>
          <w:sz w:val="24"/>
          <w:szCs w:val="24"/>
        </w:rPr>
        <w:lastRenderedPageBreak/>
        <w:t>of opposition</w:t>
      </w:r>
      <w:r w:rsidR="005A2281">
        <w:rPr>
          <w:rFonts w:ascii="Calibri" w:hAnsi="Calibri" w:cs="Calibri"/>
          <w:sz w:val="24"/>
          <w:szCs w:val="24"/>
        </w:rPr>
        <w:t xml:space="preserve"> (unique for each case)</w:t>
      </w:r>
      <w:r w:rsidR="00883378">
        <w:rPr>
          <w:rFonts w:ascii="Calibri" w:hAnsi="Calibri" w:cs="Calibri"/>
          <w:sz w:val="24"/>
          <w:szCs w:val="24"/>
        </w:rPr>
        <w:t xml:space="preserve"> and by the average rate of non-duplicate documents (.94</w:t>
      </w:r>
      <w:r w:rsidR="00551065">
        <w:rPr>
          <w:rFonts w:ascii="Calibri" w:hAnsi="Calibri" w:cs="Calibri"/>
          <w:sz w:val="24"/>
          <w:szCs w:val="24"/>
        </w:rPr>
        <w:t xml:space="preserve">, estimated from the average of </w:t>
      </w:r>
      <w:r w:rsidR="00883378">
        <w:rPr>
          <w:rFonts w:ascii="Calibri" w:hAnsi="Calibri" w:cs="Calibri"/>
          <w:sz w:val="24"/>
          <w:szCs w:val="24"/>
        </w:rPr>
        <w:t>cases with 50-100 documents</w:t>
      </w:r>
      <w:r w:rsidR="00551065">
        <w:rPr>
          <w:rFonts w:ascii="Calibri" w:hAnsi="Calibri" w:cs="Calibri"/>
          <w:sz w:val="24"/>
          <w:szCs w:val="24"/>
        </w:rPr>
        <w:t>)</w:t>
      </w:r>
      <w:r w:rsidR="00883378">
        <w:rPr>
          <w:rFonts w:ascii="Calibri" w:hAnsi="Calibri" w:cs="Calibri"/>
          <w:sz w:val="24"/>
          <w:szCs w:val="24"/>
        </w:rPr>
        <w:t>.</w:t>
      </w:r>
      <w:r w:rsidR="00551065">
        <w:rPr>
          <w:rFonts w:ascii="Calibri" w:hAnsi="Calibri" w:cs="Calibri"/>
          <w:sz w:val="24"/>
          <w:szCs w:val="24"/>
        </w:rPr>
        <w:t xml:space="preserve"> </w:t>
      </w:r>
    </w:p>
    <w:p w14:paraId="63DE8231" w14:textId="02DA784B" w:rsidR="00F73226" w:rsidRPr="00065899" w:rsidRDefault="00551065" w:rsidP="00ED034E">
      <w:pPr>
        <w:spacing w:after="0" w:line="480" w:lineRule="auto"/>
        <w:ind w:firstLine="720"/>
        <w:rPr>
          <w:rFonts w:ascii="Calibri" w:hAnsi="Calibri" w:cs="Calibri"/>
          <w:sz w:val="24"/>
          <w:szCs w:val="24"/>
        </w:rPr>
      </w:pPr>
      <w:r>
        <w:rPr>
          <w:rFonts w:ascii="Calibri" w:hAnsi="Calibri" w:cs="Calibri"/>
          <w:sz w:val="24"/>
          <w:szCs w:val="24"/>
        </w:rPr>
        <w:t>Although the dependent variable has limitations, it is consistent with the other measure of opposition</w:t>
      </w:r>
      <w:r w:rsidR="005A2281">
        <w:rPr>
          <w:rFonts w:ascii="Calibri" w:hAnsi="Calibri" w:cs="Calibri"/>
          <w:sz w:val="24"/>
          <w:szCs w:val="24"/>
        </w:rPr>
        <w:t xml:space="preserve"> (county resolutions)</w:t>
      </w:r>
      <w:r>
        <w:rPr>
          <w:rFonts w:ascii="Calibri" w:hAnsi="Calibri" w:cs="Calibri"/>
          <w:sz w:val="24"/>
          <w:szCs w:val="24"/>
        </w:rPr>
        <w:t xml:space="preserve"> and </w:t>
      </w:r>
      <w:r w:rsidR="00DB0D8A">
        <w:rPr>
          <w:rFonts w:ascii="Calibri" w:hAnsi="Calibri" w:cs="Calibri"/>
          <w:sz w:val="24"/>
          <w:szCs w:val="24"/>
        </w:rPr>
        <w:t xml:space="preserve">with the frequency counts of opposition </w:t>
      </w:r>
      <w:r w:rsidR="000C6307">
        <w:rPr>
          <w:rFonts w:ascii="Calibri" w:hAnsi="Calibri" w:cs="Calibri"/>
          <w:sz w:val="24"/>
          <w:szCs w:val="24"/>
        </w:rPr>
        <w:t>comment</w:t>
      </w:r>
      <w:r w:rsidR="00DB0D8A">
        <w:rPr>
          <w:rFonts w:ascii="Calibri" w:hAnsi="Calibri" w:cs="Calibri"/>
          <w:sz w:val="24"/>
          <w:szCs w:val="24"/>
        </w:rPr>
        <w:t>s</w:t>
      </w:r>
      <w:r w:rsidR="000C6307">
        <w:rPr>
          <w:rFonts w:ascii="Calibri" w:hAnsi="Calibri" w:cs="Calibri"/>
          <w:sz w:val="24"/>
          <w:szCs w:val="24"/>
        </w:rPr>
        <w:t xml:space="preserve"> by quintile of decision date (a different approach to coding)</w:t>
      </w:r>
      <w:r w:rsidR="00DB0D8A">
        <w:rPr>
          <w:rFonts w:ascii="Calibri" w:hAnsi="Calibri" w:cs="Calibri"/>
          <w:sz w:val="24"/>
          <w:szCs w:val="24"/>
        </w:rPr>
        <w:t xml:space="preserve">. Together, the analyses </w:t>
      </w:r>
      <w:r>
        <w:rPr>
          <w:rFonts w:ascii="Calibri" w:hAnsi="Calibri" w:cs="Calibri"/>
          <w:sz w:val="24"/>
          <w:szCs w:val="24"/>
        </w:rPr>
        <w:t xml:space="preserve">present a combined picture that suggests how a law like the one in Ohio </w:t>
      </w:r>
      <w:r w:rsidR="0088748B">
        <w:rPr>
          <w:rFonts w:ascii="Calibri" w:hAnsi="Calibri" w:cs="Calibri"/>
          <w:sz w:val="24"/>
          <w:szCs w:val="24"/>
        </w:rPr>
        <w:t>may</w:t>
      </w:r>
      <w:r>
        <w:rPr>
          <w:rFonts w:ascii="Calibri" w:hAnsi="Calibri" w:cs="Calibri"/>
          <w:sz w:val="24"/>
          <w:szCs w:val="24"/>
        </w:rPr>
        <w:t xml:space="preserve"> lead to an increase in local opposition.</w:t>
      </w:r>
    </w:p>
    <w:p w14:paraId="66B4C404" w14:textId="77777777" w:rsidR="000878FF" w:rsidRDefault="000878FF" w:rsidP="008741D2">
      <w:pPr>
        <w:rPr>
          <w:rFonts w:ascii="Calibri" w:hAnsi="Calibri" w:cs="Calibri"/>
          <w:sz w:val="24"/>
          <w:szCs w:val="24"/>
        </w:rPr>
      </w:pPr>
    </w:p>
    <w:p w14:paraId="2087BC21" w14:textId="07973C3A" w:rsidR="00EC4AD5" w:rsidRPr="00065899" w:rsidRDefault="009C0DE8" w:rsidP="00EC4AD5">
      <w:pPr>
        <w:pStyle w:val="Heading1"/>
      </w:pPr>
      <w:r>
        <w:t>4</w:t>
      </w:r>
      <w:r w:rsidR="00EC4AD5" w:rsidRPr="00065899">
        <w:t xml:space="preserve">. Multivariate </w:t>
      </w:r>
      <w:r w:rsidR="00ED034E">
        <w:t>Analysis</w:t>
      </w:r>
    </w:p>
    <w:p w14:paraId="17EA9FC9" w14:textId="2D32CBFE" w:rsidR="00EC4AD5" w:rsidRDefault="00EC4AD5" w:rsidP="00207A48">
      <w:pPr>
        <w:spacing w:after="0" w:line="480" w:lineRule="auto"/>
        <w:rPr>
          <w:rFonts w:ascii="Calibri" w:hAnsi="Calibri" w:cs="Calibri"/>
          <w:sz w:val="24"/>
          <w:szCs w:val="24"/>
        </w:rPr>
      </w:pPr>
      <w:r w:rsidRPr="00065899">
        <w:rPr>
          <w:rFonts w:ascii="Calibri" w:hAnsi="Calibri" w:cs="Calibri"/>
        </w:rPr>
        <w:tab/>
      </w:r>
      <w:r w:rsidR="007B3354">
        <w:rPr>
          <w:rFonts w:ascii="Calibri" w:hAnsi="Calibri" w:cs="Calibri"/>
          <w:sz w:val="24"/>
          <w:szCs w:val="24"/>
        </w:rPr>
        <w:t>A multivariate model was</w:t>
      </w:r>
      <w:r w:rsidR="005A2281" w:rsidRPr="00392081">
        <w:rPr>
          <w:rFonts w:ascii="Calibri" w:hAnsi="Calibri" w:cs="Calibri"/>
          <w:sz w:val="24"/>
          <w:szCs w:val="24"/>
        </w:rPr>
        <w:t xml:space="preserve"> </w:t>
      </w:r>
      <w:r w:rsidR="00392081" w:rsidRPr="00392081">
        <w:rPr>
          <w:rFonts w:ascii="Calibri" w:hAnsi="Calibri" w:cs="Calibri"/>
          <w:sz w:val="24"/>
          <w:szCs w:val="24"/>
        </w:rPr>
        <w:t>used to test the strength of association between the</w:t>
      </w:r>
      <w:r w:rsidR="007B3354">
        <w:rPr>
          <w:rFonts w:ascii="Calibri" w:hAnsi="Calibri" w:cs="Calibri"/>
          <w:sz w:val="24"/>
          <w:szCs w:val="24"/>
        </w:rPr>
        <w:t xml:space="preserve"> </w:t>
      </w:r>
      <w:r w:rsidR="00392081" w:rsidRPr="00392081">
        <w:rPr>
          <w:rFonts w:ascii="Calibri" w:hAnsi="Calibri" w:cs="Calibri"/>
          <w:sz w:val="24"/>
          <w:szCs w:val="24"/>
        </w:rPr>
        <w:t>decision date and county opposition even when controlling for the potential confounder,</w:t>
      </w:r>
      <w:r w:rsidR="007B3354">
        <w:rPr>
          <w:rFonts w:ascii="Calibri" w:hAnsi="Calibri" w:cs="Calibri"/>
          <w:sz w:val="24"/>
          <w:szCs w:val="24"/>
        </w:rPr>
        <w:t xml:space="preserve"> </w:t>
      </w:r>
      <w:r w:rsidR="00392081" w:rsidRPr="00392081">
        <w:rPr>
          <w:rFonts w:ascii="Calibri" w:hAnsi="Calibri" w:cs="Calibri"/>
          <w:sz w:val="24"/>
          <w:szCs w:val="24"/>
        </w:rPr>
        <w:t>population density. For county opposition (binary variable), a logistic regression model (glm in</w:t>
      </w:r>
      <w:r w:rsidR="007B3354">
        <w:rPr>
          <w:rFonts w:ascii="Calibri" w:hAnsi="Calibri" w:cs="Calibri"/>
          <w:sz w:val="24"/>
          <w:szCs w:val="24"/>
        </w:rPr>
        <w:t xml:space="preserve"> </w:t>
      </w:r>
      <w:r w:rsidR="00392081" w:rsidRPr="00392081">
        <w:rPr>
          <w:rFonts w:ascii="Calibri" w:hAnsi="Calibri" w:cs="Calibri"/>
          <w:sz w:val="24"/>
          <w:szCs w:val="24"/>
        </w:rPr>
        <w:t xml:space="preserve">R) was run with </w:t>
      </w:r>
      <w:r w:rsidR="007B3354">
        <w:rPr>
          <w:rFonts w:ascii="Calibri" w:hAnsi="Calibri" w:cs="Calibri"/>
          <w:sz w:val="24"/>
          <w:szCs w:val="24"/>
        </w:rPr>
        <w:t xml:space="preserve">the </w:t>
      </w:r>
      <w:r w:rsidR="00392081" w:rsidRPr="00392081">
        <w:rPr>
          <w:rFonts w:ascii="Calibri" w:hAnsi="Calibri" w:cs="Calibri"/>
          <w:sz w:val="24"/>
          <w:szCs w:val="24"/>
        </w:rPr>
        <w:t>decision date as the independent variable and population density as the control</w:t>
      </w:r>
      <w:r w:rsidR="007B3354">
        <w:rPr>
          <w:rFonts w:ascii="Calibri" w:hAnsi="Calibri" w:cs="Calibri"/>
          <w:sz w:val="24"/>
          <w:szCs w:val="24"/>
        </w:rPr>
        <w:t xml:space="preserve"> </w:t>
      </w:r>
      <w:r w:rsidR="00392081" w:rsidRPr="00392081">
        <w:rPr>
          <w:rFonts w:ascii="Calibri" w:hAnsi="Calibri" w:cs="Calibri"/>
          <w:sz w:val="24"/>
          <w:szCs w:val="24"/>
        </w:rPr>
        <w:t xml:space="preserve">variable. (See </w:t>
      </w:r>
      <w:r w:rsidR="007B3354">
        <w:rPr>
          <w:rFonts w:ascii="Calibri" w:hAnsi="Calibri" w:cs="Calibri"/>
          <w:sz w:val="24"/>
          <w:szCs w:val="24"/>
        </w:rPr>
        <w:t xml:space="preserve">Table </w:t>
      </w:r>
      <w:r w:rsidR="00392081">
        <w:rPr>
          <w:rFonts w:ascii="Calibri" w:hAnsi="Calibri" w:cs="Calibri"/>
          <w:sz w:val="24"/>
          <w:szCs w:val="24"/>
        </w:rPr>
        <w:t>S2</w:t>
      </w:r>
      <w:r w:rsidR="00392081" w:rsidRPr="00392081">
        <w:rPr>
          <w:rFonts w:ascii="Calibri" w:hAnsi="Calibri" w:cs="Calibri"/>
          <w:sz w:val="24"/>
          <w:szCs w:val="24"/>
        </w:rPr>
        <w:t>.) Both were in quintiles as described in the main paper. The results show</w:t>
      </w:r>
      <w:r w:rsidR="007B3354">
        <w:rPr>
          <w:rFonts w:ascii="Calibri" w:hAnsi="Calibri" w:cs="Calibri"/>
          <w:sz w:val="24"/>
          <w:szCs w:val="24"/>
        </w:rPr>
        <w:t xml:space="preserve"> </w:t>
      </w:r>
      <w:r w:rsidR="00392081" w:rsidRPr="00392081">
        <w:rPr>
          <w:rFonts w:ascii="Calibri" w:hAnsi="Calibri" w:cs="Calibri"/>
          <w:sz w:val="24"/>
          <w:szCs w:val="24"/>
        </w:rPr>
        <w:t>that the decision date variable remains significant even when controlling for population density.</w:t>
      </w:r>
      <w:r w:rsidR="00392081">
        <w:rPr>
          <w:rFonts w:ascii="Calibri" w:hAnsi="Calibri" w:cs="Calibri"/>
        </w:rPr>
        <w:t xml:space="preserve"> </w:t>
      </w:r>
      <w:r w:rsidR="00392081">
        <w:rPr>
          <w:rFonts w:ascii="Calibri" w:hAnsi="Calibri" w:cs="Calibri"/>
          <w:sz w:val="24"/>
          <w:szCs w:val="24"/>
        </w:rPr>
        <w:t>However, b</w:t>
      </w:r>
      <w:r w:rsidR="00392081" w:rsidRPr="00A90432">
        <w:rPr>
          <w:rFonts w:ascii="Calibri" w:hAnsi="Calibri" w:cs="Calibri"/>
          <w:sz w:val="24"/>
          <w:szCs w:val="24"/>
        </w:rPr>
        <w:t>ecause</w:t>
      </w:r>
      <w:r w:rsidR="00F07A51">
        <w:rPr>
          <w:rFonts w:ascii="Calibri" w:hAnsi="Calibri" w:cs="Calibri"/>
          <w:sz w:val="24"/>
          <w:szCs w:val="24"/>
        </w:rPr>
        <w:t xml:space="preserve"> of the small size of the data set, the result should be interpreted with caution. </w:t>
      </w:r>
      <w:r w:rsidR="00392081" w:rsidRPr="00A90432">
        <w:rPr>
          <w:rFonts w:ascii="Calibri" w:hAnsi="Calibri" w:cs="Calibri"/>
          <w:sz w:val="24"/>
          <w:szCs w:val="24"/>
        </w:rPr>
        <w:t xml:space="preserve"> </w:t>
      </w:r>
    </w:p>
    <w:p w14:paraId="1F00B03F" w14:textId="77777777" w:rsidR="00EC4AD5" w:rsidRDefault="00EC4AD5" w:rsidP="00EC4AD5">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800"/>
        <w:gridCol w:w="1710"/>
        <w:gridCol w:w="1545"/>
        <w:gridCol w:w="1870"/>
      </w:tblGrid>
      <w:tr w:rsidR="00EC4AD5" w14:paraId="35DC6932" w14:textId="77777777" w:rsidTr="009064A2">
        <w:tc>
          <w:tcPr>
            <w:tcW w:w="2425" w:type="dxa"/>
            <w:tcBorders>
              <w:bottom w:val="single" w:sz="8" w:space="0" w:color="auto"/>
            </w:tcBorders>
          </w:tcPr>
          <w:p w14:paraId="78762CA3" w14:textId="77777777" w:rsidR="00EC4AD5" w:rsidRPr="00127A39" w:rsidRDefault="00EC4AD5" w:rsidP="009064A2">
            <w:pPr>
              <w:rPr>
                <w:rFonts w:ascii="Calibri" w:hAnsi="Calibri" w:cs="Calibri"/>
              </w:rPr>
            </w:pPr>
            <w:r w:rsidRPr="00127A39">
              <w:rPr>
                <w:rFonts w:ascii="Calibri" w:hAnsi="Calibri" w:cs="Calibri"/>
              </w:rPr>
              <w:t>Variable</w:t>
            </w:r>
          </w:p>
        </w:tc>
        <w:tc>
          <w:tcPr>
            <w:tcW w:w="1800" w:type="dxa"/>
            <w:tcBorders>
              <w:bottom w:val="single" w:sz="8" w:space="0" w:color="auto"/>
            </w:tcBorders>
          </w:tcPr>
          <w:p w14:paraId="689B5B8E" w14:textId="77777777" w:rsidR="00EC4AD5" w:rsidRPr="00127A39" w:rsidRDefault="00EC4AD5" w:rsidP="009064A2">
            <w:pPr>
              <w:rPr>
                <w:rFonts w:ascii="Calibri" w:hAnsi="Calibri" w:cs="Calibri"/>
              </w:rPr>
            </w:pPr>
            <w:r w:rsidRPr="00127A39">
              <w:rPr>
                <w:rFonts w:ascii="Calibri" w:hAnsi="Calibri" w:cs="Calibri"/>
              </w:rPr>
              <w:t>Estimate</w:t>
            </w:r>
          </w:p>
        </w:tc>
        <w:tc>
          <w:tcPr>
            <w:tcW w:w="1710" w:type="dxa"/>
            <w:tcBorders>
              <w:bottom w:val="single" w:sz="8" w:space="0" w:color="auto"/>
            </w:tcBorders>
          </w:tcPr>
          <w:p w14:paraId="2B14379F" w14:textId="77777777" w:rsidR="00EC4AD5" w:rsidRPr="00127A39" w:rsidRDefault="00EC4AD5" w:rsidP="009064A2">
            <w:pPr>
              <w:rPr>
                <w:rFonts w:ascii="Calibri" w:hAnsi="Calibri" w:cs="Calibri"/>
              </w:rPr>
            </w:pPr>
            <w:r w:rsidRPr="00127A39">
              <w:rPr>
                <w:rFonts w:ascii="Calibri" w:hAnsi="Calibri" w:cs="Calibri"/>
              </w:rPr>
              <w:t>Standard Error</w:t>
            </w:r>
          </w:p>
        </w:tc>
        <w:tc>
          <w:tcPr>
            <w:tcW w:w="1545" w:type="dxa"/>
            <w:tcBorders>
              <w:bottom w:val="single" w:sz="8" w:space="0" w:color="auto"/>
            </w:tcBorders>
          </w:tcPr>
          <w:p w14:paraId="41A68ADB" w14:textId="77777777" w:rsidR="00EC4AD5" w:rsidRPr="00127A39" w:rsidRDefault="00EC4AD5" w:rsidP="009064A2">
            <w:pPr>
              <w:rPr>
                <w:rFonts w:ascii="Calibri" w:hAnsi="Calibri" w:cs="Calibri"/>
              </w:rPr>
            </w:pPr>
            <w:r w:rsidRPr="00127A39">
              <w:rPr>
                <w:rFonts w:ascii="Calibri" w:hAnsi="Calibri" w:cs="Calibri"/>
              </w:rPr>
              <w:t>Z Value</w:t>
            </w:r>
          </w:p>
        </w:tc>
        <w:tc>
          <w:tcPr>
            <w:tcW w:w="1870" w:type="dxa"/>
            <w:tcBorders>
              <w:bottom w:val="single" w:sz="8" w:space="0" w:color="auto"/>
            </w:tcBorders>
          </w:tcPr>
          <w:p w14:paraId="2D29C0F6" w14:textId="77777777" w:rsidR="00EC4AD5" w:rsidRPr="00127A39" w:rsidRDefault="00EC4AD5" w:rsidP="009064A2">
            <w:pPr>
              <w:rPr>
                <w:rFonts w:ascii="Calibri" w:hAnsi="Calibri" w:cs="Calibri"/>
              </w:rPr>
            </w:pPr>
            <w:r w:rsidRPr="00127A39">
              <w:rPr>
                <w:rFonts w:ascii="Calibri" w:hAnsi="Calibri" w:cs="Calibri"/>
              </w:rPr>
              <w:t>Probability (&gt;</w:t>
            </w:r>
            <w:r w:rsidRPr="00127A39">
              <w:rPr>
                <w:rStyle w:val="gd15mcfceub"/>
                <w:rFonts w:ascii="Calibri" w:hAnsi="Calibri" w:cs="Calibri"/>
                <w:color w:val="000000"/>
                <w:bdr w:val="none" w:sz="0" w:space="0" w:color="auto" w:frame="1"/>
              </w:rPr>
              <w:t xml:space="preserve">|z|)  </w:t>
            </w:r>
          </w:p>
        </w:tc>
      </w:tr>
      <w:tr w:rsidR="00EC4AD5" w14:paraId="51965F9D" w14:textId="77777777" w:rsidTr="009064A2">
        <w:tc>
          <w:tcPr>
            <w:tcW w:w="2425" w:type="dxa"/>
            <w:tcBorders>
              <w:top w:val="single" w:sz="8" w:space="0" w:color="auto"/>
            </w:tcBorders>
          </w:tcPr>
          <w:p w14:paraId="63BC761C" w14:textId="77777777" w:rsidR="00EC4AD5" w:rsidRPr="00127A39" w:rsidRDefault="00EC4AD5" w:rsidP="009064A2">
            <w:pPr>
              <w:rPr>
                <w:rFonts w:ascii="Calibri" w:hAnsi="Calibri" w:cs="Calibri"/>
              </w:rPr>
            </w:pPr>
            <w:r w:rsidRPr="00127A39">
              <w:rPr>
                <w:rFonts w:ascii="Calibri" w:hAnsi="Calibri" w:cs="Calibri"/>
              </w:rPr>
              <w:t>(Intercept)</w:t>
            </w:r>
          </w:p>
        </w:tc>
        <w:tc>
          <w:tcPr>
            <w:tcW w:w="1800" w:type="dxa"/>
            <w:tcBorders>
              <w:top w:val="single" w:sz="8" w:space="0" w:color="auto"/>
            </w:tcBorders>
          </w:tcPr>
          <w:p w14:paraId="500BECEF" w14:textId="77777777"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-13.2</w:t>
            </w:r>
            <w:r>
              <w:rPr>
                <w:rStyle w:val="gd15mcfceub"/>
                <w:rFonts w:ascii="Calibri" w:hAnsi="Calibri" w:cs="Calibri"/>
                <w:color w:val="000000"/>
                <w:bdr w:val="none" w:sz="0" w:space="0" w:color="auto" w:frame="1"/>
              </w:rPr>
              <w:t>49</w:t>
            </w:r>
          </w:p>
        </w:tc>
        <w:tc>
          <w:tcPr>
            <w:tcW w:w="1710" w:type="dxa"/>
            <w:tcBorders>
              <w:top w:val="single" w:sz="8" w:space="0" w:color="auto"/>
            </w:tcBorders>
          </w:tcPr>
          <w:p w14:paraId="748D61B7" w14:textId="77777777"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4.</w:t>
            </w:r>
            <w:r>
              <w:rPr>
                <w:rStyle w:val="gd15mcfceub"/>
                <w:rFonts w:ascii="Calibri" w:hAnsi="Calibri" w:cs="Calibri"/>
                <w:color w:val="000000"/>
                <w:bdr w:val="none" w:sz="0" w:space="0" w:color="auto" w:frame="1"/>
              </w:rPr>
              <w:t>403</w:t>
            </w:r>
          </w:p>
        </w:tc>
        <w:tc>
          <w:tcPr>
            <w:tcW w:w="1545" w:type="dxa"/>
            <w:tcBorders>
              <w:top w:val="single" w:sz="8" w:space="0" w:color="auto"/>
            </w:tcBorders>
          </w:tcPr>
          <w:p w14:paraId="6EEAA1F6" w14:textId="77777777"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-3.0</w:t>
            </w:r>
            <w:r>
              <w:rPr>
                <w:rStyle w:val="gd15mcfceub"/>
                <w:rFonts w:ascii="Calibri" w:hAnsi="Calibri" w:cs="Calibri"/>
                <w:color w:val="000000"/>
                <w:bdr w:val="none" w:sz="0" w:space="0" w:color="auto" w:frame="1"/>
              </w:rPr>
              <w:t>09</w:t>
            </w:r>
          </w:p>
        </w:tc>
        <w:tc>
          <w:tcPr>
            <w:tcW w:w="1870" w:type="dxa"/>
            <w:tcBorders>
              <w:top w:val="single" w:sz="8" w:space="0" w:color="auto"/>
            </w:tcBorders>
          </w:tcPr>
          <w:p w14:paraId="3A545D91" w14:textId="10C894F6"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0.002</w:t>
            </w:r>
            <w:r>
              <w:rPr>
                <w:rStyle w:val="gd15mcfceub"/>
                <w:rFonts w:ascii="Calibri" w:hAnsi="Calibri" w:cs="Calibri"/>
                <w:color w:val="000000"/>
                <w:bdr w:val="none" w:sz="0" w:space="0" w:color="auto" w:frame="1"/>
              </w:rPr>
              <w:t>62</w:t>
            </w:r>
            <w:r w:rsidRPr="00127A39">
              <w:rPr>
                <w:rStyle w:val="gd15mcfceub"/>
                <w:rFonts w:ascii="Calibri" w:hAnsi="Calibri" w:cs="Calibri"/>
                <w:color w:val="000000"/>
                <w:bdr w:val="none" w:sz="0" w:space="0" w:color="auto" w:frame="1"/>
              </w:rPr>
              <w:t xml:space="preserve"> </w:t>
            </w:r>
          </w:p>
        </w:tc>
      </w:tr>
      <w:tr w:rsidR="00EC4AD5" w14:paraId="0B566E77" w14:textId="77777777" w:rsidTr="009064A2">
        <w:tc>
          <w:tcPr>
            <w:tcW w:w="2425" w:type="dxa"/>
          </w:tcPr>
          <w:p w14:paraId="10DEDF02" w14:textId="77777777" w:rsidR="00EC4AD5" w:rsidRPr="00127A39" w:rsidRDefault="00EC4AD5" w:rsidP="009064A2">
            <w:pPr>
              <w:rPr>
                <w:rFonts w:ascii="Calibri" w:hAnsi="Calibri" w:cs="Calibri"/>
              </w:rPr>
            </w:pPr>
            <w:r w:rsidRPr="00127A39">
              <w:rPr>
                <w:rFonts w:ascii="Calibri" w:hAnsi="Calibri" w:cs="Calibri"/>
              </w:rPr>
              <w:t>Decision Date (Quintile)</w:t>
            </w:r>
          </w:p>
        </w:tc>
        <w:tc>
          <w:tcPr>
            <w:tcW w:w="1800" w:type="dxa"/>
          </w:tcPr>
          <w:p w14:paraId="511E0274" w14:textId="77777777"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 xml:space="preserve">   2.52</w:t>
            </w:r>
            <w:r>
              <w:rPr>
                <w:rStyle w:val="gd15mcfceub"/>
                <w:rFonts w:ascii="Calibri" w:hAnsi="Calibri" w:cs="Calibri"/>
                <w:color w:val="000000"/>
                <w:bdr w:val="none" w:sz="0" w:space="0" w:color="auto" w:frame="1"/>
              </w:rPr>
              <w:t>2</w:t>
            </w:r>
          </w:p>
        </w:tc>
        <w:tc>
          <w:tcPr>
            <w:tcW w:w="1710" w:type="dxa"/>
          </w:tcPr>
          <w:p w14:paraId="0750F4DC" w14:textId="77777777"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0.85</w:t>
            </w:r>
            <w:r>
              <w:rPr>
                <w:rStyle w:val="gd15mcfceub"/>
                <w:rFonts w:ascii="Calibri" w:hAnsi="Calibri" w:cs="Calibri"/>
                <w:color w:val="000000"/>
                <w:bdr w:val="none" w:sz="0" w:space="0" w:color="auto" w:frame="1"/>
              </w:rPr>
              <w:t>2</w:t>
            </w:r>
          </w:p>
        </w:tc>
        <w:tc>
          <w:tcPr>
            <w:tcW w:w="1545" w:type="dxa"/>
          </w:tcPr>
          <w:p w14:paraId="47CE51CC" w14:textId="77777777" w:rsidR="00EC4AD5" w:rsidRPr="00127A39" w:rsidRDefault="00EC4AD5" w:rsidP="009064A2">
            <w:pPr>
              <w:rPr>
                <w:rFonts w:ascii="Calibri" w:hAnsi="Calibri" w:cs="Calibri"/>
              </w:rPr>
            </w:pPr>
            <w:r>
              <w:rPr>
                <w:rStyle w:val="gd15mcfceub"/>
                <w:rFonts w:ascii="Calibri" w:hAnsi="Calibri" w:cs="Calibri"/>
                <w:color w:val="000000"/>
                <w:bdr w:val="none" w:sz="0" w:space="0" w:color="auto" w:frame="1"/>
              </w:rPr>
              <w:t xml:space="preserve"> </w:t>
            </w:r>
            <w:r w:rsidRPr="00127A39">
              <w:rPr>
                <w:rStyle w:val="gd15mcfceub"/>
                <w:rFonts w:ascii="Calibri" w:hAnsi="Calibri" w:cs="Calibri"/>
                <w:color w:val="000000"/>
                <w:bdr w:val="none" w:sz="0" w:space="0" w:color="auto" w:frame="1"/>
              </w:rPr>
              <w:t>2.9</w:t>
            </w:r>
            <w:r>
              <w:rPr>
                <w:rStyle w:val="gd15mcfceub"/>
                <w:rFonts w:ascii="Calibri" w:hAnsi="Calibri" w:cs="Calibri"/>
                <w:color w:val="000000"/>
                <w:bdr w:val="none" w:sz="0" w:space="0" w:color="auto" w:frame="1"/>
              </w:rPr>
              <w:t>60</w:t>
            </w:r>
          </w:p>
        </w:tc>
        <w:tc>
          <w:tcPr>
            <w:tcW w:w="1870" w:type="dxa"/>
          </w:tcPr>
          <w:p w14:paraId="5124C996" w14:textId="7A0751FE"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0.00</w:t>
            </w:r>
            <w:r>
              <w:rPr>
                <w:rStyle w:val="gd15mcfceub"/>
                <w:rFonts w:ascii="Calibri" w:hAnsi="Calibri" w:cs="Calibri"/>
                <w:color w:val="000000"/>
                <w:bdr w:val="none" w:sz="0" w:space="0" w:color="auto" w:frame="1"/>
              </w:rPr>
              <w:t>307</w:t>
            </w:r>
            <w:r w:rsidRPr="00127A39">
              <w:rPr>
                <w:rStyle w:val="gd15mcfceub"/>
                <w:rFonts w:ascii="Calibri" w:hAnsi="Calibri" w:cs="Calibri"/>
                <w:color w:val="000000"/>
                <w:bdr w:val="none" w:sz="0" w:space="0" w:color="auto" w:frame="1"/>
              </w:rPr>
              <w:t xml:space="preserve"> </w:t>
            </w:r>
          </w:p>
        </w:tc>
      </w:tr>
      <w:tr w:rsidR="00EC4AD5" w14:paraId="29DB7D1B" w14:textId="77777777" w:rsidTr="009064A2">
        <w:tc>
          <w:tcPr>
            <w:tcW w:w="2425" w:type="dxa"/>
          </w:tcPr>
          <w:p w14:paraId="0DD87F16" w14:textId="77777777" w:rsidR="00EC4AD5" w:rsidRPr="00127A39" w:rsidRDefault="00EC4AD5" w:rsidP="009064A2">
            <w:pPr>
              <w:rPr>
                <w:rFonts w:ascii="Calibri" w:hAnsi="Calibri" w:cs="Calibri"/>
              </w:rPr>
            </w:pPr>
            <w:r w:rsidRPr="00127A39">
              <w:rPr>
                <w:rFonts w:ascii="Calibri" w:hAnsi="Calibri" w:cs="Calibri"/>
              </w:rPr>
              <w:t>Population per square mile (Quintile)</w:t>
            </w:r>
          </w:p>
        </w:tc>
        <w:tc>
          <w:tcPr>
            <w:tcW w:w="1800" w:type="dxa"/>
          </w:tcPr>
          <w:p w14:paraId="459016C7" w14:textId="77777777"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 xml:space="preserve">   0.99</w:t>
            </w:r>
            <w:r>
              <w:rPr>
                <w:rStyle w:val="gd15mcfceub"/>
                <w:rFonts w:ascii="Calibri" w:hAnsi="Calibri" w:cs="Calibri"/>
                <w:color w:val="000000"/>
                <w:bdr w:val="none" w:sz="0" w:space="0" w:color="auto" w:frame="1"/>
              </w:rPr>
              <w:t>4</w:t>
            </w:r>
          </w:p>
        </w:tc>
        <w:tc>
          <w:tcPr>
            <w:tcW w:w="1710" w:type="dxa"/>
          </w:tcPr>
          <w:p w14:paraId="43C6BB71" w14:textId="77777777"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0.4</w:t>
            </w:r>
            <w:r>
              <w:rPr>
                <w:rStyle w:val="gd15mcfceub"/>
                <w:rFonts w:ascii="Calibri" w:hAnsi="Calibri" w:cs="Calibri"/>
                <w:color w:val="000000"/>
                <w:bdr w:val="none" w:sz="0" w:space="0" w:color="auto" w:frame="1"/>
              </w:rPr>
              <w:t>66</w:t>
            </w:r>
          </w:p>
        </w:tc>
        <w:tc>
          <w:tcPr>
            <w:tcW w:w="1545" w:type="dxa"/>
          </w:tcPr>
          <w:p w14:paraId="3A11AE26" w14:textId="77777777" w:rsidR="00EC4AD5" w:rsidRPr="00127A39" w:rsidRDefault="00EC4AD5" w:rsidP="009064A2">
            <w:pPr>
              <w:rPr>
                <w:rFonts w:ascii="Calibri" w:hAnsi="Calibri" w:cs="Calibri"/>
              </w:rPr>
            </w:pPr>
            <w:r>
              <w:rPr>
                <w:rStyle w:val="gd15mcfceub"/>
                <w:rFonts w:ascii="Calibri" w:hAnsi="Calibri" w:cs="Calibri"/>
                <w:color w:val="000000"/>
                <w:bdr w:val="none" w:sz="0" w:space="0" w:color="auto" w:frame="1"/>
              </w:rPr>
              <w:t xml:space="preserve"> </w:t>
            </w:r>
            <w:r w:rsidRPr="00127A39">
              <w:rPr>
                <w:rStyle w:val="gd15mcfceub"/>
                <w:rFonts w:ascii="Calibri" w:hAnsi="Calibri" w:cs="Calibri"/>
                <w:color w:val="000000"/>
                <w:bdr w:val="none" w:sz="0" w:space="0" w:color="auto" w:frame="1"/>
              </w:rPr>
              <w:t>2.1</w:t>
            </w:r>
            <w:r>
              <w:rPr>
                <w:rStyle w:val="gd15mcfceub"/>
                <w:rFonts w:ascii="Calibri" w:hAnsi="Calibri" w:cs="Calibri"/>
                <w:color w:val="000000"/>
                <w:bdr w:val="none" w:sz="0" w:space="0" w:color="auto" w:frame="1"/>
              </w:rPr>
              <w:t>35</w:t>
            </w:r>
          </w:p>
        </w:tc>
        <w:tc>
          <w:tcPr>
            <w:tcW w:w="1870" w:type="dxa"/>
          </w:tcPr>
          <w:p w14:paraId="5352C850" w14:textId="05E1790F"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0.0</w:t>
            </w:r>
            <w:r>
              <w:rPr>
                <w:rStyle w:val="gd15mcfceub"/>
                <w:rFonts w:ascii="Calibri" w:hAnsi="Calibri" w:cs="Calibri"/>
                <w:color w:val="000000"/>
                <w:bdr w:val="none" w:sz="0" w:space="0" w:color="auto" w:frame="1"/>
              </w:rPr>
              <w:t>3276</w:t>
            </w:r>
            <w:r w:rsidRPr="00127A39">
              <w:rPr>
                <w:rStyle w:val="gd15mcfceub"/>
                <w:rFonts w:ascii="Calibri" w:hAnsi="Calibri" w:cs="Calibri"/>
                <w:color w:val="000000"/>
                <w:bdr w:val="none" w:sz="0" w:space="0" w:color="auto" w:frame="1"/>
              </w:rPr>
              <w:t xml:space="preserve"> </w:t>
            </w:r>
          </w:p>
        </w:tc>
      </w:tr>
      <w:tr w:rsidR="00EC4AD5" w14:paraId="116F1940" w14:textId="77777777" w:rsidTr="009064A2">
        <w:tc>
          <w:tcPr>
            <w:tcW w:w="2425" w:type="dxa"/>
          </w:tcPr>
          <w:p w14:paraId="645B38B1" w14:textId="77777777" w:rsidR="00EC4AD5" w:rsidRPr="00127A39" w:rsidRDefault="00EC4AD5" w:rsidP="009064A2">
            <w:pPr>
              <w:rPr>
                <w:rFonts w:ascii="Calibri" w:hAnsi="Calibri" w:cs="Calibri"/>
              </w:rPr>
            </w:pPr>
            <w:r w:rsidRPr="00127A39">
              <w:rPr>
                <w:rStyle w:val="gd15mcfceub"/>
                <w:rFonts w:ascii="Calibri" w:hAnsi="Calibri" w:cs="Calibri"/>
                <w:color w:val="000000"/>
                <w:bdr w:val="none" w:sz="0" w:space="0" w:color="auto" w:frame="1"/>
              </w:rPr>
              <w:t>AIC: 32.0</w:t>
            </w:r>
          </w:p>
        </w:tc>
        <w:tc>
          <w:tcPr>
            <w:tcW w:w="1800" w:type="dxa"/>
          </w:tcPr>
          <w:p w14:paraId="1A9ACDDF" w14:textId="77777777" w:rsidR="00EC4AD5" w:rsidRPr="00127A39" w:rsidRDefault="00EC4AD5" w:rsidP="009064A2">
            <w:pPr>
              <w:rPr>
                <w:rFonts w:ascii="Calibri" w:hAnsi="Calibri" w:cs="Calibri"/>
              </w:rPr>
            </w:pPr>
          </w:p>
        </w:tc>
        <w:tc>
          <w:tcPr>
            <w:tcW w:w="1710" w:type="dxa"/>
          </w:tcPr>
          <w:p w14:paraId="3FD8A93F" w14:textId="77777777" w:rsidR="00EC4AD5" w:rsidRPr="00127A39" w:rsidRDefault="00EC4AD5" w:rsidP="009064A2">
            <w:pPr>
              <w:rPr>
                <w:rFonts w:ascii="Calibri" w:hAnsi="Calibri" w:cs="Calibri"/>
              </w:rPr>
            </w:pPr>
          </w:p>
        </w:tc>
        <w:tc>
          <w:tcPr>
            <w:tcW w:w="1545" w:type="dxa"/>
          </w:tcPr>
          <w:p w14:paraId="75E1A96E" w14:textId="77777777" w:rsidR="00EC4AD5" w:rsidRPr="00127A39" w:rsidRDefault="00EC4AD5" w:rsidP="009064A2">
            <w:pPr>
              <w:rPr>
                <w:rFonts w:ascii="Calibri" w:hAnsi="Calibri" w:cs="Calibri"/>
              </w:rPr>
            </w:pPr>
          </w:p>
        </w:tc>
        <w:tc>
          <w:tcPr>
            <w:tcW w:w="1870" w:type="dxa"/>
          </w:tcPr>
          <w:p w14:paraId="6D2DCF1A" w14:textId="77777777" w:rsidR="00EC4AD5" w:rsidRPr="00127A39" w:rsidRDefault="00EC4AD5" w:rsidP="009064A2">
            <w:pPr>
              <w:rPr>
                <w:rFonts w:ascii="Calibri" w:hAnsi="Calibri" w:cs="Calibri"/>
              </w:rPr>
            </w:pPr>
          </w:p>
        </w:tc>
      </w:tr>
    </w:tbl>
    <w:p w14:paraId="6E286904" w14:textId="77777777" w:rsidR="00EC4AD5" w:rsidRDefault="00EC4AD5" w:rsidP="00EC4AD5">
      <w:pPr>
        <w:spacing w:after="0" w:line="480" w:lineRule="auto"/>
      </w:pPr>
    </w:p>
    <w:p w14:paraId="1A155282" w14:textId="77777777" w:rsidR="00EC4AD5" w:rsidRDefault="00EC4AD5" w:rsidP="00EC4AD5">
      <w:pPr>
        <w:spacing w:after="0" w:line="480" w:lineRule="auto"/>
        <w:rPr>
          <w:rFonts w:ascii="Calibri" w:hAnsi="Calibri" w:cs="Calibri"/>
          <w:sz w:val="24"/>
          <w:szCs w:val="24"/>
        </w:rPr>
      </w:pPr>
      <w:r w:rsidRPr="003B7E6E">
        <w:rPr>
          <w:rFonts w:ascii="Calibri" w:hAnsi="Calibri" w:cs="Calibri"/>
          <w:sz w:val="24"/>
          <w:szCs w:val="24"/>
        </w:rPr>
        <w:lastRenderedPageBreak/>
        <w:t xml:space="preserve">Table </w:t>
      </w:r>
      <w:r>
        <w:rPr>
          <w:rFonts w:ascii="Calibri" w:hAnsi="Calibri" w:cs="Calibri"/>
          <w:sz w:val="24"/>
          <w:szCs w:val="24"/>
        </w:rPr>
        <w:t>S2</w:t>
      </w:r>
      <w:r w:rsidRPr="003B7E6E">
        <w:rPr>
          <w:rFonts w:ascii="Calibri" w:hAnsi="Calibri" w:cs="Calibri"/>
          <w:sz w:val="24"/>
          <w:szCs w:val="24"/>
        </w:rPr>
        <w:t>. Decision Date for Government Opposition Remains Significant when Controlling for Population Density</w:t>
      </w:r>
    </w:p>
    <w:p w14:paraId="3F0B031E" w14:textId="77777777" w:rsidR="00EC4AD5" w:rsidRDefault="00EC4AD5" w:rsidP="00EC4AD5">
      <w:pPr>
        <w:spacing w:after="0" w:line="480" w:lineRule="auto"/>
        <w:rPr>
          <w:rFonts w:ascii="Calibri" w:hAnsi="Calibri" w:cs="Calibri"/>
          <w:sz w:val="24"/>
          <w:szCs w:val="24"/>
        </w:rPr>
      </w:pPr>
      <w:r>
        <w:rPr>
          <w:rFonts w:ascii="Calibri" w:hAnsi="Calibri" w:cs="Calibri"/>
          <w:sz w:val="24"/>
          <w:szCs w:val="24"/>
        </w:rPr>
        <w:t>Source: Authors</w:t>
      </w:r>
    </w:p>
    <w:p w14:paraId="6C2EB5F0" w14:textId="77777777" w:rsidR="00EC4AD5" w:rsidRDefault="00EC4AD5" w:rsidP="00EC4AD5">
      <w:pPr>
        <w:spacing w:after="0" w:line="480" w:lineRule="auto"/>
        <w:ind w:firstLine="720"/>
        <w:rPr>
          <w:rFonts w:cstheme="minorHAnsi"/>
          <w:sz w:val="24"/>
          <w:szCs w:val="24"/>
        </w:rPr>
      </w:pPr>
    </w:p>
    <w:p w14:paraId="6AA99439" w14:textId="10D7C786" w:rsidR="0066344F" w:rsidRDefault="0066344F" w:rsidP="0066344F">
      <w:pPr>
        <w:spacing w:after="0" w:line="480" w:lineRule="auto"/>
        <w:ind w:firstLine="720"/>
        <w:rPr>
          <w:rFonts w:ascii="Calibri" w:hAnsi="Calibri" w:cs="Calibri"/>
          <w:sz w:val="24"/>
          <w:szCs w:val="24"/>
        </w:rPr>
      </w:pPr>
      <w:r w:rsidRPr="00065899">
        <w:rPr>
          <w:rFonts w:ascii="Calibri" w:hAnsi="Calibri" w:cs="Calibri"/>
          <w:sz w:val="24"/>
          <w:szCs w:val="24"/>
        </w:rPr>
        <w:t xml:space="preserve">The second multivariate analysis was for the other dependent variable, the number of </w:t>
      </w:r>
      <w:r>
        <w:rPr>
          <w:rFonts w:ascii="Calibri" w:hAnsi="Calibri" w:cs="Calibri"/>
          <w:sz w:val="24"/>
          <w:szCs w:val="24"/>
        </w:rPr>
        <w:t>opposition document</w:t>
      </w:r>
      <w:r w:rsidRPr="00065899">
        <w:rPr>
          <w:rFonts w:ascii="Calibri" w:hAnsi="Calibri" w:cs="Calibri"/>
          <w:sz w:val="24"/>
          <w:szCs w:val="24"/>
        </w:rPr>
        <w:t xml:space="preserve">s in quintiles. </w:t>
      </w:r>
      <w:r>
        <w:rPr>
          <w:rFonts w:ascii="Calibri" w:hAnsi="Calibri" w:cs="Calibri"/>
          <w:sz w:val="24"/>
          <w:szCs w:val="24"/>
        </w:rPr>
        <w:t xml:space="preserve">For this dependent variable, two other variables were potential confounders (population per square mile of the county where the solar farm was located and megawatt capacity for the solar farm). Ordinal regression models with decision date as the independent variable (one with both control variables and one with just population per square mile) and logistic multinomial models (also one with both control variables and one with just population per square mile) all showed that the decision date variable remained significant. However, the ordinal regression models failed the test for proportional odds, and the cell size was too small to use this or alternative models with confidence. </w:t>
      </w:r>
      <w:r w:rsidR="00D45645">
        <w:rPr>
          <w:rFonts w:ascii="Calibri" w:hAnsi="Calibri" w:cs="Calibri"/>
          <w:sz w:val="24"/>
          <w:szCs w:val="24"/>
        </w:rPr>
        <w:t>However, the steep growth of opposition documents shown in Table 3 (main paper) remains a good measure of how this measure of opposition also increased after passage of the local authority siting law</w:t>
      </w:r>
      <w:r>
        <w:rPr>
          <w:rFonts w:ascii="Calibri" w:hAnsi="Calibri" w:cs="Calibri"/>
          <w:sz w:val="24"/>
          <w:szCs w:val="24"/>
        </w:rPr>
        <w:t xml:space="preserve">. </w:t>
      </w:r>
    </w:p>
    <w:p w14:paraId="7FAD3E0E" w14:textId="77777777" w:rsidR="001B3EE5" w:rsidRDefault="001B3EE5" w:rsidP="00EC4AD5">
      <w:pPr>
        <w:spacing w:after="0" w:line="480" w:lineRule="auto"/>
        <w:ind w:firstLine="720"/>
        <w:rPr>
          <w:rFonts w:ascii="Calibri" w:hAnsi="Calibri" w:cs="Calibri"/>
          <w:sz w:val="24"/>
          <w:szCs w:val="24"/>
        </w:rPr>
      </w:pPr>
    </w:p>
    <w:p w14:paraId="57C6F3C2" w14:textId="77777777" w:rsidR="001B3EE5" w:rsidRDefault="001B3EE5" w:rsidP="00EC4AD5">
      <w:pPr>
        <w:spacing w:after="0" w:line="480" w:lineRule="auto"/>
        <w:ind w:firstLine="720"/>
        <w:rPr>
          <w:rFonts w:ascii="Calibri" w:hAnsi="Calibri" w:cs="Calibri"/>
          <w:sz w:val="24"/>
          <w:szCs w:val="24"/>
        </w:rPr>
      </w:pPr>
    </w:p>
    <w:p w14:paraId="37BFE75E" w14:textId="77777777" w:rsidR="00EC4AD5" w:rsidRDefault="00EC4AD5" w:rsidP="00EC4AD5">
      <w:pPr>
        <w:spacing w:after="0" w:line="480" w:lineRule="auto"/>
        <w:rPr>
          <w:rFonts w:ascii="Calibri" w:hAnsi="Calibri" w:cs="Calibri"/>
          <w:sz w:val="24"/>
          <w:szCs w:val="24"/>
        </w:rPr>
      </w:pPr>
    </w:p>
    <w:p w14:paraId="69B62BC0" w14:textId="77777777" w:rsidR="00656C99" w:rsidRPr="00204CFD" w:rsidRDefault="00656C99" w:rsidP="001B3EE5">
      <w:pPr>
        <w:spacing w:after="0" w:line="480" w:lineRule="auto"/>
        <w:ind w:firstLine="720"/>
      </w:pPr>
    </w:p>
    <w:sectPr w:rsidR="00656C99" w:rsidRPr="00204C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46D930" w14:textId="77777777" w:rsidR="00C77CC9" w:rsidRDefault="00C77CC9" w:rsidP="0026484D">
      <w:pPr>
        <w:spacing w:after="0" w:line="240" w:lineRule="auto"/>
      </w:pPr>
      <w:r>
        <w:separator/>
      </w:r>
    </w:p>
  </w:endnote>
  <w:endnote w:type="continuationSeparator" w:id="0">
    <w:p w14:paraId="2A5B0F84" w14:textId="77777777" w:rsidR="00C77CC9" w:rsidRDefault="00C77CC9" w:rsidP="00264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E2F323" w14:textId="77777777" w:rsidR="00C77CC9" w:rsidRDefault="00C77CC9" w:rsidP="0026484D">
      <w:pPr>
        <w:spacing w:after="0" w:line="240" w:lineRule="auto"/>
      </w:pPr>
      <w:r>
        <w:separator/>
      </w:r>
    </w:p>
  </w:footnote>
  <w:footnote w:type="continuationSeparator" w:id="0">
    <w:p w14:paraId="36A9E3A6" w14:textId="77777777" w:rsidR="00C77CC9" w:rsidRDefault="00C77CC9" w:rsidP="00264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7345878"/>
      <w:docPartObj>
        <w:docPartGallery w:val="Page Numbers (Top of Page)"/>
        <w:docPartUnique/>
      </w:docPartObj>
    </w:sdtPr>
    <w:sdtEndPr>
      <w:rPr>
        <w:noProof/>
      </w:rPr>
    </w:sdtEndPr>
    <w:sdtContent>
      <w:p w14:paraId="7A320ABE" w14:textId="39F38955" w:rsidR="0026484D" w:rsidRDefault="0026484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FCC5E92" w14:textId="77777777" w:rsidR="0026484D" w:rsidRDefault="00264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BB4361"/>
    <w:multiLevelType w:val="multilevel"/>
    <w:tmpl w:val="595C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23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95F"/>
    <w:rsid w:val="00001CF9"/>
    <w:rsid w:val="000041EF"/>
    <w:rsid w:val="00013352"/>
    <w:rsid w:val="000259F6"/>
    <w:rsid w:val="00065899"/>
    <w:rsid w:val="0007312A"/>
    <w:rsid w:val="000878FF"/>
    <w:rsid w:val="0009441C"/>
    <w:rsid w:val="000C6307"/>
    <w:rsid w:val="000E5414"/>
    <w:rsid w:val="000F06F9"/>
    <w:rsid w:val="000F4F7C"/>
    <w:rsid w:val="00111278"/>
    <w:rsid w:val="001273E4"/>
    <w:rsid w:val="00134EA9"/>
    <w:rsid w:val="001354FC"/>
    <w:rsid w:val="001672D7"/>
    <w:rsid w:val="00171B7E"/>
    <w:rsid w:val="0019422E"/>
    <w:rsid w:val="00197D2B"/>
    <w:rsid w:val="001A103C"/>
    <w:rsid w:val="001B02F4"/>
    <w:rsid w:val="001B3EE5"/>
    <w:rsid w:val="001D15D8"/>
    <w:rsid w:val="001D2DDC"/>
    <w:rsid w:val="00204CFD"/>
    <w:rsid w:val="00207A48"/>
    <w:rsid w:val="00231371"/>
    <w:rsid w:val="00254C94"/>
    <w:rsid w:val="0026484D"/>
    <w:rsid w:val="00267E5A"/>
    <w:rsid w:val="002A0C3B"/>
    <w:rsid w:val="002B0718"/>
    <w:rsid w:val="002C3A7C"/>
    <w:rsid w:val="00302D94"/>
    <w:rsid w:val="00325EE2"/>
    <w:rsid w:val="003317FF"/>
    <w:rsid w:val="00341C3A"/>
    <w:rsid w:val="00345A22"/>
    <w:rsid w:val="00350C0E"/>
    <w:rsid w:val="0035727B"/>
    <w:rsid w:val="00361637"/>
    <w:rsid w:val="00375639"/>
    <w:rsid w:val="003814BB"/>
    <w:rsid w:val="00392081"/>
    <w:rsid w:val="003A4962"/>
    <w:rsid w:val="003B1AB5"/>
    <w:rsid w:val="003B2064"/>
    <w:rsid w:val="003C1A92"/>
    <w:rsid w:val="003D461D"/>
    <w:rsid w:val="003D77F5"/>
    <w:rsid w:val="004055E9"/>
    <w:rsid w:val="0042660B"/>
    <w:rsid w:val="00434B56"/>
    <w:rsid w:val="00435196"/>
    <w:rsid w:val="004655DF"/>
    <w:rsid w:val="00486357"/>
    <w:rsid w:val="00486D93"/>
    <w:rsid w:val="00493A46"/>
    <w:rsid w:val="004E155F"/>
    <w:rsid w:val="004E2532"/>
    <w:rsid w:val="004F76FD"/>
    <w:rsid w:val="00505FE4"/>
    <w:rsid w:val="0052644E"/>
    <w:rsid w:val="00547053"/>
    <w:rsid w:val="00551065"/>
    <w:rsid w:val="00563BE1"/>
    <w:rsid w:val="00574B55"/>
    <w:rsid w:val="005A2281"/>
    <w:rsid w:val="005A64D8"/>
    <w:rsid w:val="005B2EC3"/>
    <w:rsid w:val="005B4C20"/>
    <w:rsid w:val="005C2C29"/>
    <w:rsid w:val="005C667B"/>
    <w:rsid w:val="006311DF"/>
    <w:rsid w:val="00634ADA"/>
    <w:rsid w:val="00634F9F"/>
    <w:rsid w:val="00656C99"/>
    <w:rsid w:val="006607B6"/>
    <w:rsid w:val="0066344F"/>
    <w:rsid w:val="00665EF9"/>
    <w:rsid w:val="006676B0"/>
    <w:rsid w:val="00696DC0"/>
    <w:rsid w:val="006E2247"/>
    <w:rsid w:val="006E6ED9"/>
    <w:rsid w:val="0071277C"/>
    <w:rsid w:val="007468BD"/>
    <w:rsid w:val="00773E89"/>
    <w:rsid w:val="00787020"/>
    <w:rsid w:val="00791577"/>
    <w:rsid w:val="007B3354"/>
    <w:rsid w:val="007B440C"/>
    <w:rsid w:val="007E471F"/>
    <w:rsid w:val="007F4F77"/>
    <w:rsid w:val="008032DC"/>
    <w:rsid w:val="00812012"/>
    <w:rsid w:val="00842BAF"/>
    <w:rsid w:val="00856BA2"/>
    <w:rsid w:val="00860526"/>
    <w:rsid w:val="00864B17"/>
    <w:rsid w:val="008741D2"/>
    <w:rsid w:val="008748CA"/>
    <w:rsid w:val="00883378"/>
    <w:rsid w:val="0088748B"/>
    <w:rsid w:val="008A11AD"/>
    <w:rsid w:val="008C03A5"/>
    <w:rsid w:val="008C4F0A"/>
    <w:rsid w:val="008E6BC6"/>
    <w:rsid w:val="008F54EB"/>
    <w:rsid w:val="009121ED"/>
    <w:rsid w:val="00913257"/>
    <w:rsid w:val="00923BFC"/>
    <w:rsid w:val="00926A97"/>
    <w:rsid w:val="009275BE"/>
    <w:rsid w:val="00935B0E"/>
    <w:rsid w:val="00936987"/>
    <w:rsid w:val="009727C2"/>
    <w:rsid w:val="009817A1"/>
    <w:rsid w:val="009A6A1C"/>
    <w:rsid w:val="009B4100"/>
    <w:rsid w:val="009C0DE8"/>
    <w:rsid w:val="009D5D82"/>
    <w:rsid w:val="00A02E77"/>
    <w:rsid w:val="00A1061D"/>
    <w:rsid w:val="00A2239E"/>
    <w:rsid w:val="00A2476E"/>
    <w:rsid w:val="00A42794"/>
    <w:rsid w:val="00A637F4"/>
    <w:rsid w:val="00A82F02"/>
    <w:rsid w:val="00A90432"/>
    <w:rsid w:val="00A90D7D"/>
    <w:rsid w:val="00AD0645"/>
    <w:rsid w:val="00B0079E"/>
    <w:rsid w:val="00B06AED"/>
    <w:rsid w:val="00B10FBA"/>
    <w:rsid w:val="00B27B30"/>
    <w:rsid w:val="00B46775"/>
    <w:rsid w:val="00BA51F1"/>
    <w:rsid w:val="00BC3E2A"/>
    <w:rsid w:val="00BC783A"/>
    <w:rsid w:val="00BD005E"/>
    <w:rsid w:val="00BF6D66"/>
    <w:rsid w:val="00C354AF"/>
    <w:rsid w:val="00C42AF8"/>
    <w:rsid w:val="00C5395F"/>
    <w:rsid w:val="00C77CC9"/>
    <w:rsid w:val="00C83E6B"/>
    <w:rsid w:val="00C91494"/>
    <w:rsid w:val="00C93D95"/>
    <w:rsid w:val="00CA0BCD"/>
    <w:rsid w:val="00CA3BEB"/>
    <w:rsid w:val="00CB41A0"/>
    <w:rsid w:val="00CC0247"/>
    <w:rsid w:val="00CE1405"/>
    <w:rsid w:val="00D17D47"/>
    <w:rsid w:val="00D36B17"/>
    <w:rsid w:val="00D37FF9"/>
    <w:rsid w:val="00D45645"/>
    <w:rsid w:val="00D56FA7"/>
    <w:rsid w:val="00D6297D"/>
    <w:rsid w:val="00D72446"/>
    <w:rsid w:val="00D76F01"/>
    <w:rsid w:val="00D77DEA"/>
    <w:rsid w:val="00D811E5"/>
    <w:rsid w:val="00D83C68"/>
    <w:rsid w:val="00DB0D8A"/>
    <w:rsid w:val="00DB4883"/>
    <w:rsid w:val="00DB4F32"/>
    <w:rsid w:val="00DC39CA"/>
    <w:rsid w:val="00DD0253"/>
    <w:rsid w:val="00DD09FC"/>
    <w:rsid w:val="00DD399F"/>
    <w:rsid w:val="00DE268A"/>
    <w:rsid w:val="00DE3E41"/>
    <w:rsid w:val="00E91AD5"/>
    <w:rsid w:val="00EB05E8"/>
    <w:rsid w:val="00EB605B"/>
    <w:rsid w:val="00EC4AD5"/>
    <w:rsid w:val="00ED034E"/>
    <w:rsid w:val="00F031C1"/>
    <w:rsid w:val="00F04ED6"/>
    <w:rsid w:val="00F0524A"/>
    <w:rsid w:val="00F07A51"/>
    <w:rsid w:val="00F1751A"/>
    <w:rsid w:val="00F23547"/>
    <w:rsid w:val="00F27471"/>
    <w:rsid w:val="00F3251F"/>
    <w:rsid w:val="00F35A66"/>
    <w:rsid w:val="00F540E8"/>
    <w:rsid w:val="00F57491"/>
    <w:rsid w:val="00F66AE9"/>
    <w:rsid w:val="00F73226"/>
    <w:rsid w:val="00F75D62"/>
    <w:rsid w:val="00F945A6"/>
    <w:rsid w:val="00FB291C"/>
    <w:rsid w:val="00FE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CB772"/>
  <w15:chartTrackingRefBased/>
  <w15:docId w15:val="{00D3C0CA-0ABC-4C0F-9E31-53F1B3BFA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9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39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39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39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39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39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9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9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9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9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39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39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39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39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39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9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9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95F"/>
    <w:rPr>
      <w:rFonts w:eastAsiaTheme="majorEastAsia" w:cstheme="majorBidi"/>
      <w:color w:val="272727" w:themeColor="text1" w:themeTint="D8"/>
    </w:rPr>
  </w:style>
  <w:style w:type="paragraph" w:styleId="Title">
    <w:name w:val="Title"/>
    <w:basedOn w:val="Normal"/>
    <w:next w:val="Normal"/>
    <w:link w:val="TitleChar"/>
    <w:uiPriority w:val="10"/>
    <w:qFormat/>
    <w:rsid w:val="00C539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9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9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9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95F"/>
    <w:pPr>
      <w:spacing w:before="160"/>
      <w:jc w:val="center"/>
    </w:pPr>
    <w:rPr>
      <w:i/>
      <w:iCs/>
      <w:color w:val="404040" w:themeColor="text1" w:themeTint="BF"/>
    </w:rPr>
  </w:style>
  <w:style w:type="character" w:customStyle="1" w:styleId="QuoteChar">
    <w:name w:val="Quote Char"/>
    <w:basedOn w:val="DefaultParagraphFont"/>
    <w:link w:val="Quote"/>
    <w:uiPriority w:val="29"/>
    <w:rsid w:val="00C5395F"/>
    <w:rPr>
      <w:i/>
      <w:iCs/>
      <w:color w:val="404040" w:themeColor="text1" w:themeTint="BF"/>
    </w:rPr>
  </w:style>
  <w:style w:type="paragraph" w:styleId="ListParagraph">
    <w:name w:val="List Paragraph"/>
    <w:basedOn w:val="Normal"/>
    <w:uiPriority w:val="34"/>
    <w:qFormat/>
    <w:rsid w:val="00C5395F"/>
    <w:pPr>
      <w:ind w:left="720"/>
      <w:contextualSpacing/>
    </w:pPr>
  </w:style>
  <w:style w:type="character" w:styleId="IntenseEmphasis">
    <w:name w:val="Intense Emphasis"/>
    <w:basedOn w:val="DefaultParagraphFont"/>
    <w:uiPriority w:val="21"/>
    <w:qFormat/>
    <w:rsid w:val="00C5395F"/>
    <w:rPr>
      <w:i/>
      <w:iCs/>
      <w:color w:val="0F4761" w:themeColor="accent1" w:themeShade="BF"/>
    </w:rPr>
  </w:style>
  <w:style w:type="paragraph" w:styleId="IntenseQuote">
    <w:name w:val="Intense Quote"/>
    <w:basedOn w:val="Normal"/>
    <w:next w:val="Normal"/>
    <w:link w:val="IntenseQuoteChar"/>
    <w:uiPriority w:val="30"/>
    <w:qFormat/>
    <w:rsid w:val="00C53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395F"/>
    <w:rPr>
      <w:i/>
      <w:iCs/>
      <w:color w:val="0F4761" w:themeColor="accent1" w:themeShade="BF"/>
    </w:rPr>
  </w:style>
  <w:style w:type="character" w:styleId="IntenseReference">
    <w:name w:val="Intense Reference"/>
    <w:basedOn w:val="DefaultParagraphFont"/>
    <w:uiPriority w:val="32"/>
    <w:qFormat/>
    <w:rsid w:val="00C5395F"/>
    <w:rPr>
      <w:b/>
      <w:bCs/>
      <w:smallCaps/>
      <w:color w:val="0F4761" w:themeColor="accent1" w:themeShade="BF"/>
      <w:spacing w:val="5"/>
    </w:rPr>
  </w:style>
  <w:style w:type="table" w:styleId="TableGrid">
    <w:name w:val="Table Grid"/>
    <w:basedOn w:val="TableNormal"/>
    <w:uiPriority w:val="39"/>
    <w:rsid w:val="00C53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4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84D"/>
  </w:style>
  <w:style w:type="paragraph" w:styleId="Footer">
    <w:name w:val="footer"/>
    <w:basedOn w:val="Normal"/>
    <w:link w:val="FooterChar"/>
    <w:uiPriority w:val="99"/>
    <w:unhideWhenUsed/>
    <w:rsid w:val="00264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84D"/>
  </w:style>
  <w:style w:type="character" w:customStyle="1" w:styleId="gd15mcfceub">
    <w:name w:val="gd15mcfceub"/>
    <w:basedOn w:val="DefaultParagraphFont"/>
    <w:rsid w:val="002A0C3B"/>
  </w:style>
  <w:style w:type="paragraph" w:customStyle="1" w:styleId="Bibliography1">
    <w:name w:val="Bibliography1"/>
    <w:basedOn w:val="Normal"/>
    <w:link w:val="BibliographyChar"/>
    <w:rsid w:val="005C667B"/>
    <w:pPr>
      <w:spacing w:after="240" w:line="240" w:lineRule="auto"/>
      <w:ind w:left="720" w:hanging="720"/>
    </w:pPr>
    <w:rPr>
      <w:rFonts w:eastAsiaTheme="minorEastAsia"/>
      <w:sz w:val="24"/>
      <w:szCs w:val="24"/>
    </w:rPr>
  </w:style>
  <w:style w:type="character" w:customStyle="1" w:styleId="BibliographyChar">
    <w:name w:val="Bibliography Char"/>
    <w:basedOn w:val="DefaultParagraphFont"/>
    <w:link w:val="Bibliography1"/>
    <w:rsid w:val="005C667B"/>
    <w:rPr>
      <w:rFonts w:eastAsiaTheme="minorEastAsia"/>
      <w:sz w:val="24"/>
      <w:szCs w:val="24"/>
    </w:rPr>
  </w:style>
  <w:style w:type="paragraph" w:styleId="Revision">
    <w:name w:val="Revision"/>
    <w:hidden/>
    <w:uiPriority w:val="99"/>
    <w:semiHidden/>
    <w:rsid w:val="00BD00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28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1358</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 David John</dc:creator>
  <cp:keywords/>
  <dc:description/>
  <cp:lastModifiedBy>Hess, David John</cp:lastModifiedBy>
  <cp:revision>9</cp:revision>
  <dcterms:created xsi:type="dcterms:W3CDTF">2024-12-10T17:38:00Z</dcterms:created>
  <dcterms:modified xsi:type="dcterms:W3CDTF">2024-12-10T20:31:00Z</dcterms:modified>
</cp:coreProperties>
</file>