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4F1122" w14:textId="1E742C32" w:rsidR="008D13D9" w:rsidRDefault="00B55BA8" w:rsidP="002F3DE8">
      <w:pPr>
        <w:jc w:val="center"/>
        <w:rPr>
          <w:rFonts w:ascii="Times New Roman" w:hAnsi="Times New Roman" w:cs="Times New Roman"/>
          <w:b/>
          <w:bCs/>
          <w:lang w:val="en-US"/>
        </w:rPr>
      </w:pPr>
      <w:r w:rsidRPr="000F505D">
        <w:rPr>
          <w:rFonts w:ascii="Times New Roman" w:hAnsi="Times New Roman" w:cs="Times New Roman"/>
          <w:b/>
          <w:bCs/>
          <w:lang w:val="en-US"/>
        </w:rPr>
        <w:t>Annex</w:t>
      </w:r>
      <w:r w:rsidR="000F505D" w:rsidRPr="000F505D">
        <w:rPr>
          <w:rFonts w:ascii="Times New Roman" w:hAnsi="Times New Roman" w:cs="Times New Roman"/>
          <w:b/>
          <w:bCs/>
          <w:lang w:val="en-US"/>
        </w:rPr>
        <w:t xml:space="preserve"> I - </w:t>
      </w:r>
      <w:r w:rsidRPr="000F505D">
        <w:rPr>
          <w:rFonts w:ascii="Times New Roman" w:hAnsi="Times New Roman" w:cs="Times New Roman"/>
          <w:b/>
          <w:bCs/>
          <w:lang w:val="en-US"/>
        </w:rPr>
        <w:t>Self Organizing Maps</w:t>
      </w:r>
    </w:p>
    <w:p w14:paraId="5C31E3A8" w14:textId="14D7B243" w:rsidR="000F2235" w:rsidRPr="000F505D" w:rsidRDefault="000218F5" w:rsidP="006651FB">
      <w:pPr>
        <w:jc w:val="both"/>
        <w:rPr>
          <w:rFonts w:ascii="Times New Roman" w:hAnsi="Times New Roman" w:cs="Times New Roman"/>
          <w:lang w:val="en-US"/>
        </w:rPr>
      </w:pPr>
      <w:r w:rsidRPr="006651FB">
        <w:rPr>
          <w:rFonts w:ascii="Times New Roman" w:hAnsi="Times New Roman" w:cs="Times New Roman"/>
          <w:lang w:val="en-US"/>
        </w:rPr>
        <w:t>ESs bundles are recurring sets of services that co-occur in space and time due to shared ecological, climatic, or socioeconomic drivers (</w:t>
      </w:r>
      <w:proofErr w:type="spellStart"/>
      <w:r w:rsidRPr="006651FB">
        <w:rPr>
          <w:rFonts w:ascii="Times New Roman" w:hAnsi="Times New Roman" w:cs="Times New Roman"/>
          <w:lang w:val="en-US"/>
        </w:rPr>
        <w:t>Raudsepp</w:t>
      </w:r>
      <w:proofErr w:type="spellEnd"/>
      <w:r w:rsidRPr="006651FB">
        <w:rPr>
          <w:rFonts w:ascii="Times New Roman" w:hAnsi="Times New Roman" w:cs="Times New Roman"/>
          <w:lang w:val="en-US"/>
        </w:rPr>
        <w:t xml:space="preserve">-Hearne et al., 2010; </w:t>
      </w:r>
      <w:proofErr w:type="spellStart"/>
      <w:r w:rsidRPr="006651FB">
        <w:rPr>
          <w:rFonts w:ascii="Times New Roman" w:hAnsi="Times New Roman" w:cs="Times New Roman"/>
          <w:lang w:val="en-US"/>
        </w:rPr>
        <w:t>Vannier</w:t>
      </w:r>
      <w:proofErr w:type="spellEnd"/>
      <w:r w:rsidRPr="006651FB">
        <w:rPr>
          <w:rFonts w:ascii="Times New Roman" w:hAnsi="Times New Roman" w:cs="Times New Roman"/>
          <w:lang w:val="en-US"/>
        </w:rPr>
        <w:t xml:space="preserve"> et al., 2019).</w:t>
      </w:r>
      <w:r w:rsidR="00BF6CD2" w:rsidRPr="006651FB">
        <w:rPr>
          <w:rFonts w:ascii="Times New Roman" w:hAnsi="Times New Roman" w:cs="Times New Roman"/>
          <w:lang w:val="en-US"/>
        </w:rPr>
        <w:t xml:space="preserve"> In this study, </w:t>
      </w:r>
      <w:r w:rsidR="006651FB" w:rsidRPr="006651FB">
        <w:rPr>
          <w:rFonts w:ascii="Times New Roman" w:hAnsi="Times New Roman" w:cs="Times New Roman"/>
          <w:lang w:val="en-US"/>
        </w:rPr>
        <w:t xml:space="preserve">ESs bundles were identified using </w:t>
      </w:r>
      <w:r w:rsidR="006651FB" w:rsidRPr="000F505D">
        <w:rPr>
          <w:rFonts w:ascii="Times New Roman" w:hAnsi="Times New Roman" w:cs="Times New Roman"/>
          <w:lang w:val="en-US"/>
        </w:rPr>
        <w:t>Self-Organizing Maps (SOM)</w:t>
      </w:r>
      <w:r w:rsidR="006651FB" w:rsidRPr="006651FB">
        <w:rPr>
          <w:rFonts w:ascii="Times New Roman" w:hAnsi="Times New Roman" w:cs="Times New Roman"/>
          <w:lang w:val="en-US"/>
        </w:rPr>
        <w:t xml:space="preserve"> by means of</w:t>
      </w:r>
      <w:r w:rsidR="006651FB" w:rsidRPr="006651FB">
        <w:rPr>
          <w:rFonts w:ascii="Times New Roman" w:hAnsi="Times New Roman" w:cs="Times New Roman"/>
          <w:lang w:val="en-US"/>
        </w:rPr>
        <w:t xml:space="preserve"> the “</w:t>
      </w:r>
      <w:proofErr w:type="spellStart"/>
      <w:r w:rsidR="006651FB" w:rsidRPr="006651FB">
        <w:rPr>
          <w:rFonts w:ascii="Times New Roman" w:hAnsi="Times New Roman" w:cs="Times New Roman"/>
          <w:lang w:val="en-US"/>
        </w:rPr>
        <w:t>Kohonen</w:t>
      </w:r>
      <w:proofErr w:type="spellEnd"/>
      <w:r w:rsidR="006651FB" w:rsidRPr="006651FB">
        <w:rPr>
          <w:rFonts w:ascii="Times New Roman" w:hAnsi="Times New Roman" w:cs="Times New Roman"/>
          <w:lang w:val="en-US"/>
        </w:rPr>
        <w:t>” package (</w:t>
      </w:r>
      <w:proofErr w:type="spellStart"/>
      <w:r w:rsidR="006651FB" w:rsidRPr="006651FB">
        <w:rPr>
          <w:rFonts w:ascii="Times New Roman" w:hAnsi="Times New Roman" w:cs="Times New Roman"/>
          <w:lang w:val="en-US"/>
        </w:rPr>
        <w:t>Willighagen</w:t>
      </w:r>
      <w:proofErr w:type="spellEnd"/>
      <w:r w:rsidR="006651FB" w:rsidRPr="006651FB">
        <w:rPr>
          <w:rFonts w:ascii="Times New Roman" w:hAnsi="Times New Roman" w:cs="Times New Roman"/>
          <w:lang w:val="en-US"/>
        </w:rPr>
        <w:t xml:space="preserve"> et al., 2007) in R software, which provides tools for training and visualizing self-organizing maps. This allowed for the identification and visualization of ES bundles under the baseline and future scenarios, providing evidence to inform spatial management and planning strategies.</w:t>
      </w:r>
      <w:r w:rsidR="006651FB">
        <w:rPr>
          <w:rFonts w:ascii="Times New Roman" w:hAnsi="Times New Roman" w:cs="Times New Roman"/>
          <w:lang w:val="en-US"/>
        </w:rPr>
        <w:t xml:space="preserve"> </w:t>
      </w:r>
      <w:r w:rsidR="000F2235" w:rsidRPr="000F505D">
        <w:rPr>
          <w:rFonts w:ascii="Times New Roman" w:hAnsi="Times New Roman" w:cs="Times New Roman"/>
          <w:lang w:val="en-US"/>
        </w:rPr>
        <w:t xml:space="preserve">To determine the optimal number of bundles, we conducted a series of manual tests using </w:t>
      </w:r>
      <w:r w:rsidR="006651FB">
        <w:rPr>
          <w:rFonts w:ascii="Times New Roman" w:hAnsi="Times New Roman" w:cs="Times New Roman"/>
          <w:lang w:val="en-US"/>
        </w:rPr>
        <w:t>SOM</w:t>
      </w:r>
      <w:r w:rsidR="000F2235" w:rsidRPr="000F505D">
        <w:rPr>
          <w:rFonts w:ascii="Times New Roman" w:hAnsi="Times New Roman" w:cs="Times New Roman"/>
          <w:lang w:val="en-US"/>
        </w:rPr>
        <w:t xml:space="preserve">, </w:t>
      </w:r>
      <w:r w:rsidR="006651FB">
        <w:rPr>
          <w:rFonts w:ascii="Times New Roman" w:hAnsi="Times New Roman" w:cs="Times New Roman"/>
          <w:lang w:val="en-US"/>
        </w:rPr>
        <w:t xml:space="preserve">alternatively </w:t>
      </w:r>
      <w:r w:rsidR="000F2235" w:rsidRPr="000F505D">
        <w:rPr>
          <w:rFonts w:ascii="Times New Roman" w:hAnsi="Times New Roman" w:cs="Times New Roman"/>
          <w:lang w:val="en-US"/>
        </w:rPr>
        <w:t>varying the number of clusters. The selection process aimed to maximize the interpretability and ecological distinctiveness of the resulting bundles while minimizing redundancy and overlap.</w:t>
      </w:r>
    </w:p>
    <w:p w14:paraId="00F79135" w14:textId="77777777" w:rsidR="000F2235" w:rsidRPr="000F505D" w:rsidRDefault="000F2235" w:rsidP="006651FB">
      <w:pPr>
        <w:jc w:val="both"/>
        <w:rPr>
          <w:rFonts w:ascii="Times New Roman" w:hAnsi="Times New Roman" w:cs="Times New Roman"/>
          <w:lang w:val="en-US"/>
        </w:rPr>
      </w:pPr>
      <w:r w:rsidRPr="000F505D">
        <w:rPr>
          <w:rFonts w:ascii="Times New Roman" w:hAnsi="Times New Roman" w:cs="Times New Roman"/>
          <w:lang w:val="en-US"/>
        </w:rPr>
        <w:t>After a thorough evaluation of spatial coherence and ecological significance, the configuration with </w:t>
      </w:r>
      <w:r w:rsidRPr="000F505D">
        <w:rPr>
          <w:rFonts w:ascii="Times New Roman" w:hAnsi="Times New Roman" w:cs="Times New Roman"/>
          <w:b/>
          <w:bCs/>
          <w:lang w:val="en-US"/>
        </w:rPr>
        <w:t>five bundles</w:t>
      </w:r>
      <w:r w:rsidRPr="000F505D">
        <w:rPr>
          <w:rFonts w:ascii="Times New Roman" w:hAnsi="Times New Roman" w:cs="Times New Roman"/>
          <w:lang w:val="en-US"/>
        </w:rPr>
        <w:t> was selected as the most effective. This choice offered the best balance between differentiation and clarity, allowing for meaningful interpretation of the ecosystem service patterns without introducing unnecessary complexity.</w:t>
      </w:r>
    </w:p>
    <w:p w14:paraId="348A4452" w14:textId="31DE71C8" w:rsidR="000F2235" w:rsidRDefault="000F2235" w:rsidP="006651FB">
      <w:pPr>
        <w:jc w:val="both"/>
        <w:rPr>
          <w:rFonts w:ascii="Times New Roman" w:hAnsi="Times New Roman" w:cs="Times New Roman"/>
          <w:lang w:val="en-US"/>
        </w:rPr>
      </w:pPr>
      <w:r w:rsidRPr="000F505D">
        <w:rPr>
          <w:rFonts w:ascii="Times New Roman" w:hAnsi="Times New Roman" w:cs="Times New Roman"/>
          <w:lang w:val="en-US"/>
        </w:rPr>
        <w:t>In this Annex, we present three different clustering configurations</w:t>
      </w:r>
      <w:r w:rsidR="000F505D">
        <w:rPr>
          <w:rFonts w:ascii="Times New Roman" w:hAnsi="Times New Roman" w:cs="Times New Roman"/>
          <w:lang w:val="en-US"/>
        </w:rPr>
        <w:t xml:space="preserve">, </w:t>
      </w:r>
      <w:r w:rsidRPr="000F505D">
        <w:rPr>
          <w:rFonts w:ascii="Times New Roman" w:hAnsi="Times New Roman" w:cs="Times New Roman"/>
          <w:lang w:val="en-US"/>
        </w:rPr>
        <w:t>comprising four, five, and six clusters respectivel</w:t>
      </w:r>
      <w:r w:rsidR="000F505D">
        <w:rPr>
          <w:rFonts w:ascii="Times New Roman" w:hAnsi="Times New Roman" w:cs="Times New Roman"/>
          <w:lang w:val="en-US"/>
        </w:rPr>
        <w:t xml:space="preserve">y, </w:t>
      </w:r>
      <w:r w:rsidRPr="000F505D">
        <w:rPr>
          <w:rFonts w:ascii="Times New Roman" w:hAnsi="Times New Roman" w:cs="Times New Roman"/>
          <w:lang w:val="en-US"/>
        </w:rPr>
        <w:t>to illustrate the rationale behind selecting the five-bundle solution.</w:t>
      </w:r>
    </w:p>
    <w:p w14:paraId="376BBBC2" w14:textId="5801DD48" w:rsidR="000F2235" w:rsidRDefault="000F2235" w:rsidP="006651FB">
      <w:pPr>
        <w:jc w:val="both"/>
        <w:rPr>
          <w:rFonts w:ascii="Times New Roman" w:hAnsi="Times New Roman" w:cs="Times New Roman"/>
          <w:lang w:val="en-US"/>
        </w:rPr>
      </w:pPr>
      <w:r w:rsidRPr="000F505D">
        <w:rPr>
          <w:rFonts w:ascii="Times New Roman" w:hAnsi="Times New Roman" w:cs="Times New Roman"/>
          <w:b/>
          <w:bCs/>
          <w:lang w:val="en-US"/>
        </w:rPr>
        <w:t>Four Clusters</w:t>
      </w:r>
      <w:r w:rsidR="006651FB">
        <w:rPr>
          <w:rFonts w:ascii="Times New Roman" w:hAnsi="Times New Roman" w:cs="Times New Roman"/>
          <w:b/>
          <w:bCs/>
          <w:lang w:val="en-US"/>
        </w:rPr>
        <w:t xml:space="preserve"> (Figure IA)</w:t>
      </w:r>
      <w:r w:rsidRPr="000F505D">
        <w:rPr>
          <w:rFonts w:ascii="Times New Roman" w:hAnsi="Times New Roman" w:cs="Times New Roman"/>
          <w:lang w:val="en-US"/>
        </w:rPr>
        <w:t>: This configuration failed to capture the full range of ecosystem services under analysis. Some important services were either merged into broader, less informative categories or entirely overlooked, leading to a loss of potentially valuable ecological insights.</w:t>
      </w:r>
    </w:p>
    <w:p w14:paraId="1AAE500D" w14:textId="31252A6B" w:rsidR="006651FB" w:rsidRPr="000F505D" w:rsidRDefault="006651FB" w:rsidP="006651FB">
      <w:pPr>
        <w:jc w:val="center"/>
        <w:rPr>
          <w:rFonts w:ascii="Times New Roman" w:hAnsi="Times New Roman" w:cs="Times New Roman"/>
          <w:lang w:val="en-US"/>
        </w:rPr>
      </w:pPr>
      <w:r w:rsidRPr="000F505D">
        <w:rPr>
          <w:rFonts w:ascii="Times New Roman" w:hAnsi="Times New Roman" w:cs="Times New Roman"/>
          <w:noProof/>
          <w:lang w:val="en-US"/>
        </w:rPr>
        <w:drawing>
          <wp:inline distT="0" distB="0" distL="0" distR="0" wp14:anchorId="79D907C9" wp14:editId="6E614B33">
            <wp:extent cx="4933315" cy="3321496"/>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14281"/>
                    <a:stretch/>
                  </pic:blipFill>
                  <pic:spPr bwMode="auto">
                    <a:xfrm>
                      <a:off x="0" y="0"/>
                      <a:ext cx="4957090" cy="3337503"/>
                    </a:xfrm>
                    <a:prstGeom prst="rect">
                      <a:avLst/>
                    </a:prstGeom>
                    <a:noFill/>
                    <a:ln>
                      <a:noFill/>
                    </a:ln>
                    <a:extLst>
                      <a:ext uri="{53640926-AAD7-44D8-BBD7-CCE9431645EC}">
                        <a14:shadowObscured xmlns:a14="http://schemas.microsoft.com/office/drawing/2010/main"/>
                      </a:ext>
                    </a:extLst>
                  </pic:spPr>
                </pic:pic>
              </a:graphicData>
            </a:graphic>
          </wp:inline>
        </w:drawing>
      </w:r>
    </w:p>
    <w:p w14:paraId="7292F368" w14:textId="58B4F5AF" w:rsidR="006651FB" w:rsidRDefault="006651FB" w:rsidP="006651FB">
      <w:pPr>
        <w:jc w:val="center"/>
        <w:rPr>
          <w:rFonts w:ascii="Times New Roman" w:hAnsi="Times New Roman" w:cs="Times New Roman"/>
          <w:b/>
          <w:bCs/>
          <w:lang w:val="en-US"/>
        </w:rPr>
      </w:pPr>
      <w:r>
        <w:rPr>
          <w:rFonts w:ascii="Times New Roman" w:hAnsi="Times New Roman" w:cs="Times New Roman"/>
          <w:b/>
          <w:bCs/>
          <w:lang w:val="en-US"/>
        </w:rPr>
        <w:t>Figure IA-Four Cluster configuration</w:t>
      </w:r>
    </w:p>
    <w:p w14:paraId="537425DF" w14:textId="77777777" w:rsidR="006651FB" w:rsidRDefault="006651FB" w:rsidP="006651FB">
      <w:pPr>
        <w:jc w:val="both"/>
        <w:rPr>
          <w:rFonts w:ascii="Times New Roman" w:hAnsi="Times New Roman" w:cs="Times New Roman"/>
          <w:b/>
          <w:bCs/>
          <w:lang w:val="en-US"/>
        </w:rPr>
      </w:pPr>
    </w:p>
    <w:p w14:paraId="3B0EC8C5" w14:textId="31423190" w:rsidR="000F2235" w:rsidRDefault="000F2235" w:rsidP="006651FB">
      <w:pPr>
        <w:jc w:val="both"/>
        <w:rPr>
          <w:rFonts w:ascii="Times New Roman" w:hAnsi="Times New Roman" w:cs="Times New Roman"/>
          <w:lang w:val="en-US"/>
        </w:rPr>
      </w:pPr>
      <w:r w:rsidRPr="000F505D">
        <w:rPr>
          <w:rFonts w:ascii="Times New Roman" w:hAnsi="Times New Roman" w:cs="Times New Roman"/>
          <w:b/>
          <w:bCs/>
          <w:lang w:val="en-US"/>
        </w:rPr>
        <w:t>Five Clusters</w:t>
      </w:r>
      <w:r w:rsidR="006651FB">
        <w:rPr>
          <w:rFonts w:ascii="Times New Roman" w:hAnsi="Times New Roman" w:cs="Times New Roman"/>
          <w:b/>
          <w:bCs/>
          <w:lang w:val="en-US"/>
        </w:rPr>
        <w:t xml:space="preserve"> (Figure IB)</w:t>
      </w:r>
      <w:r w:rsidRPr="000F505D">
        <w:rPr>
          <w:rFonts w:ascii="Times New Roman" w:hAnsi="Times New Roman" w:cs="Times New Roman"/>
          <w:lang w:val="en-US"/>
        </w:rPr>
        <w:t xml:space="preserve">: This setup provided a well-balanced representation of the ecosystem services. Each bundle was ecologically coherent and distinct, with minimal overlap. The services </w:t>
      </w:r>
      <w:r w:rsidRPr="000F505D">
        <w:rPr>
          <w:rFonts w:ascii="Times New Roman" w:hAnsi="Times New Roman" w:cs="Times New Roman"/>
          <w:lang w:val="en-US"/>
        </w:rPr>
        <w:lastRenderedPageBreak/>
        <w:t>were grouped in a way that preserved their individual significance while highlighting meaningful spatial patterns.</w:t>
      </w:r>
    </w:p>
    <w:p w14:paraId="73DD0752" w14:textId="41966F71" w:rsidR="006651FB" w:rsidRPr="000F505D" w:rsidRDefault="006651FB" w:rsidP="006651FB">
      <w:pPr>
        <w:jc w:val="both"/>
        <w:rPr>
          <w:rFonts w:ascii="Times New Roman" w:hAnsi="Times New Roman" w:cs="Times New Roman"/>
          <w:lang w:val="en-US"/>
        </w:rPr>
      </w:pPr>
      <w:r w:rsidRPr="000F505D">
        <w:rPr>
          <w:rFonts w:ascii="Times New Roman" w:hAnsi="Times New Roman" w:cs="Times New Roman"/>
          <w:noProof/>
          <w:lang w:val="en-US"/>
        </w:rPr>
        <w:drawing>
          <wp:inline distT="0" distB="0" distL="0" distR="0" wp14:anchorId="433E2841" wp14:editId="171A81C6">
            <wp:extent cx="6114415" cy="2644140"/>
            <wp:effectExtent l="0" t="0" r="635" b="3810"/>
            <wp:docPr id="2044633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t="30781" b="14161"/>
                    <a:stretch/>
                  </pic:blipFill>
                  <pic:spPr bwMode="auto">
                    <a:xfrm>
                      <a:off x="0" y="0"/>
                      <a:ext cx="6114415" cy="2644140"/>
                    </a:xfrm>
                    <a:prstGeom prst="rect">
                      <a:avLst/>
                    </a:prstGeom>
                    <a:noFill/>
                    <a:ln>
                      <a:noFill/>
                    </a:ln>
                    <a:extLst>
                      <a:ext uri="{53640926-AAD7-44D8-BBD7-CCE9431645EC}">
                        <a14:shadowObscured xmlns:a14="http://schemas.microsoft.com/office/drawing/2010/main"/>
                      </a:ext>
                    </a:extLst>
                  </pic:spPr>
                </pic:pic>
              </a:graphicData>
            </a:graphic>
          </wp:inline>
        </w:drawing>
      </w:r>
    </w:p>
    <w:p w14:paraId="457722AE" w14:textId="39507204" w:rsidR="006651FB" w:rsidRDefault="006651FB" w:rsidP="006651FB">
      <w:pPr>
        <w:jc w:val="center"/>
        <w:rPr>
          <w:rFonts w:ascii="Times New Roman" w:hAnsi="Times New Roman" w:cs="Times New Roman"/>
          <w:b/>
          <w:bCs/>
          <w:lang w:val="en-US"/>
        </w:rPr>
      </w:pPr>
      <w:r>
        <w:rPr>
          <w:rFonts w:ascii="Times New Roman" w:hAnsi="Times New Roman" w:cs="Times New Roman"/>
          <w:b/>
          <w:bCs/>
          <w:lang w:val="en-US"/>
        </w:rPr>
        <w:t>Figure I</w:t>
      </w:r>
      <w:r>
        <w:rPr>
          <w:rFonts w:ascii="Times New Roman" w:hAnsi="Times New Roman" w:cs="Times New Roman"/>
          <w:b/>
          <w:bCs/>
          <w:lang w:val="en-US"/>
        </w:rPr>
        <w:t>B</w:t>
      </w:r>
      <w:r>
        <w:rPr>
          <w:rFonts w:ascii="Times New Roman" w:hAnsi="Times New Roman" w:cs="Times New Roman"/>
          <w:b/>
          <w:bCs/>
          <w:lang w:val="en-US"/>
        </w:rPr>
        <w:t>-F</w:t>
      </w:r>
      <w:r>
        <w:rPr>
          <w:rFonts w:ascii="Times New Roman" w:hAnsi="Times New Roman" w:cs="Times New Roman"/>
          <w:b/>
          <w:bCs/>
          <w:lang w:val="en-US"/>
        </w:rPr>
        <w:t>ive</w:t>
      </w:r>
      <w:r>
        <w:rPr>
          <w:rFonts w:ascii="Times New Roman" w:hAnsi="Times New Roman" w:cs="Times New Roman"/>
          <w:b/>
          <w:bCs/>
          <w:lang w:val="en-US"/>
        </w:rPr>
        <w:t xml:space="preserve"> Cluster configuration</w:t>
      </w:r>
    </w:p>
    <w:p w14:paraId="4BF65DBE" w14:textId="77777777" w:rsidR="006651FB" w:rsidRDefault="006651FB" w:rsidP="006651FB">
      <w:pPr>
        <w:jc w:val="both"/>
        <w:rPr>
          <w:rFonts w:ascii="Times New Roman" w:hAnsi="Times New Roman" w:cs="Times New Roman"/>
          <w:b/>
          <w:bCs/>
          <w:lang w:val="en-US"/>
        </w:rPr>
      </w:pPr>
    </w:p>
    <w:p w14:paraId="41391412" w14:textId="3224E1C7" w:rsidR="000F2235" w:rsidRDefault="000F2235" w:rsidP="006651FB">
      <w:pPr>
        <w:jc w:val="both"/>
        <w:rPr>
          <w:rFonts w:ascii="Times New Roman" w:hAnsi="Times New Roman" w:cs="Times New Roman"/>
          <w:lang w:val="en-US"/>
        </w:rPr>
      </w:pPr>
      <w:r w:rsidRPr="000F505D">
        <w:rPr>
          <w:rFonts w:ascii="Times New Roman" w:hAnsi="Times New Roman" w:cs="Times New Roman"/>
          <w:b/>
          <w:bCs/>
          <w:lang w:val="en-US"/>
        </w:rPr>
        <w:t>Six Clusters</w:t>
      </w:r>
      <w:r w:rsidR="006651FB">
        <w:rPr>
          <w:rFonts w:ascii="Times New Roman" w:hAnsi="Times New Roman" w:cs="Times New Roman"/>
          <w:b/>
          <w:bCs/>
          <w:lang w:val="en-US"/>
        </w:rPr>
        <w:t xml:space="preserve"> (Figure IC)</w:t>
      </w:r>
      <w:r w:rsidRPr="000F505D">
        <w:rPr>
          <w:rFonts w:ascii="Times New Roman" w:hAnsi="Times New Roman" w:cs="Times New Roman"/>
          <w:lang w:val="en-US"/>
        </w:rPr>
        <w:t>: While this configuration offered slightly more granularity, it introduced redundancy. In particular, services such as soil retention by vegetation, the Shannon diversity index, and carbon storage appeared in multiple clusters with overlapping characteristics, reducing the clarity and interpretability of the results.</w:t>
      </w:r>
    </w:p>
    <w:p w14:paraId="350E855E" w14:textId="1826305B" w:rsidR="006651FB" w:rsidRDefault="006651FB" w:rsidP="006651FB">
      <w:pPr>
        <w:jc w:val="both"/>
        <w:rPr>
          <w:rFonts w:ascii="Times New Roman" w:hAnsi="Times New Roman" w:cs="Times New Roman"/>
          <w:lang w:val="en-US"/>
        </w:rPr>
      </w:pPr>
    </w:p>
    <w:p w14:paraId="0C19DC58" w14:textId="5F69230A" w:rsidR="006651FB" w:rsidRDefault="006651FB" w:rsidP="006651FB">
      <w:pPr>
        <w:jc w:val="both"/>
        <w:rPr>
          <w:rFonts w:ascii="Times New Roman" w:hAnsi="Times New Roman" w:cs="Times New Roman"/>
          <w:lang w:val="en-US"/>
        </w:rPr>
      </w:pPr>
      <w:r>
        <w:rPr>
          <w:noProof/>
          <w:lang w:val="en-US"/>
        </w:rPr>
        <w:drawing>
          <wp:inline distT="0" distB="0" distL="0" distR="0" wp14:anchorId="04E5F1A1" wp14:editId="1C720EF6">
            <wp:extent cx="6114415" cy="3604260"/>
            <wp:effectExtent l="0" t="0" r="635" b="0"/>
            <wp:docPr id="1899151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15247" b="5501"/>
                    <a:stretch/>
                  </pic:blipFill>
                  <pic:spPr bwMode="auto">
                    <a:xfrm>
                      <a:off x="0" y="0"/>
                      <a:ext cx="6114415" cy="3604260"/>
                    </a:xfrm>
                    <a:prstGeom prst="rect">
                      <a:avLst/>
                    </a:prstGeom>
                    <a:noFill/>
                    <a:ln>
                      <a:noFill/>
                    </a:ln>
                    <a:extLst>
                      <a:ext uri="{53640926-AAD7-44D8-BBD7-CCE9431645EC}">
                        <a14:shadowObscured xmlns:a14="http://schemas.microsoft.com/office/drawing/2010/main"/>
                      </a:ext>
                    </a:extLst>
                  </pic:spPr>
                </pic:pic>
              </a:graphicData>
            </a:graphic>
          </wp:inline>
        </w:drawing>
      </w:r>
    </w:p>
    <w:p w14:paraId="1596074A" w14:textId="6EB5C0F6" w:rsidR="006651FB" w:rsidRDefault="006651FB" w:rsidP="006651FB">
      <w:pPr>
        <w:jc w:val="center"/>
        <w:rPr>
          <w:rFonts w:ascii="Times New Roman" w:hAnsi="Times New Roman" w:cs="Times New Roman"/>
          <w:b/>
          <w:bCs/>
          <w:lang w:val="en-US"/>
        </w:rPr>
      </w:pPr>
      <w:r>
        <w:rPr>
          <w:rFonts w:ascii="Times New Roman" w:hAnsi="Times New Roman" w:cs="Times New Roman"/>
          <w:b/>
          <w:bCs/>
          <w:lang w:val="en-US"/>
        </w:rPr>
        <w:t>Figure I</w:t>
      </w:r>
      <w:r>
        <w:rPr>
          <w:rFonts w:ascii="Times New Roman" w:hAnsi="Times New Roman" w:cs="Times New Roman"/>
          <w:b/>
          <w:bCs/>
          <w:lang w:val="en-US"/>
        </w:rPr>
        <w:t>C</w:t>
      </w:r>
      <w:r>
        <w:rPr>
          <w:rFonts w:ascii="Times New Roman" w:hAnsi="Times New Roman" w:cs="Times New Roman"/>
          <w:b/>
          <w:bCs/>
          <w:lang w:val="en-US"/>
        </w:rPr>
        <w:t>-</w:t>
      </w:r>
      <w:r>
        <w:rPr>
          <w:rFonts w:ascii="Times New Roman" w:hAnsi="Times New Roman" w:cs="Times New Roman"/>
          <w:b/>
          <w:bCs/>
          <w:lang w:val="en-US"/>
        </w:rPr>
        <w:t>Six</w:t>
      </w:r>
      <w:r>
        <w:rPr>
          <w:rFonts w:ascii="Times New Roman" w:hAnsi="Times New Roman" w:cs="Times New Roman"/>
          <w:b/>
          <w:bCs/>
          <w:lang w:val="en-US"/>
        </w:rPr>
        <w:t xml:space="preserve"> Cluster configuration</w:t>
      </w:r>
    </w:p>
    <w:p w14:paraId="45C3BC99" w14:textId="77777777" w:rsidR="000F2235" w:rsidRPr="000F505D" w:rsidRDefault="000F2235" w:rsidP="006651FB">
      <w:pPr>
        <w:jc w:val="both"/>
        <w:rPr>
          <w:rFonts w:ascii="Times New Roman" w:hAnsi="Times New Roman" w:cs="Times New Roman"/>
          <w:lang w:val="en-US"/>
        </w:rPr>
      </w:pPr>
      <w:bookmarkStart w:id="0" w:name="_GoBack"/>
      <w:bookmarkEnd w:id="0"/>
      <w:r w:rsidRPr="000F505D">
        <w:rPr>
          <w:rFonts w:ascii="Times New Roman" w:hAnsi="Times New Roman" w:cs="Times New Roman"/>
          <w:lang w:val="en-US"/>
        </w:rPr>
        <w:lastRenderedPageBreak/>
        <w:t>Overall, the five-cluster solution emerged as the most robust and interpretable, effectively capturing the complexity of the ecosystem services while maintaining analytical clarity.</w:t>
      </w:r>
    </w:p>
    <w:p w14:paraId="1D26A043" w14:textId="21C6CB75" w:rsidR="00B55BA8" w:rsidRPr="002F3DE8" w:rsidRDefault="00B55BA8">
      <w:pPr>
        <w:rPr>
          <w:lang w:val="en-US"/>
        </w:rPr>
      </w:pPr>
    </w:p>
    <w:sectPr w:rsidR="00B55BA8" w:rsidRPr="002F3DE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12519D"/>
    <w:multiLevelType w:val="multilevel"/>
    <w:tmpl w:val="5242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BA8"/>
    <w:rsid w:val="000218F5"/>
    <w:rsid w:val="0004156C"/>
    <w:rsid w:val="000823D4"/>
    <w:rsid w:val="000F2235"/>
    <w:rsid w:val="000F505D"/>
    <w:rsid w:val="00257458"/>
    <w:rsid w:val="002D5105"/>
    <w:rsid w:val="002F3DE8"/>
    <w:rsid w:val="006651FB"/>
    <w:rsid w:val="008D13D9"/>
    <w:rsid w:val="00B55BA8"/>
    <w:rsid w:val="00BF6CD2"/>
    <w:rsid w:val="00CB67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BBBE7"/>
  <w15:chartTrackingRefBased/>
  <w15:docId w15:val="{F01CF51D-A94C-470D-9AE0-E018B3BE4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B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B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B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B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B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B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B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B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B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B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B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B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BA8"/>
    <w:rPr>
      <w:rFonts w:eastAsiaTheme="majorEastAsia" w:cstheme="majorBidi"/>
      <w:color w:val="272727" w:themeColor="text1" w:themeTint="D8"/>
    </w:rPr>
  </w:style>
  <w:style w:type="paragraph" w:styleId="Title">
    <w:name w:val="Title"/>
    <w:basedOn w:val="Normal"/>
    <w:next w:val="Normal"/>
    <w:link w:val="TitleChar"/>
    <w:uiPriority w:val="10"/>
    <w:qFormat/>
    <w:rsid w:val="00B55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B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BA8"/>
    <w:pPr>
      <w:spacing w:before="160"/>
      <w:jc w:val="center"/>
    </w:pPr>
    <w:rPr>
      <w:i/>
      <w:iCs/>
      <w:color w:val="404040" w:themeColor="text1" w:themeTint="BF"/>
    </w:rPr>
  </w:style>
  <w:style w:type="character" w:customStyle="1" w:styleId="QuoteChar">
    <w:name w:val="Quote Char"/>
    <w:basedOn w:val="DefaultParagraphFont"/>
    <w:link w:val="Quote"/>
    <w:uiPriority w:val="29"/>
    <w:rsid w:val="00B55BA8"/>
    <w:rPr>
      <w:i/>
      <w:iCs/>
      <w:color w:val="404040" w:themeColor="text1" w:themeTint="BF"/>
    </w:rPr>
  </w:style>
  <w:style w:type="paragraph" w:styleId="ListParagraph">
    <w:name w:val="List Paragraph"/>
    <w:basedOn w:val="Normal"/>
    <w:uiPriority w:val="34"/>
    <w:qFormat/>
    <w:rsid w:val="00B55BA8"/>
    <w:pPr>
      <w:ind w:left="720"/>
      <w:contextualSpacing/>
    </w:pPr>
  </w:style>
  <w:style w:type="character" w:styleId="IntenseEmphasis">
    <w:name w:val="Intense Emphasis"/>
    <w:basedOn w:val="DefaultParagraphFont"/>
    <w:uiPriority w:val="21"/>
    <w:qFormat/>
    <w:rsid w:val="00B55BA8"/>
    <w:rPr>
      <w:i/>
      <w:iCs/>
      <w:color w:val="0F4761" w:themeColor="accent1" w:themeShade="BF"/>
    </w:rPr>
  </w:style>
  <w:style w:type="paragraph" w:styleId="IntenseQuote">
    <w:name w:val="Intense Quote"/>
    <w:basedOn w:val="Normal"/>
    <w:next w:val="Normal"/>
    <w:link w:val="IntenseQuoteChar"/>
    <w:uiPriority w:val="30"/>
    <w:qFormat/>
    <w:rsid w:val="00B55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BA8"/>
    <w:rPr>
      <w:i/>
      <w:iCs/>
      <w:color w:val="0F4761" w:themeColor="accent1" w:themeShade="BF"/>
    </w:rPr>
  </w:style>
  <w:style w:type="character" w:styleId="IntenseReference">
    <w:name w:val="Intense Reference"/>
    <w:basedOn w:val="DefaultParagraphFont"/>
    <w:uiPriority w:val="32"/>
    <w:qFormat/>
    <w:rsid w:val="00B55B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382293">
      <w:bodyDiv w:val="1"/>
      <w:marLeft w:val="0"/>
      <w:marRight w:val="0"/>
      <w:marTop w:val="0"/>
      <w:marBottom w:val="0"/>
      <w:divBdr>
        <w:top w:val="none" w:sz="0" w:space="0" w:color="auto"/>
        <w:left w:val="none" w:sz="0" w:space="0" w:color="auto"/>
        <w:bottom w:val="none" w:sz="0" w:space="0" w:color="auto"/>
        <w:right w:val="none" w:sz="0" w:space="0" w:color="auto"/>
      </w:divBdr>
    </w:div>
    <w:div w:id="214238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dc:creator>
  <cp:keywords/>
  <dc:description/>
  <cp:lastModifiedBy>SPEROTTO Anna</cp:lastModifiedBy>
  <cp:revision>5</cp:revision>
  <dcterms:created xsi:type="dcterms:W3CDTF">2025-07-03T20:33:00Z</dcterms:created>
  <dcterms:modified xsi:type="dcterms:W3CDTF">2025-07-09T17:12:00Z</dcterms:modified>
</cp:coreProperties>
</file>