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rPr>
          <w:rFonts w:ascii="Liberation Sans" w:hAnsi="Liberation Sans"/>
          <w:sz w:val="40"/>
          <w:szCs w:val="40"/>
        </w:rPr>
      </w:pPr>
      <w:r>
        <w:rPr>
          <w:sz w:val="40"/>
          <w:szCs w:val="40"/>
        </w:rPr>
        <w:t>Accounting for exposure in 3D spatiotemporally contiguous heatwaves in Europe 1975-2024</w:t>
      </w:r>
    </w:p>
    <w:p>
      <w:pPr>
        <w:pStyle w:val="Subtitle"/>
        <w:rPr>
          <w:rFonts w:ascii="Liberation Sans" w:hAnsi="Liberation Sans"/>
        </w:rPr>
      </w:pPr>
      <w:r>
        <w:rPr/>
        <w:t>Supplementary Materials</w:t>
      </w:r>
    </w:p>
    <w:p>
      <w:pPr>
        <w:pStyle w:val="BodyText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BodyText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BodyText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BodyText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pStyle w:val="BodyText"/>
        <w:rPr>
          <w:rFonts w:ascii="Liberation Sans" w:hAnsi="Liberation Sans"/>
        </w:rPr>
      </w:pPr>
      <w:r>
        <w:rPr>
          <w:rFonts w:ascii="Liberation Sans" w:hAnsi="Liberation Sans"/>
        </w:rPr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none"/>
          <w:formProt w:val="false"/>
          <w:textDirection w:val="lrTb"/>
          <w:docGrid w:type="default" w:linePitch="312" w:charSpace="4294961151"/>
        </w:sectPr>
        <w:pStyle w:val="BodyText"/>
        <w:rPr>
          <w:rFonts w:ascii="Liberation Sans" w:hAnsi="Liberation Sans"/>
        </w:rPr>
      </w:pPr>
      <w:r>
        <w:rPr>
          <w:rFonts w:ascii="Liberation Sans" w:hAnsi="Liberation Sans"/>
        </w:rPr>
      </w:r>
      <w:r>
        <w:br w:type="page"/>
      </w:r>
    </w:p>
    <w:p>
      <w:pPr>
        <w:pStyle w:val="Table"/>
        <w:keepNext w:val="true"/>
        <w:rPr/>
      </w:pPr>
      <w:r>
        <w:rPr>
          <w:b/>
          <w:bCs/>
          <w:u w:val="single"/>
        </w:rPr>
        <w:t>Supplementary Materials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SM</w:t>
      </w:r>
      <w:r>
        <w:rPr>
          <w:b/>
          <w:bCs/>
          <w:u w:val="single"/>
        </w:rPr>
        <w:fldChar w:fldCharType="begin"/>
      </w:r>
      <w:r>
        <w:rPr>
          <w:u w:val="single"/>
          <w:b/>
          <w:bCs/>
        </w:rPr>
        <w:instrText xml:space="preserve"> SEQ Table \* ARABIC </w:instrText>
      </w:r>
      <w:r>
        <w:rPr>
          <w:u w:val="single"/>
          <w:b/>
          <w:bCs/>
        </w:rPr>
        <w:fldChar w:fldCharType="separate"/>
      </w:r>
      <w:r>
        <w:rPr>
          <w:u w:val="single"/>
          <w:b/>
          <w:bCs/>
        </w:rPr>
        <w:t>1</w:t>
      </w:r>
      <w:r>
        <w:rPr>
          <w:u w:val="single"/>
          <w:b/>
          <w:bCs/>
        </w:rPr>
        <w:fldChar w:fldCharType="end"/>
      </w:r>
      <w:r>
        <w:rPr>
          <w:b w:val="false"/>
          <w:bCs w:val="false"/>
        </w:rPr>
        <w:t>:</w:t>
      </w:r>
      <w:r>
        <w:rPr/>
        <w:t xml:space="preserve"> </w:t>
      </w:r>
      <w:r>
        <w:rPr/>
        <w:t xml:space="preserve">Table showing the </w:t>
      </w:r>
      <w:r>
        <w:rPr/>
        <w:t>3 scores (AUC-ROC, pearson correlation coefficient, R² coefficient) of the 4 heatwaves indices for the 3 different ways of distributing the EM-DAT impacts among several matching CC3D heatwaves (see section 2.2.4). Values are computed only for the sensitivity configuration </w:t>
      </w:r>
      <w:r>
        <w:rPr/>
        <w:t>used as an illustration in the paper</w:t>
      </w:r>
      <w:r>
        <w:rPr/>
        <w:t xml:space="preserve">: tx, 95th percentile, </w:t>
      </w:r>
      <w:r>
        <w:rPr/>
        <w:t>4 days, baseline 1975-2021, 26-connectivity.</w:t>
      </w:r>
      <w:r>
        <w:rPr/>
        <w:t xml:space="preserve"> With “strongest”, the entire EM-DAT death toll is attributed to the strongest heatwave (according to HWMId_pop); “equal” refers to the equal division of the death toll among all matching CC3D heatwaves; </w:t>
      </w:r>
      <w:r>
        <w:rPr/>
        <w:t xml:space="preserve">“weighted” </w:t>
      </w:r>
      <w:r>
        <w:rPr>
          <w:i/>
          <w:iCs/>
        </w:rPr>
        <w:t>corresponds to the division o</w:t>
      </w:r>
      <w:r>
        <w:rPr>
          <w:i/>
          <w:iCs/>
        </w:rPr>
        <w:t xml:space="preserve">f the death toll </w:t>
      </w:r>
      <w:r>
        <w:rPr>
          <w:i/>
          <w:iCs/>
          <w:sz w:val="24"/>
          <w:szCs w:val="24"/>
        </w:rPr>
        <w:t>proportionally to the cumulative area affected by each heatwave, which is the method used in the paper.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456"/>
        <w:gridCol w:w="1457"/>
        <w:gridCol w:w="1457"/>
        <w:gridCol w:w="1457"/>
        <w:gridCol w:w="1457"/>
        <w:gridCol w:w="1457"/>
        <w:gridCol w:w="1457"/>
        <w:gridCol w:w="1457"/>
        <w:gridCol w:w="1456"/>
        <w:gridCol w:w="1459"/>
      </w:tblGrid>
      <w:tr>
        <w:trPr>
          <w:trHeight w:val="450" w:hRule="atLeast"/>
        </w:trPr>
        <w:tc>
          <w:tcPr>
            <w:tcW w:w="1456" w:type="dxa"/>
            <w:tcBorders>
              <w:top w:val="single" w:sz="4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 w:cs="Free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FreeSans"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371" w:type="dxa"/>
            <w:gridSpan w:val="3"/>
            <w:tcBorders>
              <w:top w:val="single" w:sz="4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 w:cs="Free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FreeSans"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AUC-ROC</w:t>
            </w:r>
          </w:p>
        </w:tc>
        <w:tc>
          <w:tcPr>
            <w:tcW w:w="4371" w:type="dxa"/>
            <w:gridSpan w:val="3"/>
            <w:tcBorders>
              <w:top w:val="single" w:sz="4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 w:cs="Free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FreeSans"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Pearson R</w:t>
            </w:r>
          </w:p>
        </w:tc>
        <w:tc>
          <w:tcPr>
            <w:tcW w:w="4372" w:type="dxa"/>
            <w:gridSpan w:val="3"/>
            <w:tcBorders>
              <w:top w:val="single" w:sz="4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 w:cs="Free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FreeSans"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R²</w:t>
            </w:r>
          </w:p>
        </w:tc>
      </w:tr>
      <w:tr>
        <w:trPr>
          <w:trHeight w:val="544" w:hRule="atLeast"/>
        </w:trPr>
        <w:tc>
          <w:tcPr>
            <w:tcW w:w="1456" w:type="dxa"/>
            <w:tcBorders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strongest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equal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weighted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strongest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equal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weighted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strongest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equal</w:t>
            </w:r>
          </w:p>
        </w:tc>
        <w:tc>
          <w:tcPr>
            <w:tcW w:w="1459" w:type="dxa"/>
            <w:tcBorders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weighted</w:t>
            </w:r>
          </w:p>
        </w:tc>
      </w:tr>
      <w:tr>
        <w:trPr>
          <w:trHeight w:val="806" w:hRule="atLeast"/>
        </w:trPr>
        <w:tc>
          <w:tcPr>
            <w:tcW w:w="1456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Intensity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0.63 [0.52; 0.74]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0.61 [0.51; 0.71]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0.61 [0.51; 0.71]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0.45 [0.18; 0.68]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0.34 [-0.04; 0.55]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0.46 [0.24; 0.67]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 [0.03; 0.46]</w:t>
            </w:r>
          </w:p>
        </w:tc>
        <w:tc>
          <w:tcPr>
            <w:tcW w:w="1456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0.11 [0.0; 0.3]</w:t>
            </w:r>
          </w:p>
        </w:tc>
        <w:tc>
          <w:tcPr>
            <w:tcW w:w="1459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 [0.06; 0.46]</w:t>
            </w:r>
          </w:p>
        </w:tc>
      </w:tr>
      <w:tr>
        <w:trPr>
          <w:trHeight w:val="806" w:hRule="atLeast"/>
        </w:trPr>
        <w:tc>
          <w:tcPr>
            <w:tcW w:w="1456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HWMId_sum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0.75 [0.65; 0.84]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 [0.6; 0.79]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 [0.6; 0.79]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 [0.12; 0.99]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 [-0.17; 0.75]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0.68 [0.12; 0.99]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 [0.02; 0.98]</w:t>
            </w:r>
          </w:p>
        </w:tc>
        <w:tc>
          <w:tcPr>
            <w:tcW w:w="1456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0.09 [0.02; 0.56]</w:t>
            </w:r>
          </w:p>
        </w:tc>
        <w:tc>
          <w:tcPr>
            <w:tcW w:w="1459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0.47 [0.02; 0.97]</w:t>
            </w:r>
          </w:p>
        </w:tc>
      </w:tr>
      <w:tr>
        <w:trPr>
          <w:trHeight w:val="807" w:hRule="atLeast"/>
        </w:trPr>
        <w:tc>
          <w:tcPr>
            <w:tcW w:w="1456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Exposed_population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0.76 [0.67; 0.84]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0.73 [0.65; 0.81]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0.73 [0.65; 0.81]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0.65 [0.39; 0.83]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0.37 [-0.08; 0.6]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0.64 [0.37; 0.82]</w:t>
            </w:r>
          </w:p>
        </w:tc>
        <w:tc>
          <w:tcPr>
            <w:tcW w:w="1457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0.43 [0.15; 0.69]</w:t>
            </w:r>
          </w:p>
        </w:tc>
        <w:tc>
          <w:tcPr>
            <w:tcW w:w="1456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0.14 [0.0; 0.35]</w:t>
            </w:r>
          </w:p>
        </w:tc>
        <w:tc>
          <w:tcPr>
            <w:tcW w:w="1459" w:type="dxa"/>
            <w:tcBorders>
              <w:bottom w:val="single" w:sz="6" w:space="0" w:color="999999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0.41 [0.14; 0.66]</w:t>
            </w:r>
          </w:p>
        </w:tc>
      </w:tr>
      <w:tr>
        <w:trPr>
          <w:trHeight w:val="825" w:hRule="atLeast"/>
        </w:trPr>
        <w:tc>
          <w:tcPr>
            <w:tcW w:w="1456" w:type="dxa"/>
            <w:tcBorders>
              <w:top w:val="single" w:sz="6" w:space="0" w:color="999999"/>
              <w:bottom w:val="single" w:sz="16" w:space="0" w:color="000000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HWMId_pop</w:t>
            </w:r>
          </w:p>
        </w:tc>
        <w:tc>
          <w:tcPr>
            <w:tcW w:w="1457" w:type="dxa"/>
            <w:tcBorders>
              <w:top w:val="single" w:sz="6" w:space="0" w:color="999999"/>
              <w:bottom w:val="single" w:sz="16" w:space="0" w:color="000000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 [0.71; 0.88]</w:t>
            </w:r>
          </w:p>
        </w:tc>
        <w:tc>
          <w:tcPr>
            <w:tcW w:w="1457" w:type="dxa"/>
            <w:tcBorders>
              <w:top w:val="single" w:sz="6" w:space="0" w:color="999999"/>
              <w:bottom w:val="single" w:sz="16" w:space="0" w:color="000000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0.76 [0.66; 0.84]</w:t>
            </w:r>
          </w:p>
        </w:tc>
        <w:tc>
          <w:tcPr>
            <w:tcW w:w="1457" w:type="dxa"/>
            <w:tcBorders>
              <w:top w:val="single" w:sz="6" w:space="0" w:color="999999"/>
              <w:bottom w:val="single" w:sz="16" w:space="0" w:color="000000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0.76 [0.66; 0.84]</w:t>
            </w:r>
          </w:p>
        </w:tc>
        <w:tc>
          <w:tcPr>
            <w:tcW w:w="1457" w:type="dxa"/>
            <w:tcBorders>
              <w:top w:val="single" w:sz="6" w:space="0" w:color="999999"/>
              <w:bottom w:val="single" w:sz="16" w:space="0" w:color="000000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0.86 [0.55; 0.98]</w:t>
            </w:r>
          </w:p>
        </w:tc>
        <w:tc>
          <w:tcPr>
            <w:tcW w:w="1457" w:type="dxa"/>
            <w:tcBorders>
              <w:top w:val="single" w:sz="6" w:space="0" w:color="999999"/>
              <w:bottom w:val="single" w:sz="16" w:space="0" w:color="000000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 [-0.12; 0.85]</w:t>
            </w:r>
          </w:p>
        </w:tc>
        <w:tc>
          <w:tcPr>
            <w:tcW w:w="1457" w:type="dxa"/>
            <w:tcBorders>
              <w:top w:val="single" w:sz="6" w:space="0" w:color="999999"/>
              <w:bottom w:val="single" w:sz="16" w:space="0" w:color="000000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0.84 [0.46; 0.98]</w:t>
            </w:r>
          </w:p>
        </w:tc>
        <w:tc>
          <w:tcPr>
            <w:tcW w:w="1457" w:type="dxa"/>
            <w:tcBorders>
              <w:top w:val="single" w:sz="6" w:space="0" w:color="999999"/>
              <w:bottom w:val="single" w:sz="16" w:space="0" w:color="000000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0.74 [0.3; 0.95]</w:t>
            </w:r>
          </w:p>
        </w:tc>
        <w:tc>
          <w:tcPr>
            <w:tcW w:w="1456" w:type="dxa"/>
            <w:tcBorders>
              <w:top w:val="single" w:sz="6" w:space="0" w:color="999999"/>
              <w:bottom w:val="single" w:sz="16" w:space="0" w:color="000000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0.25 [0.01; 0.72]</w:t>
            </w:r>
          </w:p>
        </w:tc>
        <w:tc>
          <w:tcPr>
            <w:tcW w:w="1459" w:type="dxa"/>
            <w:tcBorders>
              <w:top w:val="single" w:sz="6" w:space="0" w:color="999999"/>
              <w:bottom w:val="single" w:sz="16" w:space="0" w:color="000000"/>
            </w:tcBorders>
            <w:shd w:fill="EEEEEE" w:val="clea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0.71 [0.21; 0.95]</w:t>
            </w:r>
          </w:p>
        </w:tc>
      </w:tr>
    </w:tbl>
    <w:p>
      <w:pPr>
        <w:pStyle w:val="Table"/>
        <w:rPr>
          <w:b/>
          <w:bCs/>
          <w:u w:val="single"/>
        </w:rPr>
      </w:pPr>
      <w:r>
        <w:rPr>
          <w:b/>
          <w:bCs/>
          <w:u w:val="single"/>
        </w:rPr>
      </w:r>
      <w:r>
        <w:br w:type="page"/>
      </w:r>
    </w:p>
    <w:p>
      <w:pPr>
        <w:pStyle w:val="Table"/>
        <w:rPr/>
      </w:pPr>
      <w:r>
        <w:rPr>
          <w:b/>
          <w:bCs/>
          <w:u w:val="single"/>
        </w:rPr>
        <w:t>Supplementary Materials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SM</w:t>
      </w:r>
      <w:r>
        <w:rPr>
          <w:b/>
          <w:bCs/>
          <w:u w:val="single"/>
        </w:rPr>
        <w:fldChar w:fldCharType="begin"/>
      </w:r>
      <w:r>
        <w:rPr>
          <w:u w:val="single"/>
          <w:b/>
          <w:bCs/>
        </w:rPr>
        <w:instrText xml:space="preserve"> SEQ Table \* ARABIC </w:instrText>
      </w:r>
      <w:r>
        <w:rPr>
          <w:u w:val="single"/>
          <w:b/>
          <w:bCs/>
        </w:rPr>
        <w:fldChar w:fldCharType="separate"/>
      </w:r>
      <w:r>
        <w:rPr>
          <w:u w:val="single"/>
          <w:b/>
          <w:bCs/>
        </w:rPr>
        <w:t>2</w:t>
      </w:r>
      <w:r>
        <w:rPr>
          <w:u w:val="single"/>
          <w:b/>
          <w:bCs/>
        </w:rPr>
        <w:fldChar w:fldCharType="end"/>
      </w:r>
      <w:r>
        <w:rPr/>
        <w:t xml:space="preserve">: Summary of the best index, according to each score, over the sensitivity configurations. </w:t>
      </w:r>
      <w:r>
        <w:rPr/>
        <w:t>For each index, we show how many times it is the best scoring index, as a percentage (number of best score occurrence</w:t>
      </w:r>
      <w:r>
        <w:rPr/>
        <w:t>s</w:t>
      </w:r>
      <w:r>
        <w:rPr/>
        <w:t xml:space="preserve"> divided by number of configurations). </w:t>
      </w:r>
      <w:r>
        <w:rPr/>
        <w:t xml:space="preserve">We also show, for each group of configurations, the number of EM-DAT heatwaves that </w:t>
      </w:r>
      <w:r>
        <w:rPr/>
        <w:t>match heatwaves</w:t>
      </w:r>
      <w:r>
        <w:rPr/>
        <w:t xml:space="preserve"> </w:t>
      </w:r>
      <w:r>
        <w:rPr/>
        <w:t xml:space="preserve">identified </w:t>
      </w:r>
      <w:r>
        <w:rPr/>
        <w:t>by the CC3D scan, and the number of CC3D heatwaves (median [q5; q95], computed over the corresponding sensitivity configurations).</w:t>
      </w:r>
    </w:p>
    <w:tbl>
      <w:tblPr>
        <w:tblW w:w="14564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50"/>
        <w:gridCol w:w="627"/>
        <w:gridCol w:w="817"/>
        <w:gridCol w:w="900"/>
        <w:gridCol w:w="900"/>
        <w:gridCol w:w="900"/>
        <w:gridCol w:w="737"/>
        <w:gridCol w:w="890"/>
        <w:gridCol w:w="891"/>
        <w:gridCol w:w="890"/>
        <w:gridCol w:w="890"/>
        <w:gridCol w:w="891"/>
        <w:gridCol w:w="890"/>
        <w:gridCol w:w="886"/>
        <w:gridCol w:w="918"/>
        <w:gridCol w:w="1187"/>
      </w:tblGrid>
      <w:tr>
        <w:trPr>
          <w:tblHeader w:val="true"/>
        </w:trPr>
        <w:tc>
          <w:tcPr>
            <w:tcW w:w="1350" w:type="dxa"/>
            <w:tcBorders>
              <w:top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627" w:type="dxa"/>
            <w:tcBorders>
              <w:top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517" w:type="dxa"/>
            <w:gridSpan w:val="4"/>
            <w:tcBorders>
              <w:top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Pearson R</w:t>
            </w:r>
          </w:p>
        </w:tc>
        <w:tc>
          <w:tcPr>
            <w:tcW w:w="3408" w:type="dxa"/>
            <w:gridSpan w:val="4"/>
            <w:tcBorders>
              <w:top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AUC-ROC</w:t>
            </w:r>
          </w:p>
        </w:tc>
        <w:tc>
          <w:tcPr>
            <w:tcW w:w="3557" w:type="dxa"/>
            <w:gridSpan w:val="4"/>
            <w:tcBorders>
              <w:top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R²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EM-DAT match (max. 88)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Number heat-waves</w:t>
            </w: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detected </w:t>
            </w: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CC3D</w:t>
            </w:r>
          </w:p>
        </w:tc>
      </w:tr>
      <w:tr>
        <w:trPr>
          <w:tblHeader w:val="true"/>
        </w:trPr>
        <w:tc>
          <w:tcPr>
            <w:tcW w:w="135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627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817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Intensity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HWMId_sum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Exposed_population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HWMId_pop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Intensity</w:t>
            </w:r>
          </w:p>
        </w:tc>
        <w:tc>
          <w:tcPr>
            <w:tcW w:w="89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HWMId_sum</w:t>
            </w:r>
          </w:p>
        </w:tc>
        <w:tc>
          <w:tcPr>
            <w:tcW w:w="891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Exposed_population</w:t>
            </w:r>
          </w:p>
        </w:tc>
        <w:tc>
          <w:tcPr>
            <w:tcW w:w="89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HWMId_pop</w:t>
            </w:r>
          </w:p>
        </w:tc>
        <w:tc>
          <w:tcPr>
            <w:tcW w:w="89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Intensity</w:t>
            </w:r>
          </w:p>
        </w:tc>
        <w:tc>
          <w:tcPr>
            <w:tcW w:w="891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HWMId_sum</w:t>
            </w:r>
          </w:p>
        </w:tc>
        <w:tc>
          <w:tcPr>
            <w:tcW w:w="89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Exposed_population</w:t>
            </w:r>
          </w:p>
        </w:tc>
        <w:tc>
          <w:tcPr>
            <w:tcW w:w="886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HWMId_pop</w:t>
            </w:r>
          </w:p>
        </w:tc>
        <w:tc>
          <w:tcPr>
            <w:tcW w:w="918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/>
        <w:tc>
          <w:tcPr>
            <w:tcW w:w="135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All configs</w:t>
            </w:r>
          </w:p>
        </w:tc>
        <w:tc>
          <w:tcPr>
            <w:tcW w:w="6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8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62.5 %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37.5 %</w:t>
            </w:r>
          </w:p>
        </w:tc>
        <w:tc>
          <w:tcPr>
            <w:tcW w:w="73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47.9 %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16.7 %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35.4 %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62.5 %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37.5 %</w:t>
            </w:r>
          </w:p>
        </w:tc>
        <w:tc>
          <w:tcPr>
            <w:tcW w:w="91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 [23.0, 79.0]</w:t>
            </w:r>
          </w:p>
        </w:tc>
        <w:tc>
          <w:tcPr>
            <w:tcW w:w="118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[128.0, 357.0]</w:t>
            </w:r>
          </w:p>
        </w:tc>
      </w:tr>
      <w:tr>
        <w:trPr/>
        <w:tc>
          <w:tcPr>
            <w:tcW w:w="1350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Daily temperature variable</w:t>
            </w:r>
          </w:p>
        </w:tc>
        <w:tc>
          <w:tcPr>
            <w:tcW w:w="6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tx</w:t>
            </w:r>
          </w:p>
        </w:tc>
        <w:tc>
          <w:tcPr>
            <w:tcW w:w="8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100.0 %</w:t>
            </w:r>
          </w:p>
        </w:tc>
        <w:tc>
          <w:tcPr>
            <w:tcW w:w="73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12.5 %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87.5 %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100.0 %</w:t>
            </w:r>
          </w:p>
        </w:tc>
        <w:tc>
          <w:tcPr>
            <w:tcW w:w="91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69 [35.95, 83.25]</w:t>
            </w:r>
          </w:p>
        </w:tc>
        <w:tc>
          <w:tcPr>
            <w:tcW w:w="118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261 [114.85, 407.15]</w:t>
            </w:r>
          </w:p>
        </w:tc>
      </w:tr>
      <w:tr>
        <w:trPr/>
        <w:tc>
          <w:tcPr>
            <w:tcW w:w="1350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6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tg</w:t>
            </w:r>
          </w:p>
        </w:tc>
        <w:tc>
          <w:tcPr>
            <w:tcW w:w="8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87.5 %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12.5 %</w:t>
            </w:r>
          </w:p>
        </w:tc>
        <w:tc>
          <w:tcPr>
            <w:tcW w:w="73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81.2 %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6.2 %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12.5 %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87.5 %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12.5 %</w:t>
            </w:r>
          </w:p>
        </w:tc>
        <w:tc>
          <w:tcPr>
            <w:tcW w:w="91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45 [25.85, 65.25]</w:t>
            </w:r>
          </w:p>
        </w:tc>
        <w:tc>
          <w:tcPr>
            <w:tcW w:w="118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264 [148.35, 345.8]</w:t>
            </w:r>
          </w:p>
        </w:tc>
      </w:tr>
      <w:tr>
        <w:trPr/>
        <w:tc>
          <w:tcPr>
            <w:tcW w:w="1350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6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tn</w:t>
            </w:r>
          </w:p>
        </w:tc>
        <w:tc>
          <w:tcPr>
            <w:tcW w:w="8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100.0 %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73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62.5 %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31.2 %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6.2 %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100.0 %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1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 [21.2, 65.25]</w:t>
            </w:r>
          </w:p>
        </w:tc>
        <w:tc>
          <w:tcPr>
            <w:tcW w:w="118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[131.45, 312.95]</w:t>
            </w:r>
          </w:p>
        </w:tc>
      </w:tr>
      <w:tr>
        <w:trPr>
          <w:trHeight w:val="486" w:hRule="atLeast"/>
        </w:trPr>
        <w:tc>
          <w:tcPr>
            <w:tcW w:w="1350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Intensity t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hreshold value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(percentile)</w:t>
            </w:r>
          </w:p>
        </w:tc>
        <w:tc>
          <w:tcPr>
            <w:tcW w:w="6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90</w:t>
            </w:r>
          </w:p>
        </w:tc>
        <w:tc>
          <w:tcPr>
            <w:tcW w:w="8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66.7 %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33.3 %</w:t>
            </w:r>
          </w:p>
        </w:tc>
        <w:tc>
          <w:tcPr>
            <w:tcW w:w="73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37.5 %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25.0 %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37.5 %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66.7 %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33.3 %</w:t>
            </w:r>
          </w:p>
        </w:tc>
        <w:tc>
          <w:tcPr>
            <w:tcW w:w="91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61 [39.0, 81.0]</w:t>
            </w:r>
          </w:p>
        </w:tc>
        <w:tc>
          <w:tcPr>
            <w:tcW w:w="118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306 [228.35, 402.95]</w:t>
            </w:r>
          </w:p>
        </w:tc>
      </w:tr>
      <w:tr>
        <w:trPr/>
        <w:tc>
          <w:tcPr>
            <w:tcW w:w="1350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6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95</w:t>
            </w:r>
          </w:p>
        </w:tc>
        <w:tc>
          <w:tcPr>
            <w:tcW w:w="8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58.3 %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73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58.3 %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8.3 %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33.3 %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58.3 %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91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40 [22.0, 71.0]</w:t>
            </w:r>
          </w:p>
        </w:tc>
        <w:tc>
          <w:tcPr>
            <w:tcW w:w="118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215 [110.0, 312.0]</w:t>
            </w:r>
          </w:p>
        </w:tc>
      </w:tr>
      <w:tr>
        <w:trPr/>
        <w:tc>
          <w:tcPr>
            <w:tcW w:w="1350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Duration threshold</w:t>
            </w:r>
          </w:p>
        </w:tc>
        <w:tc>
          <w:tcPr>
            <w:tcW w:w="6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3</w:t>
            </w:r>
          </w:p>
        </w:tc>
        <w:tc>
          <w:tcPr>
            <w:tcW w:w="8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66.7 %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33.3 %</w:t>
            </w:r>
          </w:p>
        </w:tc>
        <w:tc>
          <w:tcPr>
            <w:tcW w:w="73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16.7 %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66.7 %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33.3 %</w:t>
            </w:r>
          </w:p>
        </w:tc>
        <w:tc>
          <w:tcPr>
            <w:tcW w:w="91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65 [43.6, 85.25]</w:t>
            </w:r>
          </w:p>
        </w:tc>
        <w:tc>
          <w:tcPr>
            <w:tcW w:w="118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310 [244.25, 409.95]</w:t>
            </w:r>
          </w:p>
        </w:tc>
      </w:tr>
      <w:tr>
        <w:trPr/>
        <w:tc>
          <w:tcPr>
            <w:tcW w:w="1350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6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4</w:t>
            </w:r>
          </w:p>
        </w:tc>
        <w:tc>
          <w:tcPr>
            <w:tcW w:w="8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66.7 %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33.3 %</w:t>
            </w:r>
          </w:p>
        </w:tc>
        <w:tc>
          <w:tcPr>
            <w:tcW w:w="73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16.7 %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33.3 %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66.7 %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33.3 %</w:t>
            </w:r>
          </w:p>
        </w:tc>
        <w:tc>
          <w:tcPr>
            <w:tcW w:w="91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56 [31.2, 79.0]</w:t>
            </w:r>
          </w:p>
        </w:tc>
        <w:tc>
          <w:tcPr>
            <w:tcW w:w="118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281 [191.0, 354.3]</w:t>
            </w:r>
          </w:p>
        </w:tc>
      </w:tr>
      <w:tr>
        <w:trPr/>
        <w:tc>
          <w:tcPr>
            <w:tcW w:w="1350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6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5</w:t>
            </w:r>
          </w:p>
        </w:tc>
        <w:tc>
          <w:tcPr>
            <w:tcW w:w="8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58.3 %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73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16.7 %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58.3 %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91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42 [23.9, 73.55]</w:t>
            </w:r>
          </w:p>
        </w:tc>
        <w:tc>
          <w:tcPr>
            <w:tcW w:w="118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251 [137.95, 314.65]</w:t>
            </w:r>
          </w:p>
        </w:tc>
      </w:tr>
      <w:tr>
        <w:trPr/>
        <w:tc>
          <w:tcPr>
            <w:tcW w:w="1350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6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6</w:t>
            </w:r>
          </w:p>
        </w:tc>
        <w:tc>
          <w:tcPr>
            <w:tcW w:w="8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58.3 %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73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58.3 %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16.7 %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25.0 %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58.3 %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91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36 [19.45, 63.75]</w:t>
            </w:r>
          </w:p>
        </w:tc>
        <w:tc>
          <w:tcPr>
            <w:tcW w:w="118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215 [92.15, 295.4]</w:t>
            </w:r>
          </w:p>
        </w:tc>
      </w:tr>
      <w:tr>
        <w:trPr>
          <w:trHeight w:val="447" w:hRule="atLeast"/>
        </w:trPr>
        <w:tc>
          <w:tcPr>
            <w:tcW w:w="1350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Baseline period end year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(start is 1975)</w:t>
            </w:r>
          </w:p>
        </w:tc>
        <w:tc>
          <w:tcPr>
            <w:tcW w:w="6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2005</w:t>
            </w:r>
          </w:p>
        </w:tc>
        <w:tc>
          <w:tcPr>
            <w:tcW w:w="8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66.7 %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33.3 %</w:t>
            </w:r>
          </w:p>
        </w:tc>
        <w:tc>
          <w:tcPr>
            <w:tcW w:w="73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8.3 %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66.7 %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33.3 %</w:t>
            </w:r>
          </w:p>
        </w:tc>
        <w:tc>
          <w:tcPr>
            <w:tcW w:w="91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55 [29.0, 79.0]</w:t>
            </w:r>
          </w:p>
        </w:tc>
        <w:tc>
          <w:tcPr>
            <w:tcW w:w="118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294 [184.0, 357.0]</w:t>
            </w:r>
          </w:p>
        </w:tc>
      </w:tr>
      <w:tr>
        <w:trPr>
          <w:trHeight w:val="532" w:hRule="atLeast"/>
        </w:trPr>
        <w:tc>
          <w:tcPr>
            <w:tcW w:w="1350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6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2021</w:t>
            </w:r>
          </w:p>
        </w:tc>
        <w:tc>
          <w:tcPr>
            <w:tcW w:w="8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58.3 %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73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45.8 %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25.0 %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29.2 %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58.3 %</w:t>
            </w:r>
          </w:p>
        </w:tc>
        <w:tc>
          <w:tcPr>
            <w:tcW w:w="89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41.7 %</w:t>
            </w:r>
          </w:p>
        </w:tc>
        <w:tc>
          <w:tcPr>
            <w:tcW w:w="91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43 [22.0, 79.0]</w:t>
            </w:r>
          </w:p>
        </w:tc>
        <w:tc>
          <w:tcPr>
            <w:tcW w:w="118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240 [110.0, 349.95]</w:t>
            </w:r>
          </w:p>
        </w:tc>
      </w:tr>
      <w:tr>
        <w:trPr>
          <w:trHeight w:val="733" w:hRule="atLeast"/>
        </w:trPr>
        <w:tc>
          <w:tcPr>
            <w:tcW w:w="135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onnec-tivity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(CC3D parameter)</w:t>
            </w:r>
          </w:p>
        </w:tc>
        <w:tc>
          <w:tcPr>
            <w:tcW w:w="627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26</w:t>
            </w:r>
          </w:p>
        </w:tc>
        <w:tc>
          <w:tcPr>
            <w:tcW w:w="817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62.5 %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37.5 %</w:t>
            </w:r>
          </w:p>
        </w:tc>
        <w:tc>
          <w:tcPr>
            <w:tcW w:w="737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47.9 %</w:t>
            </w:r>
          </w:p>
        </w:tc>
        <w:tc>
          <w:tcPr>
            <w:tcW w:w="891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16.7 %</w:t>
            </w:r>
          </w:p>
        </w:tc>
        <w:tc>
          <w:tcPr>
            <w:tcW w:w="890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35.4 %</w:t>
            </w:r>
          </w:p>
        </w:tc>
        <w:tc>
          <w:tcPr>
            <w:tcW w:w="890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62.5 %</w:t>
            </w:r>
          </w:p>
        </w:tc>
        <w:tc>
          <w:tcPr>
            <w:tcW w:w="890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37.5 %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 [24.75, 79.0]</w:t>
            </w:r>
          </w:p>
        </w:tc>
        <w:tc>
          <w:tcPr>
            <w:tcW w:w="1187" w:type="dxa"/>
            <w:tcBorders>
              <w:top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[130.8, 353.85]</w:t>
            </w:r>
          </w:p>
        </w:tc>
      </w:tr>
      <w:tr>
        <w:trPr>
          <w:trHeight w:val="749" w:hRule="atLeast"/>
        </w:trPr>
        <w:tc>
          <w:tcPr>
            <w:tcW w:w="1350" w:type="dxa"/>
            <w:vMerge w:val="continue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Normal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627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18</w:t>
            </w:r>
          </w:p>
        </w:tc>
        <w:tc>
          <w:tcPr>
            <w:tcW w:w="817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62.5 %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37.5 %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0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47.9 %</w:t>
            </w:r>
          </w:p>
        </w:tc>
        <w:tc>
          <w:tcPr>
            <w:tcW w:w="891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16.7 %</w:t>
            </w:r>
          </w:p>
        </w:tc>
        <w:tc>
          <w:tcPr>
            <w:tcW w:w="890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35.4 %</w:t>
            </w:r>
          </w:p>
        </w:tc>
        <w:tc>
          <w:tcPr>
            <w:tcW w:w="890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91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62.5 %</w:t>
            </w:r>
          </w:p>
        </w:tc>
        <w:tc>
          <w:tcPr>
            <w:tcW w:w="890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0.0 %</w:t>
            </w:r>
          </w:p>
        </w:tc>
        <w:tc>
          <w:tcPr>
            <w:tcW w:w="886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37.5 %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 [24.75, 79.0]</w:t>
            </w:r>
          </w:p>
        </w:tc>
        <w:tc>
          <w:tcPr>
            <w:tcW w:w="1187" w:type="dxa"/>
            <w:tcBorders>
              <w:bottom w:val="single" w:sz="4" w:space="0" w:color="000000"/>
            </w:tcBorders>
            <w:shd w:fill="EEEEEE" w:val="clear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[130.8, 354.9]</w:t>
            </w:r>
          </w:p>
        </w:tc>
      </w:tr>
    </w:tbl>
    <w:p>
      <w:pPr>
        <w:pStyle w:val="BodyText"/>
        <w:rPr/>
      </w:pPr>
      <w:r>
        <w:rPr/>
      </w:r>
      <w:r>
        <w:br w:type="page"/>
      </w:r>
    </w:p>
    <w:p>
      <w:pPr>
        <w:pStyle w:val="Table"/>
        <w:rPr/>
      </w:pPr>
      <w:r>
        <w:rPr>
          <w:b/>
          <w:bCs/>
          <w:u w:val="single"/>
        </w:rPr>
        <w:t>Supplementary Materials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SM</w:t>
      </w:r>
      <w:r>
        <w:rPr>
          <w:b/>
          <w:bCs/>
          <w:u w:val="single"/>
        </w:rPr>
        <w:fldChar w:fldCharType="begin"/>
      </w:r>
      <w:r>
        <w:rPr>
          <w:u w:val="single"/>
          <w:b/>
          <w:bCs/>
        </w:rPr>
        <w:instrText xml:space="preserve"> SEQ Table \* ARABIC </w:instrText>
      </w:r>
      <w:r>
        <w:rPr>
          <w:u w:val="single"/>
          <w:b/>
          <w:bCs/>
        </w:rPr>
        <w:fldChar w:fldCharType="separate"/>
      </w:r>
      <w:r>
        <w:rPr>
          <w:u w:val="single"/>
          <w:b/>
          <w:bCs/>
        </w:rPr>
        <w:t>3</w:t>
      </w:r>
      <w:r>
        <w:rPr>
          <w:u w:val="single"/>
          <w:b/>
          <w:bCs/>
        </w:rPr>
        <w:fldChar w:fldCharType="end"/>
      </w:r>
      <w:r>
        <w:rPr/>
        <w:t xml:space="preserve">: Summary of </w:t>
      </w:r>
      <w:r>
        <w:rPr/>
        <w:t>AUC-ROC scores</w:t>
      </w:r>
      <w:r>
        <w:rPr/>
        <w:t xml:space="preserve"> for the 4 indices, over sensitivity configurations. The line "</w:t>
      </w:r>
      <w:r>
        <w:rPr/>
        <w:t>All configs</w:t>
      </w:r>
      <w:r>
        <w:rPr/>
        <w:t xml:space="preserve">" corresponds to the </w:t>
      </w:r>
      <w:r>
        <w:rPr/>
        <w:t>distribution</w:t>
      </w:r>
      <w:r>
        <w:rPr/>
        <w:t xml:space="preserve"> over all sensitivity configurations. For other lines, one parameter is set to a given value </w:t>
      </w:r>
      <w:r>
        <w:rPr/>
        <w:t>(given by the first two columns)</w:t>
      </w:r>
      <w:r>
        <w:rPr/>
        <w:t>, and we compute the distribution over the corresponding sensitivity configuration</w:t>
      </w:r>
      <w:r>
        <w:rPr/>
        <w:t>s</w:t>
      </w:r>
      <w:r>
        <w:rPr/>
        <w:t xml:space="preserve">. </w:t>
      </w:r>
      <w:r>
        <w:rPr/>
        <w:t xml:space="preserve">For each configuration (=1 given combination of parameters), we initially compute </w:t>
      </w:r>
      <w:r>
        <w:rPr/>
        <w:t>a 10’000 samples bootstrap to obtain a best estimate of the correlation coefficient (median)</w:t>
      </w:r>
      <w:r>
        <w:rPr/>
        <w:t xml:space="preserve"> along with a 90 % confidence interval. Here, f</w:t>
      </w:r>
      <w:r>
        <w:rPr/>
        <w:t xml:space="preserve">or all </w:t>
      </w:r>
      <w:r>
        <w:rPr/>
        <w:t>indices</w:t>
      </w:r>
      <w:r>
        <w:rPr/>
        <w:t xml:space="preserve">, we show the median, the 5th quantile and the 95th quantile of the distribution of the median </w:t>
      </w:r>
      <w:r>
        <w:rPr/>
        <w:t>scores</w:t>
      </w:r>
      <w:r>
        <w:rPr/>
        <w:t xml:space="preserve"> of all corresponding sensitivity configurations. </w:t>
      </w:r>
      <w:r>
        <w:rPr/>
        <w:t xml:space="preserve">We also show, for each group of configurations, the number of EM-DAT heatwaves that </w:t>
      </w:r>
      <w:r>
        <w:rPr/>
        <w:t>match heatwaves</w:t>
      </w:r>
      <w:r>
        <w:rPr/>
        <w:t xml:space="preserve"> </w:t>
      </w:r>
      <w:r>
        <w:rPr/>
        <w:t xml:space="preserve">identified </w:t>
      </w:r>
      <w:r>
        <w:rPr/>
        <w:t>by the CC3D scan, and the number of CC3D heatwaves (median [q5; q95], computed over the corresponding sensitivity configurations).</w:t>
      </w:r>
    </w:p>
    <w:tbl>
      <w:tblPr>
        <w:tblW w:w="14564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17"/>
        <w:gridCol w:w="1027"/>
        <w:gridCol w:w="1829"/>
        <w:gridCol w:w="1882"/>
        <w:gridCol w:w="1904"/>
        <w:gridCol w:w="1886"/>
        <w:gridCol w:w="2060"/>
        <w:gridCol w:w="2059"/>
      </w:tblGrid>
      <w:tr>
        <w:trPr>
          <w:tblHeader w:val="true"/>
        </w:trPr>
        <w:tc>
          <w:tcPr>
            <w:tcW w:w="1917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29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Intensity</w:t>
            </w:r>
          </w:p>
        </w:tc>
        <w:tc>
          <w:tcPr>
            <w:tcW w:w="1882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HWMId_sum</w:t>
            </w:r>
          </w:p>
        </w:tc>
        <w:tc>
          <w:tcPr>
            <w:tcW w:w="1904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Exposed_population</w:t>
            </w:r>
          </w:p>
        </w:tc>
        <w:tc>
          <w:tcPr>
            <w:tcW w:w="1886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HWMId_pop</w:t>
            </w:r>
          </w:p>
        </w:tc>
        <w:tc>
          <w:tcPr>
            <w:tcW w:w="2060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EM-DAT match (max. 88)</w:t>
            </w:r>
          </w:p>
        </w:tc>
        <w:tc>
          <w:tcPr>
            <w:tcW w:w="2059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Number heatwaves</w:t>
            </w: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detected </w:t>
            </w: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CC3D</w:t>
            </w:r>
          </w:p>
        </w:tc>
      </w:tr>
      <w:tr>
        <w:trPr/>
        <w:tc>
          <w:tcPr>
            <w:tcW w:w="19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All configs</w:t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2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0.62 [0.56, 0.7]</w:t>
            </w:r>
          </w:p>
        </w:tc>
        <w:tc>
          <w:tcPr>
            <w:tcW w:w="18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0.72 [0.62, 0.83]</w:t>
            </w:r>
          </w:p>
        </w:tc>
        <w:tc>
          <w:tcPr>
            <w:tcW w:w="1904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0.72 [0.5, 0.81]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0.72 [0.56, 0.83]</w:t>
            </w:r>
          </w:p>
        </w:tc>
        <w:tc>
          <w:tcPr>
            <w:tcW w:w="206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 [23.0; 79.0]</w:t>
            </w:r>
          </w:p>
        </w:tc>
        <w:tc>
          <w:tcPr>
            <w:tcW w:w="205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[128.0, 357.0]</w:t>
            </w:r>
          </w:p>
        </w:tc>
      </w:tr>
      <w:tr>
        <w:trPr/>
        <w:tc>
          <w:tcPr>
            <w:tcW w:w="1917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Daily 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temperature variable</w:t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tx</w:t>
            </w:r>
          </w:p>
        </w:tc>
        <w:tc>
          <w:tcPr>
            <w:tcW w:w="182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0.65 [0.59, 0.71]</w:t>
            </w:r>
          </w:p>
        </w:tc>
        <w:tc>
          <w:tcPr>
            <w:tcW w:w="18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0.75 [0.67, 0.8]</w:t>
            </w:r>
          </w:p>
        </w:tc>
        <w:tc>
          <w:tcPr>
            <w:tcW w:w="1904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0.77 [0.68, 0.83]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0.79 [0.72, 0.84]</w:t>
            </w:r>
          </w:p>
        </w:tc>
        <w:tc>
          <w:tcPr>
            <w:tcW w:w="206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69 [35.95; 83.25]</w:t>
            </w:r>
          </w:p>
        </w:tc>
        <w:tc>
          <w:tcPr>
            <w:tcW w:w="205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261 [114.85, 407.15]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tg</w:t>
            </w:r>
          </w:p>
        </w:tc>
        <w:tc>
          <w:tcPr>
            <w:tcW w:w="182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0.65 [0.56, 0.68]</w:t>
            </w:r>
          </w:p>
        </w:tc>
        <w:tc>
          <w:tcPr>
            <w:tcW w:w="18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0.73 [0.61, 0.83]</w:t>
            </w:r>
          </w:p>
        </w:tc>
        <w:tc>
          <w:tcPr>
            <w:tcW w:w="1904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0.69 [0.54, 0.81]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0.69 [0.58, 0.82]</w:t>
            </w:r>
          </w:p>
        </w:tc>
        <w:tc>
          <w:tcPr>
            <w:tcW w:w="206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45 [25.85; 65.25]</w:t>
            </w:r>
          </w:p>
        </w:tc>
        <w:tc>
          <w:tcPr>
            <w:tcW w:w="205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264 [148.35, 345.8]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tn</w:t>
            </w:r>
          </w:p>
        </w:tc>
        <w:tc>
          <w:tcPr>
            <w:tcW w:w="182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 [0.55, 0.69]</w:t>
            </w:r>
          </w:p>
        </w:tc>
        <w:tc>
          <w:tcPr>
            <w:tcW w:w="18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0.67 [0.62, 0.83]</w:t>
            </w:r>
          </w:p>
        </w:tc>
        <w:tc>
          <w:tcPr>
            <w:tcW w:w="1904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0.63 [0.5, 0.81]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0.64 [0.55, 0.81]</w:t>
            </w:r>
          </w:p>
        </w:tc>
        <w:tc>
          <w:tcPr>
            <w:tcW w:w="206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 [21.2; 65.25]</w:t>
            </w:r>
          </w:p>
        </w:tc>
        <w:tc>
          <w:tcPr>
            <w:tcW w:w="205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[131.45, 312.95]</w:t>
            </w:r>
          </w:p>
        </w:tc>
      </w:tr>
      <w:tr>
        <w:trPr>
          <w:trHeight w:val="419" w:hRule="atLeast"/>
        </w:trPr>
        <w:tc>
          <w:tcPr>
            <w:tcW w:w="1917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Intensity t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hreshold value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(percentile)</w:t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90</w:t>
            </w:r>
          </w:p>
        </w:tc>
        <w:tc>
          <w:tcPr>
            <w:tcW w:w="182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0.66 [0.58, 0.73]</w:t>
            </w:r>
          </w:p>
        </w:tc>
        <w:tc>
          <w:tcPr>
            <w:tcW w:w="18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0.76 [0.66, 0.83]</w:t>
            </w:r>
          </w:p>
        </w:tc>
        <w:tc>
          <w:tcPr>
            <w:tcW w:w="1904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0.77 [0.65, 0.83]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0.76 [0.63, 0.83]</w:t>
            </w:r>
          </w:p>
        </w:tc>
        <w:tc>
          <w:tcPr>
            <w:tcW w:w="206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61 [39.0; 81.0]</w:t>
            </w:r>
          </w:p>
        </w:tc>
        <w:tc>
          <w:tcPr>
            <w:tcW w:w="205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306 [228.35, 402.95]</w:t>
            </w:r>
          </w:p>
        </w:tc>
      </w:tr>
      <w:tr>
        <w:trPr>
          <w:trHeight w:val="553" w:hRule="atLeast"/>
        </w:trPr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95</w:t>
            </w:r>
          </w:p>
        </w:tc>
        <w:tc>
          <w:tcPr>
            <w:tcW w:w="182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0.61 [0.54, 0.67]</w:t>
            </w:r>
          </w:p>
        </w:tc>
        <w:tc>
          <w:tcPr>
            <w:tcW w:w="18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0.69 [0.61, 0.76]</w:t>
            </w:r>
          </w:p>
        </w:tc>
        <w:tc>
          <w:tcPr>
            <w:tcW w:w="1904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0.65 [0.5, 0.8]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0.66 [0.54, 0.81]</w:t>
            </w:r>
          </w:p>
        </w:tc>
        <w:tc>
          <w:tcPr>
            <w:tcW w:w="206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40 [22.0; 71.0]</w:t>
            </w:r>
          </w:p>
        </w:tc>
        <w:tc>
          <w:tcPr>
            <w:tcW w:w="205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215 [110.0, 312.0]</w:t>
            </w:r>
          </w:p>
        </w:tc>
      </w:tr>
      <w:tr>
        <w:trPr/>
        <w:tc>
          <w:tcPr>
            <w:tcW w:w="1917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Duration threshold</w:t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82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0.65 [0.6, 0.72]</w:t>
            </w:r>
          </w:p>
        </w:tc>
        <w:tc>
          <w:tcPr>
            <w:tcW w:w="18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0.75 [0.67, 0.83]</w:t>
            </w:r>
          </w:p>
        </w:tc>
        <w:tc>
          <w:tcPr>
            <w:tcW w:w="1904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0.77 [0.62, 0.82]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0.77 [0.62, 0.83]</w:t>
            </w:r>
          </w:p>
        </w:tc>
        <w:tc>
          <w:tcPr>
            <w:tcW w:w="206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65 [43.6; 85.25]</w:t>
            </w:r>
          </w:p>
        </w:tc>
        <w:tc>
          <w:tcPr>
            <w:tcW w:w="205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310 [244.25, 409.95]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82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0.62 [0.57, 0.72]</w:t>
            </w:r>
          </w:p>
        </w:tc>
        <w:tc>
          <w:tcPr>
            <w:tcW w:w="18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0.73 [0.63, 0.84]</w:t>
            </w:r>
          </w:p>
        </w:tc>
        <w:tc>
          <w:tcPr>
            <w:tcW w:w="1904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0.74 [0.56, 0.84]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0.75 [0.58, 0.85]</w:t>
            </w:r>
          </w:p>
        </w:tc>
        <w:tc>
          <w:tcPr>
            <w:tcW w:w="206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56 [31.2; 79.0]</w:t>
            </w:r>
          </w:p>
        </w:tc>
        <w:tc>
          <w:tcPr>
            <w:tcW w:w="205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281 [191.0, 354.3]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182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0.63 [0.55, 0.69]</w:t>
            </w:r>
          </w:p>
        </w:tc>
        <w:tc>
          <w:tcPr>
            <w:tcW w:w="18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 [0.61, 0.77]</w:t>
            </w:r>
          </w:p>
        </w:tc>
        <w:tc>
          <w:tcPr>
            <w:tcW w:w="1904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0.71 [0.51, 0.79]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0.71 [0.54, 0.8]</w:t>
            </w:r>
          </w:p>
        </w:tc>
        <w:tc>
          <w:tcPr>
            <w:tcW w:w="206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42 [23.9; 73.55]</w:t>
            </w:r>
          </w:p>
        </w:tc>
        <w:tc>
          <w:tcPr>
            <w:tcW w:w="205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251 [137.95, 314.65]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</w:p>
        </w:tc>
        <w:tc>
          <w:tcPr>
            <w:tcW w:w="182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 [0.54, 0.67]</w:t>
            </w:r>
          </w:p>
        </w:tc>
        <w:tc>
          <w:tcPr>
            <w:tcW w:w="18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0.67 [0.61, 0.76]</w:t>
            </w:r>
          </w:p>
        </w:tc>
        <w:tc>
          <w:tcPr>
            <w:tcW w:w="1904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0.66 [0.48, 0.77]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0.63 [0.55, 0.8]</w:t>
            </w:r>
          </w:p>
        </w:tc>
        <w:tc>
          <w:tcPr>
            <w:tcW w:w="206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36 [19.45; 63.75]</w:t>
            </w:r>
          </w:p>
        </w:tc>
        <w:tc>
          <w:tcPr>
            <w:tcW w:w="205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215 [92.15, 295.4]</w:t>
            </w:r>
          </w:p>
        </w:tc>
      </w:tr>
      <w:tr>
        <w:trPr>
          <w:trHeight w:val="427" w:hRule="atLeast"/>
        </w:trPr>
        <w:tc>
          <w:tcPr>
            <w:tcW w:w="1917" w:type="dxa"/>
            <w:vMerge w:val="restart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Baseline period end year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(start is 1975)</w:t>
            </w:r>
          </w:p>
        </w:tc>
        <w:tc>
          <w:tcPr>
            <w:tcW w:w="1027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2005</w:t>
            </w:r>
          </w:p>
        </w:tc>
        <w:tc>
          <w:tcPr>
            <w:tcW w:w="1829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0.63 [0.56, 0.73]</w:t>
            </w:r>
          </w:p>
        </w:tc>
        <w:tc>
          <w:tcPr>
            <w:tcW w:w="1882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0.75 [0.63, 0.83]</w:t>
            </w:r>
          </w:p>
        </w:tc>
        <w:tc>
          <w:tcPr>
            <w:tcW w:w="1904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0.74 [0.55, 0.83]</w:t>
            </w:r>
          </w:p>
        </w:tc>
        <w:tc>
          <w:tcPr>
            <w:tcW w:w="1886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0.74 [0.58, 0.83]</w:t>
            </w:r>
          </w:p>
        </w:tc>
        <w:tc>
          <w:tcPr>
            <w:tcW w:w="2060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55 [29.0; 79.0]</w:t>
            </w:r>
          </w:p>
        </w:tc>
        <w:tc>
          <w:tcPr>
            <w:tcW w:w="2059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294 [184.0, 357.0]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2021</w:t>
            </w:r>
          </w:p>
        </w:tc>
        <w:tc>
          <w:tcPr>
            <w:tcW w:w="182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0.62 [0.57, 0.68]</w:t>
            </w:r>
          </w:p>
        </w:tc>
        <w:tc>
          <w:tcPr>
            <w:tcW w:w="18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 [0.61, 0.77]</w:t>
            </w:r>
          </w:p>
        </w:tc>
        <w:tc>
          <w:tcPr>
            <w:tcW w:w="1904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 [0.5, 0.78]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 [0.54, 0.8]</w:t>
            </w:r>
          </w:p>
        </w:tc>
        <w:tc>
          <w:tcPr>
            <w:tcW w:w="206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43 [22.0; 79.0]</w:t>
            </w:r>
          </w:p>
        </w:tc>
        <w:tc>
          <w:tcPr>
            <w:tcW w:w="2059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240 [110.0, 349.95]</w:t>
            </w:r>
          </w:p>
        </w:tc>
      </w:tr>
      <w:tr>
        <w:trPr>
          <w:trHeight w:val="376" w:hRule="atLeast"/>
        </w:trPr>
        <w:tc>
          <w:tcPr>
            <w:tcW w:w="1917" w:type="dxa"/>
            <w:vMerge w:val="restart"/>
            <w:tcBorders>
              <w:top w:val="single" w:sz="4" w:space="0" w:color="000000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Connectivity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(CC3D parameter)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</w:t>
            </w:r>
          </w:p>
        </w:tc>
        <w:tc>
          <w:tcPr>
            <w:tcW w:w="1829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0.62 [0.56, 0.7]</w:t>
            </w:r>
          </w:p>
        </w:tc>
        <w:tc>
          <w:tcPr>
            <w:tcW w:w="1882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0.72 [0.62, 0.83]</w:t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0.72 [0.52, 0.81]</w:t>
            </w:r>
          </w:p>
        </w:tc>
        <w:tc>
          <w:tcPr>
            <w:tcW w:w="1886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0.72 [0.57, 0.83]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 [24.75; 79.0]</w:t>
            </w:r>
          </w:p>
        </w:tc>
        <w:tc>
          <w:tcPr>
            <w:tcW w:w="2059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[130.8, 353.85]</w:t>
            </w:r>
          </w:p>
        </w:tc>
      </w:tr>
      <w:tr>
        <w:trPr/>
        <w:tc>
          <w:tcPr>
            <w:tcW w:w="1917" w:type="dxa"/>
            <w:vMerge w:val="continue"/>
            <w:tcBorders>
              <w:top w:val="single" w:sz="6" w:space="0" w:color="999999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</w:t>
            </w:r>
          </w:p>
        </w:tc>
        <w:tc>
          <w:tcPr>
            <w:tcW w:w="1829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0.62 [0.56, 0.7]</w:t>
            </w:r>
          </w:p>
        </w:tc>
        <w:tc>
          <w:tcPr>
            <w:tcW w:w="1882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0.72 [0.62, 0.83]</w:t>
            </w:r>
          </w:p>
        </w:tc>
        <w:tc>
          <w:tcPr>
            <w:tcW w:w="1904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0.72 [0.51, 0.81]</w:t>
            </w:r>
          </w:p>
        </w:tc>
        <w:tc>
          <w:tcPr>
            <w:tcW w:w="1886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0.72 [0.57, 0.83]</w:t>
            </w:r>
          </w:p>
        </w:tc>
        <w:tc>
          <w:tcPr>
            <w:tcW w:w="2060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 [24.75; 79.0]</w:t>
            </w:r>
          </w:p>
        </w:tc>
        <w:tc>
          <w:tcPr>
            <w:tcW w:w="2059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[130.8, 354.9]</w:t>
            </w:r>
          </w:p>
        </w:tc>
      </w:tr>
    </w:tbl>
    <w:p>
      <w:pPr>
        <w:pStyle w:val="BodyText"/>
        <w:rPr/>
      </w:pPr>
      <w:r>
        <w:rPr/>
      </w:r>
      <w:r>
        <w:br w:type="page"/>
      </w:r>
    </w:p>
    <w:p>
      <w:pPr>
        <w:pStyle w:val="Table"/>
        <w:keepNext w:val="true"/>
        <w:rPr/>
      </w:pPr>
      <w:r>
        <w:rPr>
          <w:b/>
          <w:bCs/>
          <w:u w:val="single"/>
        </w:rPr>
        <w:t>Supplementary Materials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SM</w:t>
      </w:r>
      <w:r>
        <w:rPr>
          <w:b/>
          <w:bCs/>
          <w:u w:val="single"/>
        </w:rPr>
        <w:fldChar w:fldCharType="begin"/>
      </w:r>
      <w:r>
        <w:rPr>
          <w:u w:val="single"/>
          <w:b/>
          <w:bCs/>
        </w:rPr>
        <w:instrText xml:space="preserve"> SEQ Table \* ARABIC </w:instrText>
      </w:r>
      <w:r>
        <w:rPr>
          <w:u w:val="single"/>
          <w:b/>
          <w:bCs/>
        </w:rPr>
        <w:fldChar w:fldCharType="separate"/>
      </w:r>
      <w:r>
        <w:rPr>
          <w:u w:val="single"/>
          <w:b/>
          <w:bCs/>
        </w:rPr>
        <w:t>4</w:t>
      </w:r>
      <w:r>
        <w:rPr>
          <w:u w:val="single"/>
          <w:b/>
          <w:bCs/>
        </w:rPr>
        <w:fldChar w:fldCharType="end"/>
      </w:r>
      <w:r>
        <w:rPr/>
        <w:t xml:space="preserve">: Summary of </w:t>
      </w:r>
      <w:r>
        <w:rPr/>
        <w:t>Pearson correlation co</w:t>
      </w:r>
      <w:r>
        <w:rPr/>
        <w:t>efficients</w:t>
      </w:r>
      <w:r>
        <w:rPr/>
        <w:t xml:space="preserve"> for the 4 indices, over sensitivity configurations. The line "</w:t>
      </w:r>
      <w:r>
        <w:rPr/>
        <w:t>All configs</w:t>
      </w:r>
      <w:r>
        <w:rPr/>
        <w:t xml:space="preserve">" corresponds to the </w:t>
      </w:r>
      <w:r>
        <w:rPr/>
        <w:t>distribution</w:t>
      </w:r>
      <w:r>
        <w:rPr/>
        <w:t xml:space="preserve"> over all sensitivity configurations. For other lines, one parameter is set to a given value </w:t>
      </w:r>
      <w:r>
        <w:rPr/>
        <w:t>(given by the first two columns)</w:t>
      </w:r>
      <w:r>
        <w:rPr/>
        <w:t>, and we compute the distribution over the corresponding sensitivity configuration</w:t>
      </w:r>
      <w:r>
        <w:rPr/>
        <w:t>s</w:t>
      </w:r>
      <w:r>
        <w:rPr/>
        <w:t xml:space="preserve">. </w:t>
      </w:r>
      <w:r>
        <w:rPr/>
        <w:t xml:space="preserve">For each configuration (=1 given combination of parameters), we initially compute </w:t>
      </w:r>
      <w:r>
        <w:rPr/>
        <w:t>a 10’000 samples bootstrap to obtain a best estimate of the correlation coefficient (median)</w:t>
      </w:r>
      <w:r>
        <w:rPr/>
        <w:t xml:space="preserve"> along with a 90 % confidence interval. Here, f</w:t>
      </w:r>
      <w:r>
        <w:rPr/>
        <w:t xml:space="preserve">or all </w:t>
      </w:r>
      <w:r>
        <w:rPr/>
        <w:t>indices</w:t>
      </w:r>
      <w:r>
        <w:rPr/>
        <w:t xml:space="preserve">, we show the median, the 5th quantile and the 95th quantile of the distribution of the median </w:t>
      </w:r>
      <w:r>
        <w:rPr/>
        <w:t>scores</w:t>
      </w:r>
      <w:r>
        <w:rPr/>
        <w:t xml:space="preserve"> of all corresponding sensitivity configurations. </w:t>
      </w:r>
      <w:r>
        <w:rPr/>
        <w:t xml:space="preserve">We also show, for each group of configurations, the number of EM-DAT heatwaves that </w:t>
      </w:r>
      <w:r>
        <w:rPr/>
        <w:t>match heatwaves</w:t>
      </w:r>
      <w:r>
        <w:rPr/>
        <w:t xml:space="preserve"> </w:t>
      </w:r>
      <w:r>
        <w:rPr/>
        <w:t xml:space="preserve">identified </w:t>
      </w:r>
      <w:r>
        <w:rPr/>
        <w:t>by the CC3D scan, and the number of CC3D heatwaves (median [q5; q95], computed over the corresponding sensitivity configurations).</w:t>
      </w:r>
    </w:p>
    <w:tbl>
      <w:tblPr>
        <w:tblW w:w="14564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17"/>
        <w:gridCol w:w="1027"/>
        <w:gridCol w:w="1733"/>
        <w:gridCol w:w="1800"/>
        <w:gridCol w:w="2082"/>
        <w:gridCol w:w="1791"/>
        <w:gridCol w:w="2073"/>
        <w:gridCol w:w="2141"/>
      </w:tblGrid>
      <w:tr>
        <w:trPr>
          <w:tblHeader w:val="true"/>
        </w:trPr>
        <w:tc>
          <w:tcPr>
            <w:tcW w:w="1917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33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Intensity</w:t>
            </w:r>
          </w:p>
        </w:tc>
        <w:tc>
          <w:tcPr>
            <w:tcW w:w="1800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HWMId_sum</w:t>
            </w:r>
          </w:p>
        </w:tc>
        <w:tc>
          <w:tcPr>
            <w:tcW w:w="2082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Exposed_population</w:t>
            </w:r>
          </w:p>
        </w:tc>
        <w:tc>
          <w:tcPr>
            <w:tcW w:w="1791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HWMId_pop</w:t>
            </w:r>
          </w:p>
        </w:tc>
        <w:tc>
          <w:tcPr>
            <w:tcW w:w="2073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EM-DAT match (max. 88)</w:t>
            </w:r>
          </w:p>
        </w:tc>
        <w:tc>
          <w:tcPr>
            <w:tcW w:w="2141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Number heatwaves</w:t>
            </w: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detected </w:t>
            </w: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CC3D</w:t>
            </w:r>
          </w:p>
        </w:tc>
      </w:tr>
      <w:tr>
        <w:trPr/>
        <w:tc>
          <w:tcPr>
            <w:tcW w:w="19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All configs</w:t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0.25 [0.08, 0.58]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0.76 [0.67, 0.86]</w:t>
            </w:r>
          </w:p>
        </w:tc>
        <w:tc>
          <w:tcPr>
            <w:tcW w:w="20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0.51 [0.35, 0.81]</w:t>
            </w:r>
          </w:p>
        </w:tc>
        <w:tc>
          <w:tcPr>
            <w:tcW w:w="17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0.67 [0.5, 0.91]</w:t>
            </w:r>
          </w:p>
        </w:tc>
        <w:tc>
          <w:tcPr>
            <w:tcW w:w="207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50.0 [23.0; 79.0]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[128.0, 357.0]</w:t>
            </w:r>
          </w:p>
        </w:tc>
      </w:tr>
      <w:tr>
        <w:trPr/>
        <w:tc>
          <w:tcPr>
            <w:tcW w:w="1917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Daily 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temperature variable</w:t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tx</w:t>
            </w:r>
          </w:p>
        </w:tc>
        <w:tc>
          <w:tcPr>
            <w:tcW w:w="17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0.41 [0.33, 0.67]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 [0.65, 0.76]</w:t>
            </w:r>
          </w:p>
        </w:tc>
        <w:tc>
          <w:tcPr>
            <w:tcW w:w="20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0.59 [0.44, 0.78]</w:t>
            </w:r>
          </w:p>
        </w:tc>
        <w:tc>
          <w:tcPr>
            <w:tcW w:w="17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0.82 [0.75, 0.9]</w:t>
            </w:r>
          </w:p>
        </w:tc>
        <w:tc>
          <w:tcPr>
            <w:tcW w:w="207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69.0 [35.95; 83.25]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261 [114.85, 407.15]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tg</w:t>
            </w:r>
          </w:p>
        </w:tc>
        <w:tc>
          <w:tcPr>
            <w:tcW w:w="17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0.19 [0.1, 0.4]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 [0.74, 0.9]</w:t>
            </w:r>
          </w:p>
        </w:tc>
        <w:tc>
          <w:tcPr>
            <w:tcW w:w="20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0.45 [0.34, 0.85]</w:t>
            </w:r>
          </w:p>
        </w:tc>
        <w:tc>
          <w:tcPr>
            <w:tcW w:w="17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0.64 [0.56, 0.95]</w:t>
            </w:r>
          </w:p>
        </w:tc>
        <w:tc>
          <w:tcPr>
            <w:tcW w:w="207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45.0 [25.85; 65.25]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264 [148.35, 345.8]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tn</w:t>
            </w:r>
          </w:p>
        </w:tc>
        <w:tc>
          <w:tcPr>
            <w:tcW w:w="17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0.15 [0.04, 0.28]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0.77 [0.65, 0.87]</w:t>
            </w:r>
          </w:p>
        </w:tc>
        <w:tc>
          <w:tcPr>
            <w:tcW w:w="20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0.47 [0.31, 0.66]</w:t>
            </w:r>
          </w:p>
        </w:tc>
        <w:tc>
          <w:tcPr>
            <w:tcW w:w="17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0.58 [0.48, 0.72]</w:t>
            </w:r>
          </w:p>
        </w:tc>
        <w:tc>
          <w:tcPr>
            <w:tcW w:w="207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41.5 [21.2; 65.25]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[131.45, 312.95]</w:t>
            </w:r>
          </w:p>
        </w:tc>
      </w:tr>
      <w:tr>
        <w:trPr>
          <w:trHeight w:val="419" w:hRule="atLeast"/>
        </w:trPr>
        <w:tc>
          <w:tcPr>
            <w:tcW w:w="1917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Intensity t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hreshold value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(percentile)</w:t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90</w:t>
            </w:r>
          </w:p>
        </w:tc>
        <w:tc>
          <w:tcPr>
            <w:tcW w:w="17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0.25 [0.08, 0.41]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0.77 [0.68, 0.86]</w:t>
            </w:r>
          </w:p>
        </w:tc>
        <w:tc>
          <w:tcPr>
            <w:tcW w:w="20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0.46 [0.34, 0.68]</w:t>
            </w:r>
          </w:p>
        </w:tc>
        <w:tc>
          <w:tcPr>
            <w:tcW w:w="17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0.61 [0.5, 0.85]</w:t>
            </w:r>
          </w:p>
        </w:tc>
        <w:tc>
          <w:tcPr>
            <w:tcW w:w="207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61.5 [39.0; 81.0]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306 [228.35, 402.95]</w:t>
            </w:r>
          </w:p>
        </w:tc>
      </w:tr>
      <w:tr>
        <w:trPr>
          <w:trHeight w:val="553" w:hRule="atLeast"/>
        </w:trPr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95</w:t>
            </w:r>
          </w:p>
        </w:tc>
        <w:tc>
          <w:tcPr>
            <w:tcW w:w="17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0.26 [0.1, 0.63]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0.74 [0.66, 0.86]</w:t>
            </w:r>
          </w:p>
        </w:tc>
        <w:tc>
          <w:tcPr>
            <w:tcW w:w="20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0.57 [0.39, 0.82]</w:t>
            </w:r>
          </w:p>
        </w:tc>
        <w:tc>
          <w:tcPr>
            <w:tcW w:w="17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0.73 [0.51, 0.94]</w:t>
            </w:r>
          </w:p>
        </w:tc>
        <w:tc>
          <w:tcPr>
            <w:tcW w:w="207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40.0 [22.0; 71.0]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215 [110.0, 312.0]</w:t>
            </w:r>
          </w:p>
        </w:tc>
      </w:tr>
      <w:tr>
        <w:trPr/>
        <w:tc>
          <w:tcPr>
            <w:tcW w:w="1917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Duration threshold</w:t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17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0.16 [0.05, 0.41]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0.75 [0.69, 0.8]</w:t>
            </w:r>
          </w:p>
        </w:tc>
        <w:tc>
          <w:tcPr>
            <w:tcW w:w="20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0.44 [0.36, 0.6]</w:t>
            </w:r>
          </w:p>
        </w:tc>
        <w:tc>
          <w:tcPr>
            <w:tcW w:w="17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 [0.48, 0.81]</w:t>
            </w:r>
          </w:p>
        </w:tc>
        <w:tc>
          <w:tcPr>
            <w:tcW w:w="207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65.5 [43.6; 85.25]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310 [244.25, 409.95]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17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0.18 [0.05, 0.45]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0.72 [0.65, 0.82]</w:t>
            </w:r>
          </w:p>
        </w:tc>
        <w:tc>
          <w:tcPr>
            <w:tcW w:w="20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0.47 [0.32, 0.62]</w:t>
            </w:r>
          </w:p>
        </w:tc>
        <w:tc>
          <w:tcPr>
            <w:tcW w:w="17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0.64 [0.5, 0.82]</w:t>
            </w:r>
          </w:p>
        </w:tc>
        <w:tc>
          <w:tcPr>
            <w:tcW w:w="207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56.0 [31.2; 79.0]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281 [191.0, 354.3]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17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 [0.09, 0.56]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0.78 [0.67, 0.86]</w:t>
            </w:r>
          </w:p>
        </w:tc>
        <w:tc>
          <w:tcPr>
            <w:tcW w:w="20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0.57 [0.39, 0.81]</w:t>
            </w:r>
          </w:p>
        </w:tc>
        <w:tc>
          <w:tcPr>
            <w:tcW w:w="17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0.73 [0.51, 0.93]</w:t>
            </w:r>
          </w:p>
        </w:tc>
        <w:tc>
          <w:tcPr>
            <w:tcW w:w="207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42.5 [23.9; 73.55]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251 [137.95, 314.65]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</w:p>
        </w:tc>
        <w:tc>
          <w:tcPr>
            <w:tcW w:w="17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0.32 [0.12, 0.7]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0.81 [0.64, 0.94]</w:t>
            </w:r>
          </w:p>
        </w:tc>
        <w:tc>
          <w:tcPr>
            <w:tcW w:w="20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0.67 [0.31, 0.87]</w:t>
            </w:r>
          </w:p>
        </w:tc>
        <w:tc>
          <w:tcPr>
            <w:tcW w:w="17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0.78 [0.51, 0.95]</w:t>
            </w:r>
          </w:p>
        </w:tc>
        <w:tc>
          <w:tcPr>
            <w:tcW w:w="207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36.0 [19.45; 63.75]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215 [92.15, 295.4]</w:t>
            </w:r>
          </w:p>
        </w:tc>
      </w:tr>
      <w:tr>
        <w:trPr>
          <w:trHeight w:val="427" w:hRule="atLeast"/>
        </w:trPr>
        <w:tc>
          <w:tcPr>
            <w:tcW w:w="1917" w:type="dxa"/>
            <w:vMerge w:val="restart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Baseline period end year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(start is 1975)</w:t>
            </w:r>
          </w:p>
        </w:tc>
        <w:tc>
          <w:tcPr>
            <w:tcW w:w="1027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2005</w:t>
            </w:r>
          </w:p>
        </w:tc>
        <w:tc>
          <w:tcPr>
            <w:tcW w:w="1733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0.29 [0.12, 0.44]</w:t>
            </w:r>
          </w:p>
        </w:tc>
        <w:tc>
          <w:tcPr>
            <w:tcW w:w="1800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0.73 [0.65, 0.84]</w:t>
            </w:r>
          </w:p>
        </w:tc>
        <w:tc>
          <w:tcPr>
            <w:tcW w:w="2082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0.45 [0.31, 0.72]</w:t>
            </w:r>
          </w:p>
        </w:tc>
        <w:tc>
          <w:tcPr>
            <w:tcW w:w="1791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0.65 [0.5, 0.85]</w:t>
            </w:r>
          </w:p>
        </w:tc>
        <w:tc>
          <w:tcPr>
            <w:tcW w:w="2073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55.0 [29.0; 79.0]</w:t>
            </w:r>
          </w:p>
        </w:tc>
        <w:tc>
          <w:tcPr>
            <w:tcW w:w="2141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294 [184.0, 357.0]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2021</w:t>
            </w:r>
          </w:p>
        </w:tc>
        <w:tc>
          <w:tcPr>
            <w:tcW w:w="17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0.16 [0.04, 0.59]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0.78 [0.69, 0.89]</w:t>
            </w:r>
          </w:p>
        </w:tc>
        <w:tc>
          <w:tcPr>
            <w:tcW w:w="208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0.61 [0.4, 0.82]</w:t>
            </w:r>
          </w:p>
        </w:tc>
        <w:tc>
          <w:tcPr>
            <w:tcW w:w="179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 [0.55, 0.94]</w:t>
            </w:r>
          </w:p>
        </w:tc>
        <w:tc>
          <w:tcPr>
            <w:tcW w:w="207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43.0 [22.0; 79.0]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240 [110.0, 349.95]</w:t>
            </w:r>
          </w:p>
        </w:tc>
      </w:tr>
      <w:tr>
        <w:trPr>
          <w:trHeight w:val="376" w:hRule="atLeast"/>
        </w:trPr>
        <w:tc>
          <w:tcPr>
            <w:tcW w:w="1917" w:type="dxa"/>
            <w:vMerge w:val="restart"/>
            <w:tcBorders>
              <w:top w:val="single" w:sz="4" w:space="0" w:color="000000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Connectivity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(CC3D parameter)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0.25 [0.08, 0.58]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0.76 [0.67, 0.86]</w:t>
            </w:r>
          </w:p>
        </w:tc>
        <w:tc>
          <w:tcPr>
            <w:tcW w:w="2082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0.51 [0.35, 0.79]</w:t>
            </w:r>
          </w:p>
        </w:tc>
        <w:tc>
          <w:tcPr>
            <w:tcW w:w="1791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0.67 [0.5, 0.9]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50.0 [24.75; 79.0]</w:t>
            </w:r>
          </w:p>
        </w:tc>
        <w:tc>
          <w:tcPr>
            <w:tcW w:w="2141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[130.8, 353.85]</w:t>
            </w:r>
          </w:p>
        </w:tc>
      </w:tr>
      <w:tr>
        <w:trPr/>
        <w:tc>
          <w:tcPr>
            <w:tcW w:w="1917" w:type="dxa"/>
            <w:vMerge w:val="continue"/>
            <w:tcBorders>
              <w:top w:val="single" w:sz="6" w:space="0" w:color="999999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</w:t>
            </w:r>
          </w:p>
        </w:tc>
        <w:tc>
          <w:tcPr>
            <w:tcW w:w="1733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0.25 [0.08, 0.58]</w:t>
            </w:r>
          </w:p>
        </w:tc>
        <w:tc>
          <w:tcPr>
            <w:tcW w:w="1800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0.76 [0.66, 0.86]</w:t>
            </w:r>
          </w:p>
        </w:tc>
        <w:tc>
          <w:tcPr>
            <w:tcW w:w="2082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0.51 [0.35, 0.79]</w:t>
            </w:r>
          </w:p>
        </w:tc>
        <w:tc>
          <w:tcPr>
            <w:tcW w:w="1791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0.67 [0.5, 0.9]</w:t>
            </w:r>
          </w:p>
        </w:tc>
        <w:tc>
          <w:tcPr>
            <w:tcW w:w="2073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50.0 [24.75; 79.0]</w:t>
            </w:r>
          </w:p>
        </w:tc>
        <w:tc>
          <w:tcPr>
            <w:tcW w:w="2141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[130.8, 354.9]</w:t>
            </w:r>
          </w:p>
        </w:tc>
      </w:tr>
    </w:tbl>
    <w:p>
      <w:pPr>
        <w:pStyle w:val="BodyText"/>
        <w:rPr/>
      </w:pPr>
      <w:r>
        <w:rPr/>
      </w:r>
      <w:r>
        <w:br w:type="page"/>
      </w:r>
    </w:p>
    <w:p>
      <w:pPr>
        <w:pStyle w:val="Table"/>
        <w:keepNext w:val="true"/>
        <w:rPr/>
      </w:pPr>
      <w:r>
        <w:rPr>
          <w:b/>
          <w:bCs/>
          <w:u w:val="single"/>
        </w:rPr>
        <w:t>Supplementary Materials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SM</w:t>
      </w:r>
      <w:r>
        <w:rPr>
          <w:b/>
          <w:bCs/>
          <w:u w:val="single"/>
        </w:rPr>
        <w:fldChar w:fldCharType="begin"/>
      </w:r>
      <w:r>
        <w:rPr>
          <w:u w:val="single"/>
          <w:b/>
          <w:bCs/>
        </w:rPr>
        <w:instrText xml:space="preserve"> SEQ Table \* ARABIC </w:instrText>
      </w:r>
      <w:r>
        <w:rPr>
          <w:u w:val="single"/>
          <w:b/>
          <w:bCs/>
        </w:rPr>
        <w:fldChar w:fldCharType="separate"/>
      </w:r>
      <w:r>
        <w:rPr>
          <w:u w:val="single"/>
          <w:b/>
          <w:bCs/>
        </w:rPr>
        <w:t>5</w:t>
      </w:r>
      <w:r>
        <w:rPr>
          <w:u w:val="single"/>
          <w:b/>
          <w:bCs/>
        </w:rPr>
        <w:fldChar w:fldCharType="end"/>
      </w:r>
      <w:r>
        <w:rPr/>
        <w:t xml:space="preserve">: Summary of </w:t>
      </w:r>
      <w:r>
        <w:rPr/>
        <w:t>determination</w:t>
      </w:r>
      <w:r>
        <w:rPr/>
        <w:t xml:space="preserve"> coefficients </w:t>
      </w:r>
      <w:r>
        <w:rPr/>
        <w:t>(R</w:t>
      </w:r>
      <w:r>
        <w:rPr>
          <w:vertAlign w:val="superscript"/>
        </w:rPr>
        <w:t>2</w:t>
      </w:r>
      <w:r>
        <w:rPr/>
        <w:t xml:space="preserve">) </w:t>
      </w:r>
      <w:r>
        <w:rPr/>
        <w:t>for the 4 indices, over sensitivity configurations. The line "</w:t>
      </w:r>
      <w:r>
        <w:rPr/>
        <w:t>All configs</w:t>
      </w:r>
      <w:r>
        <w:rPr/>
        <w:t xml:space="preserve">" corresponds to the </w:t>
      </w:r>
      <w:r>
        <w:rPr/>
        <w:t>distribution</w:t>
      </w:r>
      <w:r>
        <w:rPr/>
        <w:t xml:space="preserve"> over all sensitivity configurations. For other lines, one parameter is set to a given value </w:t>
      </w:r>
      <w:r>
        <w:rPr/>
        <w:t>(given by the first two columns)</w:t>
      </w:r>
      <w:r>
        <w:rPr/>
        <w:t>, and we compute the distribution over the corresponding sensitivity configuration</w:t>
      </w:r>
      <w:r>
        <w:rPr/>
        <w:t>s</w:t>
      </w:r>
      <w:r>
        <w:rPr/>
        <w:t xml:space="preserve">. </w:t>
      </w:r>
      <w:r>
        <w:rPr/>
        <w:t xml:space="preserve">For each configuration (=1 given combination of parameters), we initially compute </w:t>
      </w:r>
      <w:r>
        <w:rPr/>
        <w:t>a 10’000 samples bootstrap to obtain a best estimate of the correlation coefficient (median)</w:t>
      </w:r>
      <w:r>
        <w:rPr/>
        <w:t xml:space="preserve"> along with a 90 % confidence interval. Here, f</w:t>
      </w:r>
      <w:r>
        <w:rPr/>
        <w:t xml:space="preserve">or all </w:t>
      </w:r>
      <w:r>
        <w:rPr/>
        <w:t>indices</w:t>
      </w:r>
      <w:r>
        <w:rPr/>
        <w:t xml:space="preserve">, we show the median, the 5th quantile and the 95th quantile of the distribution of the median </w:t>
      </w:r>
      <w:r>
        <w:rPr/>
        <w:t>scores</w:t>
      </w:r>
      <w:r>
        <w:rPr/>
        <w:t xml:space="preserve"> of all corresponding sensitivity configurations. </w:t>
      </w:r>
      <w:r>
        <w:rPr/>
        <w:t xml:space="preserve">We also show, for each group of configurations, the number of EM-DAT heatwaves that </w:t>
      </w:r>
      <w:r>
        <w:rPr/>
        <w:t>match heatwaves</w:t>
      </w:r>
      <w:r>
        <w:rPr/>
        <w:t xml:space="preserve"> </w:t>
      </w:r>
      <w:r>
        <w:rPr/>
        <w:t xml:space="preserve">identified </w:t>
      </w:r>
      <w:r>
        <w:rPr/>
        <w:t>by the CC3D scan, and the number of CC3D heatwaves (median [q5; q95], computed over the corresponding sensitivity configurations).</w:t>
      </w:r>
    </w:p>
    <w:tbl>
      <w:tblPr>
        <w:tblW w:w="14564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17"/>
        <w:gridCol w:w="1027"/>
        <w:gridCol w:w="1651"/>
        <w:gridCol w:w="1978"/>
        <w:gridCol w:w="1986"/>
        <w:gridCol w:w="1886"/>
        <w:gridCol w:w="1978"/>
        <w:gridCol w:w="2141"/>
      </w:tblGrid>
      <w:tr>
        <w:trPr>
          <w:tblHeader w:val="true"/>
        </w:trPr>
        <w:tc>
          <w:tcPr>
            <w:tcW w:w="1917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51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Intensity</w:t>
            </w:r>
          </w:p>
        </w:tc>
        <w:tc>
          <w:tcPr>
            <w:tcW w:w="1978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HWMId_sum</w:t>
            </w:r>
          </w:p>
        </w:tc>
        <w:tc>
          <w:tcPr>
            <w:tcW w:w="1986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Exposed_population</w:t>
            </w:r>
          </w:p>
        </w:tc>
        <w:tc>
          <w:tcPr>
            <w:tcW w:w="1886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HWMId_pop</w:t>
            </w:r>
          </w:p>
        </w:tc>
        <w:tc>
          <w:tcPr>
            <w:tcW w:w="1978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EM-DAT match (max. 88)</w:t>
            </w:r>
          </w:p>
        </w:tc>
        <w:tc>
          <w:tcPr>
            <w:tcW w:w="2141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Contents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Number heatwaves</w:t>
            </w: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detected </w:t>
            </w: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CC3D</w:t>
            </w:r>
          </w:p>
        </w:tc>
      </w:tr>
      <w:tr>
        <w:trPr/>
        <w:tc>
          <w:tcPr>
            <w:tcW w:w="191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All configs</w:t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165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0.09 [0.02, 0.35]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0.57 [0.44, 0.75]</w:t>
            </w:r>
          </w:p>
        </w:tc>
        <w:tc>
          <w:tcPr>
            <w:tcW w:w="19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0.26 [0.12, 0.66]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0.45 [0.25, 0.82]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 [23.0; 79.0]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[128.0, 357.0]</w:t>
            </w:r>
          </w:p>
        </w:tc>
      </w:tr>
      <w:tr>
        <w:trPr/>
        <w:tc>
          <w:tcPr>
            <w:tcW w:w="1917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Daily 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temperature variable</w:t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tx</w:t>
            </w:r>
          </w:p>
        </w:tc>
        <w:tc>
          <w:tcPr>
            <w:tcW w:w="165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0.16 [0.11, 0.45]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0.49 [0.43, 0.57]</w:t>
            </w:r>
          </w:p>
        </w:tc>
        <w:tc>
          <w:tcPr>
            <w:tcW w:w="19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0.35 [0.19, 0.62]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0.68 [0.56, 0.82]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69 [35.95; 83.25]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261 [114.85, 407.15]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tg</w:t>
            </w:r>
          </w:p>
        </w:tc>
        <w:tc>
          <w:tcPr>
            <w:tcW w:w="165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0.04 [0.02, 0.18]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0.63 [0.55, 0.82]</w:t>
            </w:r>
          </w:p>
        </w:tc>
        <w:tc>
          <w:tcPr>
            <w:tcW w:w="19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 [0.12, 0.72]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0.42 [0.32, 0.9]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45 [25.85; 65.25]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264 [148.35, 345.8]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tn</w:t>
            </w:r>
          </w:p>
        </w:tc>
        <w:tc>
          <w:tcPr>
            <w:tcW w:w="165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0.05 [0.02, 0.11]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 [0.43, 0.77]</w:t>
            </w:r>
          </w:p>
        </w:tc>
        <w:tc>
          <w:tcPr>
            <w:tcW w:w="19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0.22 [0.1, 0.44]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0.33 [0.23, 0.51]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41 [21.2; 65.25]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[131.45, 312.95]</w:t>
            </w:r>
          </w:p>
        </w:tc>
      </w:tr>
      <w:tr>
        <w:trPr>
          <w:trHeight w:val="419" w:hRule="atLeast"/>
        </w:trPr>
        <w:tc>
          <w:tcPr>
            <w:tcW w:w="1917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Intensity t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hreshold value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(percentile)</w:t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90</w:t>
            </w:r>
          </w:p>
        </w:tc>
        <w:tc>
          <w:tcPr>
            <w:tcW w:w="165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0.06 [0.02, 0.17]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0.59 [0.46, 0.75]</w:t>
            </w:r>
          </w:p>
        </w:tc>
        <w:tc>
          <w:tcPr>
            <w:tcW w:w="19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0.21 [0.12, 0.46]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0.38 [0.25, 0.72]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61 [39.0; 81.0]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306 [228.35, 402.95]</w:t>
            </w:r>
          </w:p>
        </w:tc>
      </w:tr>
      <w:tr>
        <w:trPr>
          <w:trHeight w:val="553" w:hRule="atLeast"/>
        </w:trPr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95</w:t>
            </w:r>
          </w:p>
        </w:tc>
        <w:tc>
          <w:tcPr>
            <w:tcW w:w="165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0.11 [0.03, 0.4]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0.54 [0.44, 0.75]</w:t>
            </w:r>
          </w:p>
        </w:tc>
        <w:tc>
          <w:tcPr>
            <w:tcW w:w="19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0.32 [0.15, 0.67]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0.53 [0.26, 0.88]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40 [22.0; 71.0]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215 [110.0, 312.0]</w:t>
            </w:r>
          </w:p>
        </w:tc>
      </w:tr>
      <w:tr>
        <w:trPr/>
        <w:tc>
          <w:tcPr>
            <w:tcW w:w="1917" w:type="dxa"/>
            <w:vMerge w:val="restart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Duration threshold</w:t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3</w:t>
            </w:r>
          </w:p>
        </w:tc>
        <w:tc>
          <w:tcPr>
            <w:tcW w:w="165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0.03 [0.01, 0.17]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0.57 [0.47, 0.64]</w:t>
            </w:r>
          </w:p>
        </w:tc>
        <w:tc>
          <w:tcPr>
            <w:tcW w:w="19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0.19 [0.13, 0.36]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0.36 [0.23, 0.65]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65 [43.6; 85.25]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310 [244.25, 409.95]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4</w:t>
            </w:r>
          </w:p>
        </w:tc>
        <w:tc>
          <w:tcPr>
            <w:tcW w:w="165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0.06 [0.02, 0.2]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0.52 [0.42, 0.68]</w:t>
            </w:r>
          </w:p>
        </w:tc>
        <w:tc>
          <w:tcPr>
            <w:tcW w:w="19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0.22 [0.1, 0.38]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0.41 [0.26, 0.68]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56 [31.2; 79.0]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281 [191.0, 354.3]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5</w:t>
            </w:r>
          </w:p>
        </w:tc>
        <w:tc>
          <w:tcPr>
            <w:tcW w:w="165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0.09 [0.03, 0.32]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 [0.45, 0.74]</w:t>
            </w:r>
          </w:p>
        </w:tc>
        <w:tc>
          <w:tcPr>
            <w:tcW w:w="19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0.32 [0.15, 0.65]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0.53 [0.26, 0.87]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42 [23.9; 73.55]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251 [137.95, 314.65]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6</w:t>
            </w:r>
          </w:p>
        </w:tc>
        <w:tc>
          <w:tcPr>
            <w:tcW w:w="165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0.12 [0.04, 0.49]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0.65 [0.42, 0.88]</w:t>
            </w:r>
          </w:p>
        </w:tc>
        <w:tc>
          <w:tcPr>
            <w:tcW w:w="19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0.46 [0.1, 0.77]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 [0.26, 0.9]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36 [19.45; 63.75]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215 [92.15, 295.4]</w:t>
            </w:r>
          </w:p>
        </w:tc>
      </w:tr>
      <w:tr>
        <w:trPr>
          <w:trHeight w:val="454" w:hRule="atLeast"/>
        </w:trPr>
        <w:tc>
          <w:tcPr>
            <w:tcW w:w="1917" w:type="dxa"/>
            <w:vMerge w:val="restart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Baseline period end year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(start is 1975)</w:t>
            </w:r>
          </w:p>
        </w:tc>
        <w:tc>
          <w:tcPr>
            <w:tcW w:w="1027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2005</w:t>
            </w:r>
          </w:p>
        </w:tc>
        <w:tc>
          <w:tcPr>
            <w:tcW w:w="1651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 [0.02, 0.19]</w:t>
            </w:r>
          </w:p>
        </w:tc>
        <w:tc>
          <w:tcPr>
            <w:tcW w:w="1978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0.53 [0.42, 0.7]</w:t>
            </w:r>
          </w:p>
        </w:tc>
        <w:tc>
          <w:tcPr>
            <w:tcW w:w="1986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 [0.1, 0.52]</w:t>
            </w:r>
          </w:p>
        </w:tc>
        <w:tc>
          <w:tcPr>
            <w:tcW w:w="1886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0.42 [0.25, 0.72]</w:t>
            </w:r>
          </w:p>
        </w:tc>
        <w:tc>
          <w:tcPr>
            <w:tcW w:w="1978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55 [29.0; 79.0]</w:t>
            </w:r>
          </w:p>
        </w:tc>
        <w:tc>
          <w:tcPr>
            <w:tcW w:w="2141" w:type="dxa"/>
            <w:tcBorders>
              <w:top w:val="single" w:sz="6" w:space="0" w:color="999999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294 [184.0, 357.0]</w:t>
            </w:r>
          </w:p>
        </w:tc>
      </w:tr>
      <w:tr>
        <w:trPr/>
        <w:tc>
          <w:tcPr>
            <w:tcW w:w="1917" w:type="dxa"/>
            <w:vMerge w:val="continue"/>
            <w:tcBorders>
              <w:bottom w:val="single" w:sz="6" w:space="0" w:color="999999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2021</w:t>
            </w:r>
          </w:p>
        </w:tc>
        <w:tc>
          <w:tcPr>
            <w:tcW w:w="165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0.06 [0.02, 0.35]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0.61 [0.48, 0.8]</w:t>
            </w:r>
          </w:p>
        </w:tc>
        <w:tc>
          <w:tcPr>
            <w:tcW w:w="19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0.37 [0.16, 0.67]</w:t>
            </w:r>
          </w:p>
        </w:tc>
        <w:tc>
          <w:tcPr>
            <w:tcW w:w="1886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0.49 [0.3, 0.88]</w:t>
            </w:r>
          </w:p>
        </w:tc>
        <w:tc>
          <w:tcPr>
            <w:tcW w:w="1978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43 [22.0; 79.0]</w:t>
            </w:r>
          </w:p>
        </w:tc>
        <w:tc>
          <w:tcPr>
            <w:tcW w:w="2141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240 [110.0, 349.95]</w:t>
            </w:r>
          </w:p>
        </w:tc>
      </w:tr>
      <w:tr>
        <w:trPr>
          <w:trHeight w:val="376" w:hRule="atLeast"/>
        </w:trPr>
        <w:tc>
          <w:tcPr>
            <w:tcW w:w="1917" w:type="dxa"/>
            <w:vMerge w:val="restart"/>
            <w:tcBorders>
              <w:top w:val="single" w:sz="4" w:space="0" w:color="000000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Connectivity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(CC3D parameter)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26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0.09 [0.02, 0.34]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0.57 [0.45, 0.75]</w:t>
            </w:r>
          </w:p>
        </w:tc>
        <w:tc>
          <w:tcPr>
            <w:tcW w:w="1986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0.26 [0.12, 0.63]</w:t>
            </w:r>
          </w:p>
        </w:tc>
        <w:tc>
          <w:tcPr>
            <w:tcW w:w="1886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0.44 [0.25, 0.82]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 [24.75; 79.0]</w:t>
            </w:r>
          </w:p>
        </w:tc>
        <w:tc>
          <w:tcPr>
            <w:tcW w:w="2141" w:type="dxa"/>
            <w:tcBorders>
              <w:top w:val="single" w:sz="4" w:space="0" w:color="000000"/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[130.8, 353.85]</w:t>
            </w:r>
          </w:p>
        </w:tc>
      </w:tr>
      <w:tr>
        <w:trPr/>
        <w:tc>
          <w:tcPr>
            <w:tcW w:w="1917" w:type="dxa"/>
            <w:vMerge w:val="continue"/>
            <w:tcBorders>
              <w:top w:val="single" w:sz="6" w:space="0" w:color="999999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18</w:t>
            </w:r>
          </w:p>
        </w:tc>
        <w:tc>
          <w:tcPr>
            <w:tcW w:w="1651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0.09 [0.02, 0.34]</w:t>
            </w:r>
          </w:p>
        </w:tc>
        <w:tc>
          <w:tcPr>
            <w:tcW w:w="1978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0.57 [0.44, 0.74]</w:t>
            </w:r>
          </w:p>
        </w:tc>
        <w:tc>
          <w:tcPr>
            <w:tcW w:w="1986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0.25 [0.12, 0.64]</w:t>
            </w:r>
          </w:p>
        </w:tc>
        <w:tc>
          <w:tcPr>
            <w:tcW w:w="1886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0.45 [0.25, 0.82]</w:t>
            </w:r>
          </w:p>
        </w:tc>
        <w:tc>
          <w:tcPr>
            <w:tcW w:w="1978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50 [24.75; 79.0]</w:t>
            </w:r>
          </w:p>
        </w:tc>
        <w:tc>
          <w:tcPr>
            <w:tcW w:w="2141" w:type="dxa"/>
            <w:tcBorders>
              <w:top w:val="single" w:sz="6" w:space="0" w:color="999999"/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263 [130.8, 354.9]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Table"/>
        <w:keepNext w:val="true"/>
        <w:pageBreakBefore w:val="false"/>
        <w:rPr/>
      </w:pPr>
      <w:r>
        <w:rPr/>
      </w:r>
      <w:r>
        <w:br w:type="page"/>
      </w:r>
    </w:p>
    <w:p>
      <w:pPr>
        <w:pStyle w:val="Table"/>
        <w:keepNext w:val="true"/>
        <w:rPr/>
      </w:pPr>
      <w:r>
        <w:rPr>
          <w:b/>
          <w:bCs/>
          <w:u w:val="single"/>
        </w:rPr>
        <w:t>Supplementary Materials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SM</w:t>
      </w:r>
      <w:r>
        <w:rPr>
          <w:b/>
          <w:bCs/>
          <w:u w:val="single"/>
        </w:rPr>
        <w:fldChar w:fldCharType="begin"/>
      </w:r>
      <w:r>
        <w:rPr>
          <w:u w:val="single"/>
          <w:b/>
          <w:bCs/>
        </w:rPr>
        <w:instrText xml:space="preserve"> SEQ Table \* ARABIC </w:instrText>
      </w:r>
      <w:r>
        <w:rPr>
          <w:u w:val="single"/>
          <w:b/>
          <w:bCs/>
        </w:rPr>
        <w:fldChar w:fldCharType="separate"/>
      </w:r>
      <w:r>
        <w:rPr>
          <w:u w:val="single"/>
          <w:b/>
          <w:bCs/>
        </w:rPr>
        <w:t>6</w:t>
      </w:r>
      <w:r>
        <w:rPr>
          <w:u w:val="single"/>
          <w:b/>
          <w:bCs/>
        </w:rPr>
        <w:fldChar w:fldCharType="end"/>
      </w:r>
      <w:r>
        <w:rPr/>
        <w:t xml:space="preserve">: Summary of the </w:t>
      </w:r>
      <w:r>
        <w:rPr/>
        <w:t xml:space="preserve">1975- 2024 </w:t>
      </w:r>
      <w:r>
        <w:rPr/>
        <w:t>trends over sensitivity configurations. The line "</w:t>
      </w:r>
      <w:r>
        <w:rPr/>
        <w:t>All configs</w:t>
      </w:r>
      <w:r>
        <w:rPr/>
        <w:t xml:space="preserve">" corresponds to the </w:t>
      </w:r>
      <w:r>
        <w:rPr/>
        <w:t>distribution</w:t>
      </w:r>
      <w:r>
        <w:rPr/>
        <w:t xml:space="preserve"> over all sensitivity configurations. For other lines, one parameter is set to a given value </w:t>
      </w:r>
      <w:r>
        <w:rPr/>
        <w:t>(given by the first two columns)</w:t>
      </w:r>
      <w:r>
        <w:rPr/>
        <w:t>, and we compute the distribution over the corresponding sensitivity configuration</w:t>
      </w:r>
      <w:r>
        <w:rPr/>
        <w:t>s</w:t>
      </w:r>
      <w:r>
        <w:rPr/>
        <w:t xml:space="preserve">. </w:t>
      </w:r>
      <w:r>
        <w:rPr/>
        <w:t>For each configuration (=1 given combination of parameters), we initially compute the median Mann-Kendall Sen’s slope, along with a 90 % confidence interval. Here, f</w:t>
      </w:r>
      <w:r>
        <w:rPr/>
        <w:t xml:space="preserve">or all </w:t>
      </w:r>
      <w:r>
        <w:rPr/>
        <w:t>indices</w:t>
      </w:r>
      <w:r>
        <w:rPr/>
        <w:t>, we show the median, the 5th quantile and the 95th quantile of the distribution of the median trend</w:t>
      </w:r>
      <w:r>
        <w:rPr/>
        <w:t>s</w:t>
      </w:r>
      <w:r>
        <w:rPr/>
        <w:t xml:space="preserve"> of all corresponding sensitivity configurations.</w:t>
      </w:r>
    </w:p>
    <w:tbl>
      <w:tblPr>
        <w:tblW w:w="14564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350"/>
        <w:gridCol w:w="723"/>
        <w:gridCol w:w="1432"/>
        <w:gridCol w:w="1350"/>
        <w:gridCol w:w="1172"/>
        <w:gridCol w:w="1528"/>
        <w:gridCol w:w="1350"/>
        <w:gridCol w:w="1350"/>
        <w:gridCol w:w="1445"/>
        <w:gridCol w:w="1445"/>
        <w:gridCol w:w="1419"/>
      </w:tblGrid>
      <w:tr>
        <w:trPr>
          <w:tblHeader w:val="true"/>
        </w:trPr>
        <w:tc>
          <w:tcPr>
            <w:tcW w:w="1350" w:type="dxa"/>
            <w:tcBorders>
              <w:top w:val="single" w:sz="4" w:space="0" w:color="000000"/>
            </w:tcBorders>
          </w:tcPr>
          <w:p>
            <w:pPr>
              <w:pStyle w:val="TableHeading"/>
              <w:jc w:val="start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723" w:type="dxa"/>
            <w:tcBorders>
              <w:top w:val="single" w:sz="4" w:space="0" w:color="000000"/>
            </w:tcBorders>
          </w:tcPr>
          <w:p>
            <w:pPr>
              <w:pStyle w:val="TableHeading"/>
              <w:jc w:val="start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1432" w:type="dxa"/>
            <w:tcBorders>
              <w:top w:val="single" w:sz="4" w:space="0" w:color="000000"/>
            </w:tcBorders>
          </w:tcPr>
          <w:p>
            <w:pPr>
              <w:pStyle w:val="TableHeading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Frequency</w:t>
            </w:r>
          </w:p>
        </w:tc>
        <w:tc>
          <w:tcPr>
            <w:tcW w:w="1350" w:type="dxa"/>
            <w:tcBorders>
              <w:top w:val="single" w:sz="4" w:space="0" w:color="000000"/>
            </w:tcBorders>
          </w:tcPr>
          <w:p>
            <w:pPr>
              <w:pStyle w:val="TableHeading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Intensity</w:t>
            </w:r>
          </w:p>
        </w:tc>
        <w:tc>
          <w:tcPr>
            <w:tcW w:w="1172" w:type="dxa"/>
            <w:tcBorders>
              <w:top w:val="single" w:sz="4" w:space="0" w:color="000000"/>
            </w:tcBorders>
          </w:tcPr>
          <w:p>
            <w:pPr>
              <w:pStyle w:val="TableHeading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Max</w:t>
            </w:r>
          </w:p>
        </w:tc>
        <w:tc>
          <w:tcPr>
            <w:tcW w:w="1528" w:type="dxa"/>
            <w:tcBorders>
              <w:top w:val="single" w:sz="4" w:space="0" w:color="000000"/>
            </w:tcBorders>
          </w:tcPr>
          <w:p>
            <w:pPr>
              <w:pStyle w:val="TableHeading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Spatial extent</w:t>
            </w:r>
          </w:p>
        </w:tc>
        <w:tc>
          <w:tcPr>
            <w:tcW w:w="1350" w:type="dxa"/>
            <w:tcBorders>
              <w:top w:val="single" w:sz="4" w:space="0" w:color="000000"/>
            </w:tcBorders>
          </w:tcPr>
          <w:p>
            <w:pPr>
              <w:pStyle w:val="TableHeading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Duration</w:t>
            </w:r>
          </w:p>
        </w:tc>
        <w:tc>
          <w:tcPr>
            <w:tcW w:w="1350" w:type="dxa"/>
            <w:tcBorders>
              <w:top w:val="single" w:sz="4" w:space="0" w:color="000000"/>
            </w:tcBorders>
          </w:tcPr>
          <w:p>
            <w:pPr>
              <w:pStyle w:val="TableHeading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Exposed_population</w:t>
            </w:r>
          </w:p>
        </w:tc>
        <w:tc>
          <w:tcPr>
            <w:tcW w:w="1445" w:type="dxa"/>
            <w:tcBorders>
              <w:top w:val="single" w:sz="4" w:space="0" w:color="000000"/>
            </w:tcBorders>
          </w:tcPr>
          <w:p>
            <w:pPr>
              <w:pStyle w:val="TableHeading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Exposed_population (relative)</w:t>
            </w:r>
          </w:p>
        </w:tc>
        <w:tc>
          <w:tcPr>
            <w:tcW w:w="1445" w:type="dxa"/>
            <w:tcBorders>
              <w:top w:val="single" w:sz="4" w:space="0" w:color="000000"/>
            </w:tcBorders>
          </w:tcPr>
          <w:p>
            <w:pPr>
              <w:pStyle w:val="TableHeading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HWMId_sum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>
            <w:pPr>
              <w:pStyle w:val="TableContents"/>
              <w:jc w:val="start"/>
              <w:rPr>
                <w:rFonts w:ascii="Liberation Sans" w:hAnsi="Liberation Sans"/>
                <w:b/>
                <w:bCs/>
                <w:sz w:val="22"/>
                <w:szCs w:val="22"/>
              </w:rPr>
            </w:pPr>
            <w:r>
              <w:rPr>
                <w:rFonts w:ascii="Liberation Sans" w:hAnsi="Liberation Sans"/>
                <w:b/>
                <w:bCs/>
                <w:sz w:val="22"/>
                <w:szCs w:val="22"/>
              </w:rPr>
              <w:t>HWMId_pop</w:t>
            </w:r>
          </w:p>
        </w:tc>
      </w:tr>
      <w:tr>
        <w:trPr>
          <w:tblHeader w:val="true"/>
        </w:trPr>
        <w:tc>
          <w:tcPr>
            <w:tcW w:w="135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unit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1432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Events/decade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°C/decade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°C/decade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% of Europe area/decade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days/decade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10</w:t>
            </w:r>
            <w:r>
              <w:rPr>
                <w:rFonts w:ascii="Liberation Sans" w:hAnsi="Liberation Sans"/>
                <w:sz w:val="22"/>
                <w:szCs w:val="22"/>
                <w:vertAlign w:val="superscript"/>
              </w:rPr>
              <w:t>6</w:t>
            </w:r>
            <w:r>
              <w:rPr>
                <w:rFonts w:ascii="Liberation Sans" w:hAnsi="Liberation Sans"/>
                <w:sz w:val="22"/>
                <w:szCs w:val="22"/>
              </w:rPr>
              <w:t xml:space="preserve"> ppl/decade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% of European population/decade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10</w:t>
            </w:r>
            <w:r>
              <w:rPr>
                <w:rFonts w:ascii="Liberation Sans" w:hAnsi="Liberation Sans"/>
                <w:sz w:val="22"/>
                <w:szCs w:val="22"/>
                <w:vertAlign w:val="superscript"/>
              </w:rPr>
              <w:t>3</w:t>
            </w:r>
            <w:r>
              <w:rPr>
                <w:rFonts w:ascii="Liberation Sans" w:hAnsi="Liberation Sans"/>
                <w:sz w:val="22"/>
                <w:szCs w:val="22"/>
              </w:rPr>
              <w:t xml:space="preserve"> IQR-</w:t>
            </w:r>
            <w:r>
              <w:rPr>
                <w:rFonts w:ascii="Liberation Sans" w:hAnsi="Liberation Sans"/>
                <w:sz w:val="22"/>
                <w:szCs w:val="22"/>
              </w:rPr>
              <w:t>km²</w:t>
            </w:r>
            <w:r>
              <w:rPr>
                <w:rFonts w:ascii="Liberation Sans" w:hAnsi="Liberation Sans"/>
                <w:sz w:val="22"/>
                <w:szCs w:val="22"/>
              </w:rPr>
              <w:t>/decad</w:t>
            </w:r>
            <w:r>
              <w:rPr>
                <w:rFonts w:ascii="Liberation Sans" w:hAnsi="Liberation Sans"/>
                <w:sz w:val="22"/>
                <w:szCs w:val="22"/>
              </w:rPr>
              <w:t>e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10</w:t>
            </w:r>
            <w:r>
              <w:rPr>
                <w:rFonts w:ascii="Liberation Sans" w:hAnsi="Liberation Sans"/>
                <w:sz w:val="22"/>
                <w:szCs w:val="22"/>
                <w:vertAlign w:val="superscript"/>
              </w:rPr>
              <w:t>6</w:t>
            </w:r>
            <w:r>
              <w:rPr>
                <w:rFonts w:ascii="Liberation Sans" w:hAnsi="Liberation Sans"/>
                <w:sz w:val="22"/>
                <w:szCs w:val="22"/>
              </w:rPr>
              <w:t xml:space="preserve"> IQR-persons/decade</w:t>
            </w:r>
          </w:p>
        </w:tc>
      </w:tr>
      <w:tr>
        <w:trPr/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All configs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</w:r>
          </w:p>
        </w:tc>
        <w:tc>
          <w:tcPr>
            <w:tcW w:w="1432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0.9 [-0.34, 1.41]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0.01 [-0.04, 0.07]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0.15 [-0.02, 0.28]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0.12 [0.02, 0.42]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0.62 [0.0, 1.52]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0.65 [-0.02, 3.14]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0.05 [-0.01, 0.36]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19.02 [2.2, 80.52]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0.13 [0.0, 3.45]</w:t>
            </w:r>
          </w:p>
        </w:tc>
      </w:tr>
      <w:tr>
        <w:trPr/>
        <w:tc>
          <w:tcPr>
            <w:tcW w:w="1350" w:type="dxa"/>
            <w:vMerge w:val="restart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Daily temperature variable</w:t>
            </w:r>
          </w:p>
        </w:tc>
        <w:tc>
          <w:tcPr>
            <w:tcW w:w="723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tx</w:t>
            </w:r>
          </w:p>
        </w:tc>
        <w:tc>
          <w:tcPr>
            <w:tcW w:w="143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 [-0.28, 1.31]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0.04 [0.01, 0.1]</w:t>
            </w:r>
          </w:p>
        </w:tc>
        <w:tc>
          <w:tcPr>
            <w:tcW w:w="117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0.22 [0.11, 0.36]</w:t>
            </w:r>
          </w:p>
        </w:tc>
        <w:tc>
          <w:tcPr>
            <w:tcW w:w="1528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0.13 [0.04, 0.46]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0.45 [0.0, 0.68]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1.7 [0.72, 3.86]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0.19 [0.07, 0.45]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22.88 [1.75, 89.15]</w:t>
            </w:r>
          </w:p>
        </w:tc>
        <w:tc>
          <w:tcPr>
            <w:tcW w:w="1419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1.46 [0.24, 5.66]</w:t>
            </w:r>
          </w:p>
        </w:tc>
      </w:tr>
      <w:tr>
        <w:trPr/>
        <w:tc>
          <w:tcPr>
            <w:tcW w:w="1350" w:type="dxa"/>
            <w:vMerge w:val="continue"/>
            <w:tcBorders/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23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tg</w:t>
            </w:r>
          </w:p>
        </w:tc>
        <w:tc>
          <w:tcPr>
            <w:tcW w:w="143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1.1 [-0.33, 1.51]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[-0.05, 0.04]</w:t>
            </w:r>
          </w:p>
        </w:tc>
        <w:tc>
          <w:tcPr>
            <w:tcW w:w="117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 [-0.07, 0.26]</w:t>
            </w:r>
          </w:p>
        </w:tc>
        <w:tc>
          <w:tcPr>
            <w:tcW w:w="1528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0.12 [0.04, 0.36]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0.77 [0.33, 1.28]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0.36 [0.02, 1.54]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0.02 [0.0, 0.17]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15.78 [0.06, 80.17]</w:t>
            </w:r>
          </w:p>
        </w:tc>
        <w:tc>
          <w:tcPr>
            <w:tcW w:w="1419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[0.0, 0.8]</w:t>
            </w:r>
          </w:p>
        </w:tc>
      </w:tr>
      <w:tr>
        <w:trPr/>
        <w:tc>
          <w:tcPr>
            <w:tcW w:w="1350" w:type="dxa"/>
            <w:vMerge w:val="continue"/>
            <w:tcBorders>
              <w:bottom w:val="single" w:sz="4" w:space="0" w:color="000000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23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tn</w:t>
            </w:r>
          </w:p>
        </w:tc>
        <w:tc>
          <w:tcPr>
            <w:tcW w:w="1432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0.88 [-0.15, 1.29]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-0.01 [-0.04, 0.03]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0.07 [0.01, 0.25]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 [0.01, 0.32]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1.03 [0.56, 1.63]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0.22 [-0.04, 0.82]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0.02 [-0.01, 0.08]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21.13 [5.97, 62.97]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0.01 [0.0, 0.31]</w:t>
            </w:r>
          </w:p>
        </w:tc>
      </w:tr>
      <w:tr>
        <w:trPr>
          <w:trHeight w:val="1120" w:hRule="atLeast"/>
        </w:trPr>
        <w:tc>
          <w:tcPr>
            <w:tcW w:w="1350" w:type="dxa"/>
            <w:vMerge w:val="restart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Intensity t</w:t>
            </w:r>
            <w:r>
              <w:rPr>
                <w:rFonts w:ascii="Liberation Sans" w:hAnsi="Liberation Sans"/>
                <w:sz w:val="22"/>
                <w:szCs w:val="22"/>
              </w:rPr>
              <w:t xml:space="preserve">hreshold value </w:t>
            </w:r>
            <w:r>
              <w:rPr>
                <w:rFonts w:ascii="Liberation Sans" w:hAnsi="Liberation Sans"/>
                <w:sz w:val="22"/>
                <w:szCs w:val="22"/>
              </w:rPr>
              <w:t>(percentile)</w:t>
            </w:r>
          </w:p>
        </w:tc>
        <w:tc>
          <w:tcPr>
            <w:tcW w:w="723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90</w:t>
            </w:r>
          </w:p>
        </w:tc>
        <w:tc>
          <w:tcPr>
            <w:tcW w:w="143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0.68 [-0.64, 1.14]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-0.01 [-0.04, 0.07]</w:t>
            </w:r>
          </w:p>
        </w:tc>
        <w:tc>
          <w:tcPr>
            <w:tcW w:w="117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0.07 [-0.04, 0.26]</w:t>
            </w:r>
          </w:p>
        </w:tc>
        <w:tc>
          <w:tcPr>
            <w:tcW w:w="1528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 [0.02, 0.29]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0.59 [0.0, 1.3]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0.36 [-0.03, 2.41]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0.02 [-0.01, 0.26]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15.51 [1.0, 43.01]</w:t>
            </w:r>
          </w:p>
        </w:tc>
        <w:tc>
          <w:tcPr>
            <w:tcW w:w="1419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0.01 [0.0, 2.03]</w:t>
            </w:r>
          </w:p>
        </w:tc>
      </w:tr>
      <w:tr>
        <w:trPr>
          <w:trHeight w:val="1414" w:hRule="atLeast"/>
        </w:trPr>
        <w:tc>
          <w:tcPr>
            <w:tcW w:w="1350" w:type="dxa"/>
            <w:vMerge w:val="continue"/>
            <w:tcBorders>
              <w:bottom w:val="single" w:sz="4" w:space="0" w:color="000000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23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95</w:t>
            </w:r>
          </w:p>
        </w:tc>
        <w:tc>
          <w:tcPr>
            <w:tcW w:w="1432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1.12 [0.64, 1.46]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0.02 [-0.0, 0.1]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 [0.06, 0.36]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0.13 [0.03, 0.46]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0.79 [0.36, 1.53]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0.81 [-0.0, 3.52]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0.08 [-0.0, 0.41]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24.4 [3.63, 101.66]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 [0.0, 4.57]</w:t>
            </w:r>
          </w:p>
        </w:tc>
      </w:tr>
      <w:tr>
        <w:trPr/>
        <w:tc>
          <w:tcPr>
            <w:tcW w:w="135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Duration threshold</w:t>
            </w:r>
          </w:p>
        </w:tc>
        <w:tc>
          <w:tcPr>
            <w:tcW w:w="723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</w:t>
            </w:r>
          </w:p>
        </w:tc>
        <w:tc>
          <w:tcPr>
            <w:tcW w:w="143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 [-0.66, 1.34]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-0.0 [-0.05, 0.05]</w:t>
            </w:r>
          </w:p>
        </w:tc>
        <w:tc>
          <w:tcPr>
            <w:tcW w:w="117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0.09 [-0.07, 0.25]</w:t>
            </w:r>
          </w:p>
        </w:tc>
        <w:tc>
          <w:tcPr>
            <w:tcW w:w="1528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0.17 [0.01, 0.46]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0.61 [0.0, 1.24]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0.83 [0.06, 4.09]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0.08 [-0.0, 0.48]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26.72 [4.36, 76.99]</w:t>
            </w:r>
          </w:p>
        </w:tc>
        <w:tc>
          <w:tcPr>
            <w:tcW w:w="1419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0.16 [0.0, 4.41]</w:t>
            </w:r>
          </w:p>
        </w:tc>
      </w:tr>
      <w:tr>
        <w:trPr/>
        <w:tc>
          <w:tcPr>
            <w:tcW w:w="1350" w:type="dxa"/>
            <w:vMerge w:val="continue"/>
            <w:tcBorders>
              <w:bottom w:val="single" w:sz="4" w:space="0" w:color="000000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23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</w:t>
            </w:r>
          </w:p>
        </w:tc>
        <w:tc>
          <w:tcPr>
            <w:tcW w:w="143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 [0.0, 1.33]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[-0.04, 0.06]</w:t>
            </w:r>
          </w:p>
        </w:tc>
        <w:tc>
          <w:tcPr>
            <w:tcW w:w="117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0.14 [-0.01, 0.27]</w:t>
            </w:r>
          </w:p>
        </w:tc>
        <w:tc>
          <w:tcPr>
            <w:tcW w:w="1528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0.13 [0.03, 0.41]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0.62 [0.29, 1.34]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0.75 [0.08, 3.4]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0.08 [0.0, 0.4]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19.66 [5.02, 98.53]</w:t>
            </w:r>
          </w:p>
        </w:tc>
        <w:tc>
          <w:tcPr>
            <w:tcW w:w="1419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0.21 [0.0, 6.45]</w:t>
            </w:r>
          </w:p>
        </w:tc>
      </w:tr>
      <w:tr>
        <w:trPr/>
        <w:tc>
          <w:tcPr>
            <w:tcW w:w="1350" w:type="dxa"/>
            <w:vMerge w:val="continue"/>
            <w:tcBorders>
              <w:bottom w:val="single" w:sz="4" w:space="0" w:color="000000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23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</w:t>
            </w:r>
          </w:p>
        </w:tc>
        <w:tc>
          <w:tcPr>
            <w:tcW w:w="143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1.01 [0.5, 1.39]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0.02 [-0.04, 0.09]</w:t>
            </w:r>
          </w:p>
        </w:tc>
        <w:tc>
          <w:tcPr>
            <w:tcW w:w="117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0.16 [-0.03, 0.34]</w:t>
            </w:r>
          </w:p>
        </w:tc>
        <w:tc>
          <w:tcPr>
            <w:tcW w:w="1528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0.11 [0.02, 0.28]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0.67 [0.0, 1.49]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0.42 [-0.03, 1.75]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0.04 [-0.01, 0.2]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15.02 [0.91, 51.77]</w:t>
            </w:r>
          </w:p>
        </w:tc>
        <w:tc>
          <w:tcPr>
            <w:tcW w:w="1419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0.01 [0.0, 2.33]</w:t>
            </w:r>
          </w:p>
        </w:tc>
      </w:tr>
      <w:tr>
        <w:trPr/>
        <w:tc>
          <w:tcPr>
            <w:tcW w:w="1350" w:type="dxa"/>
            <w:vMerge w:val="continue"/>
            <w:tcBorders>
              <w:bottom w:val="single" w:sz="4" w:space="0" w:color="000000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23" w:type="dxa"/>
            <w:tcBorders>
              <w:bottom w:val="single" w:sz="2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6</w:t>
            </w:r>
          </w:p>
        </w:tc>
        <w:tc>
          <w:tcPr>
            <w:tcW w:w="1432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1.01 [0.81, 1.59]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0.03 [-0.03, 0.11]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0.21 [0.05, 0.35]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0.06 [0.02, 0.27]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0.93 [0.45, 1.66]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0.25 [-0.05, 1.41]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0.03 [-0.01, 0.16]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15.6 [0.62, 95.89]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 [0.0, 2.82]</w:t>
            </w:r>
          </w:p>
        </w:tc>
      </w:tr>
      <w:tr>
        <w:trPr/>
        <w:tc>
          <w:tcPr>
            <w:tcW w:w="1350" w:type="dxa"/>
            <w:vMerge w:val="restart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Baseline period end year </w:t>
            </w:r>
            <w:r>
              <w:rPr>
                <w:rFonts w:ascii="Liberation Sans" w:hAnsi="Liberation Sans"/>
                <w:sz w:val="22"/>
                <w:szCs w:val="22"/>
              </w:rPr>
              <w:t>(start is 1975)</w:t>
            </w:r>
          </w:p>
        </w:tc>
        <w:tc>
          <w:tcPr>
            <w:tcW w:w="723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2005</w:t>
            </w:r>
          </w:p>
        </w:tc>
        <w:tc>
          <w:tcPr>
            <w:tcW w:w="143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 [-0.64, 1.46]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0.01 [-0.03, 0.1]</w:t>
            </w:r>
          </w:p>
        </w:tc>
        <w:tc>
          <w:tcPr>
            <w:tcW w:w="117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0.16 [0.03, 0.36]</w:t>
            </w:r>
          </w:p>
        </w:tc>
        <w:tc>
          <w:tcPr>
            <w:tcW w:w="1528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0.09 [0.02, 0.38]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0.94 [0.4, 1.58]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0.3 [-0.03, 2.3]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0.02 [-0.01, 0.25]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13.44 [3.7, 56.6]</w:t>
            </w:r>
          </w:p>
        </w:tc>
        <w:tc>
          <w:tcPr>
            <w:tcW w:w="1419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 [0.0, 2.39]</w:t>
            </w:r>
          </w:p>
        </w:tc>
      </w:tr>
      <w:tr>
        <w:trPr/>
        <w:tc>
          <w:tcPr>
            <w:tcW w:w="1350" w:type="dxa"/>
            <w:vMerge w:val="continue"/>
            <w:tcBorders>
              <w:bottom w:val="single" w:sz="4" w:space="0" w:color="000000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23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2021</w:t>
            </w:r>
          </w:p>
        </w:tc>
        <w:tc>
          <w:tcPr>
            <w:tcW w:w="143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0.94 [0.3, 1.28]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0.01 [-0.04, 0.06]</w:t>
            </w:r>
          </w:p>
        </w:tc>
        <w:tc>
          <w:tcPr>
            <w:tcW w:w="1172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0.15 [-0.04, 0.26]</w:t>
            </w:r>
          </w:p>
        </w:tc>
        <w:tc>
          <w:tcPr>
            <w:tcW w:w="1528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0.16 [0.04, 0.42]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 [0.0, 1.3]</w:t>
            </w:r>
          </w:p>
        </w:tc>
        <w:tc>
          <w:tcPr>
            <w:tcW w:w="1350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0.8 [0.04, 3.14]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0.08 [0.0, 0.36]</w:t>
            </w:r>
          </w:p>
        </w:tc>
        <w:tc>
          <w:tcPr>
            <w:tcW w:w="1445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33.52 [0.1, 101.76]</w:t>
            </w:r>
          </w:p>
        </w:tc>
        <w:tc>
          <w:tcPr>
            <w:tcW w:w="1419" w:type="dxa"/>
            <w:tcBorders/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0.2 [0.0, 4.57]</w:t>
            </w:r>
          </w:p>
        </w:tc>
      </w:tr>
      <w:tr>
        <w:trPr/>
        <w:tc>
          <w:tcPr>
            <w:tcW w:w="1350" w:type="dxa"/>
            <w:vMerge w:val="restart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Connectivity </w:t>
            </w:r>
            <w:r>
              <w:rPr>
                <w:rFonts w:ascii="Liberation Sans" w:hAnsi="Liberation Sans"/>
                <w:sz w:val="22"/>
                <w:szCs w:val="22"/>
              </w:rPr>
              <w:t>(CC3D parameter)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</w:t>
            </w:r>
          </w:p>
        </w:tc>
        <w:tc>
          <w:tcPr>
            <w:tcW w:w="1432" w:type="dxa"/>
            <w:tcBorders>
              <w:top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0.9 [-0.23, 1.39]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0.01 [-0.04, 0.07]</w:t>
            </w:r>
          </w:p>
        </w:tc>
        <w:tc>
          <w:tcPr>
            <w:tcW w:w="1172" w:type="dxa"/>
            <w:tcBorders>
              <w:top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0.15 [-0.0, 0.29]</w:t>
            </w:r>
          </w:p>
        </w:tc>
        <w:tc>
          <w:tcPr>
            <w:tcW w:w="1528" w:type="dxa"/>
            <w:tcBorders>
              <w:top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0.12 [0.02, 0.41]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0.62 [0.0, 1.47]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0.65 [-0.02, 2.94]</w:t>
            </w:r>
          </w:p>
        </w:tc>
        <w:tc>
          <w:tcPr>
            <w:tcW w:w="1445" w:type="dxa"/>
            <w:tcBorders>
              <w:top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0.05 [-0.01, 0.34]</w:t>
            </w:r>
          </w:p>
        </w:tc>
        <w:tc>
          <w:tcPr>
            <w:tcW w:w="1445" w:type="dxa"/>
            <w:tcBorders>
              <w:top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19.02 [3.26, 78.56]</w:t>
            </w:r>
          </w:p>
        </w:tc>
        <w:tc>
          <w:tcPr>
            <w:tcW w:w="1419" w:type="dxa"/>
            <w:tcBorders>
              <w:top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0.13 [0.0, 3.29]</w:t>
            </w:r>
          </w:p>
        </w:tc>
      </w:tr>
      <w:tr>
        <w:trPr/>
        <w:tc>
          <w:tcPr>
            <w:tcW w:w="1350" w:type="dxa"/>
            <w:vMerge w:val="continue"/>
            <w:tcBorders>
              <w:bottom w:val="single" w:sz="4" w:space="0" w:color="000000"/>
            </w:tcBorders>
            <w:shd w:fill="EEEEEE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23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18</w:t>
            </w:r>
          </w:p>
        </w:tc>
        <w:tc>
          <w:tcPr>
            <w:tcW w:w="1432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0.91 [-0.24, 1.39]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0.01 [-0.04, 0.07]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0.15 [-0.02, 0.28]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0.12 [0.02, 0.41]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0.64 [0.1, 1.5]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0.58 [-0.01, 2.9]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0.06 [-0.01, 0.33]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20.14 [1.33, 81.17]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0.13 [0.0, 3.28]</w:t>
            </w:r>
          </w:p>
        </w:tc>
      </w:tr>
    </w:tbl>
    <w:p>
      <w:pPr>
        <w:pStyle w:val="Table"/>
        <w:rPr>
          <w:rFonts w:ascii="Liberation Serif" w:hAnsi="Liberation Serif"/>
          <w:b/>
          <w:bCs/>
          <w:i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</w:r>
      <w:r>
        <w:br w:type="page"/>
      </w:r>
    </w:p>
    <w:p>
      <w:pPr>
        <w:pStyle w:val="Table"/>
        <w:rPr/>
      </w:pPr>
      <w:r>
        <w:rPr>
          <w:b/>
          <w:bCs/>
          <w:u w:val="single"/>
        </w:rPr>
        <w:t>Supplementary Materials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SM</w:t>
      </w:r>
      <w:r>
        <w:rPr>
          <w:b/>
          <w:bCs/>
          <w:u w:val="single"/>
        </w:rPr>
        <w:fldChar w:fldCharType="begin"/>
      </w:r>
      <w:r>
        <w:rPr>
          <w:u w:val="single"/>
          <w:b/>
          <w:bCs/>
        </w:rPr>
        <w:instrText xml:space="preserve"> SEQ Table \* ARABIC </w:instrText>
      </w:r>
      <w:r>
        <w:rPr>
          <w:u w:val="single"/>
          <w:b/>
          <w:bCs/>
        </w:rPr>
        <w:fldChar w:fldCharType="separate"/>
      </w:r>
      <w:r>
        <w:rPr>
          <w:u w:val="single"/>
          <w:b/>
          <w:bCs/>
        </w:rPr>
        <w:t>7</w:t>
      </w:r>
      <w:r>
        <w:rPr>
          <w:u w:val="single"/>
          <w:b/>
          <w:bCs/>
        </w:rPr>
        <w:fldChar w:fldCharType="end"/>
      </w:r>
      <w:r>
        <w:rPr/>
        <w:t>: Top 10 CC3D heatwaves unmatched in EM-DAT: investigation in the literature and press. Country names are replaced by their ISO 3166-1 alpha-3 codes. The rank corresponds to the rank among the 191 CC3D heatwaves, so the numbering includes heatwaves that overlap with EM-DAT, explaining that the numbers in the “Rank” column are not strictly ranging from 1 to 10. The column "Deaths" informs on the presence of quantitative death records in the corresponding references. More details are given in SM</w:t>
      </w:r>
      <w:r>
        <w:rPr/>
        <w:t>8</w:t>
      </w:r>
      <w:r>
        <w:rPr/>
        <w:t>.</w:t>
      </w:r>
    </w:p>
    <w:tbl>
      <w:tblPr>
        <w:tblW w:w="14513" w:type="dxa"/>
        <w:jc w:val="start"/>
        <w:tblInd w:w="-7" w:type="dxa"/>
        <w:tblLayout w:type="fixed"/>
        <w:tblCellMar>
          <w:top w:w="55" w:type="dxa"/>
          <w:start w:w="108" w:type="dxa"/>
          <w:bottom w:w="55" w:type="dxa"/>
          <w:end w:w="108" w:type="dxa"/>
        </w:tblCellMar>
      </w:tblPr>
      <w:tblGrid>
        <w:gridCol w:w="1454"/>
        <w:gridCol w:w="810"/>
        <w:gridCol w:w="4411"/>
        <w:gridCol w:w="994"/>
        <w:gridCol w:w="5756"/>
        <w:gridCol w:w="1088"/>
      </w:tblGrid>
      <w:tr>
        <w:trPr>
          <w:tblHeader w:val="true"/>
        </w:trPr>
        <w:tc>
          <w:tcPr>
            <w:tcW w:w="14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shd w:fill="CCCCCC" w:val="clear"/>
            <w:vAlign w:val="bottom"/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Dates</w:t>
            </w:r>
          </w:p>
        </w:tc>
        <w:tc>
          <w:tcPr>
            <w:tcW w:w="81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shd w:fill="CCCCCC" w:val="clear"/>
            <w:vAlign w:val="bottom"/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Rank</w:t>
            </w:r>
          </w:p>
        </w:tc>
        <w:tc>
          <w:tcPr>
            <w:tcW w:w="44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shd w:fill="CCCCCC" w:val="clear"/>
            <w:vAlign w:val="bottom"/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Affected countries</w:t>
            </w:r>
          </w:p>
        </w:tc>
        <w:tc>
          <w:tcPr>
            <w:tcW w:w="9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shd w:fill="CCCCCC" w:val="clear"/>
            <w:vAlign w:val="bottom"/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Deaths</w:t>
            </w:r>
          </w:p>
        </w:tc>
        <w:tc>
          <w:tcPr>
            <w:tcW w:w="57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shd w:fill="CCCCCC" w:val="clear"/>
            <w:vAlign w:val="bottom"/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Scientific references</w:t>
            </w:r>
          </w:p>
        </w:tc>
        <w:tc>
          <w:tcPr>
            <w:tcW w:w="10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CCCCCC" w:val="clear"/>
            <w:vAlign w:val="bottom"/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Other press ref</w:t>
            </w:r>
          </w:p>
        </w:tc>
      </w:tr>
      <w:tr>
        <w:trPr/>
        <w:tc>
          <w:tcPr>
            <w:tcW w:w="1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1976/06/22 to 1976/07/09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4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BEL, CZE, FRA, DEU, IRL, LUX, NLD, GBR</w:t>
            </w:r>
          </w:p>
        </w:tc>
        <w:tc>
          <w:tcPr>
            <w:tcW w:w="9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Yes</w:t>
            </w:r>
          </w:p>
        </w:tc>
        <w:tc>
          <w:tcPr>
            <w:tcW w:w="5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spacing w:before="36" w:after="36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Ellis et al. (1980)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Rey et al. (2007)</w:t>
            </w:r>
          </w:p>
        </w:tc>
        <w:tc>
          <w:tcPr>
            <w:tcW w:w="10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/>
            </w:pPr>
            <w:hyperlink r:id="rId2">
              <w:r>
                <w:rPr>
                  <w:rStyle w:val="Hyperlink"/>
                  <w:rFonts w:eastAsia="Cambria" w:ascii="Liberation Sans" w:hAnsi="Liberation Sans"/>
                  <w:color w:val="3465A4"/>
                  <w:kern w:val="0"/>
                  <w:sz w:val="24"/>
                  <w:szCs w:val="24"/>
                  <w:lang w:val="en-US" w:eastAsia="en-US" w:bidi="ar-SA"/>
                </w:rPr>
                <w:t>BEL</w:t>
              </w:r>
            </w:hyperlink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 xml:space="preserve">, </w:t>
            </w:r>
            <w:hyperlink r:id="rId3">
              <w:r>
                <w:rPr>
                  <w:rStyle w:val="Hyperlink"/>
                  <w:rFonts w:eastAsia="Cambria" w:ascii="Liberation Sans" w:hAnsi="Liberation Sans"/>
                  <w:color w:val="3465A4"/>
                  <w:kern w:val="0"/>
                  <w:sz w:val="24"/>
                  <w:szCs w:val="24"/>
                  <w:lang w:val="en-US" w:eastAsia="en-US" w:bidi="ar-SA"/>
                </w:rPr>
                <w:t>FRA</w:t>
              </w:r>
            </w:hyperlink>
          </w:p>
        </w:tc>
      </w:tr>
      <w:tr>
        <w:trPr/>
        <w:tc>
          <w:tcPr>
            <w:tcW w:w="1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1994/07/20 to 1994/08/0</w:t>
            </w: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8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11</w:t>
            </w:r>
          </w:p>
        </w:tc>
        <w:tc>
          <w:tcPr>
            <w:tcW w:w="441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AUT, BLR, CZE, DNK, EST, DEU, HUN, LVA, LTU, POL, ROU, RUS, SRB, SVK, SWE, UKR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Yes</w:t>
            </w:r>
          </w:p>
        </w:tc>
        <w:tc>
          <w:tcPr>
            <w:tcW w:w="57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spacing w:before="36" w:after="36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Overcenco and Vera (2010)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Urban et al. (2017)</w:t>
            </w:r>
          </w:p>
        </w:tc>
        <w:tc>
          <w:tcPr>
            <w:tcW w:w="10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1995/07/27 to 1995/08/26</w:t>
            </w:r>
          </w:p>
        </w:tc>
        <w:tc>
          <w:tcPr>
            <w:tcW w:w="8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441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IRL, GBR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Yes</w:t>
            </w:r>
          </w:p>
        </w:tc>
        <w:tc>
          <w:tcPr>
            <w:tcW w:w="57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spacing w:before="36" w:after="36"/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</w:pP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Rooney et al. (1998)</w:t>
            </w:r>
          </w:p>
        </w:tc>
        <w:tc>
          <w:tcPr>
            <w:tcW w:w="10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2007/08/0</w:t>
            </w: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9</w:t>
            </w: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 xml:space="preserve"> to 2007/08/28</w:t>
            </w:r>
          </w:p>
        </w:tc>
        <w:tc>
          <w:tcPr>
            <w:tcW w:w="8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441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ALB, BLR, BIH, BGR, EST, FIN, GRC, LVA, LTU, MKD, MDA, MNE, ROU, RUS, SRB, TUR, UKR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Yes</w:t>
            </w:r>
          </w:p>
        </w:tc>
        <w:tc>
          <w:tcPr>
            <w:tcW w:w="57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spacing w:before="36" w:after="36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Tolika et al. (2009)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Founda and Giannakopoulos (2009)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Paldy and Bobvos (2010)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Twardosz and Kossowska-Cezak (2013)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Corobov et al. (2013)</w:t>
            </w:r>
          </w:p>
        </w:tc>
        <w:tc>
          <w:tcPr>
            <w:tcW w:w="10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2012/06/29 to 2012/07/1</w:t>
            </w: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8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441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ALB, AUT, BLR, BIH, BGR, HRV, CZE, GRC, HUN, MKD, MDA, MNE, POL, ROU, SRB, SVK, SVN, TUR, UKR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Yes</w:t>
            </w:r>
          </w:p>
        </w:tc>
        <w:tc>
          <w:tcPr>
            <w:tcW w:w="57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spacing w:before="36" w:after="36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Páldy and Bobvos (2013)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Výberči et al. (2015)</w:t>
            </w:r>
          </w:p>
        </w:tc>
        <w:tc>
          <w:tcPr>
            <w:tcW w:w="10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2012/08/17 to 2012/08/27</w:t>
            </w:r>
          </w:p>
        </w:tc>
        <w:tc>
          <w:tcPr>
            <w:tcW w:w="8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441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ALB, AUT, BIH, BGR, HRV, FRA, DEU, GRC, HUN, ITA, MKD, MDA, MNE, ROU, SRB, SVN, CHE, UKR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Yes</w:t>
            </w:r>
          </w:p>
        </w:tc>
        <w:tc>
          <w:tcPr>
            <w:tcW w:w="57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spacing w:before="36" w:after="36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Páldy and Bobvos (2013)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Sippel and Otto (2014)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Holtanová et al. (2015)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Výberči et al. (2015)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Founda and Santamouris (2017)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Lhotka and Kyselý (2022)</w:t>
            </w:r>
          </w:p>
        </w:tc>
        <w:tc>
          <w:tcPr>
            <w:tcW w:w="10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Cambria" w:hAnsi="Cambria" w:eastAsia="Cambria"/>
                <w:kern w:val="0"/>
                <w:sz w:val="24"/>
                <w:szCs w:val="24"/>
                <w:lang w:val="en-US" w:eastAsia="en-US" w:bidi="ar-SA"/>
              </w:rPr>
            </w:pPr>
            <w:hyperlink r:id="rId4">
              <w:r>
                <w:rPr>
                  <w:rStyle w:val="Hyperlink"/>
                  <w:rFonts w:eastAsia="Cambria" w:ascii="Liberation Sans" w:hAnsi="Liberation Sans"/>
                  <w:color w:val="3465A4"/>
                  <w:kern w:val="0"/>
                  <w:sz w:val="24"/>
                  <w:szCs w:val="24"/>
                  <w:lang w:val="en-US" w:eastAsia="en-US" w:bidi="ar-SA"/>
                </w:rPr>
                <w:t>FRA</w:t>
              </w:r>
            </w:hyperlink>
          </w:p>
        </w:tc>
      </w:tr>
      <w:tr>
        <w:trPr/>
        <w:tc>
          <w:tcPr>
            <w:tcW w:w="1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2015/08/04 to 2015/08/16</w:t>
            </w:r>
          </w:p>
        </w:tc>
        <w:tc>
          <w:tcPr>
            <w:tcW w:w="8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441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AUT, BLR, HRV, CZE, DEU, HUN, LVA, LTU, MDA, POL, ROU, RUS, SRB, SVK, SVN, CHE, UKR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Yes</w:t>
            </w:r>
          </w:p>
        </w:tc>
        <w:tc>
          <w:tcPr>
            <w:tcW w:w="57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spacing w:before="36" w:after="36"/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</w:pP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Urban et al. (2017)</w:t>
            </w:r>
          </w:p>
        </w:tc>
        <w:tc>
          <w:tcPr>
            <w:tcW w:w="10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2017/07/30 to 2017/08/1</w:t>
            </w: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8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441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ALB, AUT, BIH, BGR, HRV, FRA, GRC, HUN, ITA, MKD, MDA, MNE, POL, ROU, RUS, SRB, SVK, SVN, CHE, TUR, UKR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No</w:t>
            </w:r>
          </w:p>
        </w:tc>
        <w:tc>
          <w:tcPr>
            <w:tcW w:w="57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spacing w:before="36" w:after="36"/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</w:pP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Can et al. (2019)</w:t>
            </w:r>
          </w:p>
        </w:tc>
        <w:tc>
          <w:tcPr>
            <w:tcW w:w="10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Cambria" w:hAnsi="Cambria" w:eastAsia="Cambria"/>
                <w:kern w:val="0"/>
                <w:sz w:val="24"/>
                <w:szCs w:val="24"/>
                <w:lang w:val="en-US" w:eastAsia="en-US" w:bidi="ar-SA"/>
              </w:rPr>
            </w:pPr>
            <w:hyperlink r:id="rId5">
              <w:r>
                <w:rPr>
                  <w:rStyle w:val="Hyperlink"/>
                  <w:rFonts w:eastAsia="Cambria" w:ascii="Liberation Sans" w:hAnsi="Liberation Sans"/>
                  <w:color w:val="3465A4"/>
                  <w:kern w:val="0"/>
                  <w:sz w:val="24"/>
                  <w:szCs w:val="24"/>
                  <w:lang w:val="en-US" w:eastAsia="en-US" w:bidi="ar-SA"/>
                </w:rPr>
                <w:t>South Europe</w:t>
              </w:r>
            </w:hyperlink>
          </w:p>
        </w:tc>
      </w:tr>
      <w:tr>
        <w:trPr/>
        <w:tc>
          <w:tcPr>
            <w:tcW w:w="1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2021/06/14 to 2021/07/19</w:t>
            </w:r>
          </w:p>
        </w:tc>
        <w:tc>
          <w:tcPr>
            <w:tcW w:w="8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441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ALB, AUT, BLR, BIH, HRV, CZE, DNK, EST, FIN, FRA, DEU, GRC, HUN, LVA, LTU, MKD, MNE, NOR, POL, ROU, RUS, SRB, SVK, SVN, SWE, CHE, UKR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No</w:t>
            </w:r>
          </w:p>
        </w:tc>
        <w:tc>
          <w:tcPr>
            <w:tcW w:w="57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spacing w:before="36" w:after="36"/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</w:pP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Lhotka and Kyselý (2022)</w:t>
            </w:r>
          </w:p>
        </w:tc>
        <w:tc>
          <w:tcPr>
            <w:tcW w:w="10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Cambria" w:hAnsi="Cambria" w:eastAsia="Cambria"/>
                <w:kern w:val="0"/>
                <w:sz w:val="24"/>
                <w:szCs w:val="24"/>
                <w:lang w:val="en-US" w:eastAsia="en-US" w:bidi="ar-SA"/>
              </w:rPr>
            </w:pPr>
            <w:hyperlink r:id="rId6">
              <w:r>
                <w:rPr>
                  <w:rStyle w:val="Hyperlink"/>
                  <w:rFonts w:eastAsia="Cambria" w:ascii="Liberation Sans" w:hAnsi="Liberation Sans"/>
                  <w:color w:val="3465A4"/>
                  <w:kern w:val="0"/>
                  <w:sz w:val="24"/>
                  <w:szCs w:val="24"/>
                  <w:lang w:val="en-US" w:eastAsia="en-US" w:bidi="ar-SA"/>
                </w:rPr>
                <w:t>RUS</w:t>
              </w:r>
            </w:hyperlink>
            <w:r>
              <w:rPr>
                <w:rFonts w:eastAsia="Cambria" w:ascii="Liberation Sans" w:hAnsi="Liberation Sans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, </w:t>
            </w:r>
            <w:hyperlink r:id="rId7">
              <w:r>
                <w:rPr>
                  <w:rStyle w:val="Hyperlink"/>
                  <w:rFonts w:eastAsia="Cambria" w:ascii="Liberation Sans" w:hAnsi="Liberation Sans"/>
                  <w:color w:val="3465A4"/>
                  <w:kern w:val="0"/>
                  <w:sz w:val="24"/>
                  <w:szCs w:val="24"/>
                  <w:lang w:val="en-US" w:eastAsia="en-US" w:bidi="ar-SA"/>
                </w:rPr>
                <w:t>Europe</w:t>
              </w:r>
            </w:hyperlink>
          </w:p>
        </w:tc>
      </w:tr>
      <w:tr>
        <w:trPr/>
        <w:tc>
          <w:tcPr>
            <w:tcW w:w="1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2021/07/25 to 2021/08/16</w:t>
            </w:r>
          </w:p>
        </w:tc>
        <w:tc>
          <w:tcPr>
            <w:tcW w:w="8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441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ALB, BIH, BGR, HRV, FRA, GRC, ITA, MKD, MNE, ROU, SRB, TUR</w:t>
            </w:r>
          </w:p>
        </w:tc>
        <w:tc>
          <w:tcPr>
            <w:tcW w:w="9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Liberation Sans" w:hAnsi="Liberation Sans" w:eastAsia="Cambria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mbria" w:ascii="Liberation Sans" w:hAnsi="Liberation Sans"/>
                <w:kern w:val="0"/>
                <w:sz w:val="24"/>
                <w:szCs w:val="24"/>
                <w:lang w:val="en-US" w:eastAsia="en-US" w:bidi="ar-SA"/>
              </w:rPr>
              <w:t>Yes</w:t>
            </w:r>
          </w:p>
        </w:tc>
        <w:tc>
          <w:tcPr>
            <w:tcW w:w="57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mpact"/>
              <w:spacing w:before="36" w:after="36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Founda et al. (2022)</w:t>
            </w:r>
            <w:r>
              <w:rPr>
                <w:rFonts w:ascii="Liberation Sans" w:hAnsi="Liberation Sans"/>
              </w:rPr>
              <w:t xml:space="preserve">, </w:t>
            </w:r>
            <w:r>
              <w:rPr>
                <w:rFonts w:ascii="Liberation Sans" w:hAnsi="Liberation Sans"/>
                <w:b w:val="false"/>
                <w:i w:val="false"/>
                <w:caps w:val="false"/>
                <w:smallCaps w:val="false"/>
                <w:position w:val="0"/>
                <w:sz w:val="24"/>
                <w:u w:val="dash"/>
                <w:vertAlign w:val="baseline"/>
              </w:rPr>
              <w:t>Giannaros et al. (2024)</w:t>
            </w:r>
          </w:p>
        </w:tc>
        <w:tc>
          <w:tcPr>
            <w:tcW w:w="10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pact"/>
              <w:widowControl/>
              <w:spacing w:before="36" w:after="36"/>
              <w:jc w:val="start"/>
              <w:rPr>
                <w:rFonts w:ascii="Cambria" w:hAnsi="Cambria" w:eastAsia="Cambria"/>
                <w:kern w:val="0"/>
                <w:sz w:val="24"/>
                <w:szCs w:val="24"/>
                <w:lang w:val="en-US" w:eastAsia="en-US" w:bidi="ar-SA"/>
              </w:rPr>
            </w:pPr>
            <w:hyperlink r:id="rId8">
              <w:r>
                <w:rPr>
                  <w:rStyle w:val="Hyperlink"/>
                  <w:rFonts w:eastAsia="Cambria" w:ascii="Liberation Sans" w:hAnsi="Liberation Sans"/>
                  <w:color w:val="3465A4"/>
                  <w:kern w:val="0"/>
                  <w:sz w:val="24"/>
                  <w:szCs w:val="24"/>
                  <w:lang w:val="en-US" w:eastAsia="en-US" w:bidi="ar-SA"/>
                </w:rPr>
                <w:t>ITA</w:t>
              </w:r>
            </w:hyperlink>
            <w:r>
              <w:rPr>
                <w:rFonts w:eastAsia="Cambria" w:ascii="Liberation Sans" w:hAnsi="Liberation Sans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, </w:t>
            </w:r>
            <w:hyperlink r:id="rId9">
              <w:r>
                <w:rPr>
                  <w:rStyle w:val="Hyperlink"/>
                  <w:rFonts w:eastAsia="Cambria" w:ascii="Liberation Sans" w:hAnsi="Liberation Sans"/>
                  <w:color w:val="3465A4"/>
                  <w:kern w:val="0"/>
                  <w:sz w:val="24"/>
                  <w:szCs w:val="24"/>
                  <w:lang w:val="en-US" w:eastAsia="en-US" w:bidi="ar-SA"/>
                </w:rPr>
                <w:t>GRC</w:t>
              </w:r>
            </w:hyperlink>
            <w:r>
              <w:rPr>
                <w:rFonts w:eastAsia="Cambria" w:ascii="Liberation Sans" w:hAnsi="Liberation Sans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, </w:t>
            </w:r>
            <w:hyperlink r:id="rId10">
              <w:r>
                <w:rPr>
                  <w:rStyle w:val="Hyperlink"/>
                  <w:rFonts w:eastAsia="Cambria" w:ascii="Liberation Sans" w:hAnsi="Liberation Sans"/>
                  <w:color w:val="3465A4"/>
                  <w:kern w:val="0"/>
                  <w:sz w:val="24"/>
                  <w:szCs w:val="24"/>
                  <w:lang w:val="en-US" w:eastAsia="en-US" w:bidi="ar-SA"/>
                </w:rPr>
                <w:t>TUR</w:t>
              </w:r>
            </w:hyperlink>
            <w:bookmarkStart w:id="0" w:name="tab%3Atop_events_Copy_1"/>
            <w:bookmarkStart w:id="1" w:name="X05dfde7a5a769537b599e1da7c4d80cfa9c8763"/>
            <w:bookmarkStart w:id="2" w:name="results_Copy_1"/>
            <w:bookmarkEnd w:id="0"/>
            <w:bookmarkEnd w:id="1"/>
            <w:bookmarkEnd w:id="2"/>
          </w:p>
        </w:tc>
      </w:tr>
    </w:tbl>
    <w:p>
      <w:pPr>
        <w:pStyle w:val="Normal"/>
        <w:rPr>
          <w:rFonts w:ascii="Liberation Sans" w:hAnsi="Liberation Sans"/>
          <w:b w:val="false"/>
          <w:bCs w:val="false"/>
        </w:rPr>
      </w:pPr>
      <w:r>
        <w:rPr>
          <w:rFonts w:ascii="Liberation Sans" w:hAnsi="Liberation Sans"/>
          <w:b w:val="false"/>
          <w:bCs w:val="false"/>
        </w:rPr>
      </w:r>
      <w:r>
        <w:br w:type="page"/>
      </w:r>
    </w:p>
    <w:p>
      <w:pPr>
        <w:pStyle w:val="Table"/>
        <w:keepNext w:val="true"/>
        <w:rPr/>
      </w:pPr>
      <w:r>
        <w:rPr>
          <w:b/>
          <w:bCs/>
          <w:u w:val="single"/>
        </w:rPr>
        <w:t>Supplementary Materials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SM</w:t>
      </w:r>
      <w:r>
        <w:rPr>
          <w:b/>
          <w:bCs/>
          <w:u w:val="single"/>
        </w:rPr>
        <w:fldChar w:fldCharType="begin"/>
      </w:r>
      <w:r>
        <w:rPr>
          <w:u w:val="single"/>
          <w:b/>
          <w:bCs/>
        </w:rPr>
        <w:instrText xml:space="preserve"> SEQ Table \* ARABIC </w:instrText>
      </w:r>
      <w:r>
        <w:rPr>
          <w:u w:val="single"/>
          <w:b/>
          <w:bCs/>
        </w:rPr>
        <w:fldChar w:fldCharType="separate"/>
      </w:r>
      <w:r>
        <w:rPr>
          <w:u w:val="single"/>
          <w:b/>
          <w:bCs/>
        </w:rPr>
        <w:t>8</w:t>
      </w:r>
      <w:r>
        <w:rPr>
          <w:u w:val="single"/>
          <w:b/>
          <w:bCs/>
        </w:rPr>
        <w:fldChar w:fldCharType="end"/>
      </w:r>
      <w:r>
        <w:rPr/>
        <w:t xml:space="preserve">: </w:t>
      </w:r>
      <w:r>
        <w:rPr>
          <w:sz w:val="23"/>
          <w:szCs w:val="23"/>
        </w:rPr>
        <w:t>Detailed mortality data found in literature regarding highest-scoring CC3D heatwaves missing in EM-DAT (</w:t>
      </w:r>
      <w:r>
        <w:rPr>
          <w:sz w:val="23"/>
          <w:szCs w:val="23"/>
        </w:rPr>
        <w:t>see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SM7</w:t>
      </w:r>
      <w:r>
        <w:rPr>
          <w:sz w:val="23"/>
          <w:szCs w:val="23"/>
        </w:rPr>
        <w:t>)</w:t>
      </w:r>
    </w:p>
    <w:tbl>
      <w:tblPr>
        <w:tblW w:w="14577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50"/>
        <w:gridCol w:w="13227"/>
      </w:tblGrid>
      <w:tr>
        <w:trPr/>
        <w:tc>
          <w:tcPr>
            <w:tcW w:w="1350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center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Dates</w:t>
            </w:r>
          </w:p>
        </w:tc>
        <w:tc>
          <w:tcPr>
            <w:tcW w:w="13227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TableHeading"/>
              <w:jc w:val="start"/>
              <w:rPr>
                <w:rFonts w:ascii="Liberation Sans" w:hAnsi="Liberation Sans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Mortality Data</w:t>
            </w:r>
          </w:p>
        </w:tc>
      </w:tr>
      <w:tr>
        <w:trPr/>
        <w:tc>
          <w:tcPr>
            <w:tcW w:w="135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1976/06/22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1976/07/09</w:t>
            </w:r>
          </w:p>
        </w:tc>
        <w:tc>
          <w:tcPr>
            <w:tcW w:w="132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Rey et al. (2007): "The excess mortality during the HW-associated mortality period was about [...] 5100 deaths"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France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)</w:t>
            </w:r>
          </w:p>
          <w:p>
            <w:pPr>
              <w:pStyle w:val="TableContents"/>
              <w:jc w:val="star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Ellis et al. (1980): "The average number of daily deaths reported to the Registrar increased significantly by nearly 20 per cent during this hot fortnight and by over 30 per cent from 3 to 5 July"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(Birmingham, England)</w:t>
            </w:r>
          </w:p>
        </w:tc>
      </w:tr>
      <w:tr>
        <w:trPr/>
        <w:tc>
          <w:tcPr>
            <w:tcW w:w="135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1994/07/20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1994/08/04</w:t>
            </w:r>
          </w:p>
        </w:tc>
        <w:tc>
          <w:tcPr>
            <w:tcW w:w="132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Overcenco &amp; Vera (2010):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"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the direct heat effect during 2007 hot summer in Chisinau has resulted in about 200 of excess deaths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"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(Moldova)</w:t>
            </w:r>
          </w:p>
          <w:p>
            <w:pPr>
              <w:pStyle w:val="TableContents"/>
              <w:jc w:val="star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Urban et al. (2017):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"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The 1994 major heat wave was associated with 1197 excess deaths (95% CI: 1002–1397) per standardized 10 million inhabitants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"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(Czechia)</w:t>
            </w:r>
          </w:p>
        </w:tc>
      </w:tr>
      <w:tr>
        <w:trPr/>
        <w:tc>
          <w:tcPr>
            <w:tcW w:w="135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1995/07/27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1995/08/26</w:t>
            </w:r>
          </w:p>
        </w:tc>
        <w:tc>
          <w:tcPr>
            <w:tcW w:w="132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Rooney et al. (1998):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"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The five-day heatwave was associated with an estimated excess of 619 (8.9%) deaths over the average for 1995. About 62% of this excess may be attributable to increased air pollution. The excess mortality was slightly higher (768 deaths, 11.2%) when compared with average daily mortality for 1993–94.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"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(England and Wales)</w:t>
            </w:r>
          </w:p>
        </w:tc>
      </w:tr>
      <w:tr>
        <w:trPr/>
        <w:tc>
          <w:tcPr>
            <w:tcW w:w="135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2007/08/08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2007/08/28</w:t>
            </w:r>
          </w:p>
        </w:tc>
        <w:tc>
          <w:tcPr>
            <w:tcW w:w="132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Corobov et al. (2013): In Table 7, Heat wave (HW) and heat day (HD) characteristics, the heatwave identified as HW6 is shown to have caused 14 excess deaths. (Moldova)</w:t>
            </w:r>
          </w:p>
        </w:tc>
      </w:tr>
      <w:tr>
        <w:trPr/>
        <w:tc>
          <w:tcPr>
            <w:tcW w:w="135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2012/06/29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2012/07/16</w:t>
            </w:r>
          </w:p>
        </w:tc>
        <w:tc>
          <w:tcPr>
            <w:tcW w:w="132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Výberči et al. (2015):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"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During 21 days of summer heat events in this year, a 13.0% (95% CI: 9.2% to 17.0%) increase in total mortality was recorded, accounting for more than 370 excess deaths. Within individual 2012 heat periods, a large part of the excess deaths was caused by the period that began on the very last day of June.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"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(Slovakia)</w:t>
            </w:r>
          </w:p>
        </w:tc>
      </w:tr>
      <w:tr>
        <w:trPr/>
        <w:tc>
          <w:tcPr>
            <w:tcW w:w="135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2012/08/17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2012/08/27</w:t>
            </w:r>
          </w:p>
        </w:tc>
        <w:tc>
          <w:tcPr>
            <w:tcW w:w="132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Páldy and Bobvos (2013):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"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1666 excess death cases (27%) could be attributed to the 26 days of the four heat alerts at country level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"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(Hungary)</w:t>
            </w:r>
          </w:p>
        </w:tc>
      </w:tr>
      <w:tr>
        <w:trPr/>
        <w:tc>
          <w:tcPr>
            <w:tcW w:w="135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2015/08/04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2015/08/16</w:t>
            </w:r>
          </w:p>
        </w:tc>
        <w:tc>
          <w:tcPr>
            <w:tcW w:w="132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Urban et al. (2017):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"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847 (95% CI: 711–988) deaths per 10 million inhabitants during 2015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"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(Czechia)</w:t>
            </w:r>
          </w:p>
        </w:tc>
      </w:tr>
      <w:tr>
        <w:trPr/>
        <w:tc>
          <w:tcPr>
            <w:tcW w:w="135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2017/07/30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2017/08/14</w:t>
            </w:r>
          </w:p>
        </w:tc>
        <w:tc>
          <w:tcPr>
            <w:tcW w:w="132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Nothing Found</w:t>
            </w:r>
          </w:p>
        </w:tc>
      </w:tr>
      <w:tr>
        <w:trPr/>
        <w:tc>
          <w:tcPr>
            <w:tcW w:w="1350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2021/06/14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2021/07/19</w:t>
            </w:r>
          </w:p>
        </w:tc>
        <w:tc>
          <w:tcPr>
            <w:tcW w:w="1322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Nothing Found</w:t>
            </w:r>
          </w:p>
        </w:tc>
      </w:tr>
      <w:tr>
        <w:trPr/>
        <w:tc>
          <w:tcPr>
            <w:tcW w:w="1350" w:type="dxa"/>
            <w:tcBorders>
              <w:top w:val="single" w:sz="6" w:space="0" w:color="999999"/>
              <w:bottom w:val="single" w:sz="16" w:space="0" w:color="000000"/>
            </w:tcBorders>
            <w:shd w:fill="EEEEEE" w:val="clear"/>
          </w:tcPr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2021/07/25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</w:t>
            </w:r>
          </w:p>
          <w:p>
            <w:pPr>
              <w:pStyle w:val="TableContents"/>
              <w:jc w:val="center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2021/08/16</w:t>
            </w:r>
          </w:p>
        </w:tc>
        <w:tc>
          <w:tcPr>
            <w:tcW w:w="13227" w:type="dxa"/>
            <w:tcBorders>
              <w:top w:val="single" w:sz="6" w:space="0" w:color="999999"/>
              <w:bottom w:val="single" w:sz="16" w:space="0" w:color="000000"/>
            </w:tcBorders>
            <w:shd w:fill="EEEEEE" w:val="clear"/>
          </w:tcPr>
          <w:p>
            <w:pPr>
              <w:pStyle w:val="TableContents"/>
              <w:jc w:val="start"/>
              <w:rPr>
                <w:rFonts w:ascii="Liberation Sans" w:hAnsi="Liberation 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Giannaros et al. (2024):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"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over 2300 excess deaths […] compared to the 2016–2020 average were recorded during the episode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"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(Greece)</w:t>
            </w:r>
          </w:p>
        </w:tc>
      </w:tr>
    </w:tbl>
    <w:p>
      <w:pPr>
        <w:pStyle w:val="Normal"/>
        <w:rPr/>
      </w:pPr>
      <w:r>
        <w:rPr>
          <w:rFonts w:ascii="Liberation Sans" w:hAnsi="Liberation Sans"/>
          <w:b/>
          <w:bCs/>
          <w:u w:val="single"/>
        </w:rPr>
        <w:t>Supplementary Materials References</w:t>
      </w:r>
    </w:p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Can G, Şahin Ü, Sayılı U, et al (2019) Excess Mortality in Istanbul during Extreme Heat Waves between 2013 and 2017. IJERPH 16:4348. https://doi.org/10.3390/ijerph16224348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Corobov R, Sheridan S, Opopol N, Ebi K (2013) Heat-related mortality in Moldova: the summer of 2007: HEAT-RELATED MORTALITY IN MOLDOVA. International Journal of Climatology 33:2551–2560. https://doi.org/10.1002/joc.3610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Ellis FP, Princé HP, Lovatt G, Whittington RM (1980) Mortality and Morbidity in Birmingham during the 1976 Heatwave. QJM: An International Journal of Medicine. https://doi.org/10.1093/oxfordjournals.qjmed.a067600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Founda D, Giannakopoulos C (2009) The exceptionally hot summer of 2007 in Athens, Greece — A typical summer in the future climate? Global and Planetary Change 67:227–236. https://doi.org/10.1016/j.gloplacha.2009.03.013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Founda D, Katavoutas G, Pierros F, Mihalopoulos N (2022) The Extreme Heat Wave of Summer 2021 in Athens (Greece): Cumulative Heat and Exposure to Heat Stress. Sustainability 14:7766. https://doi.org/10.3390/su14137766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Founda D, Santamouris M (2017) Synergies between Urban Heat Island and Heat Waves in Athens (Greece), during an extremely hot summer (2012). Sci Rep 7:10973. https://doi.org/10.1038/s41598-017-11407-6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Giannaros C, Dafis S, Kotroni V, Lagouvardos K (2024) The extreme heat wave of late July/early August 2021 in Greece under the context of the direct effect of anthropogenic greenhouse gases. Atmospheric Science Letters 25:e1191. https://doi.org/10.1002/asl.1191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Holtanová E, Valeriánová A, Crhová L, Racko S (2015) Heat wave of August 2012 in the Czech Republic: comparison of two approaches to assess high temperature event. Stud Geophys Geod 59:159–172. https://doi.org/10.1007/s11200-014-0805-6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Lhotka O, Kyselý J (2022) The 2021 European Heat Wave in the Context of Past Major Heat Waves. Earth and Space Science 9:e2022EA002567. https://doi.org/10.1029/2022EA002567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Overcenco A, Vera P (2010) Summer heat episodes in Central and Eastern Europe: Czech Republic and Republic of Moldova case. https://doi.org/10.13140/2.1.3495.5209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Paldy A, Bobvos J (2010) Health Impacts of Heat Waves of 2007 in Hungary – Background and Experiences. In: Dincer I, Hepbasli A, Midilli A, Karakoc TH (eds) Global Warming. Springer US, Boston, MA, pp 629–642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Páldy A, Bobvos J (2013) Impact of heat waves on excess mortality in 2011 and 2012 in Hungary. ISEE Conference Abstracts 2013:4150. https://doi.org/10.1289/isee.2013.P-3-12-17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Rey G, Jougla E, Fouillet A, et al (2007) The impact of major heat waves on all-cause and cause-specific mortality in France from 1971 to 2003. Int Arch Occup Environ Health 80:615–626. https://doi.org/10.1007/s00420-007-0173-4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Rooney C, McMichael AJ, Kovats RS, Coleman MP (1998) Excess mortality in England and Wales, and in Greater London, during the 1995 heatwave. J Epidemiol Community Health 52:482–486. https://doi.org/10.1136/jech.52.8.482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Sippel S, Otto FEL (2014) Beyond climatological extremes - assessing how the odds of hydrometeorological extreme events in South-East Europe change in a warming climate. Climatic Change 125:381–398. https://doi.org/10.1007/s10584-014-1153-9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Tolika K, Maheras P, Tegoulias I (2009) Extreme temperatures in Greece during 2007: Could this be a “return to the future”? Geophysical Research Letters 36:L10813. https://doi.org/10.1029/2009GL038538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Twardosz R, Kossowska-Cezak U (2013) Exceptionally Hot Summers Months in Central and Eastern Europe During the Years 1951–2010. In: Dincer I, Colpan CO, Kadioglu F (eds) Causes, Impacts and Solutions to Global Warming. Springer New York, New York, NY, pp 17–35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Urban A, Hanzlíková H, Kyselý J, Plavcová E (2017) Impacts of the 2015 Heat Waves on Mortality in the Czech Republic—A Comparison with Previous Heat Waves. IJERPH 14:1562. https://doi.org/10.3390/ijerph14121562</w:t>
      </w:r>
    </w:p>
    <w:p>
      <w:pPr>
        <w:pStyle w:val="Bibliography1"/>
        <w:rPr>
          <w:rFonts w:ascii="Liberation Sans" w:hAnsi="Liberation Sans"/>
        </w:rPr>
      </w:pPr>
      <w:r>
        <w:rPr>
          <w:rFonts w:ascii="Liberation Sans" w:hAnsi="Liberation Sans"/>
        </w:rPr>
        <w:t>Výberči D, Švec M, Faško P, et al (2015) The effects of the 1996–2012 summer heat events on human mortality in Slovakia. Moravian Geographical Reports 23:58–70. https://doi.org/10.1515/mgr-2015-0018</w:t>
      </w:r>
    </w:p>
    <w:p>
      <w:pPr>
        <w:sectPr>
          <w:type w:val="continuous"/>
          <w:pgSz w:orient="landscape" w:w="16838" w:h="11906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rPr>
          <w:rFonts w:ascii="Liberation Sans" w:hAnsi="Liberation Sans"/>
        </w:rPr>
      </w:pPr>
      <w:r>
        <w:rPr>
          <w:rFonts w:ascii="Liberation Sans" w:hAnsi="Liberation Sans"/>
        </w:rPr>
      </w:r>
    </w:p>
    <w:sectPr>
      <w:type w:val="continuous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mbria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DejaVu Sans" w:cs="FreeSans"/>
      <w:color w:val="auto"/>
      <w:kern w:val="2"/>
      <w:sz w:val="24"/>
      <w:szCs w:val="24"/>
      <w:lang w:val="fr-FR" w:eastAsia="zh-CN" w:bidi="hi-IN"/>
    </w:rPr>
  </w:style>
  <w:style w:type="character" w:styleId="DefaultParagraphFont">
    <w:name w:val="Default Paragraph Font"/>
    <w:qFormat/>
    <w:rPr/>
  </w:style>
  <w:style w:type="character" w:styleId="BodyTextChar">
    <w:name w:val="Body Text Char"/>
    <w:basedOn w:val="DefaultParagraphFont"/>
    <w:qFormat/>
    <w:rPr/>
  </w:style>
  <w:style w:type="character" w:styleId="Hyperlink">
    <w:name w:val="Hyperlink"/>
    <w:basedOn w:val="BodyTextChar"/>
    <w:rPr>
      <w:color w:val="3465A4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Table">
    <w:name w:val="Table"/>
    <w:basedOn w:val="Caption"/>
    <w:qFormat/>
    <w:pPr/>
    <w:rPr/>
  </w:style>
  <w:style w:type="paragraph" w:styleId="Compact">
    <w:name w:val="Compact"/>
    <w:basedOn w:val="BodyText"/>
    <w:qFormat/>
    <w:pPr>
      <w:spacing w:before="36" w:after="36"/>
    </w:pPr>
    <w:rPr/>
  </w:style>
  <w:style w:type="paragraph" w:styleId="Bibliography1">
    <w:name w:val="Bibliography 1"/>
    <w:basedOn w:val="Index"/>
    <w:qFormat/>
    <w:pPr>
      <w:tabs>
        <w:tab w:val="clear" w:pos="709"/>
      </w:tabs>
      <w:spacing w:lineRule="atLeast" w:line="240" w:before="0" w:after="240"/>
      <w:ind w:hanging="720" w:start="720"/>
    </w:pPr>
    <w:rPr/>
  </w:style>
  <w:style w:type="paragraph" w:styleId="SupplementaryMaterial">
    <w:name w:val="SupplementaryMaterial"/>
    <w:basedOn w:val="Caption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eteobelgique.be/article/articles-et-dossier/le-climat/81-climats-dhier-et-daujourdhui/1604-lete-1976-un-ete-legendaire" TargetMode="External"/><Relationship Id="rId3" Type="http://schemas.openxmlformats.org/officeDocument/2006/relationships/hyperlink" Target="https://www.nytimes.com/1976/06/26/archives/britain-and-europe-simmering-in-grip-of-dry-heat-wave.html" TargetMode="External"/><Relationship Id="rId4" Type="http://schemas.openxmlformats.org/officeDocument/2006/relationships/hyperlink" Target="https://www.rfi.fr/en/visiting-france/20120818-france-scorched-heatwave-after-months-rain" TargetMode="External"/><Relationship Id="rId5" Type="http://schemas.openxmlformats.org/officeDocument/2006/relationships/hyperlink" Target="https://www.ecmwf.int/en/newsletter/153/news/august-2017-heat-wave-southern-europe" TargetMode="External"/><Relationship Id="rId6" Type="http://schemas.openxmlformats.org/officeDocument/2006/relationships/hyperlink" Target="https://www.washingtonpost.com/weather/2021/06/24/june-heat-wave-europe-russia/" TargetMode="External"/><Relationship Id="rId7" Type="http://schemas.openxmlformats.org/officeDocument/2006/relationships/hyperlink" Target="https://www.france24.com/en/europe/20220423-summer-of-2021-was-europe-s-hottest-on-record" TargetMode="External"/><Relationship Id="rId8" Type="http://schemas.openxmlformats.org/officeDocument/2006/relationships/hyperlink" Target="https://web.archive.org/web/20210811195413/https://www.italy24news.com/News/154077.html" TargetMode="External"/><Relationship Id="rId9" Type="http://schemas.openxmlformats.org/officeDocument/2006/relationships/hyperlink" Target="https://www.theguardian.com/world/2021/aug/03/wildfires-reach-outskirts-of-athens-during-scorching-heatwave" TargetMode="External"/><Relationship Id="rId10" Type="http://schemas.openxmlformats.org/officeDocument/2006/relationships/hyperlink" Target="https://www.theguardian.com/world/2021/aug/06/wildfires-out-of-control-greece-turkey-thousands-flee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1931</TotalTime>
  <Application>LibreOffice/25.2.3.2$Linux_X86_64 LibreOffice_project/520$Build-2</Application>
  <AppVersion>15.0000</AppVersion>
  <Pages>14</Pages>
  <Words>4027</Words>
  <Characters>20850</Characters>
  <CharactersWithSpaces>23948</CharactersWithSpaces>
  <Paragraphs>913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2025-02-05T14:46:17Z</dcterms:created>
  <dc:creator/>
  <dc:description/>
  <dc:language>en-US</dc:language>
  <cp:lastModifiedBy/>
  <dcterms:modified xsi:type="dcterms:W3CDTF">2026-04-17T18:27:29Z</dcterms:modified>
  <cp:revision>169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zotero-version="8.0"&gt;&lt;session id="TRbQX43f"/&gt;&lt;style id="http://www.zotero.org/styles/climatic-change" hasBibliography="1" bibliographyStyleHasBeenSet="1"/&gt;&lt;prefs&gt;&lt;pref name="fieldType" value="ReferenceMark"/&gt;&lt;/prefs&gt;&lt;/data&gt;</vt:lpwstr>
  </property>
</Properties>
</file>