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91D" w:rsidRPr="00497D3B" w:rsidRDefault="009F691D" w:rsidP="009F691D">
      <w:pPr>
        <w:spacing w:line="480" w:lineRule="auto"/>
        <w:rPr>
          <w:color w:val="000000" w:themeColor="text1"/>
          <w:lang w:val="en-US"/>
        </w:rPr>
      </w:pPr>
      <w:r w:rsidRPr="00497D3B">
        <w:rPr>
          <w:b/>
          <w:bCs/>
          <w:color w:val="000000" w:themeColor="text1"/>
          <w:lang w:val="en-US"/>
        </w:rPr>
        <w:t>Fig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b/>
          <w:bCs/>
          <w:color w:val="000000" w:themeColor="text1"/>
          <w:lang w:val="en-US"/>
        </w:rPr>
        <w:t xml:space="preserve"> S1</w:t>
      </w:r>
      <w:r>
        <w:rPr>
          <w:b/>
          <w:bCs/>
          <w:color w:val="000000" w:themeColor="text1"/>
          <w:lang w:val="en-US"/>
        </w:rPr>
        <w:t xml:space="preserve"> </w:t>
      </w:r>
      <w:r w:rsidRPr="00497D3B">
        <w:rPr>
          <w:b/>
          <w:bCs/>
          <w:color w:val="000000" w:themeColor="text1"/>
          <w:lang w:val="en-US"/>
        </w:rPr>
        <w:t>Tumor growth in NT2.5-LM model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b/>
          <w:bCs/>
          <w:color w:val="000000" w:themeColor="text1"/>
          <w:lang w:val="en-US"/>
        </w:rPr>
        <w:t xml:space="preserve"> (</w:t>
      </w:r>
      <w:proofErr w:type="gramStart"/>
      <w:r>
        <w:rPr>
          <w:b/>
          <w:bCs/>
          <w:color w:val="000000" w:themeColor="text1"/>
          <w:lang w:val="en-US"/>
        </w:rPr>
        <w:t>a</w:t>
      </w:r>
      <w:proofErr w:type="gramEnd"/>
      <w:r w:rsidRPr="00497D3B">
        <w:rPr>
          <w:b/>
          <w:bCs/>
          <w:color w:val="000000" w:themeColor="text1"/>
          <w:lang w:val="en-US"/>
        </w:rPr>
        <w:t xml:space="preserve">) </w:t>
      </w:r>
      <w:r w:rsidRPr="00497D3B">
        <w:rPr>
          <w:color w:val="000000" w:themeColor="text1"/>
          <w:lang w:val="en-US"/>
        </w:rPr>
        <w:t>1x10</w:t>
      </w:r>
      <w:r w:rsidRPr="00497D3B">
        <w:rPr>
          <w:color w:val="000000" w:themeColor="text1"/>
          <w:vertAlign w:val="superscript"/>
          <w:lang w:val="en-US"/>
        </w:rPr>
        <w:t>5</w:t>
      </w:r>
      <w:r w:rsidRPr="00497D3B">
        <w:rPr>
          <w:color w:val="000000" w:themeColor="text1"/>
          <w:lang w:val="en-US"/>
        </w:rPr>
        <w:t xml:space="preserve"> NT2.5 or NT2.5-LM cells were injected into a mammary fat pad of </w:t>
      </w:r>
      <w:proofErr w:type="spellStart"/>
      <w:r w:rsidRPr="00497D3B">
        <w:rPr>
          <w:color w:val="000000" w:themeColor="text1"/>
          <w:lang w:val="en-US"/>
        </w:rPr>
        <w:t>NeuN</w:t>
      </w:r>
      <w:proofErr w:type="spellEnd"/>
      <w:r w:rsidRPr="00497D3B">
        <w:rPr>
          <w:color w:val="000000" w:themeColor="text1"/>
          <w:lang w:val="en-US"/>
        </w:rPr>
        <w:t xml:space="preserve"> mice (NT2.5, n=10; NT2.5-LM, n=7). Mammary tumor volumes (mm</w:t>
      </w:r>
      <w:r w:rsidRPr="00497D3B">
        <w:rPr>
          <w:color w:val="000000" w:themeColor="text1"/>
          <w:vertAlign w:val="superscript"/>
          <w:lang w:val="en-US"/>
        </w:rPr>
        <w:t>3</w:t>
      </w:r>
      <w:r w:rsidRPr="00497D3B">
        <w:rPr>
          <w:color w:val="000000" w:themeColor="text1"/>
          <w:lang w:val="en-US"/>
        </w:rPr>
        <w:t xml:space="preserve">) </w:t>
      </w:r>
      <w:proofErr w:type="gramStart"/>
      <w:r w:rsidRPr="00497D3B">
        <w:rPr>
          <w:color w:val="000000" w:themeColor="text1"/>
          <w:lang w:val="en-US"/>
        </w:rPr>
        <w:t>were averaged</w:t>
      </w:r>
      <w:proofErr w:type="gramEnd"/>
      <w:r w:rsidRPr="00497D3B">
        <w:rPr>
          <w:color w:val="000000" w:themeColor="text1"/>
          <w:lang w:val="en-US"/>
        </w:rPr>
        <w:t xml:space="preserve"> across all mice within the same group. </w:t>
      </w:r>
      <w:proofErr w:type="gramStart"/>
      <w:r w:rsidRPr="00497D3B">
        <w:rPr>
          <w:color w:val="000000" w:themeColor="text1"/>
          <w:lang w:val="en-US"/>
        </w:rPr>
        <w:t>Surgical resection of NT2.5-LM tumor-bearing mice at 12 days post-injection (dpi) is depicted by a red arrow</w:t>
      </w:r>
      <w:proofErr w:type="gramEnd"/>
      <w:r w:rsidRPr="00497D3B">
        <w:rPr>
          <w:color w:val="000000" w:themeColor="text1"/>
          <w:lang w:val="en-US"/>
        </w:rPr>
        <w:t xml:space="preserve">. Mammary tumors regrew in NT2.5-LM at 24 dpi. Data shown until first mouse death recorded at 33 dpi. </w:t>
      </w:r>
      <w:r w:rsidRPr="00497D3B">
        <w:rPr>
          <w:b/>
          <w:bCs/>
          <w:color w:val="000000" w:themeColor="text1"/>
          <w:lang w:val="en-US"/>
        </w:rPr>
        <w:t>(</w:t>
      </w:r>
      <w:r>
        <w:rPr>
          <w:b/>
          <w:bCs/>
          <w:color w:val="000000" w:themeColor="text1"/>
          <w:lang w:val="en-US"/>
        </w:rPr>
        <w:t>b</w:t>
      </w:r>
      <w:r w:rsidRPr="00497D3B">
        <w:rPr>
          <w:b/>
          <w:bCs/>
          <w:color w:val="000000" w:themeColor="text1"/>
          <w:lang w:val="en-US"/>
        </w:rPr>
        <w:t>)</w:t>
      </w:r>
      <w:r w:rsidRPr="00497D3B">
        <w:rPr>
          <w:color w:val="000000" w:themeColor="text1"/>
          <w:lang w:val="en-US"/>
        </w:rPr>
        <w:t xml:space="preserve"> Mammary tumor volumes (mm</w:t>
      </w:r>
      <w:r w:rsidRPr="00497D3B">
        <w:rPr>
          <w:color w:val="000000" w:themeColor="text1"/>
          <w:vertAlign w:val="superscript"/>
          <w:lang w:val="en-US"/>
        </w:rPr>
        <w:t>3</w:t>
      </w:r>
      <w:r w:rsidRPr="00497D3B">
        <w:rPr>
          <w:color w:val="000000" w:themeColor="text1"/>
          <w:lang w:val="en-US"/>
        </w:rPr>
        <w:t>) of individual mice shown in (</w:t>
      </w:r>
      <w:r>
        <w:rPr>
          <w:color w:val="000000" w:themeColor="text1"/>
          <w:lang w:val="en-US"/>
        </w:rPr>
        <w:t>a</w:t>
      </w:r>
      <w:r w:rsidRPr="00497D3B">
        <w:rPr>
          <w:color w:val="000000" w:themeColor="text1"/>
          <w:lang w:val="en-US"/>
        </w:rPr>
        <w:t>) until required euthanasia of mice.</w:t>
      </w:r>
    </w:p>
    <w:p w:rsidR="009F691D" w:rsidRDefault="009F691D" w:rsidP="009F691D">
      <w:pPr>
        <w:spacing w:line="480" w:lineRule="auto"/>
        <w:rPr>
          <w:color w:val="000000" w:themeColor="text1"/>
          <w:lang w:val="en-US"/>
        </w:rPr>
      </w:pPr>
    </w:p>
    <w:p w:rsidR="009F691D" w:rsidRPr="00497D3B" w:rsidRDefault="009F691D" w:rsidP="009F691D">
      <w:pPr>
        <w:spacing w:line="480" w:lineRule="auto"/>
        <w:rPr>
          <w:color w:val="000000" w:themeColor="text1"/>
          <w:lang w:val="en-US"/>
        </w:rPr>
      </w:pPr>
      <w:r w:rsidRPr="00497D3B">
        <w:rPr>
          <w:b/>
          <w:bCs/>
          <w:color w:val="000000" w:themeColor="text1"/>
          <w:lang w:val="en-US"/>
        </w:rPr>
        <w:t>Fig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b/>
          <w:bCs/>
          <w:color w:val="000000" w:themeColor="text1"/>
          <w:lang w:val="en-US"/>
        </w:rPr>
        <w:t xml:space="preserve"> S2 Necropsy of NT2.5-LM metastases-bearing tissues</w:t>
      </w:r>
      <w:r>
        <w:rPr>
          <w:b/>
          <w:bCs/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 xml:space="preserve"> </w:t>
      </w:r>
      <w:r w:rsidRPr="00497D3B">
        <w:rPr>
          <w:color w:val="000000" w:themeColor="text1"/>
          <w:lang w:val="en-US"/>
        </w:rPr>
        <w:t xml:space="preserve">Upon euthanasia of NT2.5-LM mice, various tissues </w:t>
      </w:r>
      <w:proofErr w:type="gramStart"/>
      <w:r w:rsidRPr="00497D3B">
        <w:rPr>
          <w:color w:val="000000" w:themeColor="text1"/>
          <w:lang w:val="en-US"/>
        </w:rPr>
        <w:t>were collected, fixed, sectioned, stained with H&amp;E, and evaluated for presence of metastases</w:t>
      </w:r>
      <w:proofErr w:type="gramEnd"/>
      <w:r w:rsidRPr="00497D3B">
        <w:rPr>
          <w:color w:val="000000" w:themeColor="text1"/>
          <w:lang w:val="en-US"/>
        </w:rPr>
        <w:t xml:space="preserve">. </w:t>
      </w:r>
      <w:proofErr w:type="gramStart"/>
      <w:r w:rsidRPr="00497D3B">
        <w:rPr>
          <w:color w:val="000000" w:themeColor="text1"/>
          <w:lang w:val="en-US"/>
        </w:rPr>
        <w:t xml:space="preserve">Tissues shown include </w:t>
      </w:r>
      <w:r w:rsidRPr="0077198F">
        <w:rPr>
          <w:b/>
          <w:bCs/>
          <w:color w:val="000000" w:themeColor="text1"/>
          <w:lang w:val="en-US"/>
        </w:rPr>
        <w:t>(a)</w:t>
      </w:r>
      <w:r w:rsidRPr="00497D3B">
        <w:rPr>
          <w:color w:val="000000" w:themeColor="text1"/>
          <w:lang w:val="en-US"/>
        </w:rPr>
        <w:t xml:space="preserve"> heart [scale bars: 1000 µm], </w:t>
      </w:r>
      <w:r w:rsidRPr="0077198F">
        <w:rPr>
          <w:b/>
          <w:bCs/>
          <w:color w:val="000000" w:themeColor="text1"/>
          <w:lang w:val="en-US"/>
        </w:rPr>
        <w:t>(b)</w:t>
      </w:r>
      <w:r w:rsidRPr="00497D3B">
        <w:rPr>
          <w:color w:val="000000" w:themeColor="text1"/>
          <w:lang w:val="en-US"/>
        </w:rPr>
        <w:t xml:space="preserve"> lymph nodes [scale bars: 50 µm, 1000 µm], </w:t>
      </w:r>
      <w:r w:rsidRPr="0077198F">
        <w:rPr>
          <w:b/>
          <w:bCs/>
          <w:color w:val="000000" w:themeColor="text1"/>
          <w:lang w:val="en-US"/>
        </w:rPr>
        <w:t>(c)</w:t>
      </w:r>
      <w:r w:rsidRPr="00497D3B">
        <w:rPr>
          <w:color w:val="000000" w:themeColor="text1"/>
          <w:lang w:val="en-US"/>
        </w:rPr>
        <w:t xml:space="preserve"> lungs [scale bar: 2500 µm], </w:t>
      </w:r>
      <w:r w:rsidRPr="0077198F">
        <w:rPr>
          <w:b/>
          <w:bCs/>
          <w:color w:val="000000" w:themeColor="text1"/>
          <w:lang w:val="en-US"/>
        </w:rPr>
        <w:t>(d)</w:t>
      </w:r>
      <w:r w:rsidRPr="00497D3B">
        <w:rPr>
          <w:color w:val="000000" w:themeColor="text1"/>
          <w:lang w:val="en-US"/>
        </w:rPr>
        <w:t xml:space="preserve"> kidney [scale bar: 500 µm], </w:t>
      </w:r>
      <w:r w:rsidRPr="0077198F">
        <w:rPr>
          <w:b/>
          <w:bCs/>
          <w:color w:val="000000" w:themeColor="text1"/>
          <w:lang w:val="en-US"/>
        </w:rPr>
        <w:t>(e)</w:t>
      </w:r>
      <w:r w:rsidRPr="00497D3B">
        <w:rPr>
          <w:color w:val="000000" w:themeColor="text1"/>
          <w:lang w:val="en-US"/>
        </w:rPr>
        <w:t xml:space="preserve"> adrenal gland [scale bar: 500 µm], </w:t>
      </w:r>
      <w:r w:rsidRPr="0077198F">
        <w:rPr>
          <w:b/>
          <w:bCs/>
          <w:color w:val="000000" w:themeColor="text1"/>
          <w:lang w:val="en-US"/>
        </w:rPr>
        <w:t>(f)</w:t>
      </w:r>
      <w:r w:rsidRPr="00497D3B">
        <w:rPr>
          <w:color w:val="000000" w:themeColor="text1"/>
          <w:lang w:val="en-US"/>
        </w:rPr>
        <w:t xml:space="preserve"> stomach [scale bars: 500 µm, 1000 µm], </w:t>
      </w:r>
      <w:r w:rsidRPr="0077198F">
        <w:rPr>
          <w:b/>
          <w:bCs/>
          <w:color w:val="000000" w:themeColor="text1"/>
          <w:lang w:val="en-US"/>
        </w:rPr>
        <w:t>(g)</w:t>
      </w:r>
      <w:r w:rsidRPr="00497D3B">
        <w:rPr>
          <w:color w:val="000000" w:themeColor="text1"/>
          <w:lang w:val="en-US"/>
        </w:rPr>
        <w:t xml:space="preserve"> colon [scale bars: 400 µm, 2500 µm], </w:t>
      </w:r>
      <w:r w:rsidRPr="0077198F">
        <w:rPr>
          <w:b/>
          <w:bCs/>
          <w:color w:val="000000" w:themeColor="text1"/>
          <w:lang w:val="en-US"/>
        </w:rPr>
        <w:t>(h)</w:t>
      </w:r>
      <w:r w:rsidRPr="00497D3B">
        <w:rPr>
          <w:color w:val="000000" w:themeColor="text1"/>
          <w:lang w:val="en-US"/>
        </w:rPr>
        <w:t xml:space="preserve"> spleen [scale bar: 250 µm], </w:t>
      </w:r>
      <w:r w:rsidRPr="0077198F">
        <w:rPr>
          <w:b/>
          <w:bCs/>
          <w:color w:val="000000" w:themeColor="text1"/>
          <w:lang w:val="en-US"/>
        </w:rPr>
        <w:t>(</w:t>
      </w:r>
      <w:proofErr w:type="spellStart"/>
      <w:r w:rsidRPr="0077198F">
        <w:rPr>
          <w:b/>
          <w:bCs/>
          <w:color w:val="000000" w:themeColor="text1"/>
          <w:lang w:val="en-US"/>
        </w:rPr>
        <w:t>i</w:t>
      </w:r>
      <w:proofErr w:type="spellEnd"/>
      <w:r w:rsidRPr="0077198F">
        <w:rPr>
          <w:b/>
          <w:bCs/>
          <w:color w:val="000000" w:themeColor="text1"/>
          <w:lang w:val="en-US"/>
        </w:rPr>
        <w:t>)</w:t>
      </w:r>
      <w:r w:rsidRPr="00497D3B">
        <w:rPr>
          <w:color w:val="000000" w:themeColor="text1"/>
          <w:lang w:val="en-US"/>
        </w:rPr>
        <w:t xml:space="preserve"> skull [scale bar: 2500 µm], </w:t>
      </w:r>
      <w:r w:rsidRPr="0077198F">
        <w:rPr>
          <w:b/>
          <w:bCs/>
          <w:color w:val="000000" w:themeColor="text1"/>
          <w:lang w:val="en-US"/>
        </w:rPr>
        <w:t>(j)</w:t>
      </w:r>
      <w:r w:rsidRPr="00497D3B">
        <w:rPr>
          <w:color w:val="000000" w:themeColor="text1"/>
          <w:lang w:val="en-US"/>
        </w:rPr>
        <w:t xml:space="preserve"> ear [scale bar: 5000 µm], </w:t>
      </w:r>
      <w:r w:rsidRPr="0077198F">
        <w:rPr>
          <w:b/>
          <w:bCs/>
          <w:color w:val="000000" w:themeColor="text1"/>
          <w:lang w:val="en-US"/>
        </w:rPr>
        <w:t>(k)</w:t>
      </w:r>
      <w:r w:rsidRPr="00497D3B">
        <w:rPr>
          <w:color w:val="000000" w:themeColor="text1"/>
          <w:lang w:val="en-US"/>
        </w:rPr>
        <w:t xml:space="preserve"> body wall [scale bar: 2500 µm], and </w:t>
      </w:r>
      <w:r w:rsidRPr="0077198F">
        <w:rPr>
          <w:b/>
          <w:bCs/>
          <w:color w:val="000000" w:themeColor="text1"/>
          <w:lang w:val="en-US"/>
        </w:rPr>
        <w:t>(l)</w:t>
      </w:r>
      <w:r w:rsidRPr="00497D3B">
        <w:rPr>
          <w:color w:val="000000" w:themeColor="text1"/>
          <w:lang w:val="en-US"/>
        </w:rPr>
        <w:t xml:space="preserve"> teeth [scale bars: 50 µm, 750 µm].</w:t>
      </w:r>
      <w:proofErr w:type="gramEnd"/>
    </w:p>
    <w:p w:rsidR="009F691D" w:rsidRDefault="009F691D" w:rsidP="009F691D">
      <w:pPr>
        <w:spacing w:line="480" w:lineRule="auto"/>
        <w:rPr>
          <w:color w:val="000000" w:themeColor="text1"/>
          <w:lang w:val="en-US"/>
        </w:rPr>
      </w:pPr>
    </w:p>
    <w:p w:rsidR="009F691D" w:rsidRPr="00497D3B" w:rsidRDefault="009F691D" w:rsidP="009F691D">
      <w:pPr>
        <w:spacing w:line="480" w:lineRule="auto"/>
        <w:rPr>
          <w:color w:val="000000" w:themeColor="text1"/>
          <w:lang w:val="en-US"/>
        </w:rPr>
      </w:pPr>
      <w:r w:rsidRPr="00497D3B">
        <w:rPr>
          <w:b/>
          <w:bCs/>
          <w:color w:val="000000" w:themeColor="text1"/>
          <w:lang w:val="en-US"/>
        </w:rPr>
        <w:t>Fig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b/>
          <w:bCs/>
          <w:color w:val="000000" w:themeColor="text1"/>
          <w:lang w:val="en-US"/>
        </w:rPr>
        <w:t xml:space="preserve"> S3 Immunohistochemistry (IHC) of NT2.5 mammary tumors and NT2.5-LM lung metastases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color w:val="000000" w:themeColor="text1"/>
          <w:lang w:val="en-US"/>
        </w:rPr>
        <w:t xml:space="preserve"> Staining of EGFR, AE1/3, CK5, and CK6 in NT2.5 mammary tumors (left) and NT2.5-LM lung metastases (right) collected at 35 days post-injection. Scale bars are 280 µm and 60 µm (zoomed-in panels).</w:t>
      </w:r>
    </w:p>
    <w:p w:rsidR="009F691D" w:rsidRDefault="009F691D" w:rsidP="009F691D">
      <w:pPr>
        <w:spacing w:line="480" w:lineRule="auto"/>
        <w:rPr>
          <w:color w:val="000000" w:themeColor="text1"/>
          <w:lang w:val="en-US"/>
        </w:rPr>
      </w:pPr>
    </w:p>
    <w:p w:rsidR="009F691D" w:rsidRDefault="009F691D" w:rsidP="009F691D">
      <w:pPr>
        <w:spacing w:line="480" w:lineRule="auto"/>
        <w:rPr>
          <w:color w:val="000000" w:themeColor="text1"/>
          <w:lang w:val="en-US"/>
        </w:rPr>
      </w:pPr>
      <w:r w:rsidRPr="006A35A2">
        <w:rPr>
          <w:b/>
          <w:bCs/>
          <w:color w:val="000000" w:themeColor="text1"/>
          <w:lang w:val="en-US"/>
        </w:rPr>
        <w:t>Fig</w:t>
      </w:r>
      <w:r>
        <w:rPr>
          <w:b/>
          <w:bCs/>
          <w:color w:val="000000" w:themeColor="text1"/>
          <w:lang w:val="en-US"/>
        </w:rPr>
        <w:t xml:space="preserve">. </w:t>
      </w:r>
      <w:r w:rsidRPr="006A35A2">
        <w:rPr>
          <w:b/>
          <w:bCs/>
          <w:color w:val="000000" w:themeColor="text1"/>
          <w:lang w:val="en-US"/>
        </w:rPr>
        <w:t>S</w:t>
      </w:r>
      <w:r>
        <w:rPr>
          <w:b/>
          <w:bCs/>
          <w:color w:val="000000" w:themeColor="text1"/>
          <w:lang w:val="en-US"/>
        </w:rPr>
        <w:t>4</w:t>
      </w:r>
      <w:r w:rsidRPr="006A35A2">
        <w:rPr>
          <w:b/>
          <w:bCs/>
          <w:color w:val="000000" w:themeColor="text1"/>
          <w:lang w:val="en-US"/>
        </w:rPr>
        <w:t xml:space="preserve"> Differential pathway regulation in NT2.5-LM compared to NT2.5 cancer cells</w:t>
      </w:r>
      <w:r w:rsidRPr="006A35A2">
        <w:rPr>
          <w:color w:val="000000" w:themeColor="text1"/>
          <w:lang w:val="en-US"/>
        </w:rPr>
        <w:t xml:space="preserve">. Unsupervised pathways analysis from single cell RNA sequencing datasets by comparing top 250 differentially expressed genes with overlap in pathways from ‘KEGG_2019_Mouse’ database using Gene Set Enrichment Analysis. Top 20 pathways in NT2.5-LM that are </w:t>
      </w:r>
      <w:r w:rsidRPr="006A35A2">
        <w:rPr>
          <w:b/>
          <w:bCs/>
          <w:color w:val="000000" w:themeColor="text1"/>
          <w:lang w:val="en-US"/>
        </w:rPr>
        <w:t>(</w:t>
      </w:r>
      <w:r>
        <w:rPr>
          <w:b/>
          <w:bCs/>
          <w:color w:val="000000" w:themeColor="text1"/>
          <w:lang w:val="en-US"/>
        </w:rPr>
        <w:t>a</w:t>
      </w:r>
      <w:r w:rsidRPr="006A35A2">
        <w:rPr>
          <w:b/>
          <w:bCs/>
          <w:color w:val="000000" w:themeColor="text1"/>
          <w:lang w:val="en-US"/>
        </w:rPr>
        <w:t>)</w:t>
      </w:r>
      <w:r w:rsidRPr="006A35A2">
        <w:rPr>
          <w:color w:val="000000" w:themeColor="text1"/>
          <w:lang w:val="en-US"/>
        </w:rPr>
        <w:t xml:space="preserve"> downregulated and </w:t>
      </w:r>
      <w:r w:rsidRPr="006A35A2">
        <w:rPr>
          <w:b/>
          <w:bCs/>
          <w:color w:val="000000" w:themeColor="text1"/>
          <w:lang w:val="en-US"/>
        </w:rPr>
        <w:t>(</w:t>
      </w:r>
      <w:r>
        <w:rPr>
          <w:b/>
          <w:bCs/>
          <w:color w:val="000000" w:themeColor="text1"/>
          <w:lang w:val="en-US"/>
        </w:rPr>
        <w:t>b</w:t>
      </w:r>
      <w:r w:rsidRPr="006A35A2">
        <w:rPr>
          <w:b/>
          <w:bCs/>
          <w:color w:val="000000" w:themeColor="text1"/>
          <w:lang w:val="en-US"/>
        </w:rPr>
        <w:t>)</w:t>
      </w:r>
      <w:r w:rsidRPr="006A35A2">
        <w:rPr>
          <w:color w:val="000000" w:themeColor="text1"/>
          <w:lang w:val="en-US"/>
        </w:rPr>
        <w:t xml:space="preserve"> upregulated compared to NT2.5 </w:t>
      </w:r>
      <w:proofErr w:type="gramStart"/>
      <w:r w:rsidRPr="006A35A2">
        <w:rPr>
          <w:color w:val="000000" w:themeColor="text1"/>
          <w:lang w:val="en-US"/>
        </w:rPr>
        <w:t>are shown</w:t>
      </w:r>
      <w:proofErr w:type="gramEnd"/>
      <w:r w:rsidRPr="006A35A2">
        <w:rPr>
          <w:color w:val="000000" w:themeColor="text1"/>
          <w:lang w:val="en-US"/>
        </w:rPr>
        <w:t>, p-adj. &lt; 0.01. Dotted line in (</w:t>
      </w:r>
      <w:r>
        <w:rPr>
          <w:color w:val="000000" w:themeColor="text1"/>
          <w:lang w:val="en-US"/>
        </w:rPr>
        <w:t>b</w:t>
      </w:r>
      <w:r w:rsidRPr="006A35A2">
        <w:rPr>
          <w:color w:val="000000" w:themeColor="text1"/>
          <w:lang w:val="en-US"/>
        </w:rPr>
        <w:t>) depicts cut-off for p-adj. = 0.01.</w:t>
      </w:r>
    </w:p>
    <w:p w:rsidR="009F691D" w:rsidRDefault="009F691D" w:rsidP="009F691D">
      <w:pPr>
        <w:spacing w:line="480" w:lineRule="auto"/>
        <w:rPr>
          <w:color w:val="000000" w:themeColor="text1"/>
          <w:lang w:val="en-US"/>
        </w:rPr>
      </w:pPr>
    </w:p>
    <w:p w:rsidR="009F691D" w:rsidRPr="006A35A2" w:rsidRDefault="009F691D" w:rsidP="009F691D">
      <w:pPr>
        <w:spacing w:line="480" w:lineRule="auto"/>
        <w:rPr>
          <w:color w:val="000000" w:themeColor="text1"/>
          <w:lang w:val="en-US"/>
        </w:rPr>
      </w:pPr>
      <w:r w:rsidRPr="00497D3B">
        <w:rPr>
          <w:b/>
          <w:bCs/>
          <w:color w:val="000000" w:themeColor="text1"/>
          <w:lang w:val="en-US"/>
        </w:rPr>
        <w:t>Fig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b/>
          <w:bCs/>
          <w:color w:val="000000" w:themeColor="text1"/>
          <w:lang w:val="en-US"/>
        </w:rPr>
        <w:t xml:space="preserve"> S</w:t>
      </w:r>
      <w:r>
        <w:rPr>
          <w:b/>
          <w:bCs/>
          <w:color w:val="000000" w:themeColor="text1"/>
          <w:lang w:val="en-US"/>
        </w:rPr>
        <w:t>5</w:t>
      </w:r>
      <w:r w:rsidRPr="00497D3B">
        <w:rPr>
          <w:b/>
          <w:bCs/>
          <w:color w:val="000000" w:themeColor="text1"/>
          <w:lang w:val="en-US"/>
        </w:rPr>
        <w:t xml:space="preserve"> Anti-HER2 treatment scheme for NT2.5-LM</w:t>
      </w:r>
      <w:r>
        <w:rPr>
          <w:b/>
          <w:bCs/>
          <w:color w:val="000000" w:themeColor="text1"/>
          <w:lang w:val="en-US"/>
        </w:rPr>
        <w:t>.</w:t>
      </w:r>
      <w:r w:rsidRPr="00497D3B">
        <w:rPr>
          <w:color w:val="000000" w:themeColor="text1"/>
          <w:lang w:val="en-US"/>
        </w:rPr>
        <w:t xml:space="preserve"> </w:t>
      </w:r>
      <w:proofErr w:type="gramStart"/>
      <w:r w:rsidRPr="00497D3B">
        <w:rPr>
          <w:color w:val="000000" w:themeColor="text1"/>
          <w:lang w:val="en-US"/>
        </w:rPr>
        <w:t>1x10</w:t>
      </w:r>
      <w:r w:rsidRPr="00497D3B">
        <w:rPr>
          <w:color w:val="000000" w:themeColor="text1"/>
          <w:vertAlign w:val="superscript"/>
          <w:lang w:val="en-US"/>
        </w:rPr>
        <w:t>5</w:t>
      </w:r>
      <w:proofErr w:type="gramEnd"/>
      <w:r w:rsidRPr="00497D3B">
        <w:rPr>
          <w:color w:val="000000" w:themeColor="text1"/>
          <w:lang w:val="en-US"/>
        </w:rPr>
        <w:t xml:space="preserve"> NT2.5-LM cells were </w:t>
      </w:r>
      <w:proofErr w:type="spellStart"/>
      <w:r w:rsidRPr="00497D3B">
        <w:rPr>
          <w:color w:val="000000" w:themeColor="text1"/>
          <w:lang w:val="en-US"/>
        </w:rPr>
        <w:t>orthotopically</w:t>
      </w:r>
      <w:proofErr w:type="spellEnd"/>
      <w:r w:rsidRPr="00497D3B">
        <w:rPr>
          <w:color w:val="000000" w:themeColor="text1"/>
          <w:lang w:val="en-US"/>
        </w:rPr>
        <w:t xml:space="preserve"> injected in a mammary fat pad. Mammary tumors </w:t>
      </w:r>
      <w:proofErr w:type="gramStart"/>
      <w:r w:rsidRPr="00497D3B">
        <w:rPr>
          <w:color w:val="000000" w:themeColor="text1"/>
          <w:lang w:val="en-US"/>
        </w:rPr>
        <w:t>were surgically resected</w:t>
      </w:r>
      <w:proofErr w:type="gramEnd"/>
      <w:r w:rsidRPr="00497D3B">
        <w:rPr>
          <w:color w:val="000000" w:themeColor="text1"/>
          <w:lang w:val="en-US"/>
        </w:rPr>
        <w:t xml:space="preserve"> 12 days post-injection (dpi). Anti-HER2 monoclonal antibody treatment of 100 µg/mouse administered </w:t>
      </w:r>
      <w:proofErr w:type="spellStart"/>
      <w:r w:rsidRPr="00497D3B">
        <w:rPr>
          <w:color w:val="000000" w:themeColor="text1"/>
          <w:lang w:val="en-US"/>
        </w:rPr>
        <w:t>intraperitoneally</w:t>
      </w:r>
      <w:proofErr w:type="spellEnd"/>
      <w:r w:rsidRPr="00497D3B">
        <w:rPr>
          <w:color w:val="000000" w:themeColor="text1"/>
          <w:lang w:val="en-US"/>
        </w:rPr>
        <w:t xml:space="preserve"> once a week for three weeks began at 23 dpi. After three weeks of anti-HER2 treatment, maintenance dosage for survival experiments </w:t>
      </w:r>
      <w:proofErr w:type="gramStart"/>
      <w:r w:rsidRPr="00497D3B">
        <w:rPr>
          <w:color w:val="000000" w:themeColor="text1"/>
          <w:lang w:val="en-US"/>
        </w:rPr>
        <w:t>were given</w:t>
      </w:r>
      <w:proofErr w:type="gramEnd"/>
      <w:r w:rsidRPr="00497D3B">
        <w:rPr>
          <w:color w:val="000000" w:themeColor="text1"/>
          <w:lang w:val="en-US"/>
        </w:rPr>
        <w:t xml:space="preserve"> once a week. For metastatic burden analysis, lungs </w:t>
      </w:r>
      <w:proofErr w:type="gramStart"/>
      <w:r w:rsidRPr="00497D3B">
        <w:rPr>
          <w:color w:val="000000" w:themeColor="text1"/>
          <w:lang w:val="en-US"/>
        </w:rPr>
        <w:t>were collected</w:t>
      </w:r>
      <w:proofErr w:type="gramEnd"/>
      <w:r w:rsidRPr="00497D3B">
        <w:rPr>
          <w:color w:val="000000" w:themeColor="text1"/>
          <w:lang w:val="en-US"/>
        </w:rPr>
        <w:t xml:space="preserve"> at 38 dpi for subsequent analysis.</w:t>
      </w:r>
    </w:p>
    <w:p w:rsidR="009F691D" w:rsidRDefault="009F691D" w:rsidP="009F691D">
      <w:pPr>
        <w:spacing w:line="480" w:lineRule="auto"/>
        <w:rPr>
          <w:color w:val="000000" w:themeColor="text1"/>
          <w:lang w:val="en-US"/>
        </w:rPr>
      </w:pPr>
    </w:p>
    <w:p w:rsidR="009F691D" w:rsidRPr="00307B2C" w:rsidRDefault="009F691D" w:rsidP="009F691D">
      <w:pPr>
        <w:spacing w:line="480" w:lineRule="auto"/>
        <w:rPr>
          <w:color w:val="000000" w:themeColor="text1"/>
          <w:lang w:val="en-US"/>
        </w:rPr>
      </w:pPr>
      <w:r w:rsidRPr="006A35A2">
        <w:rPr>
          <w:b/>
          <w:bCs/>
          <w:color w:val="000000" w:themeColor="text1"/>
          <w:lang w:val="en-US"/>
        </w:rPr>
        <w:t>Table S1</w:t>
      </w:r>
      <w:r w:rsidRPr="006A35A2">
        <w:rPr>
          <w:color w:val="000000" w:themeColor="text1"/>
          <w:lang w:val="en-US"/>
        </w:rPr>
        <w:t xml:space="preserve"> </w:t>
      </w:r>
      <w:r w:rsidRPr="006A35A2">
        <w:rPr>
          <w:b/>
          <w:bCs/>
          <w:color w:val="000000" w:themeColor="text1"/>
          <w:lang w:val="en-US"/>
        </w:rPr>
        <w:t>Differential pathways in NT2.5-LM compared to NT2.5 cancer cells</w:t>
      </w:r>
      <w:r w:rsidRPr="006A35A2">
        <w:rPr>
          <w:color w:val="000000" w:themeColor="text1"/>
          <w:lang w:val="en-US"/>
        </w:rPr>
        <w:t>. All unsupervised pathways analysis from single cell RNA sequencing datasets by comparing top 250 differentially expressed genes with overlap in pathways from ‘KEGG_2019_Mouse’ database using Gene Set Enrichment Analysis.</w:t>
      </w:r>
    </w:p>
    <w:p w:rsidR="00A328C9" w:rsidRDefault="00A328C9">
      <w:bookmarkStart w:id="0" w:name="_GoBack"/>
      <w:bookmarkEnd w:id="0"/>
    </w:p>
    <w:sectPr w:rsidR="00A328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1D"/>
    <w:rsid w:val="00490A3A"/>
    <w:rsid w:val="004A474F"/>
    <w:rsid w:val="006572F8"/>
    <w:rsid w:val="006F065C"/>
    <w:rsid w:val="006F3DB4"/>
    <w:rsid w:val="007042CF"/>
    <w:rsid w:val="00865B1F"/>
    <w:rsid w:val="008E1445"/>
    <w:rsid w:val="009F0946"/>
    <w:rsid w:val="009F691D"/>
    <w:rsid w:val="00A328C9"/>
    <w:rsid w:val="00A511FF"/>
    <w:rsid w:val="00A638FD"/>
    <w:rsid w:val="00A747B2"/>
    <w:rsid w:val="00BE0498"/>
    <w:rsid w:val="00C058D1"/>
    <w:rsid w:val="00CA233B"/>
    <w:rsid w:val="00DE00DA"/>
    <w:rsid w:val="00F6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F1BF4-EF2B-4CC5-9B98-613E9D9A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91D"/>
    <w:pPr>
      <w:spacing w:after="0" w:line="276" w:lineRule="auto"/>
    </w:pPr>
    <w:rPr>
      <w:rFonts w:ascii="Arial" w:eastAsia="SimSun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2382</Characters>
  <Application>Microsoft Office Word</Application>
  <DocSecurity>0</DocSecurity>
  <Lines>37</Lines>
  <Paragraphs>8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Iyanar Kannaiyan</dc:creator>
  <cp:keywords/>
  <dc:description/>
  <cp:lastModifiedBy>Iyanar Kannaiyan</cp:lastModifiedBy>
  <cp:revision>1</cp:revision>
  <dcterms:created xsi:type="dcterms:W3CDTF">2024-05-06T02:54:00Z</dcterms:created>
  <dcterms:modified xsi:type="dcterms:W3CDTF">2024-05-06T02:55:00Z</dcterms:modified>
</cp:coreProperties>
</file>