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DA2E4">
      <w:pPr>
        <w:ind w:firstLine="120" w:firstLineChars="50"/>
        <w:rPr>
          <w:b/>
        </w:rPr>
      </w:pPr>
      <w:r>
        <w:rPr>
          <w:b/>
        </w:rPr>
        <w:t>LINC01996 suppresses non-small cell lung cancer proliferation and metastasis by orchestrating the has-mir-12115/CNRIP1/ Ras signaling axis</w:t>
      </w:r>
    </w:p>
    <w:p w14:paraId="427B7B72">
      <w:pPr>
        <w:rPr>
          <w:rFonts w:eastAsia="Times New Roman"/>
          <w:highlight w:val="white"/>
        </w:rPr>
      </w:pPr>
      <w:r>
        <w:rPr>
          <w:rFonts w:eastAsia="Times New Roman"/>
          <w:highlight w:val="white"/>
        </w:rPr>
        <w:t>Yi Zhang</w:t>
      </w:r>
      <w:r>
        <w:rPr>
          <w:rFonts w:eastAsia="Times New Roman"/>
          <w:highlight w:val="white"/>
          <w:vertAlign w:val="superscript"/>
        </w:rPr>
        <w:t>1,2*</w:t>
      </w:r>
      <w:r>
        <w:rPr>
          <w:rFonts w:eastAsia="Times New Roman"/>
          <w:highlight w:val="white"/>
        </w:rPr>
        <w:t>, Xiaojing Li</w:t>
      </w:r>
      <w:r>
        <w:rPr>
          <w:rFonts w:eastAsia="Times New Roman"/>
          <w:highlight w:val="white"/>
          <w:vertAlign w:val="superscript"/>
        </w:rPr>
        <w:t>3*</w:t>
      </w:r>
      <w:r>
        <w:rPr>
          <w:rFonts w:eastAsia="Times New Roman"/>
          <w:highlight w:val="white"/>
        </w:rPr>
        <w:t>, Shanshan Liu</w:t>
      </w:r>
      <w:r>
        <w:rPr>
          <w:rFonts w:eastAsia="宋体"/>
          <w:highlight w:val="white"/>
          <w:vertAlign w:val="superscript"/>
        </w:rPr>
        <w:t>4</w:t>
      </w:r>
      <w:r>
        <w:rPr>
          <w:rFonts w:eastAsia="Times New Roman"/>
          <w:highlight w:val="white"/>
          <w:vertAlign w:val="superscript"/>
        </w:rPr>
        <w:t>*</w:t>
      </w:r>
      <w:r>
        <w:rPr>
          <w:rFonts w:eastAsia="Times New Roman"/>
          <w:highlight w:val="white"/>
        </w:rPr>
        <w:t>, Qian Xue</w:t>
      </w:r>
      <w:r>
        <w:rPr>
          <w:rFonts w:eastAsia="Times New Roman"/>
          <w:highlight w:val="white"/>
          <w:vertAlign w:val="superscript"/>
        </w:rPr>
        <w:t>2</w:t>
      </w:r>
      <w:r>
        <w:rPr>
          <w:rFonts w:eastAsia="Times New Roman"/>
          <w:highlight w:val="white"/>
        </w:rPr>
        <w:t>, Peize Meng</w:t>
      </w:r>
      <w:r>
        <w:rPr>
          <w:rFonts w:eastAsia="Times New Roman"/>
          <w:highlight w:val="white"/>
          <w:vertAlign w:val="superscript"/>
        </w:rPr>
        <w:t>2</w:t>
      </w:r>
      <w:r>
        <w:rPr>
          <w:rFonts w:eastAsia="Times New Roman"/>
          <w:highlight w:val="white"/>
        </w:rPr>
        <w:t>, Xiaolu Ge</w:t>
      </w:r>
      <w:r>
        <w:rPr>
          <w:rFonts w:eastAsia="宋体"/>
          <w:highlight w:val="white"/>
          <w:vertAlign w:val="superscript"/>
        </w:rPr>
        <w:t>5</w:t>
      </w:r>
      <w:r>
        <w:rPr>
          <w:rFonts w:eastAsia="Times New Roman"/>
          <w:highlight w:val="white"/>
          <w:vertAlign w:val="superscript"/>
        </w:rPr>
        <w:t>#</w:t>
      </w:r>
      <w:r>
        <w:rPr>
          <w:rFonts w:eastAsia="Times New Roman"/>
          <w:highlight w:val="white"/>
        </w:rPr>
        <w:t>, Qingnan Zhao</w:t>
      </w:r>
      <w:r>
        <w:rPr>
          <w:rFonts w:eastAsia="宋体"/>
          <w:highlight w:val="white"/>
          <w:vertAlign w:val="superscript"/>
        </w:rPr>
        <w:t>6</w:t>
      </w:r>
      <w:r>
        <w:rPr>
          <w:rFonts w:eastAsia="Times New Roman"/>
          <w:highlight w:val="white"/>
          <w:vertAlign w:val="superscript"/>
        </w:rPr>
        <w:t>,</w:t>
      </w:r>
      <w:r>
        <w:rPr>
          <w:rFonts w:eastAsia="宋体"/>
          <w:highlight w:val="white"/>
          <w:vertAlign w:val="superscript"/>
        </w:rPr>
        <w:t>7</w:t>
      </w:r>
      <w:r>
        <w:rPr>
          <w:rFonts w:eastAsia="Times New Roman"/>
          <w:highlight w:val="white"/>
          <w:vertAlign w:val="superscript"/>
        </w:rPr>
        <w:t>#</w:t>
      </w:r>
      <w:r>
        <w:rPr>
          <w:rFonts w:eastAsia="Times New Roman"/>
          <w:highlight w:val="white"/>
        </w:rPr>
        <w:t>, Haitao Ma</w:t>
      </w:r>
      <w:r>
        <w:rPr>
          <w:rFonts w:eastAsia="Times New Roman"/>
          <w:highlight w:val="white"/>
          <w:vertAlign w:val="superscript"/>
        </w:rPr>
        <w:t>1#</w:t>
      </w:r>
    </w:p>
    <w:p w14:paraId="163B9B09">
      <w:pPr>
        <w:rPr>
          <w:rFonts w:eastAsia="Times New Roman"/>
          <w:i/>
        </w:rPr>
      </w:pPr>
      <w:r>
        <w:rPr>
          <w:rFonts w:eastAsia="Times New Roman"/>
          <w:i/>
          <w:vertAlign w:val="superscript"/>
        </w:rPr>
        <w:t>1</w:t>
      </w:r>
      <w:r>
        <w:rPr>
          <w:rFonts w:eastAsia="Times New Roman"/>
          <w:i/>
        </w:rPr>
        <w:t xml:space="preserve">Department of Cardiothoracic Surgery, </w:t>
      </w:r>
      <w:bookmarkStart w:id="0" w:name="OLE_LINK11"/>
      <w:r>
        <w:rPr>
          <w:rFonts w:eastAsia="Times New Roman"/>
          <w:i/>
        </w:rPr>
        <w:t>The First Affiliated Hospital of Soochow University</w:t>
      </w:r>
      <w:bookmarkEnd w:id="0"/>
      <w:r>
        <w:rPr>
          <w:rFonts w:eastAsia="Times New Roman"/>
          <w:i/>
        </w:rPr>
        <w:t>, Suzhou, Jiangsu 215006, China;</w:t>
      </w:r>
    </w:p>
    <w:p w14:paraId="07B75ADA">
      <w:pPr>
        <w:rPr>
          <w:rFonts w:eastAsia="宋体"/>
          <w:i/>
        </w:rPr>
      </w:pPr>
      <w:r>
        <w:rPr>
          <w:rFonts w:eastAsia="Times New Roman"/>
          <w:i/>
          <w:vertAlign w:val="superscript"/>
        </w:rPr>
        <w:t>2</w:t>
      </w:r>
      <w:bookmarkStart w:id="1" w:name="OLE_LINK17"/>
      <w:bookmarkStart w:id="2" w:name="OLE_LINK19"/>
      <w:r>
        <w:rPr>
          <w:rFonts w:eastAsia="Times New Roman"/>
          <w:i/>
        </w:rPr>
        <w:t>Department of Thoracic Surgery</w:t>
      </w:r>
      <w:bookmarkEnd w:id="1"/>
      <w:r>
        <w:rPr>
          <w:rFonts w:eastAsia="Times New Roman"/>
          <w:i/>
        </w:rPr>
        <w:t xml:space="preserve">, </w:t>
      </w:r>
      <w:bookmarkStart w:id="3" w:name="OLE_LINK14"/>
      <w:r>
        <w:rPr>
          <w:rFonts w:eastAsia="Times New Roman"/>
          <w:i/>
        </w:rPr>
        <w:t>Shanghai General Hospital, Shanghai Jiao Tong University School of Medicine</w:t>
      </w:r>
      <w:bookmarkEnd w:id="3"/>
      <w:r>
        <w:rPr>
          <w:rFonts w:eastAsia="Times New Roman"/>
          <w:i/>
        </w:rPr>
        <w:t>, Shanghai, 200020, China</w:t>
      </w:r>
      <w:bookmarkEnd w:id="2"/>
      <w:r>
        <w:rPr>
          <w:rFonts w:eastAsia="Times New Roman"/>
          <w:i/>
        </w:rPr>
        <w:t>;</w:t>
      </w:r>
    </w:p>
    <w:p w14:paraId="2025019D">
      <w:pPr>
        <w:rPr>
          <w:rFonts w:eastAsia="宋体"/>
          <w:i/>
        </w:rPr>
      </w:pPr>
      <w:r>
        <w:rPr>
          <w:rFonts w:eastAsia="Times New Roman"/>
          <w:i/>
          <w:vertAlign w:val="superscript"/>
        </w:rPr>
        <w:t>3</w:t>
      </w:r>
      <w:r>
        <w:rPr>
          <w:rFonts w:ascii="Calibri" w:hAnsi="Calibri" w:eastAsia="宋体"/>
          <w:sz w:val="21"/>
          <w:szCs w:val="22"/>
        </w:rPr>
        <w:t xml:space="preserve"> </w:t>
      </w:r>
      <w:r>
        <w:rPr>
          <w:rFonts w:eastAsia="Times New Roman"/>
          <w:i/>
        </w:rPr>
        <w:t xml:space="preserve">Department of Pharmacy, Women's Hospital of Nanjing Medical University/Nanjing Maternity and Child Health Care Hospital, Nanjing, </w:t>
      </w:r>
      <w:r>
        <w:rPr>
          <w:rFonts w:eastAsia="宋体"/>
          <w:i/>
        </w:rPr>
        <w:t xml:space="preserve">210004, </w:t>
      </w:r>
      <w:r>
        <w:rPr>
          <w:rFonts w:eastAsia="Times New Roman"/>
          <w:i/>
        </w:rPr>
        <w:t>China.</w:t>
      </w:r>
    </w:p>
    <w:p w14:paraId="46BBA227">
      <w:pPr>
        <w:spacing w:line="240" w:lineRule="auto"/>
        <w:rPr>
          <w:rFonts w:ascii="Calibri" w:hAnsi="Calibri" w:eastAsia="宋体"/>
          <w:sz w:val="21"/>
          <w:szCs w:val="21"/>
        </w:rPr>
      </w:pPr>
      <w:r>
        <w:rPr>
          <w:rFonts w:eastAsia="宋体"/>
          <w:i/>
          <w:vertAlign w:val="superscript"/>
        </w:rPr>
        <w:t>4</w:t>
      </w:r>
      <w:r>
        <w:rPr>
          <w:rFonts w:eastAsia="宋体"/>
          <w:i/>
        </w:rPr>
        <w:t>Department of Pharmacy, Kashgar Prefecture Second People’s Hospital, Kashgar, Xinjiang, 844000, China</w:t>
      </w:r>
      <w:r>
        <w:rPr>
          <w:rFonts w:eastAsia="Times New Roman"/>
          <w:i/>
        </w:rPr>
        <w:t>;</w:t>
      </w:r>
    </w:p>
    <w:p w14:paraId="27487BE6">
      <w:pPr>
        <w:rPr>
          <w:rFonts w:eastAsia="宋体"/>
          <w:i/>
        </w:rPr>
      </w:pPr>
      <w:r>
        <w:rPr>
          <w:rFonts w:eastAsia="宋体"/>
          <w:i/>
          <w:vertAlign w:val="superscript"/>
        </w:rPr>
        <w:t>5</w:t>
      </w:r>
      <w:r>
        <w:rPr>
          <w:rFonts w:eastAsia="Times New Roman"/>
          <w:i/>
        </w:rPr>
        <w:t>Shanghai Key Laboratory of Pancreatic Disease, Shanghai Jiao Tong University School of Medicine, Shanghai, 201620, China.</w:t>
      </w:r>
    </w:p>
    <w:p w14:paraId="22C5F635">
      <w:pPr>
        <w:rPr>
          <w:rFonts w:eastAsia="Times New Roman"/>
          <w:i/>
        </w:rPr>
      </w:pPr>
      <w:r>
        <w:rPr>
          <w:rFonts w:eastAsia="宋体"/>
          <w:i/>
          <w:vertAlign w:val="superscript"/>
        </w:rPr>
        <w:t>6</w:t>
      </w:r>
      <w:r>
        <w:rPr>
          <w:rFonts w:eastAsia="Times New Roman"/>
          <w:i/>
        </w:rPr>
        <w:t xml:space="preserve">Department of Clinical Pharmacy, </w:t>
      </w:r>
      <w:bookmarkStart w:id="4" w:name="OLE_LINK18"/>
      <w:r>
        <w:rPr>
          <w:rFonts w:eastAsia="Times New Roman"/>
          <w:i/>
        </w:rPr>
        <w:t>Shanghai General Hospital, Shanghai Jiao Tong University School of Medicine</w:t>
      </w:r>
      <w:bookmarkEnd w:id="4"/>
      <w:r>
        <w:rPr>
          <w:rFonts w:eastAsia="Times New Roman"/>
          <w:i/>
        </w:rPr>
        <w:t>, Shanghai, 200020, China;</w:t>
      </w:r>
    </w:p>
    <w:p w14:paraId="1F8305F4">
      <w:pPr>
        <w:rPr>
          <w:rFonts w:eastAsia="Times New Roman"/>
          <w:i/>
        </w:rPr>
      </w:pPr>
      <w:r>
        <w:rPr>
          <w:rFonts w:eastAsia="宋体"/>
          <w:i/>
          <w:vertAlign w:val="superscript"/>
        </w:rPr>
        <w:t>7</w:t>
      </w:r>
      <w:r>
        <w:rPr>
          <w:rFonts w:eastAsia="Times New Roman"/>
          <w:i/>
        </w:rPr>
        <w:t>Shanghai Key Laboratory of Pancreatic Disease, Shanghai Jiao Tong University School of Medicine, Shanghai, 201620, China;</w:t>
      </w:r>
    </w:p>
    <w:p w14:paraId="063C8A53">
      <w:pPr>
        <w:rPr>
          <w:highlight w:val="white"/>
          <w:vertAlign w:val="superscript"/>
        </w:rPr>
      </w:pPr>
    </w:p>
    <w:p w14:paraId="5B934840">
      <w:pPr>
        <w:rPr>
          <w:b/>
          <w:highlight w:val="white"/>
        </w:rPr>
      </w:pPr>
      <w:r>
        <w:rPr>
          <w:b/>
          <w:highlight w:val="white"/>
          <w:vertAlign w:val="superscript"/>
        </w:rPr>
        <w:t xml:space="preserve"> *</w:t>
      </w:r>
      <w:r>
        <w:rPr>
          <w:b/>
          <w:highlight w:val="white"/>
        </w:rPr>
        <w:t>Contributed equally.</w:t>
      </w:r>
    </w:p>
    <w:p w14:paraId="3C479EA2">
      <w:r>
        <w:rPr>
          <w:b/>
          <w:highlight w:val="white"/>
          <w:vertAlign w:val="superscript"/>
        </w:rPr>
        <w:t>#</w:t>
      </w:r>
      <w:r>
        <w:rPr>
          <w:b/>
          <w:highlight w:val="white"/>
        </w:rPr>
        <w:t xml:space="preserve"> Co-corresponding authors, </w:t>
      </w:r>
      <w:r>
        <w:rPr>
          <w:highlight w:val="white"/>
        </w:rPr>
        <w:t>Professor Haitao Ma, Department of Cardiothoracic Surgery, The First Affiliated Hospital of Soochow University, 188 Shizi Street, Suzhou, Jiangsu 215006, China, E-mail: </w:t>
      </w:r>
      <w:r>
        <w:fldChar w:fldCharType="begin"/>
      </w:r>
      <w:r>
        <w:instrText xml:space="preserve"> HYPERLINK "mailto:dev@null" </w:instrText>
      </w:r>
      <w:r>
        <w:fldChar w:fldCharType="separate"/>
      </w:r>
      <w:r>
        <w:rPr>
          <w:highlight w:val="white"/>
        </w:rPr>
        <w:t>moc.361@100100bulcbulc</w:t>
      </w:r>
      <w:r>
        <w:rPr>
          <w:highlight w:val="white"/>
        </w:rPr>
        <w:fldChar w:fldCharType="end"/>
      </w:r>
      <w:r>
        <w:t xml:space="preserve">; Dr. Qingnan Zhao, Department of Clinical Pharmacy, Shanghai General Hospital, Shanghai Jiao Tong University School of Medicine, Shanghai, 200020, China, E-mail: </w:t>
      </w:r>
      <w:r>
        <w:fldChar w:fldCharType="begin"/>
      </w:r>
      <w:r>
        <w:instrText xml:space="preserve"> HYPERLINK "mailto:Zhaoqingnan2010@126.com" </w:instrText>
      </w:r>
      <w:r>
        <w:fldChar w:fldCharType="separate"/>
      </w:r>
      <w:r>
        <w:t>Zhaoqingnan2010@126.com</w:t>
      </w:r>
      <w:r>
        <w:fldChar w:fldCharType="end"/>
      </w:r>
      <w:r>
        <w:t>; Dr. Xiaolu Ge, Shanghai Key Laboratory of Pancreatic Disease,Shanghai General Hospital, Shanghai Jiao Tong University School of Medicine, Shanghai, 200020, China,E-mail</w:t>
      </w:r>
      <w:r>
        <w:rPr>
          <w:rFonts w:eastAsia="宋体"/>
        </w:rPr>
        <w:t>：</w:t>
      </w:r>
      <w:r>
        <w:t>xiaolu.ge@shgh.cn.</w:t>
      </w:r>
    </w:p>
    <w:p w14:paraId="229D8F76"/>
    <w:p w14:paraId="663ECCC7">
      <w:pPr>
        <w:rPr>
          <w:rFonts w:hint="eastAsia"/>
        </w:rPr>
      </w:pPr>
    </w:p>
    <w:p w14:paraId="1242EA61">
      <w:pPr>
        <w:rPr>
          <w:b/>
        </w:rPr>
      </w:pPr>
      <w:r>
        <w:rPr>
          <w:b/>
        </w:rPr>
        <w:t>Supplementary tables and figures</w:t>
      </w:r>
    </w:p>
    <w:p w14:paraId="2C2636EC">
      <w:pPr>
        <w:rPr>
          <w:b/>
        </w:rPr>
      </w:pPr>
      <w:r>
        <w:rPr>
          <w:b/>
        </w:rPr>
        <w:t>Table S1.The sequences of primers for qPCR.</w:t>
      </w:r>
    </w:p>
    <w:tbl>
      <w:tblPr>
        <w:tblStyle w:val="12"/>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127"/>
        <w:gridCol w:w="6179"/>
      </w:tblGrid>
      <w:tr w14:paraId="01BFD817">
        <w:trPr>
          <w:trHeight w:val="20" w:hRule="atLeast"/>
        </w:trPr>
        <w:tc>
          <w:tcPr>
            <w:tcW w:w="2127" w:type="dxa"/>
            <w:tcBorders>
              <w:top w:val="single" w:color="auto" w:sz="18" w:space="0"/>
              <w:bottom w:val="single" w:color="auto" w:sz="18" w:space="0"/>
            </w:tcBorders>
          </w:tcPr>
          <w:p w14:paraId="5115D19A">
            <w:r>
              <w:t xml:space="preserve">Primer name </w:t>
            </w:r>
          </w:p>
        </w:tc>
        <w:tc>
          <w:tcPr>
            <w:tcW w:w="6179" w:type="dxa"/>
            <w:tcBorders>
              <w:top w:val="single" w:color="auto" w:sz="18" w:space="0"/>
              <w:bottom w:val="single" w:color="auto" w:sz="18" w:space="0"/>
            </w:tcBorders>
          </w:tcPr>
          <w:p w14:paraId="4D16E0EE">
            <w:r>
              <w:t>Sequences (5’ to 3’)</w:t>
            </w:r>
          </w:p>
        </w:tc>
      </w:tr>
      <w:tr w14:paraId="760203B6">
        <w:trPr>
          <w:trHeight w:val="20" w:hRule="atLeast"/>
        </w:trPr>
        <w:tc>
          <w:tcPr>
            <w:tcW w:w="2127" w:type="dxa"/>
            <w:tcBorders>
              <w:top w:val="single" w:color="auto" w:sz="18" w:space="0"/>
            </w:tcBorders>
          </w:tcPr>
          <w:p w14:paraId="37D1A4BA">
            <w:r>
              <w:t>LINC01996</w:t>
            </w:r>
          </w:p>
        </w:tc>
        <w:tc>
          <w:tcPr>
            <w:tcW w:w="6179" w:type="dxa"/>
            <w:tcBorders>
              <w:top w:val="single" w:color="auto" w:sz="18" w:space="0"/>
            </w:tcBorders>
          </w:tcPr>
          <w:p w14:paraId="00A93A29">
            <w:r>
              <w:t>F: TCTCATTCCCCTCCGTCACT</w:t>
            </w:r>
          </w:p>
          <w:p w14:paraId="7728DF0E">
            <w:r>
              <w:t>R: GACAAACAACGGCAGGTTCC</w:t>
            </w:r>
          </w:p>
        </w:tc>
      </w:tr>
      <w:tr w14:paraId="5F163566">
        <w:trPr>
          <w:trHeight w:val="20" w:hRule="atLeast"/>
        </w:trPr>
        <w:tc>
          <w:tcPr>
            <w:tcW w:w="2127" w:type="dxa"/>
          </w:tcPr>
          <w:p w14:paraId="46554A96">
            <w:r>
              <w:t>CNRIP1</w:t>
            </w:r>
          </w:p>
        </w:tc>
        <w:tc>
          <w:tcPr>
            <w:tcW w:w="6179" w:type="dxa"/>
          </w:tcPr>
          <w:p w14:paraId="511B44DE">
            <w:r>
              <w:t xml:space="preserve">F: TAATGACGGCCCGGTCTTTTA </w:t>
            </w:r>
          </w:p>
          <w:p w14:paraId="1E2DD377">
            <w:r>
              <w:t>R: TGCAGCGTGCTGGGTTTAAT</w:t>
            </w:r>
          </w:p>
        </w:tc>
      </w:tr>
      <w:tr w14:paraId="4FB8619F">
        <w:trPr>
          <w:trHeight w:val="20" w:hRule="atLeast"/>
        </w:trPr>
        <w:tc>
          <w:tcPr>
            <w:tcW w:w="2127" w:type="dxa"/>
          </w:tcPr>
          <w:p w14:paraId="720B7A98">
            <w:r>
              <w:t>hsa-miR-12115</w:t>
            </w:r>
          </w:p>
        </w:tc>
        <w:tc>
          <w:tcPr>
            <w:tcW w:w="6179" w:type="dxa"/>
          </w:tcPr>
          <w:p w14:paraId="3D6B12AE">
            <w:pPr>
              <w:rPr>
                <w:shd w:val="clear" w:color="auto" w:fill="FFFFFF"/>
              </w:rPr>
            </w:pPr>
            <w:r>
              <w:rPr>
                <w:shd w:val="clear" w:color="auto" w:fill="FFFFFF"/>
              </w:rPr>
              <w:t>TAGTGGAGCTGGGAGGCAGCTC</w:t>
            </w:r>
          </w:p>
        </w:tc>
      </w:tr>
      <w:tr w14:paraId="0E3F1CF1">
        <w:trPr>
          <w:trHeight w:val="20" w:hRule="atLeast"/>
        </w:trPr>
        <w:tc>
          <w:tcPr>
            <w:tcW w:w="2127" w:type="dxa"/>
          </w:tcPr>
          <w:p w14:paraId="6F85E461">
            <w:r>
              <w:t>hsa-miR-6756-5p</w:t>
            </w:r>
          </w:p>
        </w:tc>
        <w:tc>
          <w:tcPr>
            <w:tcW w:w="6179" w:type="dxa"/>
          </w:tcPr>
          <w:p w14:paraId="7E975259">
            <w:r>
              <w:t>GTGGGGCTGGAGGTGGGGCTA</w:t>
            </w:r>
          </w:p>
        </w:tc>
      </w:tr>
      <w:tr w14:paraId="7BB6466E">
        <w:trPr>
          <w:trHeight w:val="20" w:hRule="atLeast"/>
        </w:trPr>
        <w:tc>
          <w:tcPr>
            <w:tcW w:w="2127" w:type="dxa"/>
          </w:tcPr>
          <w:p w14:paraId="2645FFBA">
            <w:r>
              <w:t>hsa-miR-1285-5p</w:t>
            </w:r>
          </w:p>
        </w:tc>
        <w:tc>
          <w:tcPr>
            <w:tcW w:w="6179" w:type="dxa"/>
          </w:tcPr>
          <w:p w14:paraId="6670428F">
            <w:r>
              <w:t>GCGATCTCACTTTGTTGCCCAGG</w:t>
            </w:r>
          </w:p>
        </w:tc>
      </w:tr>
      <w:tr w14:paraId="221BC11E">
        <w:trPr>
          <w:trHeight w:val="20" w:hRule="atLeast"/>
        </w:trPr>
        <w:tc>
          <w:tcPr>
            <w:tcW w:w="2127" w:type="dxa"/>
          </w:tcPr>
          <w:p w14:paraId="1AB8EC0A">
            <w:r>
              <w:t>hsa-miR-4685-5p</w:t>
            </w:r>
          </w:p>
        </w:tc>
        <w:tc>
          <w:tcPr>
            <w:tcW w:w="6179" w:type="dxa"/>
          </w:tcPr>
          <w:p w14:paraId="4343FBB2">
            <w:r>
              <w:t>AGGGCTTGGAGTGGGGCAAGGTT</w:t>
            </w:r>
          </w:p>
        </w:tc>
      </w:tr>
      <w:tr w14:paraId="4B0C1E8C">
        <w:trPr>
          <w:trHeight w:val="20" w:hRule="atLeast"/>
        </w:trPr>
        <w:tc>
          <w:tcPr>
            <w:tcW w:w="2127" w:type="dxa"/>
          </w:tcPr>
          <w:p w14:paraId="1DCC737E">
            <w:r>
              <w:t>hsa-miR-6851-5p</w:t>
            </w:r>
          </w:p>
        </w:tc>
        <w:tc>
          <w:tcPr>
            <w:tcW w:w="6179" w:type="dxa"/>
          </w:tcPr>
          <w:p w14:paraId="47776936">
            <w:pPr>
              <w:rPr>
                <w:b/>
                <w:bCs/>
              </w:rPr>
            </w:pPr>
            <w:r>
              <w:t>AGGAGGTGGTACTAGGGGCCAG</w:t>
            </w:r>
          </w:p>
        </w:tc>
      </w:tr>
      <w:tr w14:paraId="2195E9C9">
        <w:trPr>
          <w:trHeight w:val="20" w:hRule="atLeast"/>
        </w:trPr>
        <w:tc>
          <w:tcPr>
            <w:tcW w:w="2127" w:type="dxa"/>
          </w:tcPr>
          <w:p w14:paraId="2AFCCA36">
            <w:r>
              <w:t>hsa-miR-6722-3p</w:t>
            </w:r>
          </w:p>
        </w:tc>
        <w:tc>
          <w:tcPr>
            <w:tcW w:w="6179" w:type="dxa"/>
          </w:tcPr>
          <w:p w14:paraId="3EE63BEE">
            <w:r>
              <w:t>AGGGGTCGGGTGGGCCAGGAA</w:t>
            </w:r>
          </w:p>
        </w:tc>
      </w:tr>
      <w:tr w14:paraId="25CA5A5B">
        <w:trPr>
          <w:trHeight w:val="20" w:hRule="atLeast"/>
        </w:trPr>
        <w:tc>
          <w:tcPr>
            <w:tcW w:w="2127" w:type="dxa"/>
          </w:tcPr>
          <w:p w14:paraId="0F369312">
            <w:r>
              <w:t>hsa-miR-6165</w:t>
            </w:r>
          </w:p>
        </w:tc>
        <w:tc>
          <w:tcPr>
            <w:tcW w:w="6179" w:type="dxa"/>
          </w:tcPr>
          <w:p w14:paraId="3BB4E538">
            <w:r>
              <w:t>F:GACAGCAGGAGGTGAGGGGAG</w:t>
            </w:r>
          </w:p>
        </w:tc>
      </w:tr>
      <w:tr w14:paraId="200B1C7E">
        <w:trPr>
          <w:trHeight w:val="20" w:hRule="atLeast"/>
        </w:trPr>
        <w:tc>
          <w:tcPr>
            <w:tcW w:w="2127" w:type="dxa"/>
          </w:tcPr>
          <w:p w14:paraId="5EF913B2">
            <w:r>
              <w:t>U6</w:t>
            </w:r>
          </w:p>
        </w:tc>
        <w:tc>
          <w:tcPr>
            <w:tcW w:w="6179" w:type="dxa"/>
          </w:tcPr>
          <w:p w14:paraId="14758E2D">
            <w:r>
              <w:t>F: GCTTCGGCAGCACATATACTAAAAT</w:t>
            </w:r>
          </w:p>
          <w:p w14:paraId="7CDC0725">
            <w:r>
              <w:t>R: CGCTTCACGAATTTGCGTGTCAT</w:t>
            </w:r>
          </w:p>
        </w:tc>
      </w:tr>
      <w:tr w14:paraId="66EC1D63">
        <w:trPr>
          <w:trHeight w:val="20" w:hRule="atLeast"/>
        </w:trPr>
        <w:tc>
          <w:tcPr>
            <w:tcW w:w="2127" w:type="dxa"/>
          </w:tcPr>
          <w:p w14:paraId="6550BF99">
            <w:r>
              <w:t>β-actin</w:t>
            </w:r>
          </w:p>
        </w:tc>
        <w:tc>
          <w:tcPr>
            <w:tcW w:w="6179" w:type="dxa"/>
          </w:tcPr>
          <w:p w14:paraId="65D348C4">
            <w:r>
              <w:t>F: CTCCATCCTGGCCTCGCT</w:t>
            </w:r>
          </w:p>
          <w:p w14:paraId="759B6E87">
            <w:r>
              <w:t>R: GCTGTCACCTTCACCGTTCC</w:t>
            </w:r>
          </w:p>
        </w:tc>
      </w:tr>
    </w:tbl>
    <w:p w14:paraId="0B3051FC"/>
    <w:p w14:paraId="57C5DD0E"/>
    <w:p w14:paraId="5CBE37E1"/>
    <w:p w14:paraId="08728BC2"/>
    <w:p w14:paraId="2D683CDD"/>
    <w:p w14:paraId="12F3A448"/>
    <w:p w14:paraId="27F22843"/>
    <w:p w14:paraId="0FFF5E78"/>
    <w:p w14:paraId="290AF365"/>
    <w:p w14:paraId="259969DD"/>
    <w:p w14:paraId="6BDDCE2F">
      <w:pPr>
        <w:rPr>
          <w:rFonts w:hint="eastAsia"/>
        </w:rPr>
      </w:pPr>
    </w:p>
    <w:p w14:paraId="24282DBA">
      <w:pPr>
        <w:rPr>
          <w:b/>
        </w:rPr>
      </w:pPr>
      <w:r>
        <w:rPr>
          <w:b/>
        </w:rPr>
        <w:t>Figure S1</w:t>
      </w:r>
    </w:p>
    <w:p w14:paraId="346F0FB7">
      <w:r>
        <w:drawing>
          <wp:inline distT="0" distB="0" distL="0" distR="0">
            <wp:extent cx="5274310" cy="3240405"/>
            <wp:effectExtent l="19050" t="0" r="2540" b="0"/>
            <wp:docPr id="1" name="图片 0" descr="SF-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SF-1.tif"/>
                    <pic:cNvPicPr>
                      <a:picLocks noChangeAspect="1"/>
                    </pic:cNvPicPr>
                  </pic:nvPicPr>
                  <pic:blipFill>
                    <a:blip r:embed="rId6" cstate="print"/>
                    <a:stretch>
                      <a:fillRect/>
                    </a:stretch>
                  </pic:blipFill>
                  <pic:spPr>
                    <a:xfrm>
                      <a:off x="0" y="0"/>
                      <a:ext cx="5274310" cy="3240405"/>
                    </a:xfrm>
                    <a:prstGeom prst="rect">
                      <a:avLst/>
                    </a:prstGeom>
                  </pic:spPr>
                </pic:pic>
              </a:graphicData>
            </a:graphic>
          </wp:inline>
        </w:drawing>
      </w:r>
    </w:p>
    <w:p w14:paraId="23BA9C79">
      <w:r>
        <w:rPr>
          <w:b/>
        </w:rPr>
        <w:t xml:space="preserve">Figure S1. LINC01996 was down-regulated in NSCLC tissues and inhibited the proliferation and migration of A549 cells. </w:t>
      </w:r>
      <w:r>
        <w:t>(A) Nine pairs of NSCLC tumor tissues and corresponding normal lung tissues were processed transcriptome deep sequencing. Heatmap showed all the variations including protein-coding and noncoding genes between NSCLC tumor tissues compared with peripheral normal lung tissues. (B) Relative expression of LINC01996 in PC9-LINC01996-OE cells and A549-LINC01996-OE cells compared with PC9-Ctr and A549-Ctr cells, respectively (n=4). (C) CCK-8 assay showed that LINC01996 stable overexpression inhibited the proliferation of A549 cells. Transwell assay (D) and scratch assay (E) showed that LINC01996overexpression inhibited the migration of A549 cells.Error bars represent the mean ± SD.** p&lt;0.01, *** p&lt;0.001, ****p&lt;0.0001, two-way t-test.</w:t>
      </w:r>
    </w:p>
    <w:p w14:paraId="4911A240"/>
    <w:p w14:paraId="448A585A"/>
    <w:p w14:paraId="0A6C4C24"/>
    <w:p w14:paraId="77B1B394"/>
    <w:p w14:paraId="77431EF0"/>
    <w:p w14:paraId="6506C5DC"/>
    <w:p w14:paraId="4FE17FAF">
      <w:r>
        <w:rPr>
          <w:b/>
        </w:rPr>
        <w:t>Figure S2</w:t>
      </w:r>
    </w:p>
    <w:p w14:paraId="18EC3298">
      <w:r>
        <w:drawing>
          <wp:inline distT="0" distB="0" distL="0" distR="0">
            <wp:extent cx="5274310" cy="3116580"/>
            <wp:effectExtent l="19050" t="0" r="2540" b="0"/>
            <wp:docPr id="2" name="图片 1" descr="SF-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SF-2.tif"/>
                    <pic:cNvPicPr>
                      <a:picLocks noChangeAspect="1"/>
                    </pic:cNvPicPr>
                  </pic:nvPicPr>
                  <pic:blipFill>
                    <a:blip r:embed="rId7" cstate="print"/>
                    <a:stretch>
                      <a:fillRect/>
                    </a:stretch>
                  </pic:blipFill>
                  <pic:spPr>
                    <a:xfrm>
                      <a:off x="0" y="0"/>
                      <a:ext cx="5274310" cy="3116580"/>
                    </a:xfrm>
                    <a:prstGeom prst="rect">
                      <a:avLst/>
                    </a:prstGeom>
                  </pic:spPr>
                </pic:pic>
              </a:graphicData>
            </a:graphic>
          </wp:inline>
        </w:drawing>
      </w:r>
    </w:p>
    <w:p w14:paraId="7E866FAC">
      <w:pPr>
        <w:rPr>
          <w:rFonts w:hint="eastAsia"/>
        </w:rPr>
      </w:pPr>
      <w:r>
        <w:rPr>
          <w:b/>
        </w:rPr>
        <w:t xml:space="preserve">Figure S2. Hsa-mir-12115 mimics promoted proliferation and migration of A549 cells. </w:t>
      </w:r>
      <w:r>
        <w:t>(A) Subcellular location assay showed that LINC01996 was mainly located in cytoplasm in both PC9 and A549 cells. (B) CCK-8 assay showed that hsa-mir-12115 mimicsinduced the proliferation of A549 cells. (C) Transwell assay showed that hsa-mir-12115 mimicsfacilitated the migration of A549 cells.Error bars represent the mean ± SD.** p&lt;0.01, ****p&lt;0.0001, two-way t-test.</w:t>
      </w:r>
    </w:p>
    <w:p w14:paraId="06772155">
      <w:pPr>
        <w:rPr>
          <w:b/>
        </w:rPr>
      </w:pPr>
      <w:r>
        <w:rPr>
          <w:b/>
        </w:rPr>
        <w:t>Figure S3</w:t>
      </w:r>
    </w:p>
    <w:p w14:paraId="2346797F">
      <w:r>
        <w:drawing>
          <wp:inline distT="0" distB="0" distL="0" distR="0">
            <wp:extent cx="5274310" cy="2689225"/>
            <wp:effectExtent l="0" t="0" r="2540" b="15875"/>
            <wp:docPr id="3" name="图片 2" descr="SF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SF3.tif"/>
                    <pic:cNvPicPr>
                      <a:picLocks noChangeAspect="1"/>
                    </pic:cNvPicPr>
                  </pic:nvPicPr>
                  <pic:blipFill>
                    <a:blip r:embed="rId8" cstate="print"/>
                    <a:stretch>
                      <a:fillRect/>
                    </a:stretch>
                  </pic:blipFill>
                  <pic:spPr>
                    <a:xfrm>
                      <a:off x="0" y="0"/>
                      <a:ext cx="5274310" cy="2689225"/>
                    </a:xfrm>
                    <a:prstGeom prst="rect">
                      <a:avLst/>
                    </a:prstGeom>
                  </pic:spPr>
                </pic:pic>
              </a:graphicData>
            </a:graphic>
          </wp:inline>
        </w:drawing>
      </w:r>
    </w:p>
    <w:p w14:paraId="61AFB8C7">
      <w:r>
        <w:rPr>
          <w:b/>
        </w:rPr>
        <w:t>Figure S3. CNRIP1 was down-regulated in NSCLC cell lines and abrogated proliferation of A549 cells.</w:t>
      </w:r>
      <w:r>
        <w:t>(A) Pearson correlation analysis via GEPIA database showed that CNRIP1 is correlated with LINC01996 expression in NSCLC and normal lung tissues. (B) QRT-PCR was performed to evaluate the mRNA level of CNRIP1 in NSCLC cell lines and Beas-2B cells (n=3). (C) Western blotting was used to detect protein level of CNRIP1 in A549-Ctr cells and A549-LINC01996-OE cell. (D) Western blotting data confirmed that CNRIP1 was overexpressed in A549-CNRIP1-OE cells. (E) CCK-8 assay showed that CNRIP1 overexpression suppressed the proliferation of A549 cells. (F) Western blotting data confirmed that CNRIP1 was down-regulated in A549-CNRIP1-sh1 cells. (G) CCK-8 assay showed that CNRIP1 down-regulation induced the proliferation of A549 cells. Error bars represent the mean ± SD. ** p&lt;0.01, ****p&lt;0.0001, two-way t-test.</w:t>
      </w:r>
    </w:p>
    <w:p w14:paraId="68CCBE32">
      <w:pPr>
        <w:rPr>
          <w:rFonts w:hint="eastAsia"/>
          <w:b/>
          <w:lang w:val="en-US" w:eastAsia="zh-CN"/>
        </w:rPr>
      </w:pPr>
      <w:r>
        <w:rPr>
          <w:b/>
        </w:rPr>
        <w:t>Figure S</w:t>
      </w:r>
      <w:r>
        <w:rPr>
          <w:rFonts w:hint="eastAsia"/>
          <w:b/>
          <w:lang w:val="en-US" w:eastAsia="zh-CN"/>
        </w:rPr>
        <w:t>4</w:t>
      </w:r>
    </w:p>
    <w:p w14:paraId="7134FCEE">
      <w:r>
        <w:rPr>
          <w:rFonts w:hint="default"/>
          <w:b/>
          <w:bCs/>
          <w:lang w:val="en-US" w:eastAsia="zh-CN"/>
        </w:rPr>
        <w:drawing>
          <wp:inline distT="0" distB="0" distL="114300" distR="114300">
            <wp:extent cx="5266690" cy="2633345"/>
            <wp:effectExtent l="0" t="0" r="16510" b="8255"/>
            <wp:docPr id="4" name="图片 4" descr="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R1"/>
                    <pic:cNvPicPr>
                      <a:picLocks noChangeAspect="1"/>
                    </pic:cNvPicPr>
                  </pic:nvPicPr>
                  <pic:blipFill>
                    <a:blip r:embed="rId9"/>
                    <a:stretch>
                      <a:fillRect/>
                    </a:stretch>
                  </pic:blipFill>
                  <pic:spPr>
                    <a:xfrm>
                      <a:off x="0" y="0"/>
                      <a:ext cx="5266690" cy="2633345"/>
                    </a:xfrm>
                    <a:prstGeom prst="rect">
                      <a:avLst/>
                    </a:prstGeom>
                  </pic:spPr>
                </pic:pic>
              </a:graphicData>
            </a:graphic>
          </wp:inline>
        </w:drawing>
      </w:r>
      <w:r>
        <w:rPr>
          <w:rFonts w:hint="default"/>
          <w:b/>
          <w:bCs/>
          <w:lang w:val="en-US" w:eastAsia="zh-CN"/>
        </w:rPr>
        <w:t xml:space="preserve">Figure </w:t>
      </w:r>
      <w:r>
        <w:rPr>
          <w:rFonts w:hint="eastAsia"/>
          <w:b/>
          <w:bCs/>
          <w:lang w:val="en-US" w:eastAsia="zh-CN"/>
        </w:rPr>
        <w:t xml:space="preserve">S4. </w:t>
      </w:r>
      <w:r>
        <w:rPr>
          <w:rFonts w:hint="default"/>
          <w:b/>
          <w:bCs/>
          <w:lang w:val="en-US" w:eastAsia="zh-CN"/>
        </w:rPr>
        <w:t xml:space="preserve">Differential expression of LINC01996 across clinicopathological subgroups in </w:t>
      </w:r>
      <w:r>
        <w:rPr>
          <w:rFonts w:hint="eastAsia"/>
          <w:b/>
          <w:bCs/>
          <w:lang w:val="en-US" w:eastAsia="zh-CN"/>
        </w:rPr>
        <w:t xml:space="preserve">patients with </w:t>
      </w:r>
      <w:r>
        <w:rPr>
          <w:rFonts w:hint="default"/>
          <w:b/>
          <w:bCs/>
          <w:lang w:val="en-US" w:eastAsia="zh-CN"/>
        </w:rPr>
        <w:t>NSCLC.</w:t>
      </w:r>
      <w:r>
        <w:rPr>
          <w:rFonts w:hint="eastAsia"/>
          <w:b/>
          <w:bCs/>
          <w:lang w:val="en-US" w:eastAsia="zh-CN"/>
        </w:rPr>
        <w:t xml:space="preserve"> </w:t>
      </w:r>
      <w:r>
        <w:rPr>
          <w:rFonts w:hint="default"/>
          <w:lang w:val="en-US" w:eastAsia="zh-CN"/>
        </w:rPr>
        <w:t xml:space="preserve">This figure compares the expression level of </w:t>
      </w:r>
    </w:p>
    <w:p w14:paraId="38CA595F">
      <w:r>
        <w:rPr>
          <w:rFonts w:hint="default"/>
          <w:lang w:val="en-US" w:eastAsia="zh-CN"/>
        </w:rPr>
        <w:t>LINC01996 (RNA-seq, TPM) among differen</w:t>
      </w:r>
      <w:bookmarkStart w:id="5" w:name="_GoBack"/>
      <w:bookmarkEnd w:id="5"/>
      <w:r>
        <w:rPr>
          <w:rFonts w:hint="default"/>
          <w:lang w:val="en-US" w:eastAsia="zh-CN"/>
        </w:rPr>
        <w:t>t categories of clinical and pathological variables in an NSCLC patient cohort. Each row represents one variable: age (dichotomized at 60 years), sex, AJCC pathologic tumor stage, and individual pathological T, N, and M stages. One-way ANOVA was performed to test for differences in expression across groups, and the corresponding p-values are annotated above the respective comparisons.</w:t>
      </w:r>
    </w:p>
    <w:p w14:paraId="1535E995">
      <w:pPr>
        <w:rPr>
          <w:rFonts w:hint="eastAsia"/>
          <w:b/>
          <w:lang w:val="en-US" w:eastAsia="zh-CN"/>
        </w:rPr>
      </w:pPr>
    </w:p>
    <w:p w14:paraId="120F2D5B"/>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1"/>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RlMmMwZmI2ZTFlZmQxOGIwNmM4YWJlNjQzNDA2MDIifQ=="/>
  </w:docVars>
  <w:rsids>
    <w:rsidRoot w:val="00FF3F9F"/>
    <w:rsid w:val="00032185"/>
    <w:rsid w:val="00155E2B"/>
    <w:rsid w:val="00237A86"/>
    <w:rsid w:val="00346CE8"/>
    <w:rsid w:val="00355236"/>
    <w:rsid w:val="003936E0"/>
    <w:rsid w:val="00450E29"/>
    <w:rsid w:val="004A6E31"/>
    <w:rsid w:val="00591F72"/>
    <w:rsid w:val="00595B9D"/>
    <w:rsid w:val="00612F9D"/>
    <w:rsid w:val="006923BA"/>
    <w:rsid w:val="006C0EB2"/>
    <w:rsid w:val="007101EF"/>
    <w:rsid w:val="00710337"/>
    <w:rsid w:val="00793E2E"/>
    <w:rsid w:val="007C547F"/>
    <w:rsid w:val="007E49A2"/>
    <w:rsid w:val="00833D1D"/>
    <w:rsid w:val="008F3132"/>
    <w:rsid w:val="00A67454"/>
    <w:rsid w:val="00A85694"/>
    <w:rsid w:val="00B37CE5"/>
    <w:rsid w:val="00B46137"/>
    <w:rsid w:val="00BE5915"/>
    <w:rsid w:val="00C530CF"/>
    <w:rsid w:val="00DE554B"/>
    <w:rsid w:val="00EC3510"/>
    <w:rsid w:val="00F5718A"/>
    <w:rsid w:val="00F91737"/>
    <w:rsid w:val="00FF3F9F"/>
    <w:rsid w:val="02D96346"/>
    <w:rsid w:val="03C14E73"/>
    <w:rsid w:val="07520C39"/>
    <w:rsid w:val="0A2D39BD"/>
    <w:rsid w:val="0BC546E5"/>
    <w:rsid w:val="0D1933A9"/>
    <w:rsid w:val="0E617EC6"/>
    <w:rsid w:val="14B20CAC"/>
    <w:rsid w:val="17F17944"/>
    <w:rsid w:val="18026642"/>
    <w:rsid w:val="1CE7555A"/>
    <w:rsid w:val="20DC0526"/>
    <w:rsid w:val="215A0945"/>
    <w:rsid w:val="22F30A66"/>
    <w:rsid w:val="303267E2"/>
    <w:rsid w:val="308C1BFB"/>
    <w:rsid w:val="34AF7F4F"/>
    <w:rsid w:val="3EB269C1"/>
    <w:rsid w:val="414C4F9B"/>
    <w:rsid w:val="428D55E9"/>
    <w:rsid w:val="472854F5"/>
    <w:rsid w:val="498A117F"/>
    <w:rsid w:val="4A5F4669"/>
    <w:rsid w:val="51312366"/>
    <w:rsid w:val="518B635C"/>
    <w:rsid w:val="57082A2B"/>
    <w:rsid w:val="59206D73"/>
    <w:rsid w:val="5B9178E6"/>
    <w:rsid w:val="61301ADF"/>
    <w:rsid w:val="62D96629"/>
    <w:rsid w:val="69943E5B"/>
    <w:rsid w:val="6B8E321B"/>
    <w:rsid w:val="6C3032B0"/>
    <w:rsid w:val="700B5AC1"/>
    <w:rsid w:val="73773E77"/>
    <w:rsid w:val="74A5181A"/>
    <w:rsid w:val="77BB978B"/>
    <w:rsid w:val="78B74B2A"/>
    <w:rsid w:val="7D98357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both"/>
    </w:pPr>
    <w:rPr>
      <w:rFonts w:ascii="Times New Roman" w:hAnsi="Times New Roman" w:cs="Times New Roman" w:eastAsiaTheme="minorEastAsia"/>
      <w:kern w:val="2"/>
      <w:sz w:val="24"/>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eastAsia="宋体"/>
      <w:b/>
      <w:bCs/>
      <w:kern w:val="44"/>
      <w:sz w:val="48"/>
      <w:szCs w:val="4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5"/>
    <w:qFormat/>
    <w:uiPriority w:val="0"/>
    <w:pPr>
      <w:spacing w:line="240" w:lineRule="auto"/>
    </w:pPr>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spacing w:beforeAutospacing="1" w:afterAutospacing="1"/>
      <w:jc w:val="left"/>
    </w:pPr>
    <w:rPr>
      <w:kern w:val="0"/>
    </w:rPr>
  </w:style>
  <w:style w:type="character" w:styleId="9">
    <w:name w:val="Strong"/>
    <w:basedOn w:val="8"/>
    <w:autoRedefine/>
    <w:qFormat/>
    <w:uiPriority w:val="0"/>
    <w:rPr>
      <w:b/>
    </w:rPr>
  </w:style>
  <w:style w:type="character" w:styleId="10">
    <w:name w:val="Emphasis"/>
    <w:basedOn w:val="8"/>
    <w:autoRedefine/>
    <w:qFormat/>
    <w:uiPriority w:val="0"/>
    <w:rPr>
      <w:i/>
    </w:rPr>
  </w:style>
  <w:style w:type="character" w:styleId="11">
    <w:name w:val="Hyperlink"/>
    <w:basedOn w:val="8"/>
    <w:autoRedefine/>
    <w:qFormat/>
    <w:uiPriority w:val="0"/>
    <w:rPr>
      <w:color w:val="0000FF"/>
      <w:u w:val="single"/>
    </w:rPr>
  </w:style>
  <w:style w:type="table" w:customStyle="1" w:styleId="12">
    <w:name w:val="网格型1"/>
    <w:basedOn w:val="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basedOn w:val="8"/>
    <w:link w:val="5"/>
    <w:autoRedefine/>
    <w:qFormat/>
    <w:uiPriority w:val="0"/>
    <w:rPr>
      <w:rFonts w:asciiTheme="minorHAnsi" w:hAnsiTheme="minorHAnsi" w:eastAsiaTheme="minorEastAsia" w:cstheme="minorBidi"/>
      <w:kern w:val="2"/>
      <w:sz w:val="18"/>
      <w:szCs w:val="18"/>
    </w:rPr>
  </w:style>
  <w:style w:type="character" w:customStyle="1" w:styleId="14">
    <w:name w:val="页脚 字符"/>
    <w:basedOn w:val="8"/>
    <w:link w:val="4"/>
    <w:qFormat/>
    <w:uiPriority w:val="0"/>
    <w:rPr>
      <w:rFonts w:asciiTheme="minorHAnsi" w:hAnsiTheme="minorHAnsi" w:eastAsiaTheme="minorEastAsia" w:cstheme="minorBidi"/>
      <w:kern w:val="2"/>
      <w:sz w:val="18"/>
      <w:szCs w:val="18"/>
    </w:rPr>
  </w:style>
  <w:style w:type="character" w:customStyle="1" w:styleId="15">
    <w:name w:val="批注框文本 字符"/>
    <w:basedOn w:val="8"/>
    <w:link w:val="3"/>
    <w:qFormat/>
    <w:uiPriority w:val="0"/>
    <w:rPr>
      <w:rFonts w:eastAsiaTheme="minorEastAsia"/>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6</Pages>
  <Words>579</Words>
  <Characters>4035</Characters>
  <Lines>118</Lines>
  <Paragraphs>55</Paragraphs>
  <TotalTime>8</TotalTime>
  <ScaleCrop>false</ScaleCrop>
  <LinksUpToDate>false</LinksUpToDate>
  <CharactersWithSpaces>4568</CharactersWithSpaces>
  <Application>WPS Office_12.1.24709.24709_F1E327BC-269C-435d-A152-05C5408002CA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2024-12-04T13:52:00Z</dcterms:created>
  <dc:creator>69</dc:creator>
  <cp:lastModifiedBy>Kaien</cp:lastModifiedBy>
  <dcterms:modified xsi:type="dcterms:W3CDTF">2026-02-07T22:17:23Z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2052-12.1.24709.24709</vt:lpwstr>
  </property>
  <property fmtid="{D5CDD505-2E9C-101B-9397-08002B2CF9AE}" pid="3" name="ICV">
    <vt:lpwstr>F754340C7B19BB1C73498769E73DFDCF_43</vt:lpwstr>
  </property>
  <property fmtid="{D5CDD505-2E9C-101B-9397-08002B2CF9AE}" pid="4" name="KSOTemplateDocerSaveRecord">
    <vt:lpwstr>eyJoZGlkIjoiYzFlZTliMjViMDQ4MDhjODRlNDlkZDNkZjQwNzkxOGMiLCJ1c2VySWQiOiI3ODM0ODEzOTkifQ==</vt:lpwstr>
  </property>
</Properties>
</file>