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A1091" w14:textId="77777777" w:rsidR="0087403F" w:rsidRPr="00C435C1" w:rsidRDefault="0087403F" w:rsidP="008B248E">
      <w:pPr>
        <w:pStyle w:val="SMHeading"/>
        <w:spacing w:line="480" w:lineRule="auto"/>
        <w:rPr>
          <w:rFonts w:ascii="Arial" w:hAnsi="Arial" w:cs="Arial"/>
        </w:rPr>
      </w:pPr>
      <w:bookmarkStart w:id="0" w:name="_Hlk120308974"/>
      <w:r w:rsidRPr="00893A86">
        <w:rPr>
          <w:rFonts w:ascii="Arial" w:hAnsi="Arial" w:cs="Arial"/>
        </w:rPr>
        <w:t>S</w:t>
      </w:r>
      <w:r>
        <w:rPr>
          <w:rFonts w:ascii="Arial" w:hAnsi="Arial" w:cs="Arial"/>
        </w:rPr>
        <w:t>upporting</w:t>
      </w:r>
      <w:bookmarkEnd w:id="0"/>
      <w:r w:rsidRPr="00893A86">
        <w:rPr>
          <w:rFonts w:ascii="Arial" w:hAnsi="Arial" w:cs="Arial"/>
        </w:rPr>
        <w:t xml:space="preserve"> Information </w:t>
      </w:r>
    </w:p>
    <w:p w14:paraId="41BA6377" w14:textId="77777777" w:rsidR="0087403F" w:rsidRDefault="0087403F" w:rsidP="008B248E">
      <w:pPr>
        <w:pStyle w:val="SMText"/>
        <w:spacing w:line="480" w:lineRule="auto"/>
        <w:ind w:firstLine="0"/>
        <w:rPr>
          <w:rFonts w:ascii="Arial" w:hAnsi="Arial" w:cs="Arial"/>
          <w:b/>
          <w:bCs/>
        </w:rPr>
      </w:pPr>
      <w:r w:rsidRPr="00C435C1">
        <w:rPr>
          <w:rFonts w:ascii="Arial" w:hAnsi="Arial" w:cs="Arial"/>
          <w:b/>
          <w:bCs/>
        </w:rPr>
        <w:t>Methods</w:t>
      </w:r>
    </w:p>
    <w:p w14:paraId="2686AF70" w14:textId="77777777" w:rsidR="0087403F" w:rsidRDefault="0087403F" w:rsidP="008B248E">
      <w:pPr>
        <w:pStyle w:val="SMText"/>
        <w:spacing w:line="480" w:lineRule="auto"/>
        <w:ind w:firstLine="0"/>
        <w:rPr>
          <w:rFonts w:ascii="Arial" w:hAnsi="Arial" w:cs="Arial"/>
          <w:b/>
          <w:bCs/>
          <w:lang w:val="en-CA"/>
        </w:rPr>
      </w:pPr>
      <w:r w:rsidRPr="00841D4D">
        <w:rPr>
          <w:rFonts w:ascii="Arial" w:hAnsi="Arial" w:cs="Arial"/>
          <w:b/>
          <w:bCs/>
          <w:lang w:val="en-CA"/>
        </w:rPr>
        <w:t xml:space="preserve">Genome and Transcriptome Assembly. </w:t>
      </w:r>
    </w:p>
    <w:p w14:paraId="1805220C" w14:textId="77777777" w:rsidR="0087403F" w:rsidRDefault="0087403F" w:rsidP="008B248E">
      <w:pPr>
        <w:pStyle w:val="SMText"/>
        <w:spacing w:line="480" w:lineRule="auto"/>
        <w:ind w:firstLine="0"/>
        <w:rPr>
          <w:rFonts w:ascii="Arial" w:hAnsi="Arial" w:cs="Arial"/>
        </w:rPr>
      </w:pPr>
      <w:r>
        <w:rPr>
          <w:rFonts w:ascii="Arial" w:hAnsi="Arial" w:cs="Arial"/>
        </w:rPr>
        <w:t xml:space="preserve">DNA for Illumina short read sequencing was extracted using </w:t>
      </w:r>
      <w:proofErr w:type="spellStart"/>
      <w:r>
        <w:rPr>
          <w:rFonts w:ascii="Arial" w:hAnsi="Arial" w:cs="Arial"/>
        </w:rPr>
        <w:t>DNeasy</w:t>
      </w:r>
      <w:proofErr w:type="spellEnd"/>
      <w:r>
        <w:rPr>
          <w:rFonts w:ascii="Arial" w:hAnsi="Arial" w:cs="Arial"/>
        </w:rPr>
        <w:t xml:space="preserve"> Blood &amp; Tissue Kits (</w:t>
      </w:r>
      <w:smartTag w:uri="urn:schemas-microsoft-com:office:smarttags" w:element="City">
        <w:r>
          <w:rPr>
            <w:rFonts w:ascii="Arial" w:hAnsi="Arial" w:cs="Arial"/>
          </w:rPr>
          <w:t>Qiagen</w:t>
        </w:r>
      </w:smartTag>
      <w:r>
        <w:rPr>
          <w:rFonts w:ascii="Arial" w:hAnsi="Arial" w:cs="Arial"/>
        </w:rPr>
        <w:t xml:space="preserve">, </w:t>
      </w:r>
      <w:smartTag w:uri="urn:schemas-microsoft-com:office:smarttags" w:element="country-region">
        <w:r>
          <w:rPr>
            <w:rFonts w:ascii="Arial" w:hAnsi="Arial" w:cs="Arial"/>
          </w:rPr>
          <w:t>USA</w:t>
        </w:r>
      </w:smartTag>
      <w:r>
        <w:rPr>
          <w:rFonts w:ascii="Arial" w:hAnsi="Arial" w:cs="Arial"/>
        </w:rPr>
        <w:t xml:space="preserve">) and for </w:t>
      </w:r>
      <w:proofErr w:type="spellStart"/>
      <w:r>
        <w:rPr>
          <w:rFonts w:ascii="Arial" w:hAnsi="Arial" w:cs="Arial"/>
        </w:rPr>
        <w:t>Pacbio</w:t>
      </w:r>
      <w:proofErr w:type="spellEnd"/>
      <w:r>
        <w:rPr>
          <w:rFonts w:ascii="Arial" w:hAnsi="Arial" w:cs="Arial"/>
        </w:rPr>
        <w:t xml:space="preserve"> with the </w:t>
      </w:r>
      <w:proofErr w:type="spellStart"/>
      <w:r>
        <w:rPr>
          <w:rFonts w:ascii="Arial" w:hAnsi="Arial" w:cs="Arial"/>
        </w:rPr>
        <w:t>MagAttract</w:t>
      </w:r>
      <w:proofErr w:type="spellEnd"/>
      <w:r>
        <w:rPr>
          <w:rFonts w:ascii="Arial" w:hAnsi="Arial" w:cs="Arial"/>
        </w:rPr>
        <w:t xml:space="preserve"> HMW DNA Kit (</w:t>
      </w:r>
      <w:smartTag w:uri="urn:schemas-microsoft-com:office:smarttags" w:element="place">
        <w:smartTag w:uri="urn:schemas-microsoft-com:office:smarttags" w:element="City">
          <w:r>
            <w:rPr>
              <w:rFonts w:ascii="Arial" w:hAnsi="Arial" w:cs="Arial"/>
            </w:rPr>
            <w:t>Qiagen</w:t>
          </w:r>
        </w:smartTag>
        <w:r>
          <w:rPr>
            <w:rFonts w:ascii="Arial" w:hAnsi="Arial" w:cs="Arial"/>
          </w:rPr>
          <w:t xml:space="preserve">, </w:t>
        </w:r>
        <w:smartTag w:uri="urn:schemas-microsoft-com:office:smarttags" w:element="country-region">
          <w:r>
            <w:rPr>
              <w:rFonts w:ascii="Arial" w:hAnsi="Arial" w:cs="Arial"/>
            </w:rPr>
            <w:t>USA</w:t>
          </w:r>
        </w:smartTag>
      </w:smartTag>
      <w:r>
        <w:rPr>
          <w:rFonts w:ascii="Arial" w:hAnsi="Arial" w:cs="Arial"/>
        </w:rPr>
        <w:t xml:space="preserve">). The Illumina and </w:t>
      </w:r>
      <w:proofErr w:type="spellStart"/>
      <w:r>
        <w:rPr>
          <w:rFonts w:ascii="Arial" w:hAnsi="Arial" w:cs="Arial"/>
        </w:rPr>
        <w:t>Pacbio</w:t>
      </w:r>
      <w:proofErr w:type="spellEnd"/>
      <w:r>
        <w:rPr>
          <w:rFonts w:ascii="Arial" w:hAnsi="Arial" w:cs="Arial"/>
        </w:rPr>
        <w:t xml:space="preserve"> sequencing were performed at The Centre for Applied Genomics (TCAG) at the Hospital for Sick Children, </w:t>
      </w:r>
      <w:smartTag w:uri="urn:schemas-microsoft-com:office:smarttags" w:element="place">
        <w:smartTag w:uri="urn:schemas-microsoft-com:office:smarttags" w:element="City">
          <w:r>
            <w:rPr>
              <w:rFonts w:ascii="Arial" w:hAnsi="Arial" w:cs="Arial"/>
            </w:rPr>
            <w:t>Toronto</w:t>
          </w:r>
        </w:smartTag>
        <w:r>
          <w:rPr>
            <w:rFonts w:ascii="Arial" w:hAnsi="Arial" w:cs="Arial"/>
          </w:rPr>
          <w:t xml:space="preserve">, </w:t>
        </w:r>
        <w:smartTag w:uri="urn:schemas-microsoft-com:office:smarttags" w:element="country-region">
          <w:r>
            <w:rPr>
              <w:rFonts w:ascii="Arial" w:hAnsi="Arial" w:cs="Arial"/>
            </w:rPr>
            <w:t>Canada</w:t>
          </w:r>
        </w:smartTag>
      </w:smartTag>
      <w:r w:rsidRPr="00064A6F">
        <w:rPr>
          <w:rFonts w:ascii="Arial" w:hAnsi="Arial" w:cs="Arial"/>
        </w:rPr>
        <w:t>. The MASURCA assembled genome was further polished using PILON v 1.22 (</w:t>
      </w:r>
      <w:r w:rsidRPr="00064A6F">
        <w:rPr>
          <w:rFonts w:ascii="Arial" w:hAnsi="Arial" w:cs="Arial"/>
          <w:lang w:val="en-CA"/>
        </w:rPr>
        <w:t>Walker et al., 2014</w:t>
      </w:r>
      <w:r w:rsidRPr="00064A6F">
        <w:rPr>
          <w:rFonts w:ascii="Arial" w:hAnsi="Arial" w:cs="Arial"/>
        </w:rPr>
        <w:t xml:space="preserve">). Sex chromosome linked contigs were detected by aligning to cow X chromosome (CM008197.2 downloaded from </w:t>
      </w:r>
      <w:proofErr w:type="spellStart"/>
      <w:r w:rsidRPr="00064A6F">
        <w:rPr>
          <w:rFonts w:ascii="Arial" w:hAnsi="Arial" w:cs="Arial"/>
        </w:rPr>
        <w:t>Ensembl</w:t>
      </w:r>
      <w:proofErr w:type="spellEnd"/>
      <w:r w:rsidRPr="00064A6F">
        <w:rPr>
          <w:rFonts w:ascii="Arial" w:hAnsi="Arial" w:cs="Arial"/>
        </w:rPr>
        <w:t xml:space="preserve">, January 2019) using </w:t>
      </w:r>
      <w:proofErr w:type="spellStart"/>
      <w:r w:rsidRPr="00064A6F">
        <w:rPr>
          <w:rFonts w:ascii="Arial" w:hAnsi="Arial" w:cs="Arial"/>
        </w:rPr>
        <w:t>SatsumaSynteny</w:t>
      </w:r>
      <w:proofErr w:type="spellEnd"/>
      <w:r w:rsidRPr="00064A6F">
        <w:rPr>
          <w:rFonts w:ascii="Arial" w:hAnsi="Arial" w:cs="Arial"/>
        </w:rPr>
        <w:t xml:space="preserve"> in SATSUMA v 3.0 (</w:t>
      </w:r>
      <w:proofErr w:type="spellStart"/>
      <w:r w:rsidRPr="00064A6F">
        <w:rPr>
          <w:rFonts w:ascii="Arial" w:hAnsi="Arial" w:cs="Arial"/>
          <w:lang w:val="en-CA"/>
        </w:rPr>
        <w:t>Grabherr</w:t>
      </w:r>
      <w:proofErr w:type="spellEnd"/>
      <w:r w:rsidRPr="00064A6F">
        <w:rPr>
          <w:rFonts w:ascii="Arial" w:hAnsi="Arial" w:cs="Arial"/>
          <w:lang w:val="en-CA"/>
        </w:rPr>
        <w:t xml:space="preserve"> et al. 2010</w:t>
      </w:r>
      <w:r w:rsidRPr="00064A6F">
        <w:rPr>
          <w:rFonts w:ascii="Arial" w:hAnsi="Arial" w:cs="Arial"/>
        </w:rPr>
        <w:t xml:space="preserve">). The </w:t>
      </w:r>
      <w:r>
        <w:rPr>
          <w:rFonts w:ascii="Arial" w:hAnsi="Arial" w:cs="Arial"/>
        </w:rPr>
        <w:t>genome was screened for repeat regions using REPEATMASKER v4.0.7 with database Dfam_Consensus-20170127,‘mammalia’ RepBase-20170127 library</w:t>
      </w:r>
    </w:p>
    <w:p w14:paraId="17F7EF58" w14:textId="77777777" w:rsidR="0087403F" w:rsidRPr="002C3C86" w:rsidRDefault="0087403F" w:rsidP="008B248E">
      <w:pPr>
        <w:pStyle w:val="SMText"/>
        <w:spacing w:line="480" w:lineRule="auto"/>
        <w:ind w:firstLine="0"/>
        <w:rPr>
          <w:rFonts w:ascii="Arial" w:hAnsi="Arial" w:cs="Arial"/>
          <w:color w:val="FF0000"/>
        </w:rPr>
      </w:pPr>
      <w:r>
        <w:rPr>
          <w:rFonts w:ascii="Arial" w:hAnsi="Arial" w:cs="Arial"/>
        </w:rPr>
        <w:t>RNA for the transcriptome assembly was extracted using the RNeasy Lipid Tissue Kit (</w:t>
      </w:r>
      <w:smartTag w:uri="urn:schemas-microsoft-com:office:smarttags" w:element="place">
        <w:smartTag w:uri="urn:schemas-microsoft-com:office:smarttags" w:element="place">
          <w:r>
            <w:rPr>
              <w:rFonts w:ascii="Arial" w:hAnsi="Arial" w:cs="Arial"/>
            </w:rPr>
            <w:t>Qiagen</w:t>
          </w:r>
        </w:smartTag>
        <w:r>
          <w:rPr>
            <w:rFonts w:ascii="Arial" w:hAnsi="Arial" w:cs="Arial"/>
          </w:rPr>
          <w:t xml:space="preserve">, </w:t>
        </w:r>
        <w:smartTag w:uri="urn:schemas-microsoft-com:office:smarttags" w:element="place">
          <w:r>
            <w:rPr>
              <w:rFonts w:ascii="Arial" w:hAnsi="Arial" w:cs="Arial"/>
            </w:rPr>
            <w:t>USA</w:t>
          </w:r>
        </w:smartTag>
      </w:smartTag>
      <w:r>
        <w:rPr>
          <w:rFonts w:ascii="Arial" w:hAnsi="Arial" w:cs="Arial"/>
        </w:rPr>
        <w:t xml:space="preserve">).  Paired end </w:t>
      </w:r>
      <w:proofErr w:type="spellStart"/>
      <w:r>
        <w:rPr>
          <w:rFonts w:ascii="Arial" w:hAnsi="Arial" w:cs="Arial"/>
        </w:rPr>
        <w:t>RNAseq</w:t>
      </w:r>
      <w:proofErr w:type="spellEnd"/>
      <w:r>
        <w:rPr>
          <w:rFonts w:ascii="Arial" w:hAnsi="Arial" w:cs="Arial"/>
        </w:rPr>
        <w:t xml:space="preserve"> data were generated using </w:t>
      </w:r>
      <w:proofErr w:type="spellStart"/>
      <w:r>
        <w:rPr>
          <w:rFonts w:ascii="Arial" w:hAnsi="Arial" w:cs="Arial"/>
        </w:rPr>
        <w:t>HiSeq</w:t>
      </w:r>
      <w:proofErr w:type="spellEnd"/>
      <w:r>
        <w:rPr>
          <w:rFonts w:ascii="Arial" w:hAnsi="Arial" w:cs="Arial"/>
        </w:rPr>
        <w:t xml:space="preserve"> 2500 at TCAG. The genome was annotated using MAKER2 pipeline, using two iterations, with gene prediction tools AUGUSTUS (</w:t>
      </w:r>
      <w:proofErr w:type="spellStart"/>
      <w:r>
        <w:rPr>
          <w:rFonts w:ascii="Arial" w:hAnsi="Arial" w:cs="Arial"/>
          <w:lang w:val="en-CA"/>
        </w:rPr>
        <w:t>Stanke</w:t>
      </w:r>
      <w:proofErr w:type="spellEnd"/>
      <w:r>
        <w:rPr>
          <w:rFonts w:ascii="Arial" w:hAnsi="Arial" w:cs="Arial"/>
          <w:lang w:val="en-CA"/>
        </w:rPr>
        <w:t>, et. al., 2008)</w:t>
      </w:r>
      <w:r>
        <w:rPr>
          <w:rFonts w:ascii="Arial" w:hAnsi="Arial" w:cs="Arial"/>
        </w:rPr>
        <w:t xml:space="preserve"> and SNAP (</w:t>
      </w:r>
      <w:r>
        <w:rPr>
          <w:rFonts w:ascii="Arial" w:hAnsi="Arial" w:cs="Arial"/>
          <w:lang w:val="en-CA"/>
        </w:rPr>
        <w:t>Korf, 2004)</w:t>
      </w:r>
      <w:r>
        <w:rPr>
          <w:rFonts w:ascii="Arial" w:hAnsi="Arial" w:cs="Arial"/>
        </w:rPr>
        <w:t xml:space="preserve">. The MAKER2 pipeline was run using the blue whale transcriptome, and NCBI proteins for cow and all cetaceans. </w:t>
      </w:r>
    </w:p>
    <w:p w14:paraId="1DA5B34D" w14:textId="77777777" w:rsidR="0087403F" w:rsidRDefault="0087403F" w:rsidP="008B248E">
      <w:pPr>
        <w:pStyle w:val="SMText"/>
        <w:spacing w:line="480" w:lineRule="auto"/>
        <w:ind w:firstLine="0"/>
        <w:rPr>
          <w:rFonts w:ascii="Arial" w:hAnsi="Arial" w:cs="Arial"/>
        </w:rPr>
      </w:pPr>
      <w:r w:rsidRPr="00C435C1">
        <w:rPr>
          <w:rFonts w:ascii="Arial" w:hAnsi="Arial" w:cs="Arial"/>
          <w:b/>
          <w:bCs/>
        </w:rPr>
        <w:t xml:space="preserve">Whole genome sequencing of present-day samples. </w:t>
      </w:r>
      <w:r w:rsidRPr="00C435C1">
        <w:rPr>
          <w:rFonts w:ascii="Arial" w:hAnsi="Arial" w:cs="Arial"/>
        </w:rPr>
        <w:t xml:space="preserve">The paired-end reads of 11 present-day blue whale samples were sequenced using Illumina </w:t>
      </w:r>
      <w:proofErr w:type="spellStart"/>
      <w:r w:rsidRPr="00C435C1">
        <w:rPr>
          <w:rFonts w:ascii="Arial" w:hAnsi="Arial" w:cs="Arial"/>
        </w:rPr>
        <w:t>HiSeq</w:t>
      </w:r>
      <w:proofErr w:type="spellEnd"/>
      <w:r w:rsidRPr="00C435C1">
        <w:rPr>
          <w:rFonts w:ascii="Arial" w:hAnsi="Arial" w:cs="Arial"/>
        </w:rPr>
        <w:t xml:space="preserve"> X from DNA extracted from frozen muscle tissue of NWA blue whales that died off the eastern Canadian coast and the tissues of NEA blue whales </w:t>
      </w:r>
      <w:r>
        <w:rPr>
          <w:rFonts w:ascii="Arial" w:hAnsi="Arial" w:cs="Arial"/>
        </w:rPr>
        <w:t xml:space="preserve">that </w:t>
      </w:r>
      <w:r w:rsidRPr="00C435C1">
        <w:rPr>
          <w:rFonts w:ascii="Arial" w:hAnsi="Arial" w:cs="Arial"/>
        </w:rPr>
        <w:t xml:space="preserve">were collected from skin biopsies sampled in the Svalbard Archipelago, </w:t>
      </w:r>
      <w:smartTag w:uri="urn:schemas-microsoft-com:office:smarttags" w:element="place">
        <w:r w:rsidRPr="00C435C1">
          <w:rPr>
            <w:rFonts w:ascii="Arial" w:hAnsi="Arial" w:cs="Arial"/>
          </w:rPr>
          <w:t>Norway</w:t>
        </w:r>
      </w:smartTag>
      <w:r w:rsidRPr="00C435C1">
        <w:rPr>
          <w:rFonts w:ascii="Arial" w:hAnsi="Arial" w:cs="Arial"/>
        </w:rPr>
        <w:t xml:space="preserve"> (Fig. 1). The whole genome Illumina sequencing for the NWA blue whales were done at TCAG (Toronto, Canada) and the NEA whales were sequenced at Genomics Core Facility (GCF) (University of Bergen, Norway) and TCAG. The DNA from </w:t>
      </w:r>
      <w:r w:rsidRPr="00C435C1">
        <w:rPr>
          <w:rFonts w:ascii="Arial" w:hAnsi="Arial" w:cs="Arial"/>
        </w:rPr>
        <w:lastRenderedPageBreak/>
        <w:t xml:space="preserve">seven fin whale samples were collected from skin biopsies sampled in the Svalbard Archipelago, </w:t>
      </w:r>
      <w:smartTag w:uri="urn:schemas-microsoft-com:office:smarttags" w:element="place">
        <w:r w:rsidRPr="00C435C1">
          <w:rPr>
            <w:rFonts w:ascii="Arial" w:hAnsi="Arial" w:cs="Arial"/>
          </w:rPr>
          <w:t>Norway</w:t>
        </w:r>
      </w:smartTag>
      <w:r w:rsidRPr="00C435C1">
        <w:rPr>
          <w:rFonts w:ascii="Arial" w:hAnsi="Arial" w:cs="Arial"/>
        </w:rPr>
        <w:t xml:space="preserve"> and sequenced at GCF. The animal handling protocols were approved by the Norwegian Animal Research Authorities (permits refs: 2015/28335-2 and 17/20161), the Governor of Svalbard (permits refs: 2011/00720-20 a.522-05 and 16/01532-5) and Ministry of Fisheries and Oceans, Canada (SARA permit ref: NLSAR-003-14).The reference-based alignments of the 12 blue whales from present-day samples (including NE-</w:t>
      </w:r>
      <w:proofErr w:type="spellStart"/>
      <w:r w:rsidRPr="00C435C1">
        <w:rPr>
          <w:rFonts w:ascii="Arial" w:hAnsi="Arial" w:cs="Arial"/>
        </w:rPr>
        <w:t>Ar</w:t>
      </w:r>
      <w:proofErr w:type="spellEnd"/>
      <w:r>
        <w:rPr>
          <w:rFonts w:ascii="Arial" w:hAnsi="Arial" w:cs="Arial"/>
        </w:rPr>
        <w:t>)</w:t>
      </w:r>
      <w:r w:rsidRPr="00C435C1">
        <w:rPr>
          <w:rFonts w:ascii="Arial" w:hAnsi="Arial" w:cs="Arial"/>
        </w:rPr>
        <w:t xml:space="preserve"> were performed to the masked autosomal NA blue whale</w:t>
      </w:r>
      <w:r>
        <w:rPr>
          <w:rFonts w:ascii="Arial" w:hAnsi="Arial" w:cs="Arial"/>
        </w:rPr>
        <w:t xml:space="preserve"> </w:t>
      </w:r>
      <w:r>
        <w:rPr>
          <w:rFonts w:ascii="Arial" w:hAnsi="Arial" w:cs="Arial"/>
          <w:i/>
        </w:rPr>
        <w:t>de novo</w:t>
      </w:r>
      <w:r w:rsidRPr="00C435C1">
        <w:rPr>
          <w:rFonts w:ascii="Arial" w:hAnsi="Arial" w:cs="Arial"/>
        </w:rPr>
        <w:t xml:space="preserve"> genome for population structure, heterozygosity estimation and introgression analyses. The paired-end reads were trimmed for adapters and low-quality bases using TRIMMOMATIC v 0.36 (</w:t>
      </w:r>
      <w:r w:rsidRPr="00C435C1">
        <w:rPr>
          <w:rFonts w:ascii="Arial" w:hAnsi="Arial" w:cs="Arial"/>
          <w:lang w:val="en-CA"/>
        </w:rPr>
        <w:t xml:space="preserve">Bolger </w:t>
      </w:r>
      <w:r>
        <w:rPr>
          <w:rFonts w:ascii="Arial" w:hAnsi="Arial" w:cs="Arial"/>
          <w:lang w:val="en-CA"/>
        </w:rPr>
        <w:t>et al.,</w:t>
      </w:r>
      <w:r w:rsidRPr="00C435C1">
        <w:rPr>
          <w:rFonts w:ascii="Arial" w:hAnsi="Arial" w:cs="Arial"/>
          <w:lang w:val="en-CA"/>
        </w:rPr>
        <w:t xml:space="preserve"> 2014</w:t>
      </w:r>
      <w:r w:rsidRPr="00C435C1">
        <w:rPr>
          <w:rFonts w:ascii="Arial" w:hAnsi="Arial" w:cs="Arial"/>
        </w:rPr>
        <w:t>). The trimmed reads were aligned and SNPs were identified using GATK v 3.8, PICARD v 2.17.3 and SAMTOOLS v 1.5 (</w:t>
      </w:r>
      <w:r w:rsidRPr="00C435C1">
        <w:rPr>
          <w:rFonts w:ascii="Arial" w:hAnsi="Arial" w:cs="Arial"/>
          <w:lang w:val="en-CA"/>
        </w:rPr>
        <w:t>Li et al., 2009</w:t>
      </w:r>
      <w:r w:rsidRPr="00C435C1">
        <w:rPr>
          <w:rFonts w:ascii="Arial" w:hAnsi="Arial" w:cs="Arial"/>
        </w:rPr>
        <w:t>) following GATK best practices (</w:t>
      </w:r>
      <w:proofErr w:type="spellStart"/>
      <w:r w:rsidRPr="00C435C1">
        <w:rPr>
          <w:rFonts w:ascii="Arial" w:hAnsi="Arial" w:cs="Arial"/>
          <w:lang w:val="en-CA"/>
        </w:rPr>
        <w:t>DePristo</w:t>
      </w:r>
      <w:proofErr w:type="spellEnd"/>
      <w:r w:rsidRPr="00C435C1">
        <w:rPr>
          <w:rFonts w:ascii="Arial" w:hAnsi="Arial" w:cs="Arial"/>
          <w:lang w:val="en-CA"/>
        </w:rPr>
        <w:t xml:space="preserve"> et al., 2011</w:t>
      </w:r>
      <w:r w:rsidRPr="00C435C1">
        <w:rPr>
          <w:rFonts w:ascii="Arial" w:hAnsi="Arial" w:cs="Arial"/>
        </w:rPr>
        <w:t>).</w:t>
      </w:r>
      <w:r>
        <w:rPr>
          <w:rFonts w:ascii="Arial" w:hAnsi="Arial" w:cs="Arial"/>
        </w:rPr>
        <w:t>The SNPs were</w:t>
      </w:r>
      <w:r w:rsidRPr="00C435C1">
        <w:rPr>
          <w:rFonts w:ascii="Arial" w:hAnsi="Arial" w:cs="Arial"/>
        </w:rPr>
        <w:t xml:space="preserve"> </w:t>
      </w:r>
      <w:r>
        <w:rPr>
          <w:rFonts w:ascii="Arial" w:hAnsi="Arial" w:cs="Arial"/>
        </w:rPr>
        <w:t>filtered using VCFTOOLS (</w:t>
      </w:r>
      <w:proofErr w:type="spellStart"/>
      <w:r>
        <w:rPr>
          <w:rFonts w:ascii="Arial" w:hAnsi="Arial" w:cs="Arial"/>
          <w:lang w:val="en-CA"/>
        </w:rPr>
        <w:t>Danecek</w:t>
      </w:r>
      <w:proofErr w:type="spellEnd"/>
      <w:r>
        <w:rPr>
          <w:rFonts w:ascii="Arial" w:hAnsi="Arial" w:cs="Arial"/>
          <w:lang w:val="en-CA"/>
        </w:rPr>
        <w:t xml:space="preserve"> et al., 2011), </w:t>
      </w:r>
      <w:proofErr w:type="spellStart"/>
      <w:r>
        <w:rPr>
          <w:rFonts w:ascii="Arial" w:hAnsi="Arial" w:cs="Arial"/>
        </w:rPr>
        <w:t>VcfFilter</w:t>
      </w:r>
      <w:proofErr w:type="spellEnd"/>
      <w:r>
        <w:rPr>
          <w:rFonts w:ascii="Arial" w:hAnsi="Arial" w:cs="Arial"/>
        </w:rPr>
        <w:t xml:space="preserve"> (</w:t>
      </w:r>
      <w:hyperlink r:id="rId4" w:history="1">
        <w:r w:rsidRPr="00755E71">
          <w:rPr>
            <w:rStyle w:val="Hyperlink"/>
            <w:rFonts w:ascii="Arial" w:hAnsi="Arial" w:cs="Arial"/>
          </w:rPr>
          <w:t>https://github.com/vcflib/vcflib</w:t>
        </w:r>
      </w:hyperlink>
      <w:r>
        <w:rPr>
          <w:rFonts w:ascii="Arial" w:hAnsi="Arial" w:cs="Arial"/>
        </w:rPr>
        <w:t>) and PLINK (Purcell et al., 2007)</w:t>
      </w:r>
    </w:p>
    <w:p w14:paraId="02BD045E" w14:textId="33BB6FA5" w:rsidR="0087403F" w:rsidRPr="00C435C1" w:rsidRDefault="00000E28" w:rsidP="008B248E">
      <w:pPr>
        <w:pStyle w:val="SMText"/>
        <w:spacing w:line="480" w:lineRule="auto"/>
        <w:ind w:firstLine="0"/>
        <w:rPr>
          <w:rFonts w:ascii="Arial" w:hAnsi="Arial" w:cs="Arial"/>
        </w:rPr>
      </w:pPr>
      <w:r>
        <w:rPr>
          <w:rFonts w:ascii="Arial" w:hAnsi="Arial" w:cs="Arial"/>
          <w:b/>
          <w:bCs/>
        </w:rPr>
        <w:t>D</w:t>
      </w:r>
      <w:r w:rsidR="0087403F" w:rsidRPr="00C435C1">
        <w:rPr>
          <w:rFonts w:ascii="Arial" w:hAnsi="Arial" w:cs="Arial"/>
          <w:b/>
          <w:bCs/>
        </w:rPr>
        <w:t>NA extraction and whole genome sequencing of historical bone samples.</w:t>
      </w:r>
    </w:p>
    <w:p w14:paraId="285D4319" w14:textId="77777777" w:rsidR="0087403F" w:rsidRDefault="0087403F" w:rsidP="008B248E">
      <w:pPr>
        <w:pStyle w:val="SMText"/>
        <w:spacing w:line="480" w:lineRule="auto"/>
        <w:ind w:firstLine="0"/>
        <w:rPr>
          <w:rFonts w:ascii="Arial" w:hAnsi="Arial" w:cs="Arial"/>
        </w:rPr>
      </w:pPr>
      <w:r w:rsidRPr="00C435C1">
        <w:rPr>
          <w:rFonts w:ascii="Arial" w:hAnsi="Arial" w:cs="Arial"/>
        </w:rPr>
        <w:t xml:space="preserve">DNA from historical blue whale bone samples was carried out in an ancient DNA facility at ROM following the methodology of </w:t>
      </w:r>
      <w:proofErr w:type="spellStart"/>
      <w:r w:rsidRPr="00C435C1">
        <w:rPr>
          <w:rFonts w:ascii="Arial" w:hAnsi="Arial" w:cs="Arial"/>
        </w:rPr>
        <w:t>Rohland</w:t>
      </w:r>
      <w:proofErr w:type="spellEnd"/>
      <w:r w:rsidRPr="00C435C1">
        <w:rPr>
          <w:rFonts w:ascii="Arial" w:hAnsi="Arial" w:cs="Arial"/>
        </w:rPr>
        <w:t xml:space="preserve"> </w:t>
      </w:r>
      <w:r>
        <w:rPr>
          <w:rFonts w:ascii="Arial" w:hAnsi="Arial" w:cs="Arial"/>
          <w:lang w:val="en-CA"/>
        </w:rPr>
        <w:t>et al.</w:t>
      </w:r>
      <w:r w:rsidRPr="00C435C1">
        <w:rPr>
          <w:rFonts w:ascii="Arial" w:hAnsi="Arial" w:cs="Arial"/>
        </w:rPr>
        <w:t xml:space="preserve"> (2018). Briefly, 50 mg of bone was pulverized and mixed in a lysis buffer to release DNA, which was purified using silica binding columns. From the purified DNA, double-stranded libraries were built following the protocol of Fortes and </w:t>
      </w:r>
      <w:proofErr w:type="spellStart"/>
      <w:r w:rsidRPr="00C435C1">
        <w:rPr>
          <w:rFonts w:ascii="Arial" w:hAnsi="Arial" w:cs="Arial"/>
        </w:rPr>
        <w:t>Paijmans</w:t>
      </w:r>
      <w:proofErr w:type="spellEnd"/>
      <w:r w:rsidRPr="00C435C1">
        <w:rPr>
          <w:rFonts w:ascii="Arial" w:hAnsi="Arial" w:cs="Arial"/>
        </w:rPr>
        <w:t xml:space="preserve"> (2015). Libraries were double indexed and paired-end reads were sequenced on an Illumina </w:t>
      </w:r>
      <w:proofErr w:type="spellStart"/>
      <w:r w:rsidRPr="00C435C1">
        <w:rPr>
          <w:rFonts w:ascii="Arial" w:hAnsi="Arial" w:cs="Arial"/>
        </w:rPr>
        <w:t>HiSeq</w:t>
      </w:r>
      <w:proofErr w:type="spellEnd"/>
      <w:r w:rsidRPr="00C435C1">
        <w:rPr>
          <w:rFonts w:ascii="Arial" w:hAnsi="Arial" w:cs="Arial"/>
        </w:rPr>
        <w:t xml:space="preserve"> X sequencer at TCAG. The trimmed, merged reads were mapped to the NA blue whale genome using BWA with 'ancient parameter' (-l 16500 -n 0.01 -o 2) to deactivate seeding and allowing higher substitutions and two gaps (</w:t>
      </w:r>
      <w:r w:rsidRPr="00C435C1">
        <w:rPr>
          <w:rFonts w:ascii="Arial" w:hAnsi="Arial" w:cs="Arial"/>
          <w:lang w:val="en-CA"/>
        </w:rPr>
        <w:t>Meyer et al. 2012</w:t>
      </w:r>
      <w:r w:rsidRPr="00C435C1">
        <w:rPr>
          <w:rFonts w:ascii="Arial" w:hAnsi="Arial" w:cs="Arial"/>
        </w:rPr>
        <w:t>). The alignments were further processed using GATK, PICARD and SAMTOOLS, similar to the present-day samples.</w:t>
      </w:r>
    </w:p>
    <w:p w14:paraId="1CE3CB5C" w14:textId="77777777" w:rsidR="0087403F" w:rsidRPr="00C435C1" w:rsidRDefault="0087403F" w:rsidP="008B248E">
      <w:pPr>
        <w:pStyle w:val="SMText"/>
        <w:spacing w:line="480" w:lineRule="auto"/>
        <w:ind w:firstLine="0"/>
        <w:rPr>
          <w:rFonts w:ascii="Arial" w:hAnsi="Arial" w:cs="Arial"/>
        </w:rPr>
      </w:pPr>
    </w:p>
    <w:p w14:paraId="69FD5885" w14:textId="77777777" w:rsidR="0087403F" w:rsidRDefault="0087403F" w:rsidP="008B248E">
      <w:pPr>
        <w:pStyle w:val="SMHeading"/>
        <w:rPr>
          <w:rFonts w:ascii="Arial" w:hAnsi="Arial" w:cs="Arial"/>
          <w:b w:val="0"/>
          <w:bCs w:val="0"/>
          <w:sz w:val="20"/>
          <w:szCs w:val="20"/>
        </w:rPr>
      </w:pPr>
      <w:r>
        <w:rPr>
          <w:rFonts w:ascii="Arial" w:hAnsi="Arial" w:cs="Arial"/>
          <w:sz w:val="20"/>
          <w:szCs w:val="20"/>
        </w:rPr>
        <w:lastRenderedPageBreak/>
        <w:t xml:space="preserve">Table S1. </w:t>
      </w:r>
      <w:proofErr w:type="spellStart"/>
      <w:r>
        <w:rPr>
          <w:rFonts w:ascii="Arial" w:hAnsi="Arial" w:cs="Arial"/>
          <w:b w:val="0"/>
          <w:bCs w:val="0"/>
          <w:sz w:val="20"/>
          <w:szCs w:val="20"/>
        </w:rPr>
        <w:t>Dfoil</w:t>
      </w:r>
      <w:proofErr w:type="spellEnd"/>
      <w:r>
        <w:rPr>
          <w:rFonts w:ascii="Arial" w:hAnsi="Arial" w:cs="Arial"/>
          <w:b w:val="0"/>
          <w:bCs w:val="0"/>
          <w:sz w:val="20"/>
          <w:szCs w:val="20"/>
        </w:rPr>
        <w:t xml:space="preserve"> analysis showing direction of gene flow between blue and fin or humpback whales. </w:t>
      </w:r>
    </w:p>
    <w:tbl>
      <w:tblPr>
        <w:tblpPr w:leftFromText="180" w:rightFromText="180" w:vertAnchor="text" w:horzAnchor="margin" w:tblpY="286"/>
        <w:tblW w:w="10112" w:type="dxa"/>
        <w:tblCellMar>
          <w:left w:w="103" w:type="dxa"/>
        </w:tblCellMar>
        <w:tblLook w:val="00A0" w:firstRow="1" w:lastRow="0" w:firstColumn="1" w:lastColumn="0" w:noHBand="0" w:noVBand="0"/>
      </w:tblPr>
      <w:tblGrid>
        <w:gridCol w:w="1252"/>
        <w:gridCol w:w="862"/>
        <w:gridCol w:w="862"/>
        <w:gridCol w:w="862"/>
        <w:gridCol w:w="862"/>
        <w:gridCol w:w="902"/>
        <w:gridCol w:w="902"/>
        <w:gridCol w:w="902"/>
        <w:gridCol w:w="902"/>
        <w:gridCol w:w="902"/>
        <w:gridCol w:w="902"/>
      </w:tblGrid>
      <w:tr w:rsidR="0087403F" w14:paraId="7F07CD9C" w14:textId="77777777" w:rsidTr="00FB7289">
        <w:trPr>
          <w:trHeight w:val="1"/>
        </w:trPr>
        <w:tc>
          <w:tcPr>
            <w:tcW w:w="1252" w:type="dxa"/>
            <w:tcBorders>
              <w:top w:val="single" w:sz="4" w:space="0" w:color="000000"/>
              <w:left w:val="single" w:sz="4" w:space="0" w:color="000000"/>
              <w:bottom w:val="single" w:sz="4" w:space="0" w:color="000000"/>
              <w:right w:val="single" w:sz="4" w:space="0" w:color="000000"/>
            </w:tcBorders>
          </w:tcPr>
          <w:p w14:paraId="3739C6D3" w14:textId="77777777" w:rsidR="0087403F" w:rsidRDefault="0087403F" w:rsidP="00FB7289">
            <w:pPr>
              <w:rPr>
                <w:rFonts w:ascii="Arial" w:hAnsi="Arial" w:cs="Arial"/>
                <w:sz w:val="18"/>
                <w:szCs w:val="18"/>
              </w:rPr>
            </w:pPr>
            <w:r>
              <w:rPr>
                <w:rFonts w:ascii="Arial" w:hAnsi="Arial" w:cs="Arial"/>
                <w:sz w:val="18"/>
                <w:szCs w:val="18"/>
              </w:rPr>
              <w:t>Gene flow</w:t>
            </w:r>
          </w:p>
        </w:tc>
        <w:tc>
          <w:tcPr>
            <w:tcW w:w="862" w:type="dxa"/>
            <w:tcBorders>
              <w:top w:val="single" w:sz="4" w:space="0" w:color="000000"/>
              <w:left w:val="single" w:sz="4" w:space="0" w:color="000000"/>
              <w:bottom w:val="single" w:sz="4" w:space="0" w:color="000000"/>
              <w:right w:val="single" w:sz="4" w:space="0" w:color="000000"/>
            </w:tcBorders>
            <w:vAlign w:val="bottom"/>
          </w:tcPr>
          <w:p w14:paraId="3E8D64B2" w14:textId="77777777" w:rsidR="0087403F" w:rsidRDefault="0087403F" w:rsidP="00FB7289">
            <w:pPr>
              <w:rPr>
                <w:rFonts w:ascii="Arial" w:hAnsi="Arial" w:cs="Arial"/>
                <w:sz w:val="18"/>
                <w:szCs w:val="18"/>
              </w:rPr>
            </w:pPr>
            <w:r>
              <w:rPr>
                <w:rFonts w:ascii="Arial" w:hAnsi="Arial" w:cs="Arial"/>
                <w:sz w:val="18"/>
                <w:szCs w:val="18"/>
              </w:rPr>
              <w:t>NW-M6 genome</w:t>
            </w:r>
          </w:p>
          <w:p w14:paraId="515CC48C" w14:textId="77777777" w:rsidR="0087403F" w:rsidRDefault="0087403F" w:rsidP="00FB7289">
            <w:pPr>
              <w:rPr>
                <w:rFonts w:ascii="Arial" w:hAnsi="Arial" w:cs="Arial"/>
                <w:sz w:val="18"/>
                <w:szCs w:val="18"/>
              </w:rPr>
            </w:pPr>
            <w:r>
              <w:rPr>
                <w:rFonts w:ascii="Arial" w:hAnsi="Arial" w:cs="Arial"/>
                <w:sz w:val="18"/>
                <w:szCs w:val="18"/>
              </w:rPr>
              <w:t>(%)</w:t>
            </w:r>
          </w:p>
        </w:tc>
        <w:tc>
          <w:tcPr>
            <w:tcW w:w="862" w:type="dxa"/>
            <w:tcBorders>
              <w:top w:val="single" w:sz="4" w:space="0" w:color="000000"/>
              <w:left w:val="single" w:sz="4" w:space="0" w:color="000000"/>
              <w:bottom w:val="single" w:sz="4" w:space="0" w:color="000000"/>
              <w:right w:val="single" w:sz="4" w:space="0" w:color="000000"/>
            </w:tcBorders>
            <w:vAlign w:val="bottom"/>
          </w:tcPr>
          <w:p w14:paraId="6EED1E6D" w14:textId="77777777" w:rsidR="0087403F" w:rsidRDefault="0087403F" w:rsidP="00FB7289">
            <w:pPr>
              <w:rPr>
                <w:rFonts w:ascii="Arial" w:hAnsi="Arial" w:cs="Arial"/>
                <w:sz w:val="18"/>
                <w:szCs w:val="18"/>
              </w:rPr>
            </w:pPr>
            <w:r>
              <w:rPr>
                <w:rFonts w:ascii="Arial" w:hAnsi="Arial" w:cs="Arial"/>
                <w:sz w:val="18"/>
                <w:szCs w:val="18"/>
              </w:rPr>
              <w:t>NW-B7 genome (%)</w:t>
            </w:r>
          </w:p>
        </w:tc>
        <w:tc>
          <w:tcPr>
            <w:tcW w:w="862" w:type="dxa"/>
            <w:tcBorders>
              <w:top w:val="single" w:sz="4" w:space="0" w:color="000000"/>
              <w:left w:val="single" w:sz="4" w:space="0" w:color="000000"/>
              <w:bottom w:val="single" w:sz="4" w:space="0" w:color="000000"/>
              <w:right w:val="single" w:sz="4" w:space="0" w:color="000000"/>
            </w:tcBorders>
            <w:vAlign w:val="bottom"/>
          </w:tcPr>
          <w:p w14:paraId="19B52733" w14:textId="77777777" w:rsidR="0087403F" w:rsidRDefault="0087403F" w:rsidP="00FB7289">
            <w:pPr>
              <w:rPr>
                <w:rFonts w:ascii="Arial" w:hAnsi="Arial" w:cs="Arial"/>
                <w:sz w:val="18"/>
                <w:szCs w:val="18"/>
              </w:rPr>
            </w:pPr>
            <w:r>
              <w:rPr>
                <w:rFonts w:ascii="Arial" w:hAnsi="Arial" w:cs="Arial"/>
                <w:color w:val="000000"/>
                <w:sz w:val="18"/>
                <w:szCs w:val="18"/>
              </w:rPr>
              <w:t>NW7 genome (%)</w:t>
            </w:r>
          </w:p>
        </w:tc>
        <w:tc>
          <w:tcPr>
            <w:tcW w:w="862" w:type="dxa"/>
            <w:tcBorders>
              <w:top w:val="single" w:sz="4" w:space="0" w:color="000000"/>
              <w:left w:val="single" w:sz="4" w:space="0" w:color="000000"/>
              <w:bottom w:val="single" w:sz="4" w:space="0" w:color="000000"/>
              <w:right w:val="single" w:sz="4" w:space="0" w:color="000000"/>
            </w:tcBorders>
            <w:vAlign w:val="bottom"/>
          </w:tcPr>
          <w:p w14:paraId="55AD7CB5" w14:textId="77777777" w:rsidR="0087403F" w:rsidRDefault="0087403F" w:rsidP="00FB7289">
            <w:pPr>
              <w:rPr>
                <w:rFonts w:ascii="Arial" w:hAnsi="Arial" w:cs="Arial"/>
                <w:sz w:val="18"/>
                <w:szCs w:val="18"/>
              </w:rPr>
            </w:pPr>
            <w:r>
              <w:rPr>
                <w:rFonts w:ascii="Arial" w:hAnsi="Arial" w:cs="Arial"/>
                <w:color w:val="000000"/>
                <w:sz w:val="18"/>
                <w:szCs w:val="18"/>
              </w:rPr>
              <w:t>NW9 genome (%)</w:t>
            </w:r>
          </w:p>
        </w:tc>
        <w:tc>
          <w:tcPr>
            <w:tcW w:w="902" w:type="dxa"/>
            <w:tcBorders>
              <w:top w:val="single" w:sz="4" w:space="0" w:color="000000"/>
              <w:left w:val="single" w:sz="4" w:space="0" w:color="000000"/>
              <w:bottom w:val="single" w:sz="4" w:space="0" w:color="000000"/>
              <w:right w:val="single" w:sz="4" w:space="0" w:color="000000"/>
            </w:tcBorders>
            <w:vAlign w:val="bottom"/>
          </w:tcPr>
          <w:p w14:paraId="7B9619E5" w14:textId="77777777" w:rsidR="0087403F" w:rsidRDefault="0087403F" w:rsidP="00FB7289">
            <w:pPr>
              <w:rPr>
                <w:rFonts w:ascii="Arial" w:hAnsi="Arial" w:cs="Arial"/>
                <w:color w:val="000000"/>
                <w:sz w:val="18"/>
                <w:szCs w:val="18"/>
              </w:rPr>
            </w:pPr>
            <w:r>
              <w:rPr>
                <w:rFonts w:ascii="Arial" w:hAnsi="Arial" w:cs="Arial"/>
                <w:color w:val="000000"/>
                <w:sz w:val="18"/>
                <w:szCs w:val="18"/>
              </w:rPr>
              <w:t>NE1 Genome (%)</w:t>
            </w:r>
          </w:p>
        </w:tc>
        <w:tc>
          <w:tcPr>
            <w:tcW w:w="902" w:type="dxa"/>
            <w:tcBorders>
              <w:top w:val="single" w:sz="4" w:space="0" w:color="000000"/>
              <w:left w:val="single" w:sz="4" w:space="0" w:color="000000"/>
              <w:bottom w:val="single" w:sz="4" w:space="0" w:color="000000"/>
              <w:right w:val="single" w:sz="4" w:space="0" w:color="000000"/>
            </w:tcBorders>
            <w:vAlign w:val="bottom"/>
          </w:tcPr>
          <w:p w14:paraId="486C66D8" w14:textId="77777777" w:rsidR="0087403F" w:rsidRDefault="0087403F" w:rsidP="00FB7289">
            <w:pPr>
              <w:rPr>
                <w:rFonts w:ascii="Arial" w:hAnsi="Arial" w:cs="Arial"/>
                <w:sz w:val="18"/>
                <w:szCs w:val="18"/>
              </w:rPr>
            </w:pPr>
            <w:r>
              <w:rPr>
                <w:rFonts w:ascii="Arial" w:hAnsi="Arial" w:cs="Arial"/>
                <w:color w:val="000000"/>
                <w:sz w:val="18"/>
                <w:szCs w:val="18"/>
              </w:rPr>
              <w:t>NE2 Genome (%)</w:t>
            </w:r>
          </w:p>
        </w:tc>
        <w:tc>
          <w:tcPr>
            <w:tcW w:w="902" w:type="dxa"/>
            <w:tcBorders>
              <w:top w:val="single" w:sz="4" w:space="0" w:color="000000"/>
              <w:left w:val="single" w:sz="4" w:space="0" w:color="000000"/>
              <w:bottom w:val="single" w:sz="4" w:space="0" w:color="000000"/>
              <w:right w:val="single" w:sz="4" w:space="0" w:color="000000"/>
            </w:tcBorders>
            <w:vAlign w:val="bottom"/>
          </w:tcPr>
          <w:p w14:paraId="01B241AB" w14:textId="77777777" w:rsidR="0087403F" w:rsidRDefault="0087403F" w:rsidP="00FB7289">
            <w:pPr>
              <w:rPr>
                <w:rFonts w:ascii="Arial" w:hAnsi="Arial" w:cs="Arial"/>
                <w:sz w:val="18"/>
                <w:szCs w:val="18"/>
              </w:rPr>
            </w:pPr>
            <w:r>
              <w:rPr>
                <w:rFonts w:ascii="Arial" w:hAnsi="Arial" w:cs="Arial"/>
                <w:color w:val="000000"/>
                <w:sz w:val="18"/>
                <w:szCs w:val="18"/>
              </w:rPr>
              <w:t>NE3 Genome (%)</w:t>
            </w:r>
          </w:p>
        </w:tc>
        <w:tc>
          <w:tcPr>
            <w:tcW w:w="902" w:type="dxa"/>
            <w:tcBorders>
              <w:top w:val="single" w:sz="4" w:space="0" w:color="000000"/>
              <w:left w:val="single" w:sz="4" w:space="0" w:color="000000"/>
              <w:bottom w:val="single" w:sz="4" w:space="0" w:color="000000"/>
              <w:right w:val="single" w:sz="4" w:space="0" w:color="000000"/>
            </w:tcBorders>
            <w:vAlign w:val="bottom"/>
          </w:tcPr>
          <w:p w14:paraId="2E8DDE64" w14:textId="77777777" w:rsidR="0087403F" w:rsidRDefault="0087403F" w:rsidP="00FB7289">
            <w:pPr>
              <w:rPr>
                <w:rFonts w:ascii="Arial" w:hAnsi="Arial" w:cs="Arial"/>
                <w:sz w:val="18"/>
                <w:szCs w:val="18"/>
              </w:rPr>
            </w:pPr>
            <w:r>
              <w:rPr>
                <w:rFonts w:ascii="Arial" w:hAnsi="Arial" w:cs="Arial"/>
                <w:color w:val="000000"/>
                <w:sz w:val="18"/>
                <w:szCs w:val="18"/>
              </w:rPr>
              <w:t>NE4 Genome (%)</w:t>
            </w:r>
          </w:p>
        </w:tc>
        <w:tc>
          <w:tcPr>
            <w:tcW w:w="902" w:type="dxa"/>
            <w:tcBorders>
              <w:top w:val="single" w:sz="4" w:space="0" w:color="000000"/>
              <w:left w:val="single" w:sz="4" w:space="0" w:color="000000"/>
              <w:bottom w:val="single" w:sz="4" w:space="0" w:color="000000"/>
              <w:right w:val="single" w:sz="4" w:space="0" w:color="000000"/>
            </w:tcBorders>
            <w:vAlign w:val="bottom"/>
          </w:tcPr>
          <w:p w14:paraId="13996EAF" w14:textId="77777777" w:rsidR="0087403F" w:rsidRDefault="0087403F" w:rsidP="00FB7289">
            <w:pPr>
              <w:rPr>
                <w:rFonts w:ascii="Arial" w:hAnsi="Arial" w:cs="Arial"/>
                <w:sz w:val="18"/>
                <w:szCs w:val="18"/>
              </w:rPr>
            </w:pPr>
            <w:r>
              <w:rPr>
                <w:rFonts w:ascii="Arial" w:hAnsi="Arial" w:cs="Arial"/>
                <w:color w:val="000000"/>
                <w:sz w:val="18"/>
                <w:szCs w:val="18"/>
              </w:rPr>
              <w:t>NE72 Genome (%)</w:t>
            </w:r>
          </w:p>
        </w:tc>
        <w:tc>
          <w:tcPr>
            <w:tcW w:w="902" w:type="dxa"/>
            <w:tcBorders>
              <w:top w:val="single" w:sz="4" w:space="0" w:color="000000"/>
              <w:left w:val="single" w:sz="4" w:space="0" w:color="000000"/>
              <w:bottom w:val="single" w:sz="4" w:space="0" w:color="000000"/>
              <w:right w:val="single" w:sz="4" w:space="0" w:color="000000"/>
            </w:tcBorders>
            <w:vAlign w:val="bottom"/>
          </w:tcPr>
          <w:p w14:paraId="0037FD94" w14:textId="77777777" w:rsidR="0087403F" w:rsidRDefault="0087403F" w:rsidP="00FB7289">
            <w:pPr>
              <w:rPr>
                <w:rFonts w:ascii="Arial" w:hAnsi="Arial" w:cs="Arial"/>
                <w:sz w:val="18"/>
                <w:szCs w:val="18"/>
              </w:rPr>
            </w:pPr>
            <w:r>
              <w:rPr>
                <w:rFonts w:ascii="Arial" w:hAnsi="Arial" w:cs="Arial"/>
                <w:color w:val="000000"/>
                <w:sz w:val="18"/>
                <w:szCs w:val="18"/>
              </w:rPr>
              <w:t>NE73 Genome (%)</w:t>
            </w:r>
          </w:p>
        </w:tc>
      </w:tr>
      <w:tr w:rsidR="0087403F" w14:paraId="6546F9D6" w14:textId="77777777" w:rsidTr="00FB7289">
        <w:trPr>
          <w:trHeight w:val="1"/>
        </w:trPr>
        <w:tc>
          <w:tcPr>
            <w:tcW w:w="1252" w:type="dxa"/>
            <w:tcBorders>
              <w:top w:val="single" w:sz="4" w:space="0" w:color="000000"/>
              <w:left w:val="single" w:sz="4" w:space="0" w:color="000000"/>
              <w:bottom w:val="single" w:sz="4" w:space="0" w:color="000000"/>
              <w:right w:val="single" w:sz="4" w:space="0" w:color="000000"/>
            </w:tcBorders>
          </w:tcPr>
          <w:p w14:paraId="6967D860" w14:textId="77777777" w:rsidR="0087403F" w:rsidRDefault="0087403F" w:rsidP="00FB7289">
            <w:pPr>
              <w:rPr>
                <w:rFonts w:ascii="Arial" w:hAnsi="Arial" w:cs="Arial"/>
                <w:sz w:val="18"/>
                <w:szCs w:val="18"/>
              </w:rPr>
            </w:pPr>
            <w:r>
              <w:rPr>
                <w:rFonts w:ascii="Arial" w:hAnsi="Arial" w:cs="Arial"/>
                <w:sz w:val="18"/>
                <w:szCs w:val="18"/>
              </w:rPr>
              <w:t>Fin to Blue</w:t>
            </w:r>
          </w:p>
        </w:tc>
        <w:tc>
          <w:tcPr>
            <w:tcW w:w="862" w:type="dxa"/>
            <w:tcBorders>
              <w:top w:val="single" w:sz="4" w:space="0" w:color="000000"/>
              <w:left w:val="single" w:sz="4" w:space="0" w:color="000000"/>
              <w:bottom w:val="single" w:sz="4" w:space="0" w:color="000000"/>
              <w:right w:val="single" w:sz="4" w:space="0" w:color="000000"/>
            </w:tcBorders>
            <w:vAlign w:val="bottom"/>
          </w:tcPr>
          <w:p w14:paraId="4FE4C918" w14:textId="77777777" w:rsidR="0087403F" w:rsidRDefault="0087403F" w:rsidP="00FB7289">
            <w:pPr>
              <w:rPr>
                <w:rFonts w:ascii="Arial" w:hAnsi="Arial" w:cs="Arial"/>
                <w:sz w:val="18"/>
                <w:szCs w:val="18"/>
              </w:rPr>
            </w:pPr>
            <w:r>
              <w:rPr>
                <w:rFonts w:ascii="Arial" w:hAnsi="Arial" w:cs="Arial"/>
                <w:color w:val="000000"/>
                <w:sz w:val="18"/>
                <w:szCs w:val="18"/>
              </w:rPr>
              <w:t>3.75</w:t>
            </w:r>
          </w:p>
        </w:tc>
        <w:tc>
          <w:tcPr>
            <w:tcW w:w="862" w:type="dxa"/>
            <w:tcBorders>
              <w:top w:val="single" w:sz="4" w:space="0" w:color="000000"/>
              <w:left w:val="single" w:sz="4" w:space="0" w:color="000000"/>
              <w:bottom w:val="single" w:sz="4" w:space="0" w:color="000000"/>
              <w:right w:val="single" w:sz="4" w:space="0" w:color="000000"/>
            </w:tcBorders>
            <w:vAlign w:val="bottom"/>
          </w:tcPr>
          <w:p w14:paraId="17037EFA" w14:textId="77777777" w:rsidR="0087403F" w:rsidRDefault="0087403F" w:rsidP="00FB7289">
            <w:pPr>
              <w:rPr>
                <w:rFonts w:ascii="Arial" w:hAnsi="Arial" w:cs="Arial"/>
                <w:sz w:val="18"/>
                <w:szCs w:val="18"/>
              </w:rPr>
            </w:pPr>
            <w:r>
              <w:rPr>
                <w:rFonts w:ascii="Arial" w:hAnsi="Arial" w:cs="Arial"/>
                <w:color w:val="000000"/>
                <w:sz w:val="18"/>
                <w:szCs w:val="18"/>
              </w:rPr>
              <w:t>3.53</w:t>
            </w:r>
          </w:p>
        </w:tc>
        <w:tc>
          <w:tcPr>
            <w:tcW w:w="862" w:type="dxa"/>
            <w:tcBorders>
              <w:top w:val="single" w:sz="4" w:space="0" w:color="000000"/>
              <w:left w:val="single" w:sz="4" w:space="0" w:color="000000"/>
              <w:bottom w:val="single" w:sz="4" w:space="0" w:color="000000"/>
              <w:right w:val="single" w:sz="4" w:space="0" w:color="000000"/>
            </w:tcBorders>
            <w:vAlign w:val="bottom"/>
          </w:tcPr>
          <w:p w14:paraId="7C2B0DD0" w14:textId="77777777" w:rsidR="0087403F" w:rsidRDefault="0087403F" w:rsidP="00FB7289">
            <w:pPr>
              <w:rPr>
                <w:rFonts w:ascii="Arial" w:hAnsi="Arial" w:cs="Arial"/>
                <w:sz w:val="18"/>
                <w:szCs w:val="18"/>
              </w:rPr>
            </w:pPr>
            <w:r>
              <w:rPr>
                <w:rFonts w:ascii="Arial" w:hAnsi="Arial" w:cs="Arial"/>
                <w:color w:val="000000"/>
                <w:sz w:val="18"/>
                <w:szCs w:val="18"/>
              </w:rPr>
              <w:t>3.18</w:t>
            </w:r>
          </w:p>
        </w:tc>
        <w:tc>
          <w:tcPr>
            <w:tcW w:w="862" w:type="dxa"/>
            <w:tcBorders>
              <w:top w:val="single" w:sz="4" w:space="0" w:color="000000"/>
              <w:left w:val="single" w:sz="4" w:space="0" w:color="000000"/>
              <w:bottom w:val="single" w:sz="4" w:space="0" w:color="000000"/>
              <w:right w:val="single" w:sz="4" w:space="0" w:color="000000"/>
            </w:tcBorders>
            <w:vAlign w:val="bottom"/>
          </w:tcPr>
          <w:p w14:paraId="1ABDF254" w14:textId="77777777" w:rsidR="0087403F" w:rsidRDefault="0087403F" w:rsidP="00FB7289">
            <w:pPr>
              <w:rPr>
                <w:rFonts w:ascii="Arial" w:hAnsi="Arial" w:cs="Arial"/>
                <w:sz w:val="18"/>
                <w:szCs w:val="18"/>
              </w:rPr>
            </w:pPr>
            <w:r>
              <w:rPr>
                <w:rFonts w:ascii="Arial" w:hAnsi="Arial" w:cs="Arial"/>
                <w:color w:val="000000"/>
                <w:sz w:val="18"/>
                <w:szCs w:val="18"/>
              </w:rPr>
              <w:t>3.70</w:t>
            </w:r>
          </w:p>
        </w:tc>
        <w:tc>
          <w:tcPr>
            <w:tcW w:w="902" w:type="dxa"/>
            <w:tcBorders>
              <w:top w:val="single" w:sz="4" w:space="0" w:color="000000"/>
              <w:left w:val="single" w:sz="4" w:space="0" w:color="000000"/>
              <w:bottom w:val="single" w:sz="4" w:space="0" w:color="000000"/>
              <w:right w:val="single" w:sz="4" w:space="0" w:color="000000"/>
            </w:tcBorders>
            <w:vAlign w:val="bottom"/>
          </w:tcPr>
          <w:p w14:paraId="04064D79" w14:textId="77777777" w:rsidR="0087403F" w:rsidRDefault="0087403F" w:rsidP="00FB7289">
            <w:pPr>
              <w:rPr>
                <w:rFonts w:ascii="Arial" w:hAnsi="Arial" w:cs="Arial"/>
                <w:color w:val="000000"/>
                <w:sz w:val="18"/>
                <w:szCs w:val="18"/>
              </w:rPr>
            </w:pPr>
            <w:r>
              <w:rPr>
                <w:rFonts w:ascii="Arial" w:hAnsi="Arial" w:cs="Arial"/>
                <w:color w:val="000000"/>
                <w:sz w:val="18"/>
                <w:szCs w:val="18"/>
              </w:rPr>
              <w:t>3.29</w:t>
            </w:r>
          </w:p>
        </w:tc>
        <w:tc>
          <w:tcPr>
            <w:tcW w:w="902" w:type="dxa"/>
            <w:tcBorders>
              <w:top w:val="single" w:sz="4" w:space="0" w:color="000000"/>
              <w:left w:val="single" w:sz="4" w:space="0" w:color="000000"/>
              <w:bottom w:val="single" w:sz="4" w:space="0" w:color="000000"/>
              <w:right w:val="single" w:sz="4" w:space="0" w:color="000000"/>
            </w:tcBorders>
            <w:vAlign w:val="bottom"/>
          </w:tcPr>
          <w:p w14:paraId="00D6BCFB" w14:textId="77777777" w:rsidR="0087403F" w:rsidRDefault="0087403F" w:rsidP="00FB7289">
            <w:pPr>
              <w:rPr>
                <w:rFonts w:ascii="Arial" w:hAnsi="Arial" w:cs="Arial"/>
                <w:sz w:val="18"/>
                <w:szCs w:val="18"/>
              </w:rPr>
            </w:pPr>
            <w:r>
              <w:rPr>
                <w:rFonts w:ascii="Arial" w:hAnsi="Arial" w:cs="Arial"/>
                <w:color w:val="000000"/>
                <w:sz w:val="18"/>
                <w:szCs w:val="18"/>
              </w:rPr>
              <w:t>3.73</w:t>
            </w:r>
          </w:p>
        </w:tc>
        <w:tc>
          <w:tcPr>
            <w:tcW w:w="902" w:type="dxa"/>
            <w:tcBorders>
              <w:top w:val="single" w:sz="4" w:space="0" w:color="000000"/>
              <w:left w:val="single" w:sz="4" w:space="0" w:color="000000"/>
              <w:bottom w:val="single" w:sz="4" w:space="0" w:color="000000"/>
              <w:right w:val="single" w:sz="4" w:space="0" w:color="000000"/>
            </w:tcBorders>
            <w:vAlign w:val="bottom"/>
          </w:tcPr>
          <w:p w14:paraId="491C8821" w14:textId="77777777" w:rsidR="0087403F" w:rsidRDefault="0087403F" w:rsidP="00FB7289">
            <w:pPr>
              <w:rPr>
                <w:rFonts w:ascii="Arial" w:hAnsi="Arial" w:cs="Arial"/>
                <w:sz w:val="18"/>
                <w:szCs w:val="18"/>
              </w:rPr>
            </w:pPr>
            <w:r>
              <w:rPr>
                <w:rFonts w:ascii="Arial" w:hAnsi="Arial" w:cs="Arial"/>
                <w:color w:val="000000"/>
                <w:sz w:val="18"/>
                <w:szCs w:val="18"/>
              </w:rPr>
              <w:t>3.37</w:t>
            </w:r>
          </w:p>
        </w:tc>
        <w:tc>
          <w:tcPr>
            <w:tcW w:w="902" w:type="dxa"/>
            <w:tcBorders>
              <w:top w:val="single" w:sz="4" w:space="0" w:color="000000"/>
              <w:left w:val="single" w:sz="4" w:space="0" w:color="000000"/>
              <w:bottom w:val="single" w:sz="4" w:space="0" w:color="000000"/>
              <w:right w:val="single" w:sz="4" w:space="0" w:color="000000"/>
            </w:tcBorders>
            <w:vAlign w:val="bottom"/>
          </w:tcPr>
          <w:p w14:paraId="669F3480" w14:textId="77777777" w:rsidR="0087403F" w:rsidRDefault="0087403F" w:rsidP="00FB7289">
            <w:pPr>
              <w:rPr>
                <w:rFonts w:ascii="Arial" w:hAnsi="Arial" w:cs="Arial"/>
                <w:sz w:val="18"/>
                <w:szCs w:val="18"/>
              </w:rPr>
            </w:pPr>
            <w:r>
              <w:rPr>
                <w:rFonts w:ascii="Arial" w:hAnsi="Arial" w:cs="Arial"/>
                <w:color w:val="000000"/>
                <w:sz w:val="18"/>
                <w:szCs w:val="18"/>
              </w:rPr>
              <w:t>3.64</w:t>
            </w:r>
          </w:p>
        </w:tc>
        <w:tc>
          <w:tcPr>
            <w:tcW w:w="902" w:type="dxa"/>
            <w:tcBorders>
              <w:top w:val="single" w:sz="4" w:space="0" w:color="000000"/>
              <w:left w:val="single" w:sz="4" w:space="0" w:color="000000"/>
              <w:bottom w:val="single" w:sz="4" w:space="0" w:color="000000"/>
              <w:right w:val="single" w:sz="4" w:space="0" w:color="000000"/>
            </w:tcBorders>
            <w:vAlign w:val="bottom"/>
          </w:tcPr>
          <w:p w14:paraId="04AE07FE" w14:textId="77777777" w:rsidR="0087403F" w:rsidRDefault="0087403F" w:rsidP="00FB7289">
            <w:pPr>
              <w:rPr>
                <w:rFonts w:ascii="Arial" w:hAnsi="Arial" w:cs="Arial"/>
                <w:sz w:val="18"/>
                <w:szCs w:val="18"/>
              </w:rPr>
            </w:pPr>
            <w:r>
              <w:rPr>
                <w:rFonts w:ascii="Arial" w:hAnsi="Arial" w:cs="Arial"/>
                <w:color w:val="000000"/>
                <w:sz w:val="18"/>
                <w:szCs w:val="18"/>
              </w:rPr>
              <w:t>3.56</w:t>
            </w:r>
          </w:p>
        </w:tc>
        <w:tc>
          <w:tcPr>
            <w:tcW w:w="902" w:type="dxa"/>
            <w:tcBorders>
              <w:top w:val="single" w:sz="4" w:space="0" w:color="000000"/>
              <w:left w:val="single" w:sz="4" w:space="0" w:color="000000"/>
              <w:bottom w:val="single" w:sz="4" w:space="0" w:color="000000"/>
              <w:right w:val="single" w:sz="4" w:space="0" w:color="000000"/>
            </w:tcBorders>
            <w:vAlign w:val="bottom"/>
          </w:tcPr>
          <w:p w14:paraId="2375478F" w14:textId="77777777" w:rsidR="0087403F" w:rsidRDefault="0087403F" w:rsidP="00FB7289">
            <w:pPr>
              <w:rPr>
                <w:rFonts w:ascii="Arial" w:hAnsi="Arial" w:cs="Arial"/>
                <w:sz w:val="18"/>
                <w:szCs w:val="18"/>
              </w:rPr>
            </w:pPr>
            <w:r>
              <w:rPr>
                <w:rFonts w:ascii="Arial" w:hAnsi="Arial" w:cs="Arial"/>
                <w:color w:val="000000"/>
                <w:sz w:val="18"/>
                <w:szCs w:val="18"/>
              </w:rPr>
              <w:t>3.54</w:t>
            </w:r>
          </w:p>
        </w:tc>
      </w:tr>
      <w:tr w:rsidR="0087403F" w14:paraId="3F56F96D" w14:textId="77777777" w:rsidTr="00FB7289">
        <w:trPr>
          <w:trHeight w:val="1"/>
        </w:trPr>
        <w:tc>
          <w:tcPr>
            <w:tcW w:w="1252" w:type="dxa"/>
            <w:tcBorders>
              <w:top w:val="single" w:sz="4" w:space="0" w:color="000000"/>
              <w:left w:val="single" w:sz="4" w:space="0" w:color="000000"/>
              <w:bottom w:val="single" w:sz="4" w:space="0" w:color="000000"/>
              <w:right w:val="single" w:sz="4" w:space="0" w:color="000000"/>
            </w:tcBorders>
          </w:tcPr>
          <w:p w14:paraId="6EEB6C1E" w14:textId="77777777" w:rsidR="0087403F" w:rsidRDefault="0087403F" w:rsidP="00FB7289">
            <w:pPr>
              <w:rPr>
                <w:rFonts w:ascii="Arial" w:hAnsi="Arial" w:cs="Arial"/>
                <w:sz w:val="18"/>
                <w:szCs w:val="18"/>
              </w:rPr>
            </w:pPr>
            <w:r>
              <w:rPr>
                <w:rFonts w:ascii="Arial" w:hAnsi="Arial" w:cs="Arial"/>
                <w:sz w:val="18"/>
                <w:szCs w:val="18"/>
              </w:rPr>
              <w:t>Blue to Fin</w:t>
            </w:r>
          </w:p>
        </w:tc>
        <w:tc>
          <w:tcPr>
            <w:tcW w:w="862" w:type="dxa"/>
            <w:tcBorders>
              <w:top w:val="single" w:sz="4" w:space="0" w:color="000000"/>
              <w:left w:val="single" w:sz="4" w:space="0" w:color="000000"/>
              <w:bottom w:val="single" w:sz="4" w:space="0" w:color="000000"/>
              <w:right w:val="single" w:sz="4" w:space="0" w:color="000000"/>
            </w:tcBorders>
            <w:vAlign w:val="bottom"/>
          </w:tcPr>
          <w:p w14:paraId="589FB1E2" w14:textId="77777777" w:rsidR="0087403F" w:rsidRDefault="0087403F" w:rsidP="00FB7289">
            <w:pPr>
              <w:rPr>
                <w:rFonts w:ascii="Arial" w:hAnsi="Arial" w:cs="Arial"/>
                <w:sz w:val="18"/>
                <w:szCs w:val="18"/>
              </w:rPr>
            </w:pPr>
            <w:r>
              <w:rPr>
                <w:rFonts w:ascii="Arial" w:hAnsi="Arial" w:cs="Arial"/>
                <w:color w:val="000000"/>
                <w:sz w:val="18"/>
                <w:szCs w:val="18"/>
              </w:rPr>
              <w:t>0.01</w:t>
            </w:r>
          </w:p>
        </w:tc>
        <w:tc>
          <w:tcPr>
            <w:tcW w:w="862" w:type="dxa"/>
            <w:tcBorders>
              <w:top w:val="single" w:sz="4" w:space="0" w:color="000000"/>
              <w:left w:val="single" w:sz="4" w:space="0" w:color="000000"/>
              <w:bottom w:val="single" w:sz="4" w:space="0" w:color="000000"/>
              <w:right w:val="single" w:sz="4" w:space="0" w:color="000000"/>
            </w:tcBorders>
            <w:vAlign w:val="bottom"/>
          </w:tcPr>
          <w:p w14:paraId="01781607" w14:textId="77777777" w:rsidR="0087403F" w:rsidRDefault="0087403F" w:rsidP="00FB7289">
            <w:pPr>
              <w:rPr>
                <w:rFonts w:ascii="Arial" w:hAnsi="Arial" w:cs="Arial"/>
                <w:sz w:val="18"/>
                <w:szCs w:val="18"/>
              </w:rPr>
            </w:pPr>
            <w:r>
              <w:rPr>
                <w:rFonts w:ascii="Arial" w:hAnsi="Arial" w:cs="Arial"/>
                <w:color w:val="000000"/>
                <w:sz w:val="18"/>
                <w:szCs w:val="18"/>
              </w:rPr>
              <w:t>0.00</w:t>
            </w:r>
          </w:p>
        </w:tc>
        <w:tc>
          <w:tcPr>
            <w:tcW w:w="862" w:type="dxa"/>
            <w:tcBorders>
              <w:top w:val="single" w:sz="4" w:space="0" w:color="000000"/>
              <w:left w:val="single" w:sz="4" w:space="0" w:color="000000"/>
              <w:bottom w:val="single" w:sz="4" w:space="0" w:color="000000"/>
              <w:right w:val="single" w:sz="4" w:space="0" w:color="000000"/>
            </w:tcBorders>
            <w:vAlign w:val="bottom"/>
          </w:tcPr>
          <w:p w14:paraId="76F1C5BC" w14:textId="77777777" w:rsidR="0087403F" w:rsidRDefault="0087403F" w:rsidP="00FB7289">
            <w:pPr>
              <w:rPr>
                <w:rFonts w:ascii="Arial" w:hAnsi="Arial" w:cs="Arial"/>
                <w:sz w:val="18"/>
                <w:szCs w:val="18"/>
              </w:rPr>
            </w:pPr>
            <w:r>
              <w:rPr>
                <w:rFonts w:ascii="Arial" w:hAnsi="Arial" w:cs="Arial"/>
                <w:color w:val="000000"/>
                <w:sz w:val="18"/>
                <w:szCs w:val="18"/>
              </w:rPr>
              <w:t>0.01</w:t>
            </w:r>
          </w:p>
        </w:tc>
        <w:tc>
          <w:tcPr>
            <w:tcW w:w="862" w:type="dxa"/>
            <w:tcBorders>
              <w:top w:val="single" w:sz="4" w:space="0" w:color="000000"/>
              <w:left w:val="single" w:sz="4" w:space="0" w:color="000000"/>
              <w:bottom w:val="single" w:sz="4" w:space="0" w:color="000000"/>
              <w:right w:val="single" w:sz="4" w:space="0" w:color="000000"/>
            </w:tcBorders>
            <w:vAlign w:val="bottom"/>
          </w:tcPr>
          <w:p w14:paraId="343BAA2B" w14:textId="77777777" w:rsidR="0087403F" w:rsidRDefault="0087403F" w:rsidP="00FB7289">
            <w:pPr>
              <w:rPr>
                <w:rFonts w:ascii="Arial" w:hAnsi="Arial" w:cs="Arial"/>
                <w:sz w:val="18"/>
                <w:szCs w:val="18"/>
              </w:rPr>
            </w:pPr>
            <w:r>
              <w:rPr>
                <w:rFonts w:ascii="Arial" w:hAnsi="Arial" w:cs="Arial"/>
                <w:color w:val="000000"/>
                <w:sz w:val="18"/>
                <w:szCs w:val="18"/>
              </w:rPr>
              <w:t>0.00</w:t>
            </w:r>
          </w:p>
        </w:tc>
        <w:tc>
          <w:tcPr>
            <w:tcW w:w="902" w:type="dxa"/>
            <w:tcBorders>
              <w:top w:val="single" w:sz="4" w:space="0" w:color="000000"/>
              <w:left w:val="single" w:sz="4" w:space="0" w:color="000000"/>
              <w:bottom w:val="single" w:sz="4" w:space="0" w:color="000000"/>
              <w:right w:val="single" w:sz="4" w:space="0" w:color="000000"/>
            </w:tcBorders>
            <w:vAlign w:val="bottom"/>
          </w:tcPr>
          <w:p w14:paraId="6FFC1626" w14:textId="77777777" w:rsidR="0087403F" w:rsidRDefault="0087403F" w:rsidP="00FB7289">
            <w:pPr>
              <w:rPr>
                <w:rFonts w:ascii="Arial" w:hAnsi="Arial" w:cs="Arial"/>
                <w:color w:val="000000"/>
                <w:sz w:val="18"/>
                <w:szCs w:val="18"/>
              </w:rPr>
            </w:pPr>
            <w:r>
              <w:rPr>
                <w:rFonts w:ascii="Arial" w:hAnsi="Arial" w:cs="Arial"/>
                <w:color w:val="000000"/>
                <w:sz w:val="18"/>
                <w:szCs w:val="18"/>
              </w:rPr>
              <w:t>0.00</w:t>
            </w:r>
          </w:p>
        </w:tc>
        <w:tc>
          <w:tcPr>
            <w:tcW w:w="902" w:type="dxa"/>
            <w:tcBorders>
              <w:top w:val="single" w:sz="4" w:space="0" w:color="000000"/>
              <w:left w:val="single" w:sz="4" w:space="0" w:color="000000"/>
              <w:bottom w:val="single" w:sz="4" w:space="0" w:color="000000"/>
              <w:right w:val="single" w:sz="4" w:space="0" w:color="000000"/>
            </w:tcBorders>
            <w:vAlign w:val="bottom"/>
          </w:tcPr>
          <w:p w14:paraId="34EAAA8A" w14:textId="77777777" w:rsidR="0087403F" w:rsidRDefault="0087403F" w:rsidP="00FB7289">
            <w:pPr>
              <w:rPr>
                <w:rFonts w:ascii="Arial" w:hAnsi="Arial" w:cs="Arial"/>
                <w:sz w:val="18"/>
                <w:szCs w:val="18"/>
              </w:rPr>
            </w:pPr>
            <w:r>
              <w:rPr>
                <w:rFonts w:ascii="Arial" w:hAnsi="Arial" w:cs="Arial"/>
                <w:color w:val="000000"/>
                <w:sz w:val="18"/>
                <w:szCs w:val="18"/>
              </w:rPr>
              <w:t>0.02</w:t>
            </w:r>
          </w:p>
        </w:tc>
        <w:tc>
          <w:tcPr>
            <w:tcW w:w="902" w:type="dxa"/>
            <w:tcBorders>
              <w:top w:val="single" w:sz="4" w:space="0" w:color="000000"/>
              <w:left w:val="single" w:sz="4" w:space="0" w:color="000000"/>
              <w:bottom w:val="single" w:sz="4" w:space="0" w:color="000000"/>
              <w:right w:val="single" w:sz="4" w:space="0" w:color="000000"/>
            </w:tcBorders>
            <w:vAlign w:val="bottom"/>
          </w:tcPr>
          <w:p w14:paraId="299D37FE" w14:textId="77777777" w:rsidR="0087403F" w:rsidRDefault="0087403F" w:rsidP="00FB7289">
            <w:pPr>
              <w:rPr>
                <w:rFonts w:ascii="Arial" w:hAnsi="Arial" w:cs="Arial"/>
                <w:sz w:val="18"/>
                <w:szCs w:val="18"/>
              </w:rPr>
            </w:pPr>
            <w:r>
              <w:rPr>
                <w:rFonts w:ascii="Arial" w:hAnsi="Arial" w:cs="Arial"/>
                <w:color w:val="000000"/>
                <w:sz w:val="18"/>
                <w:szCs w:val="18"/>
              </w:rPr>
              <w:t>0.01</w:t>
            </w:r>
          </w:p>
        </w:tc>
        <w:tc>
          <w:tcPr>
            <w:tcW w:w="902" w:type="dxa"/>
            <w:tcBorders>
              <w:top w:val="single" w:sz="4" w:space="0" w:color="000000"/>
              <w:left w:val="single" w:sz="4" w:space="0" w:color="000000"/>
              <w:bottom w:val="single" w:sz="4" w:space="0" w:color="000000"/>
              <w:right w:val="single" w:sz="4" w:space="0" w:color="000000"/>
            </w:tcBorders>
            <w:vAlign w:val="bottom"/>
          </w:tcPr>
          <w:p w14:paraId="0F79C62C" w14:textId="77777777" w:rsidR="0087403F" w:rsidRDefault="0087403F" w:rsidP="00FB7289">
            <w:pPr>
              <w:rPr>
                <w:rFonts w:ascii="Arial" w:hAnsi="Arial" w:cs="Arial"/>
                <w:sz w:val="18"/>
                <w:szCs w:val="18"/>
              </w:rPr>
            </w:pPr>
            <w:r>
              <w:rPr>
                <w:rFonts w:ascii="Arial" w:hAnsi="Arial" w:cs="Arial"/>
                <w:color w:val="000000"/>
                <w:sz w:val="18"/>
                <w:szCs w:val="18"/>
              </w:rPr>
              <w:t>0.01</w:t>
            </w:r>
          </w:p>
        </w:tc>
        <w:tc>
          <w:tcPr>
            <w:tcW w:w="902" w:type="dxa"/>
            <w:tcBorders>
              <w:top w:val="single" w:sz="4" w:space="0" w:color="000000"/>
              <w:left w:val="single" w:sz="4" w:space="0" w:color="000000"/>
              <w:bottom w:val="single" w:sz="4" w:space="0" w:color="000000"/>
              <w:right w:val="single" w:sz="4" w:space="0" w:color="000000"/>
            </w:tcBorders>
            <w:vAlign w:val="bottom"/>
          </w:tcPr>
          <w:p w14:paraId="4DB4309E" w14:textId="77777777" w:rsidR="0087403F" w:rsidRDefault="0087403F" w:rsidP="00FB7289">
            <w:pPr>
              <w:rPr>
                <w:rFonts w:ascii="Arial" w:hAnsi="Arial" w:cs="Arial"/>
                <w:sz w:val="18"/>
                <w:szCs w:val="18"/>
              </w:rPr>
            </w:pPr>
            <w:r>
              <w:rPr>
                <w:rFonts w:ascii="Arial" w:hAnsi="Arial" w:cs="Arial"/>
                <w:color w:val="000000"/>
                <w:sz w:val="18"/>
                <w:szCs w:val="18"/>
              </w:rPr>
              <w:t>0.01</w:t>
            </w:r>
          </w:p>
        </w:tc>
        <w:tc>
          <w:tcPr>
            <w:tcW w:w="902" w:type="dxa"/>
            <w:tcBorders>
              <w:top w:val="single" w:sz="4" w:space="0" w:color="000000"/>
              <w:left w:val="single" w:sz="4" w:space="0" w:color="000000"/>
              <w:bottom w:val="single" w:sz="4" w:space="0" w:color="000000"/>
              <w:right w:val="single" w:sz="4" w:space="0" w:color="000000"/>
            </w:tcBorders>
            <w:vAlign w:val="bottom"/>
          </w:tcPr>
          <w:p w14:paraId="14BA04CD" w14:textId="77777777" w:rsidR="0087403F" w:rsidRDefault="0087403F" w:rsidP="00FB7289">
            <w:pPr>
              <w:rPr>
                <w:rFonts w:ascii="Arial" w:hAnsi="Arial" w:cs="Arial"/>
                <w:sz w:val="18"/>
                <w:szCs w:val="18"/>
              </w:rPr>
            </w:pPr>
            <w:r>
              <w:rPr>
                <w:rFonts w:ascii="Arial" w:hAnsi="Arial" w:cs="Arial"/>
                <w:color w:val="000000"/>
                <w:sz w:val="18"/>
                <w:szCs w:val="18"/>
              </w:rPr>
              <w:t>0.02</w:t>
            </w:r>
          </w:p>
        </w:tc>
      </w:tr>
      <w:tr w:rsidR="0087403F" w14:paraId="6CBA0051" w14:textId="77777777" w:rsidTr="00FB7289">
        <w:trPr>
          <w:trHeight w:val="1"/>
        </w:trPr>
        <w:tc>
          <w:tcPr>
            <w:tcW w:w="1252" w:type="dxa"/>
            <w:tcBorders>
              <w:top w:val="single" w:sz="4" w:space="0" w:color="000000"/>
              <w:left w:val="single" w:sz="4" w:space="0" w:color="000000"/>
              <w:bottom w:val="single" w:sz="4" w:space="0" w:color="000000"/>
              <w:right w:val="single" w:sz="4" w:space="0" w:color="000000"/>
            </w:tcBorders>
          </w:tcPr>
          <w:p w14:paraId="06AB92FB" w14:textId="77777777" w:rsidR="0087403F" w:rsidRDefault="0087403F" w:rsidP="00FB7289">
            <w:pPr>
              <w:rPr>
                <w:rFonts w:ascii="Arial" w:hAnsi="Arial" w:cs="Arial"/>
                <w:sz w:val="18"/>
                <w:szCs w:val="18"/>
              </w:rPr>
            </w:pPr>
            <w:r>
              <w:rPr>
                <w:rFonts w:ascii="Arial" w:hAnsi="Arial" w:cs="Arial"/>
                <w:sz w:val="18"/>
                <w:szCs w:val="18"/>
              </w:rPr>
              <w:t>Blue to Humpback</w:t>
            </w:r>
          </w:p>
        </w:tc>
        <w:tc>
          <w:tcPr>
            <w:tcW w:w="862" w:type="dxa"/>
            <w:tcBorders>
              <w:top w:val="single" w:sz="4" w:space="0" w:color="000000"/>
              <w:left w:val="single" w:sz="4" w:space="0" w:color="000000"/>
              <w:bottom w:val="single" w:sz="4" w:space="0" w:color="000000"/>
              <w:right w:val="single" w:sz="4" w:space="0" w:color="000000"/>
            </w:tcBorders>
            <w:vAlign w:val="bottom"/>
          </w:tcPr>
          <w:p w14:paraId="7F326C7D" w14:textId="77777777" w:rsidR="0087403F" w:rsidRDefault="0087403F" w:rsidP="00FB7289">
            <w:pPr>
              <w:rPr>
                <w:rFonts w:ascii="Arial" w:hAnsi="Arial" w:cs="Arial"/>
                <w:sz w:val="18"/>
                <w:szCs w:val="18"/>
              </w:rPr>
            </w:pPr>
            <w:r>
              <w:rPr>
                <w:rFonts w:ascii="Arial" w:hAnsi="Arial" w:cs="Arial"/>
                <w:color w:val="000000"/>
                <w:sz w:val="18"/>
                <w:szCs w:val="18"/>
              </w:rPr>
              <w:t>0.00</w:t>
            </w:r>
          </w:p>
        </w:tc>
        <w:tc>
          <w:tcPr>
            <w:tcW w:w="862" w:type="dxa"/>
            <w:tcBorders>
              <w:top w:val="single" w:sz="4" w:space="0" w:color="000000"/>
              <w:left w:val="single" w:sz="4" w:space="0" w:color="000000"/>
              <w:bottom w:val="single" w:sz="4" w:space="0" w:color="000000"/>
              <w:right w:val="single" w:sz="4" w:space="0" w:color="000000"/>
            </w:tcBorders>
            <w:vAlign w:val="bottom"/>
          </w:tcPr>
          <w:p w14:paraId="4C78F849" w14:textId="77777777" w:rsidR="0087403F" w:rsidRDefault="0087403F" w:rsidP="00FB7289">
            <w:pPr>
              <w:rPr>
                <w:rFonts w:ascii="Arial" w:hAnsi="Arial" w:cs="Arial"/>
                <w:sz w:val="18"/>
                <w:szCs w:val="18"/>
              </w:rPr>
            </w:pPr>
            <w:r>
              <w:rPr>
                <w:rFonts w:ascii="Arial" w:hAnsi="Arial" w:cs="Arial"/>
                <w:color w:val="000000"/>
                <w:sz w:val="18"/>
                <w:szCs w:val="18"/>
              </w:rPr>
              <w:t>0.01</w:t>
            </w:r>
          </w:p>
        </w:tc>
        <w:tc>
          <w:tcPr>
            <w:tcW w:w="862" w:type="dxa"/>
            <w:tcBorders>
              <w:top w:val="single" w:sz="4" w:space="0" w:color="000000"/>
              <w:left w:val="single" w:sz="4" w:space="0" w:color="000000"/>
              <w:bottom w:val="single" w:sz="4" w:space="0" w:color="000000"/>
              <w:right w:val="single" w:sz="4" w:space="0" w:color="000000"/>
            </w:tcBorders>
            <w:vAlign w:val="bottom"/>
          </w:tcPr>
          <w:p w14:paraId="57D9F28B" w14:textId="77777777" w:rsidR="0087403F" w:rsidRDefault="0087403F" w:rsidP="00FB7289">
            <w:pPr>
              <w:rPr>
                <w:rFonts w:ascii="Arial" w:hAnsi="Arial" w:cs="Arial"/>
                <w:sz w:val="18"/>
                <w:szCs w:val="18"/>
              </w:rPr>
            </w:pPr>
            <w:r>
              <w:rPr>
                <w:rFonts w:ascii="Arial" w:hAnsi="Arial" w:cs="Arial"/>
                <w:color w:val="000000"/>
                <w:sz w:val="18"/>
                <w:szCs w:val="18"/>
              </w:rPr>
              <w:t>0.00</w:t>
            </w:r>
          </w:p>
        </w:tc>
        <w:tc>
          <w:tcPr>
            <w:tcW w:w="862" w:type="dxa"/>
            <w:tcBorders>
              <w:top w:val="single" w:sz="4" w:space="0" w:color="000000"/>
              <w:left w:val="single" w:sz="4" w:space="0" w:color="000000"/>
              <w:bottom w:val="single" w:sz="4" w:space="0" w:color="000000"/>
              <w:right w:val="single" w:sz="4" w:space="0" w:color="000000"/>
            </w:tcBorders>
            <w:vAlign w:val="bottom"/>
          </w:tcPr>
          <w:p w14:paraId="5F3A9928" w14:textId="77777777" w:rsidR="0087403F" w:rsidRDefault="0087403F" w:rsidP="00FB7289">
            <w:pPr>
              <w:rPr>
                <w:rFonts w:ascii="Arial" w:hAnsi="Arial" w:cs="Arial"/>
                <w:sz w:val="18"/>
                <w:szCs w:val="18"/>
              </w:rPr>
            </w:pPr>
            <w:r>
              <w:rPr>
                <w:rFonts w:ascii="Arial" w:hAnsi="Arial" w:cs="Arial"/>
                <w:color w:val="000000"/>
                <w:sz w:val="18"/>
                <w:szCs w:val="18"/>
              </w:rPr>
              <w:t>0.01</w:t>
            </w:r>
          </w:p>
        </w:tc>
        <w:tc>
          <w:tcPr>
            <w:tcW w:w="902" w:type="dxa"/>
            <w:tcBorders>
              <w:top w:val="single" w:sz="4" w:space="0" w:color="000000"/>
              <w:left w:val="single" w:sz="4" w:space="0" w:color="000000"/>
              <w:bottom w:val="single" w:sz="4" w:space="0" w:color="000000"/>
              <w:right w:val="single" w:sz="4" w:space="0" w:color="000000"/>
            </w:tcBorders>
            <w:vAlign w:val="bottom"/>
          </w:tcPr>
          <w:p w14:paraId="66128B7D" w14:textId="77777777" w:rsidR="0087403F" w:rsidRDefault="0087403F" w:rsidP="00FB7289">
            <w:pPr>
              <w:spacing w:before="240"/>
              <w:rPr>
                <w:rFonts w:ascii="Arial" w:hAnsi="Arial" w:cs="Arial"/>
                <w:color w:val="000000"/>
                <w:sz w:val="18"/>
                <w:szCs w:val="18"/>
              </w:rPr>
            </w:pPr>
            <w:r>
              <w:rPr>
                <w:rFonts w:ascii="Arial" w:hAnsi="Arial" w:cs="Arial"/>
                <w:color w:val="000000"/>
                <w:sz w:val="18"/>
                <w:szCs w:val="18"/>
              </w:rPr>
              <w:t>0.00</w:t>
            </w:r>
          </w:p>
        </w:tc>
        <w:tc>
          <w:tcPr>
            <w:tcW w:w="902" w:type="dxa"/>
            <w:tcBorders>
              <w:top w:val="single" w:sz="4" w:space="0" w:color="000000"/>
              <w:left w:val="single" w:sz="4" w:space="0" w:color="000000"/>
              <w:bottom w:val="single" w:sz="4" w:space="0" w:color="000000"/>
              <w:right w:val="single" w:sz="4" w:space="0" w:color="000000"/>
            </w:tcBorders>
            <w:vAlign w:val="bottom"/>
          </w:tcPr>
          <w:p w14:paraId="707E3331" w14:textId="77777777" w:rsidR="0087403F" w:rsidRDefault="0087403F" w:rsidP="00FB7289">
            <w:pPr>
              <w:spacing w:before="240"/>
              <w:rPr>
                <w:rFonts w:ascii="Arial" w:hAnsi="Arial" w:cs="Arial"/>
                <w:sz w:val="18"/>
                <w:szCs w:val="18"/>
              </w:rPr>
            </w:pPr>
            <w:r>
              <w:rPr>
                <w:rFonts w:ascii="Arial" w:hAnsi="Arial" w:cs="Arial"/>
                <w:color w:val="000000"/>
                <w:sz w:val="18"/>
                <w:szCs w:val="18"/>
              </w:rPr>
              <w:t>0.00</w:t>
            </w:r>
          </w:p>
        </w:tc>
        <w:tc>
          <w:tcPr>
            <w:tcW w:w="902" w:type="dxa"/>
            <w:tcBorders>
              <w:top w:val="single" w:sz="4" w:space="0" w:color="000000"/>
              <w:left w:val="single" w:sz="4" w:space="0" w:color="000000"/>
              <w:bottom w:val="single" w:sz="4" w:space="0" w:color="000000"/>
              <w:right w:val="single" w:sz="4" w:space="0" w:color="000000"/>
            </w:tcBorders>
            <w:vAlign w:val="bottom"/>
          </w:tcPr>
          <w:p w14:paraId="347ED783" w14:textId="77777777" w:rsidR="0087403F" w:rsidRDefault="0087403F" w:rsidP="00FB7289">
            <w:pPr>
              <w:rPr>
                <w:rFonts w:ascii="Arial" w:hAnsi="Arial" w:cs="Arial"/>
                <w:sz w:val="18"/>
                <w:szCs w:val="18"/>
              </w:rPr>
            </w:pPr>
            <w:r>
              <w:rPr>
                <w:rFonts w:ascii="Arial" w:hAnsi="Arial" w:cs="Arial"/>
                <w:color w:val="000000"/>
                <w:sz w:val="18"/>
                <w:szCs w:val="18"/>
              </w:rPr>
              <w:t>0.00</w:t>
            </w:r>
          </w:p>
        </w:tc>
        <w:tc>
          <w:tcPr>
            <w:tcW w:w="902" w:type="dxa"/>
            <w:tcBorders>
              <w:top w:val="single" w:sz="4" w:space="0" w:color="000000"/>
              <w:left w:val="single" w:sz="4" w:space="0" w:color="000000"/>
              <w:bottom w:val="single" w:sz="4" w:space="0" w:color="000000"/>
              <w:right w:val="single" w:sz="4" w:space="0" w:color="000000"/>
            </w:tcBorders>
            <w:vAlign w:val="bottom"/>
          </w:tcPr>
          <w:p w14:paraId="011E880C" w14:textId="77777777" w:rsidR="0087403F" w:rsidRDefault="0087403F" w:rsidP="00FB7289">
            <w:pPr>
              <w:rPr>
                <w:rFonts w:ascii="Arial" w:hAnsi="Arial" w:cs="Arial"/>
                <w:sz w:val="18"/>
                <w:szCs w:val="18"/>
              </w:rPr>
            </w:pPr>
            <w:r>
              <w:rPr>
                <w:rFonts w:ascii="Arial" w:hAnsi="Arial" w:cs="Arial"/>
                <w:color w:val="000000"/>
                <w:sz w:val="18"/>
                <w:szCs w:val="18"/>
              </w:rPr>
              <w:t>0.00</w:t>
            </w:r>
          </w:p>
        </w:tc>
        <w:tc>
          <w:tcPr>
            <w:tcW w:w="902" w:type="dxa"/>
            <w:tcBorders>
              <w:top w:val="single" w:sz="4" w:space="0" w:color="000000"/>
              <w:left w:val="single" w:sz="4" w:space="0" w:color="000000"/>
              <w:bottom w:val="single" w:sz="4" w:space="0" w:color="000000"/>
              <w:right w:val="single" w:sz="4" w:space="0" w:color="000000"/>
            </w:tcBorders>
            <w:vAlign w:val="bottom"/>
          </w:tcPr>
          <w:p w14:paraId="0B55E478" w14:textId="77777777" w:rsidR="0087403F" w:rsidRDefault="0087403F" w:rsidP="00FB7289">
            <w:pPr>
              <w:rPr>
                <w:rFonts w:ascii="Arial" w:hAnsi="Arial" w:cs="Arial"/>
                <w:sz w:val="18"/>
                <w:szCs w:val="18"/>
              </w:rPr>
            </w:pPr>
            <w:r>
              <w:rPr>
                <w:rFonts w:ascii="Arial" w:hAnsi="Arial" w:cs="Arial"/>
                <w:color w:val="000000"/>
                <w:sz w:val="18"/>
                <w:szCs w:val="18"/>
              </w:rPr>
              <w:t>0.01</w:t>
            </w:r>
          </w:p>
        </w:tc>
        <w:tc>
          <w:tcPr>
            <w:tcW w:w="902" w:type="dxa"/>
            <w:tcBorders>
              <w:top w:val="single" w:sz="4" w:space="0" w:color="000000"/>
              <w:left w:val="single" w:sz="4" w:space="0" w:color="000000"/>
              <w:bottom w:val="single" w:sz="4" w:space="0" w:color="000000"/>
              <w:right w:val="single" w:sz="4" w:space="0" w:color="000000"/>
            </w:tcBorders>
            <w:vAlign w:val="bottom"/>
          </w:tcPr>
          <w:p w14:paraId="792A743B" w14:textId="77777777" w:rsidR="0087403F" w:rsidRDefault="0087403F" w:rsidP="00FB7289">
            <w:pPr>
              <w:rPr>
                <w:rFonts w:ascii="Arial" w:hAnsi="Arial" w:cs="Arial"/>
                <w:sz w:val="18"/>
                <w:szCs w:val="18"/>
              </w:rPr>
            </w:pPr>
            <w:r>
              <w:rPr>
                <w:rFonts w:ascii="Arial" w:hAnsi="Arial" w:cs="Arial"/>
                <w:color w:val="000000"/>
                <w:sz w:val="18"/>
                <w:szCs w:val="18"/>
              </w:rPr>
              <w:t>0.00</w:t>
            </w:r>
          </w:p>
        </w:tc>
      </w:tr>
      <w:tr w:rsidR="0087403F" w14:paraId="3B86C340" w14:textId="77777777" w:rsidTr="00FB7289">
        <w:trPr>
          <w:trHeight w:val="1"/>
        </w:trPr>
        <w:tc>
          <w:tcPr>
            <w:tcW w:w="1252" w:type="dxa"/>
            <w:tcBorders>
              <w:top w:val="single" w:sz="4" w:space="0" w:color="000000"/>
              <w:left w:val="single" w:sz="4" w:space="0" w:color="000000"/>
              <w:bottom w:val="single" w:sz="4" w:space="0" w:color="000000"/>
              <w:right w:val="single" w:sz="4" w:space="0" w:color="000000"/>
            </w:tcBorders>
          </w:tcPr>
          <w:p w14:paraId="36AB15D8" w14:textId="77777777" w:rsidR="0087403F" w:rsidRDefault="0087403F" w:rsidP="00FB7289">
            <w:pPr>
              <w:rPr>
                <w:rFonts w:ascii="Arial" w:hAnsi="Arial" w:cs="Arial"/>
                <w:sz w:val="18"/>
                <w:szCs w:val="18"/>
              </w:rPr>
            </w:pPr>
            <w:r>
              <w:rPr>
                <w:rFonts w:ascii="Arial" w:hAnsi="Arial" w:cs="Arial"/>
                <w:sz w:val="18"/>
                <w:szCs w:val="18"/>
              </w:rPr>
              <w:t xml:space="preserve">Humpback to Blue </w:t>
            </w:r>
          </w:p>
        </w:tc>
        <w:tc>
          <w:tcPr>
            <w:tcW w:w="862" w:type="dxa"/>
            <w:tcBorders>
              <w:top w:val="single" w:sz="4" w:space="0" w:color="000000"/>
              <w:left w:val="single" w:sz="4" w:space="0" w:color="000000"/>
              <w:bottom w:val="single" w:sz="4" w:space="0" w:color="000000"/>
              <w:right w:val="single" w:sz="4" w:space="0" w:color="000000"/>
            </w:tcBorders>
            <w:vAlign w:val="bottom"/>
          </w:tcPr>
          <w:p w14:paraId="5C71C108" w14:textId="77777777" w:rsidR="0087403F" w:rsidRDefault="0087403F" w:rsidP="00FB7289">
            <w:pPr>
              <w:rPr>
                <w:rFonts w:ascii="Arial" w:hAnsi="Arial" w:cs="Arial"/>
                <w:sz w:val="18"/>
                <w:szCs w:val="18"/>
              </w:rPr>
            </w:pPr>
            <w:r>
              <w:rPr>
                <w:rFonts w:ascii="Arial" w:hAnsi="Arial" w:cs="Arial"/>
                <w:color w:val="000000"/>
                <w:sz w:val="18"/>
                <w:szCs w:val="18"/>
              </w:rPr>
              <w:t>0.72</w:t>
            </w:r>
          </w:p>
        </w:tc>
        <w:tc>
          <w:tcPr>
            <w:tcW w:w="862" w:type="dxa"/>
            <w:tcBorders>
              <w:top w:val="single" w:sz="4" w:space="0" w:color="000000"/>
              <w:left w:val="single" w:sz="4" w:space="0" w:color="000000"/>
              <w:bottom w:val="single" w:sz="4" w:space="0" w:color="000000"/>
              <w:right w:val="single" w:sz="4" w:space="0" w:color="000000"/>
            </w:tcBorders>
            <w:vAlign w:val="bottom"/>
          </w:tcPr>
          <w:p w14:paraId="13072747" w14:textId="77777777" w:rsidR="0087403F" w:rsidRDefault="0087403F" w:rsidP="00FB7289">
            <w:pPr>
              <w:rPr>
                <w:rFonts w:ascii="Arial" w:hAnsi="Arial" w:cs="Arial"/>
                <w:sz w:val="18"/>
                <w:szCs w:val="18"/>
              </w:rPr>
            </w:pPr>
            <w:r>
              <w:rPr>
                <w:rFonts w:ascii="Arial" w:hAnsi="Arial" w:cs="Arial"/>
                <w:color w:val="000000"/>
                <w:sz w:val="18"/>
                <w:szCs w:val="18"/>
              </w:rPr>
              <w:t>0.69</w:t>
            </w:r>
          </w:p>
        </w:tc>
        <w:tc>
          <w:tcPr>
            <w:tcW w:w="862" w:type="dxa"/>
            <w:tcBorders>
              <w:top w:val="single" w:sz="4" w:space="0" w:color="000000"/>
              <w:left w:val="single" w:sz="4" w:space="0" w:color="000000"/>
              <w:bottom w:val="single" w:sz="4" w:space="0" w:color="000000"/>
              <w:right w:val="single" w:sz="4" w:space="0" w:color="000000"/>
            </w:tcBorders>
            <w:vAlign w:val="bottom"/>
          </w:tcPr>
          <w:p w14:paraId="147A7A54" w14:textId="77777777" w:rsidR="0087403F" w:rsidRDefault="0087403F" w:rsidP="00FB7289">
            <w:pPr>
              <w:rPr>
                <w:rFonts w:ascii="Arial" w:hAnsi="Arial" w:cs="Arial"/>
                <w:sz w:val="18"/>
                <w:szCs w:val="18"/>
              </w:rPr>
            </w:pPr>
            <w:r>
              <w:rPr>
                <w:rFonts w:ascii="Arial" w:hAnsi="Arial" w:cs="Arial"/>
                <w:color w:val="000000"/>
                <w:sz w:val="18"/>
                <w:szCs w:val="18"/>
              </w:rPr>
              <w:t>0.70</w:t>
            </w:r>
          </w:p>
        </w:tc>
        <w:tc>
          <w:tcPr>
            <w:tcW w:w="862" w:type="dxa"/>
            <w:tcBorders>
              <w:top w:val="single" w:sz="4" w:space="0" w:color="000000"/>
              <w:left w:val="single" w:sz="4" w:space="0" w:color="000000"/>
              <w:bottom w:val="single" w:sz="4" w:space="0" w:color="000000"/>
              <w:right w:val="single" w:sz="4" w:space="0" w:color="000000"/>
            </w:tcBorders>
            <w:vAlign w:val="bottom"/>
          </w:tcPr>
          <w:p w14:paraId="39B3B073" w14:textId="77777777" w:rsidR="0087403F" w:rsidRDefault="0087403F" w:rsidP="00FB7289">
            <w:pPr>
              <w:rPr>
                <w:rFonts w:ascii="Arial" w:hAnsi="Arial" w:cs="Arial"/>
                <w:sz w:val="18"/>
                <w:szCs w:val="18"/>
              </w:rPr>
            </w:pPr>
            <w:r>
              <w:rPr>
                <w:rFonts w:ascii="Arial" w:hAnsi="Arial" w:cs="Arial"/>
                <w:color w:val="000000"/>
                <w:sz w:val="18"/>
                <w:szCs w:val="18"/>
              </w:rPr>
              <w:t>0.64</w:t>
            </w:r>
          </w:p>
        </w:tc>
        <w:tc>
          <w:tcPr>
            <w:tcW w:w="902" w:type="dxa"/>
            <w:tcBorders>
              <w:top w:val="single" w:sz="4" w:space="0" w:color="000000"/>
              <w:left w:val="single" w:sz="4" w:space="0" w:color="000000"/>
              <w:bottom w:val="single" w:sz="4" w:space="0" w:color="000000"/>
              <w:right w:val="single" w:sz="4" w:space="0" w:color="000000"/>
            </w:tcBorders>
            <w:vAlign w:val="bottom"/>
          </w:tcPr>
          <w:p w14:paraId="3D84EDA4" w14:textId="77777777" w:rsidR="0087403F" w:rsidRDefault="0087403F" w:rsidP="00FB7289">
            <w:pPr>
              <w:spacing w:before="240"/>
              <w:rPr>
                <w:rFonts w:ascii="Arial" w:hAnsi="Arial" w:cs="Arial"/>
                <w:color w:val="000000"/>
                <w:sz w:val="18"/>
                <w:szCs w:val="18"/>
              </w:rPr>
            </w:pPr>
            <w:r>
              <w:rPr>
                <w:rFonts w:ascii="Arial" w:hAnsi="Arial" w:cs="Arial"/>
                <w:color w:val="000000"/>
                <w:sz w:val="18"/>
                <w:szCs w:val="18"/>
              </w:rPr>
              <w:t>0.81</w:t>
            </w:r>
          </w:p>
        </w:tc>
        <w:tc>
          <w:tcPr>
            <w:tcW w:w="902" w:type="dxa"/>
            <w:tcBorders>
              <w:top w:val="single" w:sz="4" w:space="0" w:color="000000"/>
              <w:left w:val="single" w:sz="4" w:space="0" w:color="000000"/>
              <w:bottom w:val="single" w:sz="4" w:space="0" w:color="000000"/>
              <w:right w:val="single" w:sz="4" w:space="0" w:color="000000"/>
            </w:tcBorders>
            <w:vAlign w:val="bottom"/>
          </w:tcPr>
          <w:p w14:paraId="2F9D7975" w14:textId="77777777" w:rsidR="0087403F" w:rsidRDefault="0087403F" w:rsidP="00FB7289">
            <w:pPr>
              <w:spacing w:before="240"/>
              <w:rPr>
                <w:rFonts w:ascii="Arial" w:hAnsi="Arial" w:cs="Arial"/>
                <w:sz w:val="18"/>
                <w:szCs w:val="18"/>
              </w:rPr>
            </w:pPr>
            <w:r>
              <w:rPr>
                <w:rFonts w:ascii="Arial" w:hAnsi="Arial" w:cs="Arial"/>
                <w:color w:val="000000"/>
                <w:sz w:val="18"/>
                <w:szCs w:val="18"/>
              </w:rPr>
              <w:t>0.64</w:t>
            </w:r>
          </w:p>
        </w:tc>
        <w:tc>
          <w:tcPr>
            <w:tcW w:w="902" w:type="dxa"/>
            <w:tcBorders>
              <w:top w:val="single" w:sz="4" w:space="0" w:color="000000"/>
              <w:left w:val="single" w:sz="4" w:space="0" w:color="000000"/>
              <w:bottom w:val="single" w:sz="4" w:space="0" w:color="000000"/>
              <w:right w:val="single" w:sz="4" w:space="0" w:color="000000"/>
            </w:tcBorders>
            <w:vAlign w:val="bottom"/>
          </w:tcPr>
          <w:p w14:paraId="47493EEB" w14:textId="77777777" w:rsidR="0087403F" w:rsidRDefault="0087403F" w:rsidP="00FB7289">
            <w:pPr>
              <w:rPr>
                <w:rFonts w:ascii="Arial" w:hAnsi="Arial" w:cs="Arial"/>
                <w:sz w:val="18"/>
                <w:szCs w:val="18"/>
              </w:rPr>
            </w:pPr>
            <w:r>
              <w:rPr>
                <w:rFonts w:ascii="Arial" w:hAnsi="Arial" w:cs="Arial"/>
                <w:color w:val="000000"/>
                <w:sz w:val="18"/>
                <w:szCs w:val="18"/>
              </w:rPr>
              <w:t>0.83</w:t>
            </w:r>
          </w:p>
        </w:tc>
        <w:tc>
          <w:tcPr>
            <w:tcW w:w="902" w:type="dxa"/>
            <w:tcBorders>
              <w:top w:val="single" w:sz="4" w:space="0" w:color="000000"/>
              <w:left w:val="single" w:sz="4" w:space="0" w:color="000000"/>
              <w:bottom w:val="single" w:sz="4" w:space="0" w:color="000000"/>
              <w:right w:val="single" w:sz="4" w:space="0" w:color="000000"/>
            </w:tcBorders>
            <w:vAlign w:val="bottom"/>
          </w:tcPr>
          <w:p w14:paraId="5FFF86CD" w14:textId="77777777" w:rsidR="0087403F" w:rsidRDefault="0087403F" w:rsidP="00FB7289">
            <w:pPr>
              <w:rPr>
                <w:rFonts w:ascii="Arial" w:hAnsi="Arial" w:cs="Arial"/>
                <w:sz w:val="18"/>
                <w:szCs w:val="18"/>
              </w:rPr>
            </w:pPr>
            <w:r>
              <w:rPr>
                <w:rFonts w:ascii="Arial" w:hAnsi="Arial" w:cs="Arial"/>
                <w:color w:val="000000"/>
                <w:sz w:val="18"/>
                <w:szCs w:val="18"/>
              </w:rPr>
              <w:t>0.78</w:t>
            </w:r>
          </w:p>
        </w:tc>
        <w:tc>
          <w:tcPr>
            <w:tcW w:w="902" w:type="dxa"/>
            <w:tcBorders>
              <w:top w:val="single" w:sz="4" w:space="0" w:color="000000"/>
              <w:left w:val="single" w:sz="4" w:space="0" w:color="000000"/>
              <w:bottom w:val="single" w:sz="4" w:space="0" w:color="000000"/>
              <w:right w:val="single" w:sz="4" w:space="0" w:color="000000"/>
            </w:tcBorders>
            <w:vAlign w:val="bottom"/>
          </w:tcPr>
          <w:p w14:paraId="68E3409C" w14:textId="77777777" w:rsidR="0087403F" w:rsidRDefault="0087403F" w:rsidP="00FB7289">
            <w:pPr>
              <w:rPr>
                <w:rFonts w:ascii="Arial" w:hAnsi="Arial" w:cs="Arial"/>
                <w:sz w:val="18"/>
                <w:szCs w:val="18"/>
              </w:rPr>
            </w:pPr>
            <w:r>
              <w:rPr>
                <w:rFonts w:ascii="Arial" w:hAnsi="Arial" w:cs="Arial"/>
                <w:color w:val="000000"/>
                <w:sz w:val="18"/>
                <w:szCs w:val="18"/>
              </w:rPr>
              <w:t>0.63</w:t>
            </w:r>
          </w:p>
        </w:tc>
        <w:tc>
          <w:tcPr>
            <w:tcW w:w="902" w:type="dxa"/>
            <w:tcBorders>
              <w:top w:val="single" w:sz="4" w:space="0" w:color="000000"/>
              <w:left w:val="single" w:sz="4" w:space="0" w:color="000000"/>
              <w:bottom w:val="single" w:sz="4" w:space="0" w:color="000000"/>
              <w:right w:val="single" w:sz="4" w:space="0" w:color="000000"/>
            </w:tcBorders>
            <w:vAlign w:val="bottom"/>
          </w:tcPr>
          <w:p w14:paraId="71328E37" w14:textId="77777777" w:rsidR="0087403F" w:rsidRDefault="0087403F" w:rsidP="00FB7289">
            <w:pPr>
              <w:rPr>
                <w:rFonts w:ascii="Arial" w:hAnsi="Arial" w:cs="Arial"/>
                <w:sz w:val="18"/>
                <w:szCs w:val="18"/>
              </w:rPr>
            </w:pPr>
            <w:r>
              <w:rPr>
                <w:rFonts w:ascii="Arial" w:hAnsi="Arial" w:cs="Arial"/>
                <w:color w:val="000000"/>
                <w:sz w:val="18"/>
                <w:szCs w:val="18"/>
              </w:rPr>
              <w:t>0.73</w:t>
            </w:r>
          </w:p>
        </w:tc>
      </w:tr>
      <w:tr w:rsidR="0087403F" w14:paraId="345F05E2" w14:textId="77777777" w:rsidTr="00FB7289">
        <w:trPr>
          <w:trHeight w:val="1"/>
        </w:trPr>
        <w:tc>
          <w:tcPr>
            <w:tcW w:w="1252" w:type="dxa"/>
            <w:tcBorders>
              <w:top w:val="single" w:sz="4" w:space="0" w:color="000000"/>
              <w:left w:val="single" w:sz="4" w:space="0" w:color="000000"/>
              <w:bottom w:val="single" w:sz="4" w:space="0" w:color="000000"/>
              <w:right w:val="single" w:sz="4" w:space="0" w:color="000000"/>
            </w:tcBorders>
          </w:tcPr>
          <w:p w14:paraId="3BFD3E0D" w14:textId="77777777" w:rsidR="0087403F" w:rsidRDefault="0087403F" w:rsidP="00FB7289">
            <w:pPr>
              <w:rPr>
                <w:rFonts w:ascii="Arial" w:hAnsi="Arial" w:cs="Arial"/>
                <w:sz w:val="18"/>
                <w:szCs w:val="18"/>
              </w:rPr>
            </w:pPr>
            <w:r>
              <w:rPr>
                <w:rFonts w:ascii="Arial" w:hAnsi="Arial" w:cs="Arial"/>
                <w:sz w:val="18"/>
                <w:szCs w:val="18"/>
              </w:rPr>
              <w:t xml:space="preserve">Between Blue/Sei* &amp; Fin </w:t>
            </w:r>
          </w:p>
        </w:tc>
        <w:tc>
          <w:tcPr>
            <w:tcW w:w="862" w:type="dxa"/>
            <w:tcBorders>
              <w:top w:val="single" w:sz="4" w:space="0" w:color="000000"/>
              <w:left w:val="single" w:sz="4" w:space="0" w:color="000000"/>
              <w:bottom w:val="single" w:sz="4" w:space="0" w:color="000000"/>
              <w:right w:val="single" w:sz="4" w:space="0" w:color="000000"/>
            </w:tcBorders>
            <w:vAlign w:val="bottom"/>
          </w:tcPr>
          <w:p w14:paraId="7D423D5B" w14:textId="77777777" w:rsidR="0087403F" w:rsidRDefault="0087403F" w:rsidP="00FB7289">
            <w:pPr>
              <w:rPr>
                <w:rFonts w:ascii="Arial" w:hAnsi="Arial" w:cs="Arial"/>
                <w:sz w:val="18"/>
                <w:szCs w:val="18"/>
              </w:rPr>
            </w:pPr>
            <w:r>
              <w:rPr>
                <w:rFonts w:ascii="Arial" w:hAnsi="Arial" w:cs="Arial"/>
                <w:color w:val="000000"/>
                <w:sz w:val="18"/>
                <w:szCs w:val="18"/>
              </w:rPr>
              <w:t>0.01</w:t>
            </w:r>
          </w:p>
        </w:tc>
        <w:tc>
          <w:tcPr>
            <w:tcW w:w="862" w:type="dxa"/>
            <w:tcBorders>
              <w:top w:val="single" w:sz="4" w:space="0" w:color="000000"/>
              <w:left w:val="single" w:sz="4" w:space="0" w:color="000000"/>
              <w:bottom w:val="single" w:sz="4" w:space="0" w:color="000000"/>
              <w:right w:val="single" w:sz="4" w:space="0" w:color="000000"/>
            </w:tcBorders>
            <w:vAlign w:val="bottom"/>
          </w:tcPr>
          <w:p w14:paraId="7138B495" w14:textId="77777777" w:rsidR="0087403F" w:rsidRDefault="0087403F" w:rsidP="00FB7289">
            <w:pPr>
              <w:rPr>
                <w:rFonts w:ascii="Arial" w:hAnsi="Arial" w:cs="Arial"/>
                <w:sz w:val="18"/>
                <w:szCs w:val="18"/>
              </w:rPr>
            </w:pPr>
            <w:r>
              <w:rPr>
                <w:rFonts w:ascii="Arial" w:hAnsi="Arial" w:cs="Arial"/>
                <w:color w:val="000000"/>
                <w:sz w:val="18"/>
                <w:szCs w:val="18"/>
              </w:rPr>
              <w:t>0.03</w:t>
            </w:r>
          </w:p>
        </w:tc>
        <w:tc>
          <w:tcPr>
            <w:tcW w:w="862" w:type="dxa"/>
            <w:tcBorders>
              <w:top w:val="single" w:sz="4" w:space="0" w:color="000000"/>
              <w:left w:val="single" w:sz="4" w:space="0" w:color="000000"/>
              <w:bottom w:val="single" w:sz="4" w:space="0" w:color="000000"/>
              <w:right w:val="single" w:sz="4" w:space="0" w:color="000000"/>
            </w:tcBorders>
            <w:vAlign w:val="bottom"/>
          </w:tcPr>
          <w:p w14:paraId="2774A0F5" w14:textId="77777777" w:rsidR="0087403F" w:rsidRDefault="0087403F" w:rsidP="00FB7289">
            <w:pPr>
              <w:rPr>
                <w:rFonts w:ascii="Arial" w:hAnsi="Arial" w:cs="Arial"/>
                <w:sz w:val="18"/>
                <w:szCs w:val="18"/>
              </w:rPr>
            </w:pPr>
            <w:r>
              <w:rPr>
                <w:rFonts w:ascii="Arial" w:hAnsi="Arial" w:cs="Arial"/>
                <w:color w:val="000000"/>
                <w:sz w:val="18"/>
                <w:szCs w:val="18"/>
              </w:rPr>
              <w:t>0.06</w:t>
            </w:r>
          </w:p>
        </w:tc>
        <w:tc>
          <w:tcPr>
            <w:tcW w:w="862" w:type="dxa"/>
            <w:tcBorders>
              <w:top w:val="single" w:sz="4" w:space="0" w:color="000000"/>
              <w:left w:val="single" w:sz="4" w:space="0" w:color="000000"/>
              <w:bottom w:val="single" w:sz="4" w:space="0" w:color="000000"/>
              <w:right w:val="single" w:sz="4" w:space="0" w:color="000000"/>
            </w:tcBorders>
            <w:vAlign w:val="bottom"/>
          </w:tcPr>
          <w:p w14:paraId="404F8EFA" w14:textId="77777777" w:rsidR="0087403F" w:rsidRDefault="0087403F" w:rsidP="00FB7289">
            <w:pPr>
              <w:rPr>
                <w:rFonts w:ascii="Arial" w:hAnsi="Arial" w:cs="Arial"/>
                <w:sz w:val="18"/>
                <w:szCs w:val="18"/>
              </w:rPr>
            </w:pPr>
            <w:r>
              <w:rPr>
                <w:rFonts w:ascii="Arial" w:hAnsi="Arial" w:cs="Arial"/>
                <w:color w:val="000000"/>
                <w:sz w:val="18"/>
                <w:szCs w:val="18"/>
              </w:rPr>
              <w:t>0.02</w:t>
            </w:r>
          </w:p>
        </w:tc>
        <w:tc>
          <w:tcPr>
            <w:tcW w:w="902" w:type="dxa"/>
            <w:tcBorders>
              <w:top w:val="single" w:sz="4" w:space="0" w:color="000000"/>
              <w:left w:val="single" w:sz="4" w:space="0" w:color="000000"/>
              <w:bottom w:val="single" w:sz="4" w:space="0" w:color="000000"/>
              <w:right w:val="single" w:sz="4" w:space="0" w:color="000000"/>
            </w:tcBorders>
            <w:vAlign w:val="bottom"/>
          </w:tcPr>
          <w:p w14:paraId="472CDA99" w14:textId="77777777" w:rsidR="0087403F" w:rsidRDefault="0087403F" w:rsidP="00FB7289">
            <w:pPr>
              <w:spacing w:before="240"/>
              <w:rPr>
                <w:rFonts w:ascii="Arial" w:hAnsi="Arial" w:cs="Arial"/>
                <w:color w:val="000000"/>
                <w:sz w:val="18"/>
                <w:szCs w:val="18"/>
              </w:rPr>
            </w:pPr>
            <w:r>
              <w:rPr>
                <w:rFonts w:ascii="Arial" w:hAnsi="Arial" w:cs="Arial"/>
                <w:color w:val="000000"/>
                <w:sz w:val="18"/>
                <w:szCs w:val="18"/>
              </w:rPr>
              <w:t>0.03</w:t>
            </w:r>
          </w:p>
        </w:tc>
        <w:tc>
          <w:tcPr>
            <w:tcW w:w="902" w:type="dxa"/>
            <w:tcBorders>
              <w:top w:val="single" w:sz="4" w:space="0" w:color="000000"/>
              <w:left w:val="single" w:sz="4" w:space="0" w:color="000000"/>
              <w:bottom w:val="single" w:sz="4" w:space="0" w:color="000000"/>
              <w:right w:val="single" w:sz="4" w:space="0" w:color="000000"/>
            </w:tcBorders>
            <w:vAlign w:val="bottom"/>
          </w:tcPr>
          <w:p w14:paraId="1ECAE7E4" w14:textId="77777777" w:rsidR="0087403F" w:rsidRDefault="0087403F" w:rsidP="00FB7289">
            <w:pPr>
              <w:spacing w:before="240"/>
              <w:rPr>
                <w:rFonts w:ascii="Arial" w:hAnsi="Arial" w:cs="Arial"/>
                <w:sz w:val="18"/>
                <w:szCs w:val="18"/>
              </w:rPr>
            </w:pPr>
            <w:r>
              <w:rPr>
                <w:rFonts w:ascii="Arial" w:hAnsi="Arial" w:cs="Arial"/>
                <w:color w:val="000000"/>
                <w:sz w:val="18"/>
                <w:szCs w:val="18"/>
              </w:rPr>
              <w:t>0.02</w:t>
            </w:r>
          </w:p>
        </w:tc>
        <w:tc>
          <w:tcPr>
            <w:tcW w:w="902" w:type="dxa"/>
            <w:tcBorders>
              <w:top w:val="single" w:sz="4" w:space="0" w:color="000000"/>
              <w:left w:val="single" w:sz="4" w:space="0" w:color="000000"/>
              <w:bottom w:val="single" w:sz="4" w:space="0" w:color="000000"/>
              <w:right w:val="single" w:sz="4" w:space="0" w:color="000000"/>
            </w:tcBorders>
            <w:vAlign w:val="bottom"/>
          </w:tcPr>
          <w:p w14:paraId="692ED42B" w14:textId="77777777" w:rsidR="0087403F" w:rsidRDefault="0087403F" w:rsidP="00FB7289">
            <w:pPr>
              <w:rPr>
                <w:rFonts w:ascii="Arial" w:hAnsi="Arial" w:cs="Arial"/>
                <w:sz w:val="18"/>
                <w:szCs w:val="18"/>
              </w:rPr>
            </w:pPr>
            <w:r>
              <w:rPr>
                <w:rFonts w:ascii="Arial" w:hAnsi="Arial" w:cs="Arial"/>
                <w:color w:val="000000"/>
                <w:sz w:val="18"/>
                <w:szCs w:val="18"/>
              </w:rPr>
              <w:t>0.01</w:t>
            </w:r>
          </w:p>
        </w:tc>
        <w:tc>
          <w:tcPr>
            <w:tcW w:w="902" w:type="dxa"/>
            <w:tcBorders>
              <w:top w:val="single" w:sz="4" w:space="0" w:color="000000"/>
              <w:left w:val="single" w:sz="4" w:space="0" w:color="000000"/>
              <w:bottom w:val="single" w:sz="4" w:space="0" w:color="000000"/>
              <w:right w:val="single" w:sz="4" w:space="0" w:color="000000"/>
            </w:tcBorders>
            <w:vAlign w:val="bottom"/>
          </w:tcPr>
          <w:p w14:paraId="448E5441" w14:textId="77777777" w:rsidR="0087403F" w:rsidRDefault="0087403F" w:rsidP="00FB7289">
            <w:pPr>
              <w:rPr>
                <w:rFonts w:ascii="Arial" w:hAnsi="Arial" w:cs="Arial"/>
                <w:sz w:val="18"/>
                <w:szCs w:val="18"/>
              </w:rPr>
            </w:pPr>
            <w:r>
              <w:rPr>
                <w:rFonts w:ascii="Arial" w:hAnsi="Arial" w:cs="Arial"/>
                <w:color w:val="000000"/>
                <w:sz w:val="18"/>
                <w:szCs w:val="18"/>
              </w:rPr>
              <w:t>0.03</w:t>
            </w:r>
          </w:p>
        </w:tc>
        <w:tc>
          <w:tcPr>
            <w:tcW w:w="902" w:type="dxa"/>
            <w:tcBorders>
              <w:top w:val="single" w:sz="4" w:space="0" w:color="000000"/>
              <w:left w:val="single" w:sz="4" w:space="0" w:color="000000"/>
              <w:bottom w:val="single" w:sz="4" w:space="0" w:color="000000"/>
              <w:right w:val="single" w:sz="4" w:space="0" w:color="000000"/>
            </w:tcBorders>
            <w:vAlign w:val="bottom"/>
          </w:tcPr>
          <w:p w14:paraId="23432B44" w14:textId="77777777" w:rsidR="0087403F" w:rsidRDefault="0087403F" w:rsidP="00FB7289">
            <w:pPr>
              <w:rPr>
                <w:rFonts w:ascii="Arial" w:hAnsi="Arial" w:cs="Arial"/>
                <w:sz w:val="18"/>
                <w:szCs w:val="18"/>
              </w:rPr>
            </w:pPr>
            <w:r>
              <w:rPr>
                <w:rFonts w:ascii="Arial" w:hAnsi="Arial" w:cs="Arial"/>
                <w:color w:val="000000"/>
                <w:sz w:val="18"/>
                <w:szCs w:val="18"/>
              </w:rPr>
              <w:t>0.02</w:t>
            </w:r>
          </w:p>
        </w:tc>
        <w:tc>
          <w:tcPr>
            <w:tcW w:w="902" w:type="dxa"/>
            <w:tcBorders>
              <w:top w:val="single" w:sz="4" w:space="0" w:color="000000"/>
              <w:left w:val="single" w:sz="4" w:space="0" w:color="000000"/>
              <w:bottom w:val="single" w:sz="4" w:space="0" w:color="000000"/>
              <w:right w:val="single" w:sz="4" w:space="0" w:color="000000"/>
            </w:tcBorders>
            <w:vAlign w:val="bottom"/>
          </w:tcPr>
          <w:p w14:paraId="62DF8786" w14:textId="77777777" w:rsidR="0087403F" w:rsidRDefault="0087403F" w:rsidP="00FB7289">
            <w:pPr>
              <w:rPr>
                <w:rFonts w:ascii="Arial" w:hAnsi="Arial" w:cs="Arial"/>
                <w:sz w:val="18"/>
                <w:szCs w:val="18"/>
              </w:rPr>
            </w:pPr>
            <w:r>
              <w:rPr>
                <w:rFonts w:ascii="Arial" w:hAnsi="Arial" w:cs="Arial"/>
                <w:color w:val="000000"/>
                <w:sz w:val="18"/>
                <w:szCs w:val="18"/>
              </w:rPr>
              <w:t>0.03</w:t>
            </w:r>
          </w:p>
        </w:tc>
      </w:tr>
      <w:tr w:rsidR="0087403F" w14:paraId="52BE0DEA" w14:textId="77777777" w:rsidTr="00FB7289">
        <w:trPr>
          <w:trHeight w:val="1"/>
        </w:trPr>
        <w:tc>
          <w:tcPr>
            <w:tcW w:w="1252" w:type="dxa"/>
            <w:tcBorders>
              <w:top w:val="single" w:sz="4" w:space="0" w:color="000000"/>
              <w:left w:val="single" w:sz="4" w:space="0" w:color="000000"/>
              <w:bottom w:val="single" w:sz="4" w:space="0" w:color="000000"/>
              <w:right w:val="single" w:sz="4" w:space="0" w:color="000000"/>
            </w:tcBorders>
          </w:tcPr>
          <w:p w14:paraId="3C717FA6" w14:textId="77777777" w:rsidR="0087403F" w:rsidRDefault="0087403F" w:rsidP="00FB7289">
            <w:pPr>
              <w:rPr>
                <w:rFonts w:ascii="Arial" w:hAnsi="Arial" w:cs="Arial"/>
                <w:sz w:val="18"/>
                <w:szCs w:val="18"/>
              </w:rPr>
            </w:pPr>
            <w:r>
              <w:rPr>
                <w:rFonts w:ascii="Arial" w:hAnsi="Arial" w:cs="Arial"/>
                <w:sz w:val="18"/>
                <w:szCs w:val="18"/>
              </w:rPr>
              <w:t xml:space="preserve">Between Blue/Sei* &amp; Humpback </w:t>
            </w:r>
          </w:p>
        </w:tc>
        <w:tc>
          <w:tcPr>
            <w:tcW w:w="862" w:type="dxa"/>
            <w:tcBorders>
              <w:top w:val="single" w:sz="4" w:space="0" w:color="000000"/>
              <w:left w:val="single" w:sz="4" w:space="0" w:color="000000"/>
              <w:bottom w:val="single" w:sz="4" w:space="0" w:color="000000"/>
              <w:right w:val="single" w:sz="4" w:space="0" w:color="000000"/>
            </w:tcBorders>
            <w:vAlign w:val="bottom"/>
          </w:tcPr>
          <w:p w14:paraId="693AE742" w14:textId="77777777" w:rsidR="0087403F" w:rsidRDefault="0087403F" w:rsidP="00FB7289">
            <w:pPr>
              <w:rPr>
                <w:rFonts w:ascii="Arial" w:hAnsi="Arial" w:cs="Arial"/>
                <w:sz w:val="18"/>
                <w:szCs w:val="18"/>
              </w:rPr>
            </w:pPr>
            <w:r>
              <w:rPr>
                <w:rFonts w:ascii="Arial" w:hAnsi="Arial" w:cs="Arial"/>
                <w:color w:val="000000"/>
                <w:sz w:val="18"/>
                <w:szCs w:val="18"/>
              </w:rPr>
              <w:t>0.01</w:t>
            </w:r>
          </w:p>
        </w:tc>
        <w:tc>
          <w:tcPr>
            <w:tcW w:w="862" w:type="dxa"/>
            <w:tcBorders>
              <w:top w:val="single" w:sz="4" w:space="0" w:color="000000"/>
              <w:left w:val="single" w:sz="4" w:space="0" w:color="000000"/>
              <w:bottom w:val="single" w:sz="4" w:space="0" w:color="000000"/>
              <w:right w:val="single" w:sz="4" w:space="0" w:color="000000"/>
            </w:tcBorders>
            <w:vAlign w:val="bottom"/>
          </w:tcPr>
          <w:p w14:paraId="13C6B4A8" w14:textId="77777777" w:rsidR="0087403F" w:rsidRDefault="0087403F" w:rsidP="00FB7289">
            <w:pPr>
              <w:rPr>
                <w:rFonts w:ascii="Arial" w:hAnsi="Arial" w:cs="Arial"/>
                <w:sz w:val="18"/>
                <w:szCs w:val="18"/>
              </w:rPr>
            </w:pPr>
            <w:r>
              <w:rPr>
                <w:rFonts w:ascii="Arial" w:hAnsi="Arial" w:cs="Arial"/>
                <w:color w:val="000000"/>
                <w:sz w:val="18"/>
                <w:szCs w:val="18"/>
              </w:rPr>
              <w:t>0.01</w:t>
            </w:r>
          </w:p>
        </w:tc>
        <w:tc>
          <w:tcPr>
            <w:tcW w:w="862" w:type="dxa"/>
            <w:tcBorders>
              <w:top w:val="single" w:sz="4" w:space="0" w:color="000000"/>
              <w:left w:val="single" w:sz="4" w:space="0" w:color="000000"/>
              <w:bottom w:val="single" w:sz="4" w:space="0" w:color="000000"/>
              <w:right w:val="single" w:sz="4" w:space="0" w:color="000000"/>
            </w:tcBorders>
            <w:vAlign w:val="bottom"/>
          </w:tcPr>
          <w:p w14:paraId="490D572A" w14:textId="77777777" w:rsidR="0087403F" w:rsidRDefault="0087403F" w:rsidP="00FB7289">
            <w:pPr>
              <w:rPr>
                <w:rFonts w:ascii="Arial" w:hAnsi="Arial" w:cs="Arial"/>
                <w:sz w:val="18"/>
                <w:szCs w:val="18"/>
              </w:rPr>
            </w:pPr>
            <w:r>
              <w:rPr>
                <w:rFonts w:ascii="Arial" w:hAnsi="Arial" w:cs="Arial"/>
                <w:color w:val="000000"/>
                <w:sz w:val="18"/>
                <w:szCs w:val="18"/>
              </w:rPr>
              <w:t>0.02</w:t>
            </w:r>
          </w:p>
        </w:tc>
        <w:tc>
          <w:tcPr>
            <w:tcW w:w="862" w:type="dxa"/>
            <w:tcBorders>
              <w:top w:val="single" w:sz="4" w:space="0" w:color="000000"/>
              <w:left w:val="single" w:sz="4" w:space="0" w:color="000000"/>
              <w:bottom w:val="single" w:sz="4" w:space="0" w:color="000000"/>
              <w:right w:val="single" w:sz="4" w:space="0" w:color="000000"/>
            </w:tcBorders>
            <w:vAlign w:val="bottom"/>
          </w:tcPr>
          <w:p w14:paraId="1FD5C0B3" w14:textId="77777777" w:rsidR="0087403F" w:rsidRDefault="0087403F" w:rsidP="00FB7289">
            <w:pPr>
              <w:rPr>
                <w:rFonts w:ascii="Arial" w:hAnsi="Arial" w:cs="Arial"/>
                <w:sz w:val="18"/>
                <w:szCs w:val="18"/>
              </w:rPr>
            </w:pPr>
            <w:r>
              <w:rPr>
                <w:rFonts w:ascii="Arial" w:hAnsi="Arial" w:cs="Arial"/>
                <w:color w:val="000000"/>
                <w:sz w:val="18"/>
                <w:szCs w:val="18"/>
              </w:rPr>
              <w:t>0.00</w:t>
            </w:r>
          </w:p>
        </w:tc>
        <w:tc>
          <w:tcPr>
            <w:tcW w:w="902" w:type="dxa"/>
            <w:tcBorders>
              <w:top w:val="single" w:sz="4" w:space="0" w:color="000000"/>
              <w:left w:val="single" w:sz="4" w:space="0" w:color="000000"/>
              <w:bottom w:val="single" w:sz="4" w:space="0" w:color="000000"/>
              <w:right w:val="single" w:sz="4" w:space="0" w:color="000000"/>
            </w:tcBorders>
            <w:vAlign w:val="bottom"/>
          </w:tcPr>
          <w:p w14:paraId="664E4FB8" w14:textId="77777777" w:rsidR="0087403F" w:rsidRDefault="0087403F" w:rsidP="00FB7289">
            <w:pPr>
              <w:spacing w:before="240"/>
              <w:rPr>
                <w:rFonts w:ascii="Arial" w:hAnsi="Arial" w:cs="Arial"/>
                <w:color w:val="000000"/>
                <w:sz w:val="18"/>
                <w:szCs w:val="18"/>
              </w:rPr>
            </w:pPr>
            <w:r>
              <w:rPr>
                <w:rFonts w:ascii="Arial" w:hAnsi="Arial" w:cs="Arial"/>
                <w:color w:val="000000"/>
                <w:sz w:val="18"/>
                <w:szCs w:val="18"/>
              </w:rPr>
              <w:t>0.02</w:t>
            </w:r>
          </w:p>
        </w:tc>
        <w:tc>
          <w:tcPr>
            <w:tcW w:w="902" w:type="dxa"/>
            <w:tcBorders>
              <w:top w:val="single" w:sz="4" w:space="0" w:color="000000"/>
              <w:left w:val="single" w:sz="4" w:space="0" w:color="000000"/>
              <w:bottom w:val="single" w:sz="4" w:space="0" w:color="000000"/>
              <w:right w:val="single" w:sz="4" w:space="0" w:color="000000"/>
            </w:tcBorders>
            <w:vAlign w:val="bottom"/>
          </w:tcPr>
          <w:p w14:paraId="655524A0" w14:textId="77777777" w:rsidR="0087403F" w:rsidRDefault="0087403F" w:rsidP="00FB7289">
            <w:pPr>
              <w:spacing w:before="240"/>
              <w:rPr>
                <w:rFonts w:ascii="Arial" w:hAnsi="Arial" w:cs="Arial"/>
                <w:sz w:val="18"/>
                <w:szCs w:val="18"/>
              </w:rPr>
            </w:pPr>
            <w:r>
              <w:rPr>
                <w:rFonts w:ascii="Arial" w:hAnsi="Arial" w:cs="Arial"/>
                <w:color w:val="000000"/>
                <w:sz w:val="18"/>
                <w:szCs w:val="18"/>
              </w:rPr>
              <w:t>0.01</w:t>
            </w:r>
          </w:p>
        </w:tc>
        <w:tc>
          <w:tcPr>
            <w:tcW w:w="902" w:type="dxa"/>
            <w:tcBorders>
              <w:top w:val="single" w:sz="4" w:space="0" w:color="000000"/>
              <w:left w:val="single" w:sz="4" w:space="0" w:color="000000"/>
              <w:bottom w:val="single" w:sz="4" w:space="0" w:color="000000"/>
              <w:right w:val="single" w:sz="4" w:space="0" w:color="000000"/>
            </w:tcBorders>
            <w:vAlign w:val="bottom"/>
          </w:tcPr>
          <w:p w14:paraId="0E6B05B7" w14:textId="77777777" w:rsidR="0087403F" w:rsidRDefault="0087403F" w:rsidP="00FB7289">
            <w:pPr>
              <w:rPr>
                <w:rFonts w:ascii="Arial" w:hAnsi="Arial" w:cs="Arial"/>
                <w:sz w:val="18"/>
                <w:szCs w:val="18"/>
              </w:rPr>
            </w:pPr>
            <w:r>
              <w:rPr>
                <w:rFonts w:ascii="Arial" w:hAnsi="Arial" w:cs="Arial"/>
                <w:color w:val="000000"/>
                <w:sz w:val="18"/>
                <w:szCs w:val="18"/>
              </w:rPr>
              <w:t>0.00</w:t>
            </w:r>
          </w:p>
        </w:tc>
        <w:tc>
          <w:tcPr>
            <w:tcW w:w="902" w:type="dxa"/>
            <w:tcBorders>
              <w:top w:val="single" w:sz="4" w:space="0" w:color="000000"/>
              <w:left w:val="single" w:sz="4" w:space="0" w:color="000000"/>
              <w:bottom w:val="single" w:sz="4" w:space="0" w:color="000000"/>
              <w:right w:val="single" w:sz="4" w:space="0" w:color="000000"/>
            </w:tcBorders>
            <w:vAlign w:val="bottom"/>
          </w:tcPr>
          <w:p w14:paraId="3AC6ED10" w14:textId="77777777" w:rsidR="0087403F" w:rsidRDefault="0087403F" w:rsidP="00FB7289">
            <w:pPr>
              <w:rPr>
                <w:rFonts w:ascii="Arial" w:hAnsi="Arial" w:cs="Arial"/>
                <w:sz w:val="18"/>
                <w:szCs w:val="18"/>
              </w:rPr>
            </w:pPr>
            <w:r>
              <w:rPr>
                <w:rFonts w:ascii="Arial" w:hAnsi="Arial" w:cs="Arial"/>
                <w:color w:val="000000"/>
                <w:sz w:val="18"/>
                <w:szCs w:val="18"/>
              </w:rPr>
              <w:t>0.03</w:t>
            </w:r>
          </w:p>
        </w:tc>
        <w:tc>
          <w:tcPr>
            <w:tcW w:w="902" w:type="dxa"/>
            <w:tcBorders>
              <w:top w:val="single" w:sz="4" w:space="0" w:color="000000"/>
              <w:left w:val="single" w:sz="4" w:space="0" w:color="000000"/>
              <w:bottom w:val="single" w:sz="4" w:space="0" w:color="000000"/>
              <w:right w:val="single" w:sz="4" w:space="0" w:color="000000"/>
            </w:tcBorders>
            <w:vAlign w:val="bottom"/>
          </w:tcPr>
          <w:p w14:paraId="7C813F66" w14:textId="77777777" w:rsidR="0087403F" w:rsidRDefault="0087403F" w:rsidP="00FB7289">
            <w:pPr>
              <w:rPr>
                <w:rFonts w:ascii="Arial" w:hAnsi="Arial" w:cs="Arial"/>
                <w:sz w:val="18"/>
                <w:szCs w:val="18"/>
              </w:rPr>
            </w:pPr>
            <w:r>
              <w:rPr>
                <w:rFonts w:ascii="Arial" w:hAnsi="Arial" w:cs="Arial"/>
                <w:color w:val="000000"/>
                <w:sz w:val="18"/>
                <w:szCs w:val="18"/>
              </w:rPr>
              <w:t>0.02</w:t>
            </w:r>
          </w:p>
        </w:tc>
        <w:tc>
          <w:tcPr>
            <w:tcW w:w="902" w:type="dxa"/>
            <w:tcBorders>
              <w:top w:val="single" w:sz="4" w:space="0" w:color="000000"/>
              <w:left w:val="single" w:sz="4" w:space="0" w:color="000000"/>
              <w:bottom w:val="single" w:sz="4" w:space="0" w:color="000000"/>
              <w:right w:val="single" w:sz="4" w:space="0" w:color="000000"/>
            </w:tcBorders>
            <w:vAlign w:val="bottom"/>
          </w:tcPr>
          <w:p w14:paraId="056A1BED" w14:textId="77777777" w:rsidR="0087403F" w:rsidRDefault="0087403F" w:rsidP="00FB7289">
            <w:pPr>
              <w:rPr>
                <w:rFonts w:ascii="Arial" w:hAnsi="Arial" w:cs="Arial"/>
                <w:sz w:val="18"/>
                <w:szCs w:val="18"/>
              </w:rPr>
            </w:pPr>
            <w:r>
              <w:rPr>
                <w:rFonts w:ascii="Arial" w:hAnsi="Arial" w:cs="Arial"/>
                <w:color w:val="000000"/>
                <w:sz w:val="18"/>
                <w:szCs w:val="18"/>
              </w:rPr>
              <w:t>0.03</w:t>
            </w:r>
          </w:p>
        </w:tc>
      </w:tr>
      <w:tr w:rsidR="0087403F" w14:paraId="3DBB9636" w14:textId="77777777" w:rsidTr="00FB7289">
        <w:trPr>
          <w:trHeight w:val="1"/>
        </w:trPr>
        <w:tc>
          <w:tcPr>
            <w:tcW w:w="1252" w:type="dxa"/>
            <w:tcBorders>
              <w:top w:val="single" w:sz="4" w:space="0" w:color="000000"/>
              <w:left w:val="single" w:sz="4" w:space="0" w:color="000000"/>
              <w:bottom w:val="single" w:sz="4" w:space="0" w:color="000000"/>
              <w:right w:val="single" w:sz="4" w:space="0" w:color="000000"/>
            </w:tcBorders>
          </w:tcPr>
          <w:p w14:paraId="6028BA66" w14:textId="77777777" w:rsidR="0087403F" w:rsidRDefault="0087403F" w:rsidP="00FB7289">
            <w:pPr>
              <w:rPr>
                <w:rFonts w:ascii="Arial" w:hAnsi="Arial" w:cs="Arial"/>
                <w:sz w:val="18"/>
                <w:szCs w:val="18"/>
              </w:rPr>
            </w:pPr>
            <w:r>
              <w:rPr>
                <w:rFonts w:ascii="Arial" w:hAnsi="Arial" w:cs="Arial"/>
                <w:sz w:val="18"/>
                <w:szCs w:val="18"/>
              </w:rPr>
              <w:t>NA**</w:t>
            </w:r>
          </w:p>
        </w:tc>
        <w:tc>
          <w:tcPr>
            <w:tcW w:w="862" w:type="dxa"/>
            <w:tcBorders>
              <w:top w:val="single" w:sz="4" w:space="0" w:color="000000"/>
              <w:left w:val="single" w:sz="4" w:space="0" w:color="000000"/>
              <w:bottom w:val="single" w:sz="4" w:space="0" w:color="000000"/>
              <w:right w:val="single" w:sz="4" w:space="0" w:color="000000"/>
            </w:tcBorders>
            <w:vAlign w:val="bottom"/>
          </w:tcPr>
          <w:p w14:paraId="1583C694" w14:textId="77777777" w:rsidR="0087403F" w:rsidRDefault="0087403F" w:rsidP="00FB7289">
            <w:pPr>
              <w:rPr>
                <w:rFonts w:ascii="Arial" w:hAnsi="Arial" w:cs="Arial"/>
                <w:sz w:val="18"/>
                <w:szCs w:val="18"/>
              </w:rPr>
            </w:pPr>
            <w:r>
              <w:rPr>
                <w:rFonts w:ascii="Arial" w:hAnsi="Arial" w:cs="Arial"/>
                <w:color w:val="000000"/>
                <w:sz w:val="18"/>
                <w:szCs w:val="18"/>
              </w:rPr>
              <w:t>0.17</w:t>
            </w:r>
          </w:p>
        </w:tc>
        <w:tc>
          <w:tcPr>
            <w:tcW w:w="862" w:type="dxa"/>
            <w:tcBorders>
              <w:top w:val="single" w:sz="4" w:space="0" w:color="000000"/>
              <w:left w:val="single" w:sz="4" w:space="0" w:color="000000"/>
              <w:bottom w:val="single" w:sz="4" w:space="0" w:color="000000"/>
              <w:right w:val="single" w:sz="4" w:space="0" w:color="000000"/>
            </w:tcBorders>
            <w:vAlign w:val="bottom"/>
          </w:tcPr>
          <w:p w14:paraId="7B65E857" w14:textId="77777777" w:rsidR="0087403F" w:rsidRDefault="0087403F" w:rsidP="00FB7289">
            <w:pPr>
              <w:rPr>
                <w:rFonts w:ascii="Arial" w:hAnsi="Arial" w:cs="Arial"/>
                <w:sz w:val="18"/>
                <w:szCs w:val="18"/>
              </w:rPr>
            </w:pPr>
            <w:r>
              <w:rPr>
                <w:rFonts w:ascii="Arial" w:hAnsi="Arial" w:cs="Arial"/>
                <w:color w:val="000000"/>
                <w:sz w:val="18"/>
                <w:szCs w:val="18"/>
              </w:rPr>
              <w:t>0.18</w:t>
            </w:r>
          </w:p>
        </w:tc>
        <w:tc>
          <w:tcPr>
            <w:tcW w:w="862" w:type="dxa"/>
            <w:tcBorders>
              <w:top w:val="single" w:sz="4" w:space="0" w:color="000000"/>
              <w:left w:val="single" w:sz="4" w:space="0" w:color="000000"/>
              <w:bottom w:val="single" w:sz="4" w:space="0" w:color="000000"/>
              <w:right w:val="single" w:sz="4" w:space="0" w:color="000000"/>
            </w:tcBorders>
            <w:vAlign w:val="bottom"/>
          </w:tcPr>
          <w:p w14:paraId="0F8F43E0" w14:textId="77777777" w:rsidR="0087403F" w:rsidRDefault="0087403F" w:rsidP="00FB7289">
            <w:pPr>
              <w:rPr>
                <w:rFonts w:ascii="Arial" w:hAnsi="Arial" w:cs="Arial"/>
                <w:sz w:val="18"/>
                <w:szCs w:val="18"/>
              </w:rPr>
            </w:pPr>
            <w:r>
              <w:rPr>
                <w:rFonts w:ascii="Arial" w:hAnsi="Arial" w:cs="Arial"/>
                <w:color w:val="000000"/>
                <w:sz w:val="18"/>
                <w:szCs w:val="18"/>
              </w:rPr>
              <w:t>0.21</w:t>
            </w:r>
          </w:p>
        </w:tc>
        <w:tc>
          <w:tcPr>
            <w:tcW w:w="862" w:type="dxa"/>
            <w:tcBorders>
              <w:top w:val="single" w:sz="4" w:space="0" w:color="000000"/>
              <w:left w:val="single" w:sz="4" w:space="0" w:color="000000"/>
              <w:bottom w:val="single" w:sz="4" w:space="0" w:color="000000"/>
              <w:right w:val="single" w:sz="4" w:space="0" w:color="000000"/>
            </w:tcBorders>
            <w:vAlign w:val="bottom"/>
          </w:tcPr>
          <w:p w14:paraId="062B9C01" w14:textId="77777777" w:rsidR="0087403F" w:rsidRDefault="0087403F" w:rsidP="00FB7289">
            <w:pPr>
              <w:rPr>
                <w:rFonts w:ascii="Arial" w:hAnsi="Arial" w:cs="Arial"/>
                <w:sz w:val="18"/>
                <w:szCs w:val="18"/>
              </w:rPr>
            </w:pPr>
            <w:r>
              <w:rPr>
                <w:rFonts w:ascii="Arial" w:hAnsi="Arial" w:cs="Arial"/>
                <w:color w:val="000000"/>
                <w:sz w:val="18"/>
                <w:szCs w:val="18"/>
              </w:rPr>
              <w:t>0.19</w:t>
            </w:r>
          </w:p>
        </w:tc>
        <w:tc>
          <w:tcPr>
            <w:tcW w:w="902" w:type="dxa"/>
            <w:tcBorders>
              <w:top w:val="single" w:sz="4" w:space="0" w:color="000000"/>
              <w:left w:val="single" w:sz="4" w:space="0" w:color="000000"/>
              <w:bottom w:val="single" w:sz="4" w:space="0" w:color="000000"/>
              <w:right w:val="single" w:sz="4" w:space="0" w:color="000000"/>
            </w:tcBorders>
            <w:vAlign w:val="bottom"/>
          </w:tcPr>
          <w:p w14:paraId="520C8B9C" w14:textId="77777777" w:rsidR="0087403F" w:rsidRDefault="0087403F" w:rsidP="00FB7289">
            <w:pPr>
              <w:rPr>
                <w:rFonts w:ascii="Arial" w:hAnsi="Arial" w:cs="Arial"/>
                <w:color w:val="000000"/>
                <w:sz w:val="18"/>
                <w:szCs w:val="18"/>
              </w:rPr>
            </w:pPr>
            <w:r>
              <w:rPr>
                <w:rFonts w:ascii="Arial" w:hAnsi="Arial" w:cs="Arial"/>
                <w:color w:val="000000"/>
                <w:sz w:val="18"/>
                <w:szCs w:val="18"/>
              </w:rPr>
              <w:t>0.19</w:t>
            </w:r>
          </w:p>
        </w:tc>
        <w:tc>
          <w:tcPr>
            <w:tcW w:w="902" w:type="dxa"/>
            <w:tcBorders>
              <w:top w:val="single" w:sz="4" w:space="0" w:color="000000"/>
              <w:left w:val="single" w:sz="4" w:space="0" w:color="000000"/>
              <w:bottom w:val="single" w:sz="4" w:space="0" w:color="000000"/>
              <w:right w:val="single" w:sz="4" w:space="0" w:color="000000"/>
            </w:tcBorders>
            <w:vAlign w:val="bottom"/>
          </w:tcPr>
          <w:p w14:paraId="4654B0D2" w14:textId="77777777" w:rsidR="0087403F" w:rsidRDefault="0087403F" w:rsidP="00FB7289">
            <w:pPr>
              <w:rPr>
                <w:rFonts w:ascii="Arial" w:hAnsi="Arial" w:cs="Arial"/>
                <w:sz w:val="18"/>
                <w:szCs w:val="18"/>
              </w:rPr>
            </w:pPr>
            <w:r>
              <w:rPr>
                <w:rFonts w:ascii="Arial" w:hAnsi="Arial" w:cs="Arial"/>
                <w:color w:val="000000"/>
                <w:sz w:val="18"/>
                <w:szCs w:val="18"/>
              </w:rPr>
              <w:t>0.20</w:t>
            </w:r>
          </w:p>
        </w:tc>
        <w:tc>
          <w:tcPr>
            <w:tcW w:w="902" w:type="dxa"/>
            <w:tcBorders>
              <w:top w:val="single" w:sz="4" w:space="0" w:color="000000"/>
              <w:left w:val="single" w:sz="4" w:space="0" w:color="000000"/>
              <w:bottom w:val="single" w:sz="4" w:space="0" w:color="000000"/>
              <w:right w:val="single" w:sz="4" w:space="0" w:color="000000"/>
            </w:tcBorders>
            <w:vAlign w:val="bottom"/>
          </w:tcPr>
          <w:p w14:paraId="3A103744" w14:textId="77777777" w:rsidR="0087403F" w:rsidRDefault="0087403F" w:rsidP="00FB7289">
            <w:pPr>
              <w:rPr>
                <w:rFonts w:ascii="Arial" w:hAnsi="Arial" w:cs="Arial"/>
                <w:sz w:val="18"/>
                <w:szCs w:val="18"/>
              </w:rPr>
            </w:pPr>
            <w:r>
              <w:rPr>
                <w:rFonts w:ascii="Arial" w:hAnsi="Arial" w:cs="Arial"/>
                <w:color w:val="000000"/>
                <w:sz w:val="18"/>
                <w:szCs w:val="18"/>
              </w:rPr>
              <w:t>0.24</w:t>
            </w:r>
          </w:p>
        </w:tc>
        <w:tc>
          <w:tcPr>
            <w:tcW w:w="902" w:type="dxa"/>
            <w:tcBorders>
              <w:top w:val="single" w:sz="4" w:space="0" w:color="000000"/>
              <w:left w:val="single" w:sz="4" w:space="0" w:color="000000"/>
              <w:bottom w:val="single" w:sz="4" w:space="0" w:color="000000"/>
              <w:right w:val="single" w:sz="4" w:space="0" w:color="000000"/>
            </w:tcBorders>
            <w:vAlign w:val="bottom"/>
          </w:tcPr>
          <w:p w14:paraId="1B24F06A" w14:textId="77777777" w:rsidR="0087403F" w:rsidRDefault="0087403F" w:rsidP="00FB7289">
            <w:pPr>
              <w:rPr>
                <w:rFonts w:ascii="Arial" w:hAnsi="Arial" w:cs="Arial"/>
                <w:sz w:val="18"/>
                <w:szCs w:val="18"/>
              </w:rPr>
            </w:pPr>
            <w:r>
              <w:rPr>
                <w:rFonts w:ascii="Arial" w:hAnsi="Arial" w:cs="Arial"/>
                <w:color w:val="000000"/>
                <w:sz w:val="18"/>
                <w:szCs w:val="18"/>
              </w:rPr>
              <w:t>0.18</w:t>
            </w:r>
          </w:p>
        </w:tc>
        <w:tc>
          <w:tcPr>
            <w:tcW w:w="902" w:type="dxa"/>
            <w:tcBorders>
              <w:top w:val="single" w:sz="4" w:space="0" w:color="000000"/>
              <w:left w:val="single" w:sz="4" w:space="0" w:color="000000"/>
              <w:bottom w:val="single" w:sz="4" w:space="0" w:color="000000"/>
              <w:right w:val="single" w:sz="4" w:space="0" w:color="000000"/>
            </w:tcBorders>
            <w:vAlign w:val="bottom"/>
          </w:tcPr>
          <w:p w14:paraId="7327DBA3" w14:textId="77777777" w:rsidR="0087403F" w:rsidRDefault="0087403F" w:rsidP="00FB7289">
            <w:pPr>
              <w:rPr>
                <w:rFonts w:ascii="Arial" w:hAnsi="Arial" w:cs="Arial"/>
                <w:sz w:val="18"/>
                <w:szCs w:val="18"/>
              </w:rPr>
            </w:pPr>
            <w:r>
              <w:rPr>
                <w:rFonts w:ascii="Arial" w:hAnsi="Arial" w:cs="Arial"/>
                <w:color w:val="000000"/>
                <w:sz w:val="18"/>
                <w:szCs w:val="18"/>
              </w:rPr>
              <w:t>0.15</w:t>
            </w:r>
          </w:p>
        </w:tc>
        <w:tc>
          <w:tcPr>
            <w:tcW w:w="902" w:type="dxa"/>
            <w:tcBorders>
              <w:top w:val="single" w:sz="4" w:space="0" w:color="000000"/>
              <w:left w:val="single" w:sz="4" w:space="0" w:color="000000"/>
              <w:bottom w:val="single" w:sz="4" w:space="0" w:color="000000"/>
              <w:right w:val="single" w:sz="4" w:space="0" w:color="000000"/>
            </w:tcBorders>
            <w:vAlign w:val="bottom"/>
          </w:tcPr>
          <w:p w14:paraId="5B21E0D8" w14:textId="77777777" w:rsidR="0087403F" w:rsidRDefault="0087403F" w:rsidP="00FB7289">
            <w:pPr>
              <w:rPr>
                <w:rFonts w:ascii="Arial" w:hAnsi="Arial" w:cs="Arial"/>
                <w:sz w:val="18"/>
                <w:szCs w:val="18"/>
              </w:rPr>
            </w:pPr>
            <w:r>
              <w:rPr>
                <w:rFonts w:ascii="Arial" w:hAnsi="Arial" w:cs="Arial"/>
                <w:color w:val="000000"/>
                <w:sz w:val="18"/>
                <w:szCs w:val="18"/>
              </w:rPr>
              <w:t>0.21</w:t>
            </w:r>
          </w:p>
        </w:tc>
      </w:tr>
      <w:tr w:rsidR="0087403F" w14:paraId="65D9A774" w14:textId="77777777" w:rsidTr="00FB7289">
        <w:trPr>
          <w:trHeight w:val="1"/>
        </w:trPr>
        <w:tc>
          <w:tcPr>
            <w:tcW w:w="1252" w:type="dxa"/>
            <w:tcBorders>
              <w:top w:val="single" w:sz="4" w:space="0" w:color="000000"/>
              <w:left w:val="single" w:sz="4" w:space="0" w:color="000000"/>
              <w:bottom w:val="single" w:sz="4" w:space="0" w:color="000000"/>
              <w:right w:val="single" w:sz="4" w:space="0" w:color="000000"/>
            </w:tcBorders>
          </w:tcPr>
          <w:p w14:paraId="607E63FE" w14:textId="77777777" w:rsidR="0087403F" w:rsidRDefault="0087403F" w:rsidP="00FB7289">
            <w:pPr>
              <w:rPr>
                <w:rFonts w:ascii="Arial" w:hAnsi="Arial" w:cs="Arial"/>
                <w:sz w:val="18"/>
                <w:szCs w:val="18"/>
              </w:rPr>
            </w:pPr>
            <w:r>
              <w:rPr>
                <w:rFonts w:ascii="Arial" w:hAnsi="Arial" w:cs="Arial"/>
                <w:sz w:val="18"/>
                <w:szCs w:val="18"/>
              </w:rPr>
              <w:t>No Introgression</w:t>
            </w:r>
          </w:p>
        </w:tc>
        <w:tc>
          <w:tcPr>
            <w:tcW w:w="862" w:type="dxa"/>
            <w:tcBorders>
              <w:top w:val="single" w:sz="4" w:space="0" w:color="000000"/>
              <w:left w:val="single" w:sz="4" w:space="0" w:color="000000"/>
              <w:bottom w:val="single" w:sz="4" w:space="0" w:color="000000"/>
              <w:right w:val="single" w:sz="4" w:space="0" w:color="000000"/>
            </w:tcBorders>
            <w:vAlign w:val="bottom"/>
          </w:tcPr>
          <w:p w14:paraId="6BCEE0F6" w14:textId="77777777" w:rsidR="0087403F" w:rsidRDefault="0087403F" w:rsidP="00FB7289">
            <w:pPr>
              <w:rPr>
                <w:rFonts w:ascii="Arial" w:hAnsi="Arial" w:cs="Arial"/>
                <w:sz w:val="18"/>
                <w:szCs w:val="18"/>
              </w:rPr>
            </w:pPr>
            <w:r>
              <w:rPr>
                <w:rFonts w:ascii="Arial" w:hAnsi="Arial" w:cs="Arial"/>
                <w:color w:val="000000"/>
                <w:sz w:val="18"/>
                <w:szCs w:val="18"/>
              </w:rPr>
              <w:t>95.33</w:t>
            </w:r>
          </w:p>
        </w:tc>
        <w:tc>
          <w:tcPr>
            <w:tcW w:w="862" w:type="dxa"/>
            <w:tcBorders>
              <w:top w:val="single" w:sz="4" w:space="0" w:color="000000"/>
              <w:left w:val="single" w:sz="4" w:space="0" w:color="000000"/>
              <w:bottom w:val="single" w:sz="4" w:space="0" w:color="000000"/>
              <w:right w:val="single" w:sz="4" w:space="0" w:color="000000"/>
            </w:tcBorders>
            <w:vAlign w:val="bottom"/>
          </w:tcPr>
          <w:p w14:paraId="7A992776" w14:textId="77777777" w:rsidR="0087403F" w:rsidRDefault="0087403F" w:rsidP="00FB7289">
            <w:pPr>
              <w:rPr>
                <w:rFonts w:ascii="Arial" w:hAnsi="Arial" w:cs="Arial"/>
                <w:sz w:val="18"/>
                <w:szCs w:val="18"/>
              </w:rPr>
            </w:pPr>
            <w:r>
              <w:rPr>
                <w:rFonts w:ascii="Arial" w:hAnsi="Arial" w:cs="Arial"/>
                <w:color w:val="000000"/>
                <w:sz w:val="18"/>
                <w:szCs w:val="18"/>
              </w:rPr>
              <w:t>95.55</w:t>
            </w:r>
          </w:p>
        </w:tc>
        <w:tc>
          <w:tcPr>
            <w:tcW w:w="862" w:type="dxa"/>
            <w:tcBorders>
              <w:top w:val="single" w:sz="4" w:space="0" w:color="000000"/>
              <w:left w:val="single" w:sz="4" w:space="0" w:color="000000"/>
              <w:bottom w:val="single" w:sz="4" w:space="0" w:color="000000"/>
              <w:right w:val="single" w:sz="4" w:space="0" w:color="000000"/>
            </w:tcBorders>
            <w:vAlign w:val="bottom"/>
          </w:tcPr>
          <w:p w14:paraId="608BE1DC" w14:textId="77777777" w:rsidR="0087403F" w:rsidRDefault="0087403F" w:rsidP="00FB7289">
            <w:pPr>
              <w:rPr>
                <w:rFonts w:ascii="Arial" w:hAnsi="Arial" w:cs="Arial"/>
                <w:sz w:val="18"/>
                <w:szCs w:val="18"/>
              </w:rPr>
            </w:pPr>
            <w:r>
              <w:rPr>
                <w:rFonts w:ascii="Arial" w:hAnsi="Arial" w:cs="Arial"/>
                <w:color w:val="000000"/>
                <w:sz w:val="18"/>
                <w:szCs w:val="18"/>
              </w:rPr>
              <w:t>95.81</w:t>
            </w:r>
          </w:p>
        </w:tc>
        <w:tc>
          <w:tcPr>
            <w:tcW w:w="862" w:type="dxa"/>
            <w:tcBorders>
              <w:top w:val="single" w:sz="4" w:space="0" w:color="000000"/>
              <w:left w:val="single" w:sz="4" w:space="0" w:color="000000"/>
              <w:bottom w:val="single" w:sz="4" w:space="0" w:color="000000"/>
              <w:right w:val="single" w:sz="4" w:space="0" w:color="000000"/>
            </w:tcBorders>
            <w:vAlign w:val="bottom"/>
          </w:tcPr>
          <w:p w14:paraId="7164A8D5" w14:textId="77777777" w:rsidR="0087403F" w:rsidRDefault="0087403F" w:rsidP="00FB7289">
            <w:pPr>
              <w:rPr>
                <w:rFonts w:ascii="Arial" w:hAnsi="Arial" w:cs="Arial"/>
                <w:sz w:val="18"/>
                <w:szCs w:val="18"/>
              </w:rPr>
            </w:pPr>
            <w:r>
              <w:rPr>
                <w:rFonts w:ascii="Arial" w:hAnsi="Arial" w:cs="Arial"/>
                <w:color w:val="000000"/>
                <w:sz w:val="18"/>
                <w:szCs w:val="18"/>
              </w:rPr>
              <w:t>95.44</w:t>
            </w:r>
          </w:p>
        </w:tc>
        <w:tc>
          <w:tcPr>
            <w:tcW w:w="902" w:type="dxa"/>
            <w:tcBorders>
              <w:top w:val="single" w:sz="4" w:space="0" w:color="000000"/>
              <w:left w:val="single" w:sz="4" w:space="0" w:color="000000"/>
              <w:bottom w:val="single" w:sz="4" w:space="0" w:color="000000"/>
              <w:right w:val="single" w:sz="4" w:space="0" w:color="000000"/>
            </w:tcBorders>
            <w:vAlign w:val="bottom"/>
          </w:tcPr>
          <w:p w14:paraId="3DADF382" w14:textId="77777777" w:rsidR="0087403F" w:rsidRDefault="0087403F" w:rsidP="00FB7289">
            <w:pPr>
              <w:spacing w:before="240"/>
              <w:rPr>
                <w:rFonts w:ascii="Arial" w:hAnsi="Arial" w:cs="Arial"/>
                <w:color w:val="000000"/>
                <w:sz w:val="18"/>
                <w:szCs w:val="18"/>
              </w:rPr>
            </w:pPr>
            <w:r>
              <w:rPr>
                <w:rFonts w:ascii="Arial" w:hAnsi="Arial" w:cs="Arial"/>
                <w:color w:val="000000"/>
                <w:sz w:val="18"/>
                <w:szCs w:val="18"/>
              </w:rPr>
              <w:t>95.65</w:t>
            </w:r>
          </w:p>
        </w:tc>
        <w:tc>
          <w:tcPr>
            <w:tcW w:w="902" w:type="dxa"/>
            <w:tcBorders>
              <w:top w:val="single" w:sz="4" w:space="0" w:color="000000"/>
              <w:left w:val="single" w:sz="4" w:space="0" w:color="000000"/>
              <w:bottom w:val="single" w:sz="4" w:space="0" w:color="000000"/>
              <w:right w:val="single" w:sz="4" w:space="0" w:color="000000"/>
            </w:tcBorders>
            <w:vAlign w:val="bottom"/>
          </w:tcPr>
          <w:p w14:paraId="55638D14" w14:textId="77777777" w:rsidR="0087403F" w:rsidRDefault="0087403F" w:rsidP="00FB7289">
            <w:pPr>
              <w:spacing w:before="240"/>
              <w:rPr>
                <w:rFonts w:ascii="Arial" w:hAnsi="Arial" w:cs="Arial"/>
                <w:sz w:val="18"/>
                <w:szCs w:val="18"/>
              </w:rPr>
            </w:pPr>
            <w:r>
              <w:rPr>
                <w:rFonts w:ascii="Arial" w:hAnsi="Arial" w:cs="Arial"/>
                <w:color w:val="000000"/>
                <w:sz w:val="18"/>
                <w:szCs w:val="18"/>
              </w:rPr>
              <w:t>95.37</w:t>
            </w:r>
          </w:p>
        </w:tc>
        <w:tc>
          <w:tcPr>
            <w:tcW w:w="902" w:type="dxa"/>
            <w:tcBorders>
              <w:top w:val="single" w:sz="4" w:space="0" w:color="000000"/>
              <w:left w:val="single" w:sz="4" w:space="0" w:color="000000"/>
              <w:bottom w:val="single" w:sz="4" w:space="0" w:color="000000"/>
              <w:right w:val="single" w:sz="4" w:space="0" w:color="000000"/>
            </w:tcBorders>
            <w:vAlign w:val="bottom"/>
          </w:tcPr>
          <w:p w14:paraId="672823B6" w14:textId="77777777" w:rsidR="0087403F" w:rsidRDefault="0087403F" w:rsidP="00FB7289">
            <w:pPr>
              <w:rPr>
                <w:rFonts w:ascii="Arial" w:hAnsi="Arial" w:cs="Arial"/>
                <w:sz w:val="18"/>
                <w:szCs w:val="18"/>
              </w:rPr>
            </w:pPr>
            <w:r>
              <w:rPr>
                <w:rFonts w:ascii="Arial" w:hAnsi="Arial" w:cs="Arial"/>
                <w:color w:val="000000"/>
                <w:sz w:val="18"/>
                <w:szCs w:val="18"/>
              </w:rPr>
              <w:t>95.55</w:t>
            </w:r>
          </w:p>
        </w:tc>
        <w:tc>
          <w:tcPr>
            <w:tcW w:w="902" w:type="dxa"/>
            <w:tcBorders>
              <w:top w:val="single" w:sz="4" w:space="0" w:color="000000"/>
              <w:left w:val="single" w:sz="4" w:space="0" w:color="000000"/>
              <w:bottom w:val="single" w:sz="4" w:space="0" w:color="000000"/>
              <w:right w:val="single" w:sz="4" w:space="0" w:color="000000"/>
            </w:tcBorders>
            <w:vAlign w:val="bottom"/>
          </w:tcPr>
          <w:p w14:paraId="09EEE918" w14:textId="77777777" w:rsidR="0087403F" w:rsidRDefault="0087403F" w:rsidP="00FB7289">
            <w:pPr>
              <w:rPr>
                <w:rFonts w:ascii="Arial" w:hAnsi="Arial" w:cs="Arial"/>
                <w:sz w:val="18"/>
                <w:szCs w:val="18"/>
              </w:rPr>
            </w:pPr>
            <w:r>
              <w:rPr>
                <w:rFonts w:ascii="Arial" w:hAnsi="Arial" w:cs="Arial"/>
                <w:color w:val="000000"/>
                <w:sz w:val="18"/>
                <w:szCs w:val="18"/>
              </w:rPr>
              <w:t>95.32</w:t>
            </w:r>
          </w:p>
        </w:tc>
        <w:tc>
          <w:tcPr>
            <w:tcW w:w="902" w:type="dxa"/>
            <w:tcBorders>
              <w:top w:val="single" w:sz="4" w:space="0" w:color="000000"/>
              <w:left w:val="single" w:sz="4" w:space="0" w:color="000000"/>
              <w:bottom w:val="single" w:sz="4" w:space="0" w:color="000000"/>
              <w:right w:val="single" w:sz="4" w:space="0" w:color="000000"/>
            </w:tcBorders>
            <w:vAlign w:val="bottom"/>
          </w:tcPr>
          <w:p w14:paraId="2D70E761" w14:textId="77777777" w:rsidR="0087403F" w:rsidRDefault="0087403F" w:rsidP="00FB7289">
            <w:pPr>
              <w:rPr>
                <w:rFonts w:ascii="Arial" w:hAnsi="Arial" w:cs="Arial"/>
                <w:sz w:val="18"/>
                <w:szCs w:val="18"/>
              </w:rPr>
            </w:pPr>
            <w:r>
              <w:rPr>
                <w:rFonts w:ascii="Arial" w:hAnsi="Arial" w:cs="Arial"/>
                <w:color w:val="000000"/>
                <w:sz w:val="18"/>
                <w:szCs w:val="18"/>
              </w:rPr>
              <w:t>95.59</w:t>
            </w:r>
          </w:p>
        </w:tc>
        <w:tc>
          <w:tcPr>
            <w:tcW w:w="902" w:type="dxa"/>
            <w:tcBorders>
              <w:top w:val="single" w:sz="4" w:space="0" w:color="000000"/>
              <w:left w:val="single" w:sz="4" w:space="0" w:color="000000"/>
              <w:bottom w:val="single" w:sz="4" w:space="0" w:color="000000"/>
              <w:right w:val="single" w:sz="4" w:space="0" w:color="000000"/>
            </w:tcBorders>
            <w:vAlign w:val="bottom"/>
          </w:tcPr>
          <w:p w14:paraId="5F694DC7" w14:textId="77777777" w:rsidR="0087403F" w:rsidRDefault="0087403F" w:rsidP="00FB7289">
            <w:pPr>
              <w:rPr>
                <w:rFonts w:ascii="Arial" w:hAnsi="Arial" w:cs="Arial"/>
                <w:sz w:val="18"/>
                <w:szCs w:val="18"/>
              </w:rPr>
            </w:pPr>
            <w:r>
              <w:rPr>
                <w:rFonts w:ascii="Arial" w:hAnsi="Arial" w:cs="Arial"/>
                <w:color w:val="000000"/>
                <w:sz w:val="18"/>
                <w:szCs w:val="18"/>
              </w:rPr>
              <w:t>95.43</w:t>
            </w:r>
          </w:p>
        </w:tc>
      </w:tr>
    </w:tbl>
    <w:p w14:paraId="69F9F703" w14:textId="77777777" w:rsidR="0087403F" w:rsidRDefault="0087403F" w:rsidP="0018163A">
      <w:pPr>
        <w:rPr>
          <w:rFonts w:ascii="Arial" w:hAnsi="Arial" w:cs="Arial"/>
          <w:sz w:val="20"/>
        </w:rPr>
      </w:pPr>
    </w:p>
    <w:p w14:paraId="3586212E" w14:textId="77777777" w:rsidR="0087403F" w:rsidRDefault="0087403F" w:rsidP="0018163A">
      <w:pPr>
        <w:rPr>
          <w:rFonts w:ascii="Arial" w:hAnsi="Arial" w:cs="Arial"/>
          <w:sz w:val="20"/>
        </w:rPr>
      </w:pPr>
      <w:r>
        <w:rPr>
          <w:rFonts w:ascii="Arial" w:hAnsi="Arial" w:cs="Arial"/>
          <w:sz w:val="20"/>
        </w:rPr>
        <w:t>*Blue/Sei: Blue – Sei whale ancestor and the gene flow is nondirectional.</w:t>
      </w:r>
    </w:p>
    <w:p w14:paraId="75B3BB8C" w14:textId="77777777" w:rsidR="0087403F" w:rsidRDefault="0087403F" w:rsidP="008B248E">
      <w:pPr>
        <w:rPr>
          <w:rFonts w:ascii="Arial" w:hAnsi="Arial" w:cs="Arial"/>
          <w:sz w:val="20"/>
        </w:rPr>
      </w:pPr>
      <w:r>
        <w:rPr>
          <w:rFonts w:ascii="Arial" w:hAnsi="Arial" w:cs="Arial"/>
          <w:sz w:val="20"/>
        </w:rPr>
        <w:t>**NA: not enough ABBA or BABA sites</w:t>
      </w:r>
    </w:p>
    <w:p w14:paraId="0B2EE1E6" w14:textId="77777777" w:rsidR="0087403F" w:rsidRDefault="0087403F" w:rsidP="008B248E">
      <w:pPr>
        <w:rPr>
          <w:rFonts w:ascii="Arial" w:hAnsi="Arial" w:cs="Arial"/>
          <w:sz w:val="20"/>
        </w:rPr>
      </w:pPr>
    </w:p>
    <w:p w14:paraId="209CE7BC" w14:textId="77777777" w:rsidR="0087403F" w:rsidRDefault="0087403F" w:rsidP="00D57907">
      <w:pPr>
        <w:spacing w:line="360" w:lineRule="auto"/>
        <w:rPr>
          <w:rFonts w:ascii="Arial" w:hAnsi="Arial" w:cs="Arial"/>
          <w:b/>
          <w:bCs/>
        </w:rPr>
      </w:pPr>
      <w:r w:rsidRPr="00594EAD">
        <w:rPr>
          <w:rFonts w:ascii="Arial" w:hAnsi="Arial" w:cs="Arial"/>
          <w:b/>
          <w:bCs/>
        </w:rPr>
        <w:t>SI References</w:t>
      </w:r>
    </w:p>
    <w:p w14:paraId="3E72CD19" w14:textId="77777777" w:rsidR="0087403F" w:rsidRPr="00064A6F" w:rsidRDefault="0087403F" w:rsidP="00E131EA">
      <w:pPr>
        <w:suppressAutoHyphens w:val="0"/>
        <w:spacing w:line="360" w:lineRule="auto"/>
        <w:rPr>
          <w:rFonts w:ascii="Arial" w:hAnsi="Arial" w:cs="Arial"/>
          <w:lang w:val="en-CA"/>
        </w:rPr>
      </w:pPr>
      <w:r w:rsidRPr="00064A6F">
        <w:rPr>
          <w:rFonts w:ascii="Arial" w:hAnsi="Arial" w:cs="Arial"/>
          <w:lang w:val="en-CA"/>
        </w:rPr>
        <w:t xml:space="preserve">Bolger, A. M., Lohse, M., &amp; </w:t>
      </w:r>
      <w:proofErr w:type="spellStart"/>
      <w:r w:rsidRPr="00064A6F">
        <w:rPr>
          <w:rFonts w:ascii="Arial" w:hAnsi="Arial" w:cs="Arial"/>
          <w:lang w:val="en-CA"/>
        </w:rPr>
        <w:t>Usadel</w:t>
      </w:r>
      <w:proofErr w:type="spellEnd"/>
      <w:r w:rsidRPr="00064A6F">
        <w:rPr>
          <w:rFonts w:ascii="Arial" w:hAnsi="Arial" w:cs="Arial"/>
          <w:lang w:val="en-CA"/>
        </w:rPr>
        <w:t xml:space="preserve">, B. (2014). </w:t>
      </w:r>
      <w:proofErr w:type="spellStart"/>
      <w:r w:rsidRPr="00064A6F">
        <w:rPr>
          <w:rFonts w:ascii="Arial" w:hAnsi="Arial" w:cs="Arial"/>
          <w:lang w:val="en-CA"/>
        </w:rPr>
        <w:t>Trimmomatic</w:t>
      </w:r>
      <w:proofErr w:type="spellEnd"/>
      <w:r w:rsidRPr="00064A6F">
        <w:rPr>
          <w:rFonts w:ascii="Arial" w:hAnsi="Arial" w:cs="Arial"/>
          <w:lang w:val="en-CA"/>
        </w:rPr>
        <w:t>: a flexible trimmer for Illumina sequence data. Bioinformatics, 30, 2114-2120.</w:t>
      </w:r>
    </w:p>
    <w:p w14:paraId="5532FB97" w14:textId="77777777" w:rsidR="0087403F" w:rsidRDefault="0087403F" w:rsidP="00E131EA">
      <w:pPr>
        <w:suppressAutoHyphens w:val="0"/>
        <w:spacing w:line="360" w:lineRule="auto"/>
        <w:rPr>
          <w:rFonts w:ascii="Arial" w:hAnsi="Arial" w:cs="Arial"/>
          <w:lang w:val="en-CA"/>
        </w:rPr>
      </w:pPr>
    </w:p>
    <w:p w14:paraId="1FEAC2F3" w14:textId="77777777" w:rsidR="0087403F" w:rsidRPr="00064A6F" w:rsidRDefault="0087403F" w:rsidP="00E131EA">
      <w:pPr>
        <w:suppressAutoHyphens w:val="0"/>
        <w:spacing w:line="360" w:lineRule="auto"/>
        <w:rPr>
          <w:rFonts w:ascii="Arial" w:hAnsi="Arial" w:cs="Arial"/>
          <w:lang w:val="en-CA"/>
        </w:rPr>
      </w:pPr>
      <w:proofErr w:type="spellStart"/>
      <w:r w:rsidRPr="00064A6F">
        <w:rPr>
          <w:rFonts w:ascii="Arial" w:hAnsi="Arial" w:cs="Arial"/>
          <w:lang w:val="en-CA"/>
        </w:rPr>
        <w:t>DePristo</w:t>
      </w:r>
      <w:proofErr w:type="spellEnd"/>
      <w:r w:rsidRPr="00064A6F">
        <w:rPr>
          <w:rFonts w:ascii="Arial" w:hAnsi="Arial" w:cs="Arial"/>
          <w:lang w:val="en-CA"/>
        </w:rPr>
        <w:t xml:space="preserve">, M. A., Banks, E., Poplin, R., </w:t>
      </w:r>
      <w:proofErr w:type="spellStart"/>
      <w:r w:rsidRPr="00064A6F">
        <w:rPr>
          <w:rFonts w:ascii="Arial" w:hAnsi="Arial" w:cs="Arial"/>
          <w:lang w:val="en-CA"/>
        </w:rPr>
        <w:t>Garimella</w:t>
      </w:r>
      <w:proofErr w:type="spellEnd"/>
      <w:r w:rsidRPr="00064A6F">
        <w:rPr>
          <w:rFonts w:ascii="Arial" w:hAnsi="Arial" w:cs="Arial"/>
          <w:lang w:val="en-CA"/>
        </w:rPr>
        <w:t xml:space="preserve">, K. V., Maguire, J. R., </w:t>
      </w:r>
      <w:proofErr w:type="spellStart"/>
      <w:r w:rsidRPr="00064A6F">
        <w:rPr>
          <w:rFonts w:ascii="Arial" w:hAnsi="Arial" w:cs="Arial"/>
          <w:lang w:val="en-CA"/>
        </w:rPr>
        <w:t>Hartl</w:t>
      </w:r>
      <w:proofErr w:type="spellEnd"/>
      <w:r w:rsidRPr="00064A6F">
        <w:rPr>
          <w:rFonts w:ascii="Arial" w:hAnsi="Arial" w:cs="Arial"/>
          <w:lang w:val="en-CA"/>
        </w:rPr>
        <w:t>, C., ... &amp; Daly, M. J. (2011). A framework for variation discovery and genotyping using next-generation DNA sequencing data. Nature genetics, 43(5), 491-498.</w:t>
      </w:r>
    </w:p>
    <w:p w14:paraId="0C4597C2" w14:textId="77777777" w:rsidR="0087403F" w:rsidRDefault="0087403F" w:rsidP="007C7863">
      <w:pPr>
        <w:spacing w:line="360" w:lineRule="auto"/>
        <w:rPr>
          <w:rFonts w:ascii="Arial" w:hAnsi="Arial" w:cs="Arial"/>
          <w:lang w:val="en-CA"/>
        </w:rPr>
      </w:pPr>
    </w:p>
    <w:p w14:paraId="64DB98C8" w14:textId="77777777" w:rsidR="0087403F" w:rsidRPr="00064A6F" w:rsidRDefault="0087403F" w:rsidP="00E131EA">
      <w:pPr>
        <w:suppressAutoHyphens w:val="0"/>
        <w:spacing w:line="360" w:lineRule="auto"/>
        <w:rPr>
          <w:rFonts w:ascii="Arial" w:hAnsi="Arial" w:cs="Arial"/>
          <w:lang w:val="en-CA"/>
        </w:rPr>
      </w:pPr>
      <w:r w:rsidRPr="00064A6F">
        <w:rPr>
          <w:rFonts w:ascii="Arial" w:hAnsi="Arial" w:cs="Arial"/>
          <w:lang w:val="en-CA"/>
        </w:rPr>
        <w:t xml:space="preserve">Fortes, G. G., &amp; </w:t>
      </w:r>
      <w:proofErr w:type="spellStart"/>
      <w:r w:rsidRPr="00064A6F">
        <w:rPr>
          <w:rFonts w:ascii="Arial" w:hAnsi="Arial" w:cs="Arial"/>
          <w:lang w:val="en-CA"/>
        </w:rPr>
        <w:t>Paijmans</w:t>
      </w:r>
      <w:proofErr w:type="spellEnd"/>
      <w:r w:rsidRPr="00064A6F">
        <w:rPr>
          <w:rFonts w:ascii="Arial" w:hAnsi="Arial" w:cs="Arial"/>
          <w:lang w:val="en-CA"/>
        </w:rPr>
        <w:t xml:space="preserve">, J. L. (2015). Analysis of whole mitogenomes from ancient samples. In Whole genome amplification (pp. 179-195). </w:t>
      </w:r>
      <w:smartTag w:uri="urn:schemas-microsoft-com:office:smarttags" w:element="place">
        <w:smartTag w:uri="urn:schemas-microsoft-com:office:smarttags" w:element="place">
          <w:r w:rsidRPr="00064A6F">
            <w:rPr>
              <w:rFonts w:ascii="Arial" w:hAnsi="Arial" w:cs="Arial"/>
              <w:lang w:val="en-CA"/>
            </w:rPr>
            <w:t>Humana Press</w:t>
          </w:r>
        </w:smartTag>
        <w:r w:rsidRPr="00064A6F">
          <w:rPr>
            <w:rFonts w:ascii="Arial" w:hAnsi="Arial" w:cs="Arial"/>
            <w:lang w:val="en-CA"/>
          </w:rPr>
          <w:t xml:space="preserve">, </w:t>
        </w:r>
        <w:smartTag w:uri="urn:schemas-microsoft-com:office:smarttags" w:element="place">
          <w:r w:rsidRPr="00064A6F">
            <w:rPr>
              <w:rFonts w:ascii="Arial" w:hAnsi="Arial" w:cs="Arial"/>
              <w:lang w:val="en-CA"/>
            </w:rPr>
            <w:t>New York</w:t>
          </w:r>
        </w:smartTag>
        <w:r w:rsidRPr="00064A6F">
          <w:rPr>
            <w:rFonts w:ascii="Arial" w:hAnsi="Arial" w:cs="Arial"/>
            <w:lang w:val="en-CA"/>
          </w:rPr>
          <w:t xml:space="preserve">, </w:t>
        </w:r>
        <w:smartTag w:uri="urn:schemas-microsoft-com:office:smarttags" w:element="place">
          <w:r w:rsidRPr="00064A6F">
            <w:rPr>
              <w:rFonts w:ascii="Arial" w:hAnsi="Arial" w:cs="Arial"/>
              <w:lang w:val="en-CA"/>
            </w:rPr>
            <w:t>NY</w:t>
          </w:r>
        </w:smartTag>
      </w:smartTag>
      <w:r w:rsidRPr="00064A6F">
        <w:rPr>
          <w:rFonts w:ascii="Arial" w:hAnsi="Arial" w:cs="Arial"/>
          <w:lang w:val="en-CA"/>
        </w:rPr>
        <w:t>.</w:t>
      </w:r>
    </w:p>
    <w:p w14:paraId="57813068" w14:textId="77777777" w:rsidR="0087403F" w:rsidRDefault="0087403F" w:rsidP="007C7863">
      <w:pPr>
        <w:spacing w:line="360" w:lineRule="auto"/>
        <w:rPr>
          <w:rFonts w:ascii="Arial" w:hAnsi="Arial" w:cs="Arial"/>
          <w:lang w:val="en-CA"/>
        </w:rPr>
      </w:pPr>
    </w:p>
    <w:p w14:paraId="122AFA5F" w14:textId="77777777" w:rsidR="0087403F" w:rsidRDefault="0087403F" w:rsidP="00E131EA">
      <w:pPr>
        <w:spacing w:line="360" w:lineRule="auto"/>
        <w:rPr>
          <w:rFonts w:ascii="Arial" w:hAnsi="Arial" w:cs="Arial"/>
          <w:lang w:val="en-CA"/>
        </w:rPr>
      </w:pPr>
      <w:proofErr w:type="spellStart"/>
      <w:r>
        <w:rPr>
          <w:rFonts w:ascii="Arial" w:hAnsi="Arial" w:cs="Arial"/>
          <w:lang w:val="en-CA"/>
        </w:rPr>
        <w:t>Grabherr</w:t>
      </w:r>
      <w:proofErr w:type="spellEnd"/>
      <w:r>
        <w:rPr>
          <w:rFonts w:ascii="Arial" w:hAnsi="Arial" w:cs="Arial"/>
          <w:lang w:val="en-CA"/>
        </w:rPr>
        <w:t xml:space="preserve">, M. G., Russell, P., Meyer, M., </w:t>
      </w:r>
      <w:proofErr w:type="spellStart"/>
      <w:r>
        <w:rPr>
          <w:rFonts w:ascii="Arial" w:hAnsi="Arial" w:cs="Arial"/>
          <w:lang w:val="en-CA"/>
        </w:rPr>
        <w:t>Mauceli</w:t>
      </w:r>
      <w:proofErr w:type="spellEnd"/>
      <w:r>
        <w:rPr>
          <w:rFonts w:ascii="Arial" w:hAnsi="Arial" w:cs="Arial"/>
          <w:lang w:val="en-CA"/>
        </w:rPr>
        <w:t xml:space="preserve">, E., </w:t>
      </w:r>
      <w:proofErr w:type="spellStart"/>
      <w:r>
        <w:rPr>
          <w:rFonts w:ascii="Arial" w:hAnsi="Arial" w:cs="Arial"/>
          <w:lang w:val="en-CA"/>
        </w:rPr>
        <w:t>Alföldi</w:t>
      </w:r>
      <w:proofErr w:type="spellEnd"/>
      <w:r>
        <w:rPr>
          <w:rFonts w:ascii="Arial" w:hAnsi="Arial" w:cs="Arial"/>
          <w:lang w:val="en-CA"/>
        </w:rPr>
        <w:t xml:space="preserve">, J., </w:t>
      </w:r>
      <w:smartTag w:uri="urn:schemas-microsoft-com:office:smarttags" w:element="place">
        <w:r>
          <w:rPr>
            <w:rFonts w:ascii="Arial" w:hAnsi="Arial" w:cs="Arial"/>
            <w:lang w:val="en-CA"/>
          </w:rPr>
          <w:t>Palma</w:t>
        </w:r>
      </w:smartTag>
      <w:r>
        <w:rPr>
          <w:rFonts w:ascii="Arial" w:hAnsi="Arial" w:cs="Arial"/>
          <w:lang w:val="en-CA"/>
        </w:rPr>
        <w:t>, F. D., &amp; Lindblad-</w:t>
      </w:r>
      <w:proofErr w:type="spellStart"/>
      <w:r>
        <w:rPr>
          <w:rFonts w:ascii="Arial" w:hAnsi="Arial" w:cs="Arial"/>
          <w:lang w:val="en-CA"/>
        </w:rPr>
        <w:t>Toh</w:t>
      </w:r>
      <w:proofErr w:type="spellEnd"/>
      <w:r>
        <w:rPr>
          <w:rFonts w:ascii="Arial" w:hAnsi="Arial" w:cs="Arial"/>
          <w:lang w:val="en-CA"/>
        </w:rPr>
        <w:t xml:space="preserve">, K. (2010). Genome-wide synteny through highly sensitive sequence alignment: Satsuma. </w:t>
      </w:r>
      <w:r w:rsidRPr="00064A6F">
        <w:rPr>
          <w:rFonts w:ascii="Arial" w:hAnsi="Arial" w:cs="Arial"/>
          <w:lang w:val="en-CA"/>
        </w:rPr>
        <w:t>Bioinformatics,</w:t>
      </w:r>
      <w:r>
        <w:rPr>
          <w:rFonts w:ascii="Arial" w:hAnsi="Arial" w:cs="Arial"/>
          <w:lang w:val="en-CA"/>
        </w:rPr>
        <w:t xml:space="preserve"> </w:t>
      </w:r>
      <w:r w:rsidRPr="00064A6F">
        <w:rPr>
          <w:rFonts w:ascii="Arial" w:hAnsi="Arial" w:cs="Arial"/>
          <w:lang w:val="en-CA"/>
        </w:rPr>
        <w:t>26</w:t>
      </w:r>
      <w:r>
        <w:rPr>
          <w:rFonts w:ascii="Arial" w:hAnsi="Arial" w:cs="Arial"/>
          <w:lang w:val="en-CA"/>
        </w:rPr>
        <w:t>, 1145-1151.</w:t>
      </w:r>
    </w:p>
    <w:p w14:paraId="15D3DA44" w14:textId="77777777" w:rsidR="0087403F" w:rsidRDefault="0087403F" w:rsidP="007C7863">
      <w:pPr>
        <w:spacing w:line="360" w:lineRule="auto"/>
        <w:rPr>
          <w:rFonts w:ascii="Arial" w:hAnsi="Arial" w:cs="Arial"/>
          <w:lang w:val="en-CA"/>
        </w:rPr>
      </w:pPr>
    </w:p>
    <w:p w14:paraId="7B692EAD" w14:textId="77777777" w:rsidR="0087403F" w:rsidRDefault="0087403F" w:rsidP="007C7863">
      <w:pPr>
        <w:spacing w:line="360" w:lineRule="auto"/>
        <w:rPr>
          <w:rFonts w:ascii="Arial" w:hAnsi="Arial" w:cs="Arial"/>
          <w:lang w:val="en-CA"/>
        </w:rPr>
      </w:pPr>
      <w:r w:rsidRPr="002F42EF">
        <w:rPr>
          <w:rFonts w:ascii="Arial" w:hAnsi="Arial" w:cs="Arial"/>
          <w:lang w:val="en-CA"/>
        </w:rPr>
        <w:t xml:space="preserve">Korf, </w:t>
      </w:r>
      <w:smartTag w:uri="urn:schemas-microsoft-com:office:smarttags" w:element="place">
        <w:r w:rsidRPr="002F42EF">
          <w:rPr>
            <w:rFonts w:ascii="Arial" w:hAnsi="Arial" w:cs="Arial"/>
            <w:lang w:val="en-CA"/>
          </w:rPr>
          <w:t>I.</w:t>
        </w:r>
      </w:smartTag>
      <w:r w:rsidRPr="002F42EF">
        <w:rPr>
          <w:rFonts w:ascii="Arial" w:hAnsi="Arial" w:cs="Arial"/>
          <w:lang w:val="en-CA"/>
        </w:rPr>
        <w:t xml:space="preserve"> (2004). Gene finding in novel genomes. </w:t>
      </w:r>
      <w:r w:rsidRPr="002F42EF">
        <w:rPr>
          <w:rFonts w:ascii="Arial" w:hAnsi="Arial" w:cs="Arial"/>
          <w:i/>
          <w:iCs/>
          <w:lang w:val="en-CA"/>
        </w:rPr>
        <w:t>BMC Bioinformatics</w:t>
      </w:r>
      <w:r w:rsidRPr="002F42EF">
        <w:rPr>
          <w:rFonts w:ascii="Arial" w:hAnsi="Arial" w:cs="Arial"/>
          <w:lang w:val="en-CA"/>
        </w:rPr>
        <w:t xml:space="preserve">, </w:t>
      </w:r>
      <w:r w:rsidRPr="002F42EF">
        <w:rPr>
          <w:rFonts w:ascii="Arial" w:hAnsi="Arial" w:cs="Arial"/>
          <w:i/>
          <w:iCs/>
          <w:lang w:val="en-CA"/>
        </w:rPr>
        <w:t>5</w:t>
      </w:r>
      <w:r w:rsidRPr="002F42EF">
        <w:rPr>
          <w:rFonts w:ascii="Arial" w:hAnsi="Arial" w:cs="Arial"/>
          <w:lang w:val="en-CA"/>
        </w:rPr>
        <w:t>, 59.</w:t>
      </w:r>
    </w:p>
    <w:p w14:paraId="0D30AA19" w14:textId="77777777" w:rsidR="0087403F" w:rsidRPr="00064A6F" w:rsidRDefault="0087403F" w:rsidP="00064A6F">
      <w:pPr>
        <w:spacing w:line="360" w:lineRule="auto"/>
        <w:rPr>
          <w:rFonts w:ascii="Arial" w:hAnsi="Arial" w:cs="Arial"/>
          <w:lang w:val="en-CA"/>
        </w:rPr>
      </w:pPr>
      <w:r w:rsidRPr="00064A6F">
        <w:rPr>
          <w:rFonts w:ascii="Arial" w:hAnsi="Arial" w:cs="Arial"/>
          <w:lang w:val="en-CA"/>
        </w:rPr>
        <w:t xml:space="preserve">Purcell, S., Neale, B., Todd-Brown, K., Thomas, L., Ferreira, M. A. R., Bender, D., … Sham, P. C., (2007). PLINK: a toolset for whole-genome association and population-based linkage analysis. American Journal of Human Genetics, 81, 559–575. </w:t>
      </w:r>
    </w:p>
    <w:p w14:paraId="1EFA2F51" w14:textId="77777777" w:rsidR="0087403F" w:rsidRDefault="0087403F" w:rsidP="00E131EA">
      <w:pPr>
        <w:suppressAutoHyphens w:val="0"/>
        <w:spacing w:line="360" w:lineRule="auto"/>
        <w:rPr>
          <w:rFonts w:ascii="Arial" w:hAnsi="Arial" w:cs="Arial"/>
          <w:lang w:val="en-CA"/>
        </w:rPr>
      </w:pPr>
    </w:p>
    <w:p w14:paraId="7EF5ECAC" w14:textId="77777777" w:rsidR="0087403F" w:rsidRPr="00064A6F" w:rsidRDefault="0087403F" w:rsidP="00E131EA">
      <w:pPr>
        <w:suppressAutoHyphens w:val="0"/>
        <w:spacing w:line="360" w:lineRule="auto"/>
        <w:rPr>
          <w:rFonts w:ascii="Arial" w:hAnsi="Arial" w:cs="Arial"/>
          <w:lang w:val="en-CA"/>
        </w:rPr>
      </w:pPr>
      <w:r w:rsidRPr="00064A6F">
        <w:rPr>
          <w:rFonts w:ascii="Arial" w:hAnsi="Arial" w:cs="Arial"/>
          <w:lang w:val="en-CA"/>
        </w:rPr>
        <w:lastRenderedPageBreak/>
        <w:t xml:space="preserve">Li, H., </w:t>
      </w:r>
      <w:proofErr w:type="spellStart"/>
      <w:r w:rsidRPr="00064A6F">
        <w:rPr>
          <w:rFonts w:ascii="Arial" w:hAnsi="Arial" w:cs="Arial"/>
          <w:lang w:val="en-CA"/>
        </w:rPr>
        <w:t>Handsaker</w:t>
      </w:r>
      <w:proofErr w:type="spellEnd"/>
      <w:r w:rsidRPr="00064A6F">
        <w:rPr>
          <w:rFonts w:ascii="Arial" w:hAnsi="Arial" w:cs="Arial"/>
          <w:lang w:val="en-CA"/>
        </w:rPr>
        <w:t xml:space="preserve">, B., </w:t>
      </w:r>
      <w:proofErr w:type="spellStart"/>
      <w:r w:rsidRPr="00064A6F">
        <w:rPr>
          <w:rFonts w:ascii="Arial" w:hAnsi="Arial" w:cs="Arial"/>
          <w:lang w:val="en-CA"/>
        </w:rPr>
        <w:t>Wysoker</w:t>
      </w:r>
      <w:proofErr w:type="spellEnd"/>
      <w:r w:rsidRPr="00064A6F">
        <w:rPr>
          <w:rFonts w:ascii="Arial" w:hAnsi="Arial" w:cs="Arial"/>
          <w:lang w:val="en-CA"/>
        </w:rPr>
        <w:t xml:space="preserve">, A., Fennell, T., </w:t>
      </w:r>
      <w:proofErr w:type="spellStart"/>
      <w:r w:rsidRPr="00064A6F">
        <w:rPr>
          <w:rFonts w:ascii="Arial" w:hAnsi="Arial" w:cs="Arial"/>
          <w:lang w:val="en-CA"/>
        </w:rPr>
        <w:t>Ruan</w:t>
      </w:r>
      <w:proofErr w:type="spellEnd"/>
      <w:r w:rsidRPr="00064A6F">
        <w:rPr>
          <w:rFonts w:ascii="Arial" w:hAnsi="Arial" w:cs="Arial"/>
          <w:lang w:val="en-CA"/>
        </w:rPr>
        <w:t xml:space="preserve">, J., Homer, N., ... &amp; Durbin, R. (2009). The sequence alignment/map format and </w:t>
      </w:r>
      <w:proofErr w:type="spellStart"/>
      <w:r w:rsidRPr="00064A6F">
        <w:rPr>
          <w:rFonts w:ascii="Arial" w:hAnsi="Arial" w:cs="Arial"/>
          <w:lang w:val="en-CA"/>
        </w:rPr>
        <w:t>SAMtools</w:t>
      </w:r>
      <w:proofErr w:type="spellEnd"/>
      <w:r w:rsidRPr="00064A6F">
        <w:rPr>
          <w:rFonts w:ascii="Arial" w:hAnsi="Arial" w:cs="Arial"/>
          <w:lang w:val="en-CA"/>
        </w:rPr>
        <w:t>. Bioinformatics, 25(16), 2078-2079.</w:t>
      </w:r>
    </w:p>
    <w:p w14:paraId="3B856FCE" w14:textId="77777777" w:rsidR="0087403F" w:rsidRDefault="0087403F" w:rsidP="007C7863">
      <w:pPr>
        <w:spacing w:line="360" w:lineRule="auto"/>
        <w:rPr>
          <w:rFonts w:ascii="Arial" w:hAnsi="Arial" w:cs="Arial"/>
          <w:lang w:val="en-CA"/>
        </w:rPr>
      </w:pPr>
    </w:p>
    <w:p w14:paraId="091F0C47" w14:textId="77777777" w:rsidR="0087403F" w:rsidRPr="00064A6F" w:rsidRDefault="0087403F" w:rsidP="00E131EA">
      <w:pPr>
        <w:suppressAutoHyphens w:val="0"/>
        <w:spacing w:line="360" w:lineRule="auto"/>
        <w:rPr>
          <w:rFonts w:ascii="Arial" w:hAnsi="Arial" w:cs="Arial"/>
          <w:lang w:val="en-CA"/>
        </w:rPr>
      </w:pPr>
      <w:r w:rsidRPr="00064A6F">
        <w:rPr>
          <w:rFonts w:ascii="Arial" w:hAnsi="Arial" w:cs="Arial"/>
          <w:lang w:val="en-CA"/>
        </w:rPr>
        <w:t xml:space="preserve">Meyer, M., Kircher, M., </w:t>
      </w:r>
      <w:proofErr w:type="spellStart"/>
      <w:r w:rsidRPr="00064A6F">
        <w:rPr>
          <w:rFonts w:ascii="Arial" w:hAnsi="Arial" w:cs="Arial"/>
          <w:lang w:val="en-CA"/>
        </w:rPr>
        <w:t>Gansauge</w:t>
      </w:r>
      <w:proofErr w:type="spellEnd"/>
      <w:r w:rsidRPr="00064A6F">
        <w:rPr>
          <w:rFonts w:ascii="Arial" w:hAnsi="Arial" w:cs="Arial"/>
          <w:lang w:val="en-CA"/>
        </w:rPr>
        <w:t xml:space="preserve">, M. T., Li, H., </w:t>
      </w:r>
      <w:proofErr w:type="spellStart"/>
      <w:r w:rsidRPr="00064A6F">
        <w:rPr>
          <w:rFonts w:ascii="Arial" w:hAnsi="Arial" w:cs="Arial"/>
          <w:lang w:val="en-CA"/>
        </w:rPr>
        <w:t>Racimo</w:t>
      </w:r>
      <w:proofErr w:type="spellEnd"/>
      <w:r w:rsidRPr="00064A6F">
        <w:rPr>
          <w:rFonts w:ascii="Arial" w:hAnsi="Arial" w:cs="Arial"/>
          <w:lang w:val="en-CA"/>
        </w:rPr>
        <w:t xml:space="preserve">, F., Mallick, S., ... &amp; </w:t>
      </w:r>
      <w:proofErr w:type="spellStart"/>
      <w:r w:rsidRPr="00064A6F">
        <w:rPr>
          <w:rFonts w:ascii="Arial" w:hAnsi="Arial" w:cs="Arial"/>
          <w:lang w:val="en-CA"/>
        </w:rPr>
        <w:t>Pääbo</w:t>
      </w:r>
      <w:proofErr w:type="spellEnd"/>
      <w:r w:rsidRPr="00064A6F">
        <w:rPr>
          <w:rFonts w:ascii="Arial" w:hAnsi="Arial" w:cs="Arial"/>
          <w:lang w:val="en-CA"/>
        </w:rPr>
        <w:t>, S. (2012). A high-coverage genome sequence from an archaic Denisovan individual. Science, 338(6104), 222-226.</w:t>
      </w:r>
    </w:p>
    <w:p w14:paraId="0726BC7D" w14:textId="77777777" w:rsidR="0087403F" w:rsidRDefault="0087403F" w:rsidP="00E131EA">
      <w:pPr>
        <w:suppressAutoHyphens w:val="0"/>
        <w:spacing w:line="360" w:lineRule="auto"/>
        <w:rPr>
          <w:rFonts w:ascii="Arial" w:hAnsi="Arial" w:cs="Arial"/>
          <w:lang w:val="en-CA"/>
        </w:rPr>
      </w:pPr>
    </w:p>
    <w:p w14:paraId="7419BFD4" w14:textId="77777777" w:rsidR="0087403F" w:rsidRPr="00064A6F" w:rsidRDefault="0087403F" w:rsidP="00E131EA">
      <w:pPr>
        <w:suppressAutoHyphens w:val="0"/>
        <w:spacing w:line="360" w:lineRule="auto"/>
        <w:rPr>
          <w:rFonts w:ascii="Arial" w:hAnsi="Arial" w:cs="Arial"/>
          <w:lang w:val="en-CA"/>
        </w:rPr>
      </w:pPr>
      <w:proofErr w:type="spellStart"/>
      <w:r w:rsidRPr="00064A6F">
        <w:rPr>
          <w:rFonts w:ascii="Arial" w:hAnsi="Arial" w:cs="Arial"/>
          <w:lang w:val="en-CA"/>
        </w:rPr>
        <w:t>Rohland</w:t>
      </w:r>
      <w:proofErr w:type="spellEnd"/>
      <w:r w:rsidRPr="00064A6F">
        <w:rPr>
          <w:rFonts w:ascii="Arial" w:hAnsi="Arial" w:cs="Arial"/>
          <w:lang w:val="en-CA"/>
        </w:rPr>
        <w:t xml:space="preserve">, N., </w:t>
      </w:r>
      <w:proofErr w:type="spellStart"/>
      <w:r w:rsidRPr="00064A6F">
        <w:rPr>
          <w:rFonts w:ascii="Arial" w:hAnsi="Arial" w:cs="Arial"/>
          <w:lang w:val="en-CA"/>
        </w:rPr>
        <w:t>Glocke</w:t>
      </w:r>
      <w:proofErr w:type="spellEnd"/>
      <w:r w:rsidRPr="00064A6F">
        <w:rPr>
          <w:rFonts w:ascii="Arial" w:hAnsi="Arial" w:cs="Arial"/>
          <w:lang w:val="en-CA"/>
        </w:rPr>
        <w:t xml:space="preserve">, </w:t>
      </w:r>
      <w:smartTag w:uri="urn:schemas-microsoft-com:office:smarttags" w:element="place">
        <w:r w:rsidRPr="00064A6F">
          <w:rPr>
            <w:rFonts w:ascii="Arial" w:hAnsi="Arial" w:cs="Arial"/>
            <w:lang w:val="en-CA"/>
          </w:rPr>
          <w:t>I.</w:t>
        </w:r>
      </w:smartTag>
      <w:r w:rsidRPr="00064A6F">
        <w:rPr>
          <w:rFonts w:ascii="Arial" w:hAnsi="Arial" w:cs="Arial"/>
          <w:lang w:val="en-CA"/>
        </w:rPr>
        <w:t xml:space="preserve">, </w:t>
      </w:r>
      <w:proofErr w:type="spellStart"/>
      <w:r w:rsidRPr="00064A6F">
        <w:rPr>
          <w:rFonts w:ascii="Arial" w:hAnsi="Arial" w:cs="Arial"/>
          <w:lang w:val="en-CA"/>
        </w:rPr>
        <w:t>Aximu</w:t>
      </w:r>
      <w:proofErr w:type="spellEnd"/>
      <w:r w:rsidRPr="00064A6F">
        <w:rPr>
          <w:rFonts w:ascii="Arial" w:hAnsi="Arial" w:cs="Arial"/>
          <w:lang w:val="en-CA"/>
        </w:rPr>
        <w:t>-Petri, A., &amp; Meyer, M. (2018). Extraction of highly degraded DNA from ancient bones, teeth and sediments for high-throughput sequencing. Nature protocols, 13(11), 2447-2461.</w:t>
      </w:r>
    </w:p>
    <w:p w14:paraId="1AE11F9B" w14:textId="77777777" w:rsidR="0087403F" w:rsidRDefault="0087403F" w:rsidP="007C7863">
      <w:pPr>
        <w:spacing w:line="360" w:lineRule="auto"/>
        <w:rPr>
          <w:rFonts w:ascii="Arial" w:hAnsi="Arial" w:cs="Arial"/>
          <w:lang w:val="en-CA"/>
        </w:rPr>
      </w:pPr>
    </w:p>
    <w:p w14:paraId="49862CE3" w14:textId="77777777" w:rsidR="0087403F" w:rsidRPr="002F42EF" w:rsidRDefault="0087403F" w:rsidP="007C7863">
      <w:pPr>
        <w:spacing w:line="360" w:lineRule="auto"/>
        <w:rPr>
          <w:rFonts w:ascii="Arial" w:hAnsi="Arial" w:cs="Arial"/>
        </w:rPr>
      </w:pPr>
      <w:proofErr w:type="spellStart"/>
      <w:r w:rsidRPr="002F42EF">
        <w:rPr>
          <w:rFonts w:ascii="Arial" w:hAnsi="Arial" w:cs="Arial"/>
          <w:lang w:val="en-CA"/>
        </w:rPr>
        <w:t>Stanke</w:t>
      </w:r>
      <w:proofErr w:type="spellEnd"/>
      <w:r w:rsidRPr="002F42EF">
        <w:rPr>
          <w:rFonts w:ascii="Arial" w:hAnsi="Arial" w:cs="Arial"/>
          <w:lang w:val="en-CA"/>
        </w:rPr>
        <w:t xml:space="preserve">, M., </w:t>
      </w:r>
      <w:proofErr w:type="spellStart"/>
      <w:r w:rsidRPr="002F42EF">
        <w:rPr>
          <w:rFonts w:ascii="Arial" w:hAnsi="Arial" w:cs="Arial"/>
          <w:lang w:val="en-CA"/>
        </w:rPr>
        <w:t>Diekhans</w:t>
      </w:r>
      <w:proofErr w:type="spellEnd"/>
      <w:r w:rsidRPr="002F42EF">
        <w:rPr>
          <w:rFonts w:ascii="Arial" w:hAnsi="Arial" w:cs="Arial"/>
          <w:lang w:val="en-CA"/>
        </w:rPr>
        <w:t xml:space="preserve">, M., </w:t>
      </w:r>
      <w:proofErr w:type="spellStart"/>
      <w:r w:rsidRPr="002F42EF">
        <w:rPr>
          <w:rFonts w:ascii="Arial" w:hAnsi="Arial" w:cs="Arial"/>
          <w:lang w:val="en-CA"/>
        </w:rPr>
        <w:t>Baertsch</w:t>
      </w:r>
      <w:proofErr w:type="spellEnd"/>
      <w:r w:rsidRPr="002F42EF">
        <w:rPr>
          <w:rFonts w:ascii="Arial" w:hAnsi="Arial" w:cs="Arial"/>
          <w:lang w:val="en-CA"/>
        </w:rPr>
        <w:t xml:space="preserve">, R. &amp; Haussler, D. (2008). Using native and </w:t>
      </w:r>
      <w:proofErr w:type="spellStart"/>
      <w:r w:rsidRPr="002F42EF">
        <w:rPr>
          <w:rFonts w:ascii="Arial" w:hAnsi="Arial" w:cs="Arial"/>
          <w:lang w:val="en-CA"/>
        </w:rPr>
        <w:t>syntenically</w:t>
      </w:r>
      <w:proofErr w:type="spellEnd"/>
      <w:r w:rsidRPr="002F42EF">
        <w:rPr>
          <w:rFonts w:ascii="Arial" w:hAnsi="Arial" w:cs="Arial"/>
          <w:lang w:val="en-CA"/>
        </w:rPr>
        <w:t xml:space="preserve"> mapped cDNA alignments to improve de novo gene finding. </w:t>
      </w:r>
      <w:r w:rsidRPr="002F42EF">
        <w:rPr>
          <w:rFonts w:ascii="Arial" w:hAnsi="Arial" w:cs="Arial"/>
          <w:i/>
          <w:iCs/>
          <w:lang w:val="nb-NO"/>
        </w:rPr>
        <w:t>Bioinformatics</w:t>
      </w:r>
      <w:r w:rsidRPr="002F42EF">
        <w:rPr>
          <w:rFonts w:ascii="Arial" w:hAnsi="Arial" w:cs="Arial"/>
          <w:lang w:val="nb-NO"/>
        </w:rPr>
        <w:t xml:space="preserve">, </w:t>
      </w:r>
      <w:r w:rsidRPr="002F42EF">
        <w:rPr>
          <w:rFonts w:ascii="Arial" w:hAnsi="Arial" w:cs="Arial"/>
          <w:i/>
          <w:iCs/>
          <w:lang w:val="nb-NO"/>
        </w:rPr>
        <w:t>24</w:t>
      </w:r>
      <w:r w:rsidRPr="002F42EF">
        <w:rPr>
          <w:rFonts w:ascii="Arial" w:hAnsi="Arial" w:cs="Arial"/>
          <w:lang w:val="nb-NO"/>
        </w:rPr>
        <w:t xml:space="preserve">, 637–644. </w:t>
      </w:r>
    </w:p>
    <w:p w14:paraId="3B74E76B" w14:textId="77777777" w:rsidR="0087403F" w:rsidRDefault="0087403F" w:rsidP="002F42EF">
      <w:pPr>
        <w:spacing w:line="360" w:lineRule="auto"/>
        <w:rPr>
          <w:rFonts w:ascii="Arial" w:hAnsi="Arial" w:cs="Arial"/>
          <w:lang w:val="en-CA"/>
        </w:rPr>
      </w:pPr>
    </w:p>
    <w:p w14:paraId="0EDEBD61" w14:textId="77777777" w:rsidR="0087403F" w:rsidRPr="002F42EF" w:rsidRDefault="0087403F" w:rsidP="002F42EF">
      <w:pPr>
        <w:spacing w:line="360" w:lineRule="auto"/>
        <w:rPr>
          <w:rFonts w:ascii="Arial" w:hAnsi="Arial" w:cs="Arial"/>
        </w:rPr>
      </w:pPr>
      <w:r w:rsidRPr="002F42EF">
        <w:rPr>
          <w:rFonts w:ascii="Arial" w:hAnsi="Arial" w:cs="Arial"/>
          <w:lang w:val="en-CA"/>
        </w:rPr>
        <w:t xml:space="preserve">Walker, B. J., </w:t>
      </w:r>
      <w:proofErr w:type="spellStart"/>
      <w:r w:rsidRPr="002F42EF">
        <w:rPr>
          <w:rFonts w:ascii="Arial" w:hAnsi="Arial" w:cs="Arial"/>
          <w:lang w:val="en-CA"/>
        </w:rPr>
        <w:t>Abeel</w:t>
      </w:r>
      <w:proofErr w:type="spellEnd"/>
      <w:r w:rsidRPr="002F42EF">
        <w:rPr>
          <w:rFonts w:ascii="Arial" w:hAnsi="Arial" w:cs="Arial"/>
          <w:lang w:val="en-CA"/>
        </w:rPr>
        <w:t xml:space="preserve">, T., Shea, T., Priest, M., </w:t>
      </w:r>
      <w:proofErr w:type="spellStart"/>
      <w:r w:rsidRPr="002F42EF">
        <w:rPr>
          <w:rFonts w:ascii="Arial" w:hAnsi="Arial" w:cs="Arial"/>
          <w:lang w:val="en-CA"/>
        </w:rPr>
        <w:t>Abouelliel</w:t>
      </w:r>
      <w:proofErr w:type="spellEnd"/>
      <w:r w:rsidRPr="002F42EF">
        <w:rPr>
          <w:rFonts w:ascii="Arial" w:hAnsi="Arial" w:cs="Arial"/>
          <w:lang w:val="en-CA"/>
        </w:rPr>
        <w:t xml:space="preserve">, A., </w:t>
      </w:r>
      <w:proofErr w:type="spellStart"/>
      <w:r w:rsidRPr="002F42EF">
        <w:rPr>
          <w:rFonts w:ascii="Arial" w:hAnsi="Arial" w:cs="Arial"/>
          <w:lang w:val="en-CA"/>
        </w:rPr>
        <w:t>Sakthikumar</w:t>
      </w:r>
      <w:proofErr w:type="spellEnd"/>
      <w:r w:rsidRPr="002F42EF">
        <w:rPr>
          <w:rFonts w:ascii="Arial" w:hAnsi="Arial" w:cs="Arial"/>
          <w:lang w:val="en-CA"/>
        </w:rPr>
        <w:t xml:space="preserve">, S., ... Earl, A. M. (2014). Pilon: an integrated tool for comprehensive microbial variant detection and genome assembly improvement. </w:t>
      </w:r>
      <w:proofErr w:type="spellStart"/>
      <w:r w:rsidRPr="002F42EF">
        <w:rPr>
          <w:rFonts w:ascii="Arial" w:hAnsi="Arial" w:cs="Arial"/>
          <w:i/>
          <w:iCs/>
          <w:lang w:val="en-CA"/>
        </w:rPr>
        <w:t>PLoS</w:t>
      </w:r>
      <w:proofErr w:type="spellEnd"/>
      <w:r w:rsidRPr="002F42EF">
        <w:rPr>
          <w:rFonts w:ascii="Arial" w:hAnsi="Arial" w:cs="Arial"/>
          <w:i/>
          <w:iCs/>
          <w:lang w:val="en-CA"/>
        </w:rPr>
        <w:t xml:space="preserve"> One,</w:t>
      </w:r>
      <w:r w:rsidRPr="002F42EF">
        <w:rPr>
          <w:rFonts w:ascii="Arial" w:hAnsi="Arial" w:cs="Arial"/>
          <w:lang w:val="en-CA"/>
        </w:rPr>
        <w:t xml:space="preserve"> </w:t>
      </w:r>
      <w:r w:rsidRPr="002F42EF">
        <w:rPr>
          <w:rFonts w:ascii="Arial" w:hAnsi="Arial" w:cs="Arial"/>
          <w:i/>
          <w:iCs/>
          <w:lang w:val="en-CA"/>
        </w:rPr>
        <w:t>9</w:t>
      </w:r>
      <w:r w:rsidRPr="002F42EF">
        <w:rPr>
          <w:rFonts w:ascii="Arial" w:hAnsi="Arial" w:cs="Arial"/>
          <w:lang w:val="en-CA"/>
        </w:rPr>
        <w:t xml:space="preserve">, e112963. </w:t>
      </w:r>
    </w:p>
    <w:sectPr w:rsidR="0087403F" w:rsidRPr="002F42EF" w:rsidSect="00EA5846">
      <w:pgSz w:w="12240" w:h="15840"/>
      <w:pgMar w:top="1134" w:right="1134" w:bottom="1134" w:left="1134" w:header="0" w:footer="0" w:gutter="0"/>
      <w:lnNumType w:countBy="1" w:distance="288" w:restart="continuous"/>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48E"/>
    <w:rsid w:val="00000E28"/>
    <w:rsid w:val="00064A6F"/>
    <w:rsid w:val="0018163A"/>
    <w:rsid w:val="001F1542"/>
    <w:rsid w:val="001F7818"/>
    <w:rsid w:val="0020052B"/>
    <w:rsid w:val="00204244"/>
    <w:rsid w:val="00204EE7"/>
    <w:rsid w:val="002C3C86"/>
    <w:rsid w:val="002F0990"/>
    <w:rsid w:val="002F42EF"/>
    <w:rsid w:val="003143C4"/>
    <w:rsid w:val="0036101E"/>
    <w:rsid w:val="00383944"/>
    <w:rsid w:val="00392830"/>
    <w:rsid w:val="003B62E3"/>
    <w:rsid w:val="00400CDF"/>
    <w:rsid w:val="0047540E"/>
    <w:rsid w:val="004C0901"/>
    <w:rsid w:val="00594EAD"/>
    <w:rsid w:val="005F36A3"/>
    <w:rsid w:val="00692EC3"/>
    <w:rsid w:val="007473AA"/>
    <w:rsid w:val="007521DF"/>
    <w:rsid w:val="00755E71"/>
    <w:rsid w:val="007868B1"/>
    <w:rsid w:val="007C7863"/>
    <w:rsid w:val="007D38FA"/>
    <w:rsid w:val="00841D4D"/>
    <w:rsid w:val="0087403F"/>
    <w:rsid w:val="0087568E"/>
    <w:rsid w:val="00893A86"/>
    <w:rsid w:val="008B248E"/>
    <w:rsid w:val="00916A89"/>
    <w:rsid w:val="009D3A88"/>
    <w:rsid w:val="00A3771F"/>
    <w:rsid w:val="00B459C4"/>
    <w:rsid w:val="00B56A5E"/>
    <w:rsid w:val="00C435C1"/>
    <w:rsid w:val="00C6149C"/>
    <w:rsid w:val="00CC26F5"/>
    <w:rsid w:val="00CD0FC4"/>
    <w:rsid w:val="00D06412"/>
    <w:rsid w:val="00D154AE"/>
    <w:rsid w:val="00D240CB"/>
    <w:rsid w:val="00D57907"/>
    <w:rsid w:val="00D57BD4"/>
    <w:rsid w:val="00DE7CCC"/>
    <w:rsid w:val="00E131EA"/>
    <w:rsid w:val="00EA5846"/>
    <w:rsid w:val="00ED25D6"/>
    <w:rsid w:val="00EE3E6F"/>
    <w:rsid w:val="00F4454B"/>
    <w:rsid w:val="00FB7289"/>
    <w:rsid w:val="00FD5E4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4:docId w14:val="2177429C"/>
  <w15:docId w15:val="{024F34EC-B7F8-462B-930C-C912E29FF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48E"/>
    <w:pPr>
      <w:suppressAutoHyphens/>
    </w:pPr>
    <w:rPr>
      <w:rFonts w:ascii="Liberation Serif" w:eastAsia="NSimSun" w:hAnsi="Liberation Serif" w:cs="Mangal"/>
      <w:kern w:val="2"/>
      <w:sz w:val="24"/>
      <w:szCs w:val="24"/>
      <w:lang w:val="en-US" w:eastAsia="zh-CN" w:bidi="hi-IN"/>
    </w:rPr>
  </w:style>
  <w:style w:type="paragraph" w:styleId="Heading1">
    <w:name w:val="heading 1"/>
    <w:basedOn w:val="Normal"/>
    <w:next w:val="Normal"/>
    <w:link w:val="Heading1Char"/>
    <w:uiPriority w:val="99"/>
    <w:qFormat/>
    <w:rsid w:val="008B248E"/>
    <w:pPr>
      <w:keepNext/>
      <w:keepLines/>
      <w:spacing w:before="240"/>
      <w:outlineLvl w:val="0"/>
    </w:pPr>
    <w:rPr>
      <w:rFonts w:ascii="Calibri Light" w:eastAsia="Times New Roman" w:hAnsi="Calibri Light"/>
      <w:color w:val="2F5496"/>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B248E"/>
    <w:rPr>
      <w:rFonts w:ascii="Calibri Light" w:hAnsi="Calibri Light" w:cs="Mangal"/>
      <w:color w:val="2F5496"/>
      <w:kern w:val="2"/>
      <w:sz w:val="29"/>
      <w:szCs w:val="29"/>
      <w:lang w:val="en-US" w:eastAsia="zh-CN" w:bidi="hi-IN"/>
    </w:rPr>
  </w:style>
  <w:style w:type="paragraph" w:styleId="ListParagraph">
    <w:name w:val="List Paragraph"/>
    <w:basedOn w:val="Normal"/>
    <w:uiPriority w:val="99"/>
    <w:qFormat/>
    <w:rsid w:val="008B248E"/>
    <w:pPr>
      <w:spacing w:after="160" w:line="259" w:lineRule="auto"/>
      <w:ind w:left="720"/>
      <w:contextualSpacing/>
    </w:pPr>
    <w:rPr>
      <w:lang w:val="en-CA"/>
    </w:rPr>
  </w:style>
  <w:style w:type="paragraph" w:customStyle="1" w:styleId="SMText">
    <w:name w:val="SM Text"/>
    <w:basedOn w:val="Normal"/>
    <w:uiPriority w:val="99"/>
    <w:rsid w:val="008B248E"/>
    <w:pPr>
      <w:ind w:firstLine="480"/>
    </w:pPr>
  </w:style>
  <w:style w:type="paragraph" w:customStyle="1" w:styleId="SMcaption">
    <w:name w:val="SM caption"/>
    <w:basedOn w:val="SMText"/>
    <w:uiPriority w:val="99"/>
    <w:rsid w:val="008B248E"/>
    <w:pPr>
      <w:ind w:firstLine="0"/>
    </w:pPr>
  </w:style>
  <w:style w:type="paragraph" w:customStyle="1" w:styleId="SMHeading">
    <w:name w:val="SM Heading"/>
    <w:basedOn w:val="Heading1"/>
    <w:uiPriority w:val="99"/>
    <w:rsid w:val="008B248E"/>
    <w:pPr>
      <w:keepLines w:val="0"/>
      <w:spacing w:after="60"/>
    </w:pPr>
    <w:rPr>
      <w:rFonts w:ascii="Liberation Serif" w:eastAsia="NSimSun" w:hAnsi="Liberation Serif"/>
      <w:b/>
      <w:bCs/>
      <w:color w:val="auto"/>
      <w:sz w:val="24"/>
      <w:szCs w:val="24"/>
    </w:rPr>
  </w:style>
  <w:style w:type="paragraph" w:customStyle="1" w:styleId="SMSubheading">
    <w:name w:val="SM Subheading"/>
    <w:basedOn w:val="Normal"/>
    <w:uiPriority w:val="99"/>
    <w:rsid w:val="008B248E"/>
    <w:rPr>
      <w:u w:val="single"/>
    </w:rPr>
  </w:style>
  <w:style w:type="character" w:styleId="LineNumber">
    <w:name w:val="line number"/>
    <w:basedOn w:val="DefaultParagraphFont"/>
    <w:uiPriority w:val="99"/>
    <w:semiHidden/>
    <w:rsid w:val="008B248E"/>
    <w:rPr>
      <w:rFonts w:cs="Times New Roman"/>
    </w:rPr>
  </w:style>
  <w:style w:type="character" w:styleId="CommentReference">
    <w:name w:val="annotation reference"/>
    <w:basedOn w:val="DefaultParagraphFont"/>
    <w:uiPriority w:val="99"/>
    <w:rsid w:val="007D38FA"/>
    <w:rPr>
      <w:rFonts w:cs="Times New Roman"/>
      <w:sz w:val="16"/>
      <w:szCs w:val="16"/>
    </w:rPr>
  </w:style>
  <w:style w:type="paragraph" w:styleId="CommentText">
    <w:name w:val="annotation text"/>
    <w:basedOn w:val="Normal"/>
    <w:link w:val="CommentTextChar"/>
    <w:uiPriority w:val="99"/>
    <w:rsid w:val="007D38FA"/>
    <w:rPr>
      <w:sz w:val="20"/>
      <w:szCs w:val="18"/>
    </w:rPr>
  </w:style>
  <w:style w:type="character" w:customStyle="1" w:styleId="CommentTextChar">
    <w:name w:val="Comment Text Char"/>
    <w:basedOn w:val="DefaultParagraphFont"/>
    <w:link w:val="CommentText"/>
    <w:uiPriority w:val="99"/>
    <w:semiHidden/>
    <w:locked/>
    <w:rsid w:val="007D38FA"/>
    <w:rPr>
      <w:rFonts w:ascii="Liberation Serif" w:eastAsia="NSimSun" w:hAnsi="Liberation Serif" w:cs="Mangal"/>
      <w:kern w:val="2"/>
      <w:sz w:val="18"/>
      <w:szCs w:val="18"/>
      <w:lang w:val="en-US" w:eastAsia="zh-CN" w:bidi="hi-IN"/>
    </w:rPr>
  </w:style>
  <w:style w:type="paragraph" w:styleId="CommentSubject">
    <w:name w:val="annotation subject"/>
    <w:basedOn w:val="CommentText"/>
    <w:next w:val="CommentText"/>
    <w:link w:val="CommentSubjectChar"/>
    <w:uiPriority w:val="99"/>
    <w:semiHidden/>
    <w:rsid w:val="007D38FA"/>
    <w:rPr>
      <w:b/>
      <w:bCs/>
    </w:rPr>
  </w:style>
  <w:style w:type="character" w:customStyle="1" w:styleId="CommentSubjectChar">
    <w:name w:val="Comment Subject Char"/>
    <w:basedOn w:val="CommentTextChar"/>
    <w:link w:val="CommentSubject"/>
    <w:uiPriority w:val="99"/>
    <w:semiHidden/>
    <w:locked/>
    <w:rsid w:val="007D38FA"/>
    <w:rPr>
      <w:rFonts w:ascii="Liberation Serif" w:eastAsia="NSimSun" w:hAnsi="Liberation Serif" w:cs="Mangal"/>
      <w:b/>
      <w:bCs/>
      <w:kern w:val="2"/>
      <w:sz w:val="18"/>
      <w:szCs w:val="18"/>
      <w:lang w:val="en-US" w:eastAsia="zh-CN" w:bidi="hi-IN"/>
    </w:rPr>
  </w:style>
  <w:style w:type="paragraph" w:styleId="BalloonText">
    <w:name w:val="Balloon Text"/>
    <w:basedOn w:val="Normal"/>
    <w:link w:val="BalloonTextChar"/>
    <w:uiPriority w:val="99"/>
    <w:semiHidden/>
    <w:rsid w:val="007D38FA"/>
    <w:rPr>
      <w:rFonts w:ascii="Segoe UI" w:hAnsi="Segoe UI"/>
      <w:sz w:val="18"/>
      <w:szCs w:val="16"/>
    </w:rPr>
  </w:style>
  <w:style w:type="character" w:customStyle="1" w:styleId="BalloonTextChar">
    <w:name w:val="Balloon Text Char"/>
    <w:basedOn w:val="DefaultParagraphFont"/>
    <w:link w:val="BalloonText"/>
    <w:uiPriority w:val="99"/>
    <w:semiHidden/>
    <w:locked/>
    <w:rsid w:val="007D38FA"/>
    <w:rPr>
      <w:rFonts w:ascii="Segoe UI" w:eastAsia="NSimSun" w:hAnsi="Segoe UI" w:cs="Mangal"/>
      <w:kern w:val="2"/>
      <w:sz w:val="16"/>
      <w:szCs w:val="16"/>
      <w:lang w:val="en-US" w:eastAsia="zh-CN" w:bidi="hi-IN"/>
    </w:rPr>
  </w:style>
  <w:style w:type="paragraph" w:styleId="Revision">
    <w:name w:val="Revision"/>
    <w:hidden/>
    <w:uiPriority w:val="99"/>
    <w:semiHidden/>
    <w:rsid w:val="005F36A3"/>
    <w:rPr>
      <w:rFonts w:ascii="Liberation Serif" w:eastAsia="NSimSun" w:hAnsi="Liberation Serif" w:cs="Mangal"/>
      <w:kern w:val="2"/>
      <w:sz w:val="24"/>
      <w:szCs w:val="21"/>
      <w:lang w:val="en-US" w:eastAsia="zh-CN" w:bidi="hi-IN"/>
    </w:rPr>
  </w:style>
  <w:style w:type="character" w:styleId="Hyperlink">
    <w:name w:val="Hyperlink"/>
    <w:basedOn w:val="DefaultParagraphFont"/>
    <w:uiPriority w:val="99"/>
    <w:rsid w:val="002F0990"/>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285005">
      <w:marLeft w:val="0"/>
      <w:marRight w:val="0"/>
      <w:marTop w:val="0"/>
      <w:marBottom w:val="0"/>
      <w:divBdr>
        <w:top w:val="none" w:sz="0" w:space="0" w:color="auto"/>
        <w:left w:val="none" w:sz="0" w:space="0" w:color="auto"/>
        <w:bottom w:val="none" w:sz="0" w:space="0" w:color="auto"/>
        <w:right w:val="none" w:sz="0" w:space="0" w:color="auto"/>
      </w:divBdr>
      <w:divsChild>
        <w:div w:id="897285017">
          <w:marLeft w:val="0"/>
          <w:marRight w:val="0"/>
          <w:marTop w:val="0"/>
          <w:marBottom w:val="0"/>
          <w:divBdr>
            <w:top w:val="none" w:sz="0" w:space="0" w:color="auto"/>
            <w:left w:val="none" w:sz="0" w:space="0" w:color="auto"/>
            <w:bottom w:val="none" w:sz="0" w:space="0" w:color="auto"/>
            <w:right w:val="none" w:sz="0" w:space="0" w:color="auto"/>
          </w:divBdr>
        </w:div>
      </w:divsChild>
    </w:div>
    <w:div w:id="897285007">
      <w:marLeft w:val="0"/>
      <w:marRight w:val="0"/>
      <w:marTop w:val="0"/>
      <w:marBottom w:val="0"/>
      <w:divBdr>
        <w:top w:val="none" w:sz="0" w:space="0" w:color="auto"/>
        <w:left w:val="none" w:sz="0" w:space="0" w:color="auto"/>
        <w:bottom w:val="none" w:sz="0" w:space="0" w:color="auto"/>
        <w:right w:val="none" w:sz="0" w:space="0" w:color="auto"/>
      </w:divBdr>
      <w:divsChild>
        <w:div w:id="897285015">
          <w:marLeft w:val="0"/>
          <w:marRight w:val="0"/>
          <w:marTop w:val="0"/>
          <w:marBottom w:val="0"/>
          <w:divBdr>
            <w:top w:val="none" w:sz="0" w:space="0" w:color="auto"/>
            <w:left w:val="none" w:sz="0" w:space="0" w:color="auto"/>
            <w:bottom w:val="none" w:sz="0" w:space="0" w:color="auto"/>
            <w:right w:val="none" w:sz="0" w:space="0" w:color="auto"/>
          </w:divBdr>
        </w:div>
      </w:divsChild>
    </w:div>
    <w:div w:id="897285008">
      <w:marLeft w:val="0"/>
      <w:marRight w:val="0"/>
      <w:marTop w:val="0"/>
      <w:marBottom w:val="0"/>
      <w:divBdr>
        <w:top w:val="none" w:sz="0" w:space="0" w:color="auto"/>
        <w:left w:val="none" w:sz="0" w:space="0" w:color="auto"/>
        <w:bottom w:val="none" w:sz="0" w:space="0" w:color="auto"/>
        <w:right w:val="none" w:sz="0" w:space="0" w:color="auto"/>
      </w:divBdr>
      <w:divsChild>
        <w:div w:id="897285014">
          <w:marLeft w:val="0"/>
          <w:marRight w:val="0"/>
          <w:marTop w:val="0"/>
          <w:marBottom w:val="0"/>
          <w:divBdr>
            <w:top w:val="none" w:sz="0" w:space="0" w:color="auto"/>
            <w:left w:val="none" w:sz="0" w:space="0" w:color="auto"/>
            <w:bottom w:val="none" w:sz="0" w:space="0" w:color="auto"/>
            <w:right w:val="none" w:sz="0" w:space="0" w:color="auto"/>
          </w:divBdr>
        </w:div>
      </w:divsChild>
    </w:div>
    <w:div w:id="897285010">
      <w:marLeft w:val="0"/>
      <w:marRight w:val="0"/>
      <w:marTop w:val="0"/>
      <w:marBottom w:val="0"/>
      <w:divBdr>
        <w:top w:val="none" w:sz="0" w:space="0" w:color="auto"/>
        <w:left w:val="none" w:sz="0" w:space="0" w:color="auto"/>
        <w:bottom w:val="none" w:sz="0" w:space="0" w:color="auto"/>
        <w:right w:val="none" w:sz="0" w:space="0" w:color="auto"/>
      </w:divBdr>
      <w:divsChild>
        <w:div w:id="897285011">
          <w:marLeft w:val="0"/>
          <w:marRight w:val="0"/>
          <w:marTop w:val="0"/>
          <w:marBottom w:val="0"/>
          <w:divBdr>
            <w:top w:val="none" w:sz="0" w:space="0" w:color="auto"/>
            <w:left w:val="none" w:sz="0" w:space="0" w:color="auto"/>
            <w:bottom w:val="none" w:sz="0" w:space="0" w:color="auto"/>
            <w:right w:val="none" w:sz="0" w:space="0" w:color="auto"/>
          </w:divBdr>
        </w:div>
      </w:divsChild>
    </w:div>
    <w:div w:id="897285012">
      <w:marLeft w:val="0"/>
      <w:marRight w:val="0"/>
      <w:marTop w:val="0"/>
      <w:marBottom w:val="0"/>
      <w:divBdr>
        <w:top w:val="none" w:sz="0" w:space="0" w:color="auto"/>
        <w:left w:val="none" w:sz="0" w:space="0" w:color="auto"/>
        <w:bottom w:val="none" w:sz="0" w:space="0" w:color="auto"/>
        <w:right w:val="none" w:sz="0" w:space="0" w:color="auto"/>
      </w:divBdr>
      <w:divsChild>
        <w:div w:id="897285009">
          <w:marLeft w:val="0"/>
          <w:marRight w:val="0"/>
          <w:marTop w:val="0"/>
          <w:marBottom w:val="0"/>
          <w:divBdr>
            <w:top w:val="none" w:sz="0" w:space="0" w:color="auto"/>
            <w:left w:val="none" w:sz="0" w:space="0" w:color="auto"/>
            <w:bottom w:val="none" w:sz="0" w:space="0" w:color="auto"/>
            <w:right w:val="none" w:sz="0" w:space="0" w:color="auto"/>
          </w:divBdr>
        </w:div>
      </w:divsChild>
    </w:div>
    <w:div w:id="897285013">
      <w:marLeft w:val="0"/>
      <w:marRight w:val="0"/>
      <w:marTop w:val="0"/>
      <w:marBottom w:val="0"/>
      <w:divBdr>
        <w:top w:val="none" w:sz="0" w:space="0" w:color="auto"/>
        <w:left w:val="none" w:sz="0" w:space="0" w:color="auto"/>
        <w:bottom w:val="none" w:sz="0" w:space="0" w:color="auto"/>
        <w:right w:val="none" w:sz="0" w:space="0" w:color="auto"/>
      </w:divBdr>
      <w:divsChild>
        <w:div w:id="897285006">
          <w:marLeft w:val="0"/>
          <w:marRight w:val="0"/>
          <w:marTop w:val="0"/>
          <w:marBottom w:val="0"/>
          <w:divBdr>
            <w:top w:val="none" w:sz="0" w:space="0" w:color="auto"/>
            <w:left w:val="none" w:sz="0" w:space="0" w:color="auto"/>
            <w:bottom w:val="none" w:sz="0" w:space="0" w:color="auto"/>
            <w:right w:val="none" w:sz="0" w:space="0" w:color="auto"/>
          </w:divBdr>
        </w:div>
      </w:divsChild>
    </w:div>
    <w:div w:id="897285016">
      <w:marLeft w:val="0"/>
      <w:marRight w:val="0"/>
      <w:marTop w:val="0"/>
      <w:marBottom w:val="0"/>
      <w:divBdr>
        <w:top w:val="none" w:sz="0" w:space="0" w:color="auto"/>
        <w:left w:val="none" w:sz="0" w:space="0" w:color="auto"/>
        <w:bottom w:val="none" w:sz="0" w:space="0" w:color="auto"/>
        <w:right w:val="none" w:sz="0" w:space="0" w:color="auto"/>
      </w:divBdr>
      <w:divsChild>
        <w:div w:id="897285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ithub.com/vcflib/vcfli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Sushma Jossey</dc:creator>
  <cp:keywords/>
  <dc:description/>
  <cp:lastModifiedBy>Sushma Jossey</cp:lastModifiedBy>
  <cp:revision>4</cp:revision>
  <dcterms:created xsi:type="dcterms:W3CDTF">2022-12-20T00:20:00Z</dcterms:created>
  <dcterms:modified xsi:type="dcterms:W3CDTF">2022-12-20T00:37:00Z</dcterms:modified>
</cp:coreProperties>
</file>