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31CA8" w14:textId="77777777" w:rsidR="0011030A" w:rsidRPr="00F94AA7" w:rsidRDefault="00F94AA7" w:rsidP="00F94AA7">
      <w:pPr>
        <w:jc w:val="center"/>
        <w:rPr>
          <w:b/>
          <w:sz w:val="28"/>
        </w:rPr>
      </w:pPr>
      <w:r w:rsidRPr="00F94AA7">
        <w:rPr>
          <w:b/>
          <w:sz w:val="28"/>
        </w:rPr>
        <w:t>Supplementary information for</w:t>
      </w:r>
    </w:p>
    <w:p w14:paraId="13FF3978" w14:textId="77777777" w:rsidR="00F94AA7" w:rsidRPr="0037063E" w:rsidRDefault="00F94AA7" w:rsidP="00F94AA7">
      <w:pPr>
        <w:pStyle w:val="Heading1"/>
        <w:jc w:val="center"/>
        <w:rPr>
          <w:sz w:val="36"/>
        </w:rPr>
      </w:pPr>
      <w:bookmarkStart w:id="0" w:name="_Toc517556848"/>
      <w:r w:rsidRPr="0037063E">
        <w:rPr>
          <w:sz w:val="36"/>
        </w:rPr>
        <w:t>Modeling diffusion processes in the presence of a diffuse layer at charged mineral surfaces. A benchmark exercise.</w:t>
      </w:r>
      <w:bookmarkEnd w:id="0"/>
    </w:p>
    <w:p w14:paraId="414C5B4E" w14:textId="77777777" w:rsidR="00F94AA7" w:rsidRDefault="00F94AA7" w:rsidP="00F94AA7">
      <w:pPr>
        <w:jc w:val="center"/>
      </w:pPr>
      <w:r>
        <w:t>Christophe Tournassat</w:t>
      </w:r>
      <w:r w:rsidRPr="003E69DF">
        <w:rPr>
          <w:vertAlign w:val="superscript"/>
        </w:rPr>
        <w:t>a,b</w:t>
      </w:r>
      <w:r>
        <w:rPr>
          <w:vertAlign w:val="superscript"/>
        </w:rPr>
        <w:t>,c</w:t>
      </w:r>
      <w:r>
        <w:t>, Carl I. Steefel</w:t>
      </w:r>
      <w:r w:rsidRPr="003E69DF">
        <w:rPr>
          <w:vertAlign w:val="superscript"/>
        </w:rPr>
        <w:t>a</w:t>
      </w:r>
    </w:p>
    <w:p w14:paraId="29578758" w14:textId="77777777" w:rsidR="00F94AA7" w:rsidRDefault="00F94AA7" w:rsidP="00F94AA7"/>
    <w:p w14:paraId="1DF003CD" w14:textId="77777777" w:rsidR="00F94AA7" w:rsidRDefault="00F94AA7" w:rsidP="00F94AA7">
      <w:r w:rsidRPr="003E69DF">
        <w:rPr>
          <w:vertAlign w:val="superscript"/>
        </w:rPr>
        <w:t>a</w:t>
      </w:r>
      <w:r>
        <w:t>Lawrence Berkeley National Laboratory, 1 Cyclotron Road, Berkeley, CA 94720, USA</w:t>
      </w:r>
    </w:p>
    <w:p w14:paraId="1BCE983B" w14:textId="77777777" w:rsidR="00F94AA7" w:rsidRPr="00A26663" w:rsidRDefault="00F94AA7" w:rsidP="00F94AA7">
      <w:r w:rsidRPr="00A26663">
        <w:rPr>
          <w:vertAlign w:val="superscript"/>
        </w:rPr>
        <w:t>b</w:t>
      </w:r>
      <w:r>
        <w:t>BRGM, 3 avenue Claude Guillemin, 45060 Orléans, France</w:t>
      </w:r>
    </w:p>
    <w:p w14:paraId="5FB2D138" w14:textId="77777777" w:rsidR="00F94AA7" w:rsidRPr="004A384F" w:rsidRDefault="00F94AA7" w:rsidP="00F94AA7">
      <w:pPr>
        <w:rPr>
          <w:lang w:val="fr-FR"/>
        </w:rPr>
      </w:pPr>
      <w:r>
        <w:rPr>
          <w:vertAlign w:val="superscript"/>
          <w:lang w:val="fr-FR"/>
        </w:rPr>
        <w:t>c</w:t>
      </w:r>
      <w:r w:rsidRPr="004A384F">
        <w:rPr>
          <w:lang w:val="fr-FR"/>
        </w:rPr>
        <w:t>Université d’Orléans – CNRS/INSU – BRGM, UMR 7327 Institut des Sciences de la Terre d’Orléans, 45071 Orléans, France</w:t>
      </w:r>
      <w:r w:rsidRPr="004A384F">
        <w:rPr>
          <w:vertAlign w:val="superscript"/>
          <w:lang w:val="fr-FR"/>
        </w:rPr>
        <w:t xml:space="preserve"> </w:t>
      </w:r>
    </w:p>
    <w:p w14:paraId="6A113D9D" w14:textId="77777777" w:rsidR="00F94AA7" w:rsidRDefault="00F94AA7"/>
    <w:p w14:paraId="32759BEF" w14:textId="77777777" w:rsidR="00834AB6" w:rsidRDefault="00834AB6" w:rsidP="00575C34">
      <w:pPr>
        <w:pStyle w:val="Heading2"/>
      </w:pPr>
      <w:r>
        <w:t>Input files</w:t>
      </w:r>
    </w:p>
    <w:p w14:paraId="64EBE8E1" w14:textId="3C942503" w:rsidR="00575C34" w:rsidRDefault="00575C34" w:rsidP="00575C34">
      <w:r>
        <w:t xml:space="preserve">Input files for PHREEQC, CruncClay and 3Diff are provided in the archive file </w:t>
      </w:r>
      <w:r w:rsidRPr="000122AE">
        <w:rPr>
          <w:i/>
        </w:rPr>
        <w:t>benchmark-dif</w:t>
      </w:r>
      <w:r w:rsidR="007A367C" w:rsidRPr="000122AE">
        <w:rPr>
          <w:i/>
        </w:rPr>
        <w:t>fuse-layer.7z</w:t>
      </w:r>
      <w:r w:rsidR="007A367C">
        <w:t xml:space="preserve"> together with CrunchClay and</w:t>
      </w:r>
      <w:r>
        <w:t xml:space="preserve"> 3Diff </w:t>
      </w:r>
      <w:r w:rsidR="007A367C">
        <w:t>executable files</w:t>
      </w:r>
      <w:r w:rsidR="003D1343">
        <w:t xml:space="preserve"> (Windows version)</w:t>
      </w:r>
      <w:r w:rsidR="007A367C">
        <w:t>, as well as the</w:t>
      </w:r>
      <w:r>
        <w:t xml:space="preserve"> 3.2.2 version of PHREEQC</w:t>
      </w:r>
      <w:r w:rsidR="003D1343">
        <w:t xml:space="preserve"> </w:t>
      </w:r>
      <w:r w:rsidR="003D1343">
        <w:t>(Windows version)</w:t>
      </w:r>
      <w:r w:rsidR="007A367C">
        <w:t>,</w:t>
      </w:r>
      <w:r>
        <w:t xml:space="preserve"> </w:t>
      </w:r>
      <w:r w:rsidR="007A367C">
        <w:t xml:space="preserve">which was </w:t>
      </w:r>
      <w:r>
        <w:t>used to calculate the simulation shown on Figure 16. The latest version of PHREEQC must be installed from the official PHREEQC websites</w:t>
      </w:r>
      <w:r w:rsidR="007A367C">
        <w:t xml:space="preserve"> (</w:t>
      </w:r>
      <w:hyperlink r:id="rId6" w:history="1">
        <w:r w:rsidR="007A367C" w:rsidRPr="00CA6E60">
          <w:rPr>
            <w:rStyle w:val="Hyperlink"/>
          </w:rPr>
          <w:t>https://www.usgs.gov/software/phreeqc-version-3</w:t>
        </w:r>
      </w:hyperlink>
      <w:r w:rsidR="007A367C">
        <w:t xml:space="preserve"> or </w:t>
      </w:r>
      <w:hyperlink r:id="rId7" w:history="1">
        <w:r w:rsidR="007A367C" w:rsidRPr="00CA6E60">
          <w:rPr>
            <w:rStyle w:val="Hyperlink"/>
          </w:rPr>
          <w:t>https://www.hydrochemistry.eu/ph3/index.html</w:t>
        </w:r>
      </w:hyperlink>
      <w:r w:rsidR="007A367C">
        <w:t xml:space="preserve"> )</w:t>
      </w:r>
      <w:r w:rsidR="000122AE">
        <w:t xml:space="preserve"> to run the other simulations</w:t>
      </w:r>
      <w:r>
        <w:t xml:space="preserve">. GLE </w:t>
      </w:r>
      <w:r w:rsidR="007A367C">
        <w:t>(Graphics Layout Engine)</w:t>
      </w:r>
      <w:r w:rsidR="007A367C">
        <w:t xml:space="preserve"> </w:t>
      </w:r>
      <w:r>
        <w:t>scripts are also provided to plot the result directly from the calculation result files</w:t>
      </w:r>
      <w:r w:rsidR="001553F2">
        <w:t xml:space="preserve"> (also provided)</w:t>
      </w:r>
      <w:r>
        <w:t>. GLE</w:t>
      </w:r>
      <w:r w:rsidR="007A367C">
        <w:t xml:space="preserve"> </w:t>
      </w:r>
      <w:r>
        <w:t>is an open source software</w:t>
      </w:r>
      <w:r w:rsidR="007A367C">
        <w:t>,</w:t>
      </w:r>
      <w:r>
        <w:t xml:space="preserve"> </w:t>
      </w:r>
      <w:r>
        <w:t>licensed under the Modified BSD license</w:t>
      </w:r>
      <w:r w:rsidR="007A367C">
        <w:t xml:space="preserve">, that can be downloaded </w:t>
      </w:r>
      <w:r w:rsidR="000122AE">
        <w:t>at</w:t>
      </w:r>
      <w:r w:rsidR="007A367C">
        <w:t xml:space="preserve"> </w:t>
      </w:r>
      <w:hyperlink r:id="rId8" w:history="1">
        <w:r w:rsidR="007A367C" w:rsidRPr="00CA6E60">
          <w:rPr>
            <w:rStyle w:val="Hyperlink"/>
          </w:rPr>
          <w:t>http://glx.sourceforge.net/index.html</w:t>
        </w:r>
      </w:hyperlink>
      <w:r w:rsidR="007A367C">
        <w:t xml:space="preserve">. </w:t>
      </w:r>
      <w:bookmarkStart w:id="1" w:name="_GoBack"/>
      <w:bookmarkEnd w:id="1"/>
    </w:p>
    <w:p w14:paraId="4951DD66" w14:textId="77777777" w:rsidR="00575C34" w:rsidRDefault="00575C34" w:rsidP="00575C34"/>
    <w:p w14:paraId="64A76DD7" w14:textId="77777777" w:rsidR="00575C34" w:rsidRPr="00575C34" w:rsidRDefault="00575C34" w:rsidP="00575C34">
      <w:pPr>
        <w:pStyle w:val="Heading2"/>
      </w:pPr>
      <w:r>
        <w:t>Tables and figures</w:t>
      </w:r>
    </w:p>
    <w:p w14:paraId="062DBE81" w14:textId="77777777" w:rsidR="004A2D31" w:rsidRDefault="004A2D31" w:rsidP="004A2D31">
      <w:pPr>
        <w:pStyle w:val="Caption"/>
        <w:spacing w:line="480" w:lineRule="auto"/>
      </w:pPr>
      <w:bookmarkStart w:id="2" w:name="_Ref517532876"/>
      <w:r w:rsidRPr="00834AB6">
        <w:rPr>
          <w:b/>
        </w:rPr>
        <w:t xml:space="preserve">Table </w:t>
      </w:r>
      <w:bookmarkEnd w:id="2"/>
      <w:r w:rsidRPr="00834AB6">
        <w:rPr>
          <w:b/>
        </w:rPr>
        <w:t>A1.</w:t>
      </w:r>
      <w:r>
        <w:t xml:space="preserve"> Comparison of mean electrostatic potentials calculated by the tested code in the presence of 0.1 mol</w:t>
      </w:r>
      <w:r>
        <w:rPr>
          <w:rFonts w:ascii="Cambria Math" w:hAnsi="Cambria Math" w:cs="Cambria Math"/>
        </w:rPr>
        <w:t>⋅</w:t>
      </w:r>
      <w:r>
        <w:t>L</w:t>
      </w:r>
      <w:r w:rsidRPr="0096765A">
        <w:rPr>
          <w:vertAlign w:val="superscript"/>
        </w:rPr>
        <w:t>-1</w:t>
      </w:r>
      <w:r>
        <w:t xml:space="preserve"> NaCl solution and with parameters given in </w:t>
      </w:r>
      <w:r>
        <w:fldChar w:fldCharType="begin"/>
      </w:r>
      <w:r>
        <w:instrText xml:space="preserve"> REF _Ref467228764 \h  \* MERGEFORMAT </w:instrText>
      </w:r>
      <w:r>
        <w:fldChar w:fldCharType="separate"/>
      </w:r>
      <w:r>
        <w:t xml:space="preserve">Table </w:t>
      </w:r>
      <w:r>
        <w:rPr>
          <w:noProof/>
        </w:rPr>
        <w:t>1</w:t>
      </w:r>
      <w:r>
        <w:fldChar w:fldCharType="end"/>
      </w:r>
      <w: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629"/>
        <w:gridCol w:w="1170"/>
        <w:gridCol w:w="1080"/>
        <w:gridCol w:w="1710"/>
        <w:gridCol w:w="1170"/>
        <w:gridCol w:w="1116"/>
      </w:tblGrid>
      <w:tr w:rsidR="004A2D31" w:rsidRPr="00C96AC9" w14:paraId="549FCF93" w14:textId="77777777" w:rsidTr="002661D7">
        <w:tc>
          <w:tcPr>
            <w:tcW w:w="1521" w:type="dxa"/>
            <w:vAlign w:val="center"/>
          </w:tcPr>
          <w:p w14:paraId="23F215D5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79" w:type="dxa"/>
            <w:gridSpan w:val="3"/>
            <w:tcBorders>
              <w:bottom w:val="single" w:sz="4" w:space="0" w:color="auto"/>
            </w:tcBorders>
            <w:vAlign w:val="center"/>
          </w:tcPr>
          <w:p w14:paraId="193C6459" w14:textId="77777777" w:rsidR="004A2D31" w:rsidRPr="00C96AC9" w:rsidRDefault="003D1343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ψ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DL</m:t>
                  </m:r>
                </m:sub>
              </m:sSub>
            </m:oMath>
            <w:r w:rsidR="004A2D31" w:rsidRPr="00C96AC9">
              <w:rPr>
                <w:rFonts w:cs="Times New Roman"/>
                <w:sz w:val="20"/>
                <w:szCs w:val="20"/>
              </w:rPr>
              <w:t xml:space="preserve">    (V)</w:t>
            </w:r>
          </w:p>
        </w:tc>
        <w:tc>
          <w:tcPr>
            <w:tcW w:w="3996" w:type="dxa"/>
            <w:gridSpan w:val="3"/>
            <w:tcBorders>
              <w:bottom w:val="single" w:sz="4" w:space="0" w:color="auto"/>
            </w:tcBorders>
            <w:vAlign w:val="center"/>
          </w:tcPr>
          <w:p w14:paraId="3CE26740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eastAsiaTheme="minorEastAsia" w:cs="Times New Roman"/>
                <w:sz w:val="20"/>
                <w:szCs w:val="20"/>
              </w:rPr>
              <w:t>Na</w:t>
            </w:r>
            <w:r w:rsidRPr="00C96AC9">
              <w:rPr>
                <w:rFonts w:eastAsiaTheme="minorEastAsia" w:cs="Times New Roman"/>
                <w:sz w:val="20"/>
                <w:szCs w:val="20"/>
                <w:vertAlign w:val="superscript"/>
              </w:rPr>
              <w:t>+</w:t>
            </w:r>
            <w:r w:rsidRPr="00C96AC9">
              <w:rPr>
                <w:rFonts w:eastAsiaTheme="minorEastAsia" w:cs="Times New Roman"/>
                <w:sz w:val="20"/>
                <w:szCs w:val="20"/>
              </w:rPr>
              <w:t xml:space="preserve"> concentration in DL (mol/kg</w:t>
            </w:r>
            <w:r w:rsidRPr="00C96AC9">
              <w:rPr>
                <w:rFonts w:eastAsiaTheme="minorEastAsia" w:cs="Times New Roman"/>
                <w:sz w:val="20"/>
                <w:szCs w:val="20"/>
                <w:vertAlign w:val="subscript"/>
              </w:rPr>
              <w:t>w</w:t>
            </w:r>
            <w:r w:rsidRPr="00C96AC9">
              <w:rPr>
                <w:rFonts w:eastAsiaTheme="minorEastAsia" w:cs="Times New Roman"/>
                <w:sz w:val="20"/>
                <w:szCs w:val="20"/>
              </w:rPr>
              <w:t>)</w:t>
            </w:r>
          </w:p>
        </w:tc>
      </w:tr>
      <w:tr w:rsidR="004A2D31" w:rsidRPr="00C96AC9" w14:paraId="5EF3188A" w14:textId="77777777" w:rsidTr="002661D7"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11EB25A1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F4232" w14:textId="77777777" w:rsidR="004A2D31" w:rsidRPr="0079517F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9517F">
              <w:rPr>
                <w:rFonts w:cs="Times New Roman"/>
                <w:sz w:val="20"/>
                <w:szCs w:val="20"/>
              </w:rPr>
              <w:t>CrunchClay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B2E30" w14:textId="77777777" w:rsidR="004A2D31" w:rsidRPr="0079517F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9517F">
              <w:rPr>
                <w:rFonts w:cs="Times New Roman"/>
                <w:sz w:val="20"/>
                <w:szCs w:val="20"/>
              </w:rPr>
              <w:t>PHREEQC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7BFDA" w14:textId="77777777" w:rsidR="004A2D31" w:rsidRPr="0079517F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9517F">
              <w:rPr>
                <w:rFonts w:cs="Times New Roman"/>
                <w:sz w:val="20"/>
                <w:szCs w:val="20"/>
              </w:rPr>
              <w:t>Analytical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7F4EC" w14:textId="77777777" w:rsidR="004A2D31" w:rsidRPr="0079517F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9517F">
              <w:rPr>
                <w:rFonts w:cs="Times New Roman"/>
                <w:sz w:val="20"/>
                <w:szCs w:val="20"/>
              </w:rPr>
              <w:t>CrunchClay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BDCC6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cs="Times New Roman"/>
                <w:sz w:val="20"/>
                <w:szCs w:val="20"/>
              </w:rPr>
              <w:t>PHREEQC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16601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Analytical</w:t>
            </w:r>
          </w:p>
        </w:tc>
      </w:tr>
      <w:tr w:rsidR="004A2D31" w:rsidRPr="00C96AC9" w14:paraId="47ECF900" w14:textId="77777777" w:rsidTr="002661D7"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14:paraId="2F0160B8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cs="Times New Roman"/>
                <w:sz w:val="20"/>
                <w:szCs w:val="20"/>
              </w:rPr>
              <w:lastRenderedPageBreak/>
              <w:t>Case 1.1 - Domains 1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96AC9">
              <w:rPr>
                <w:rFonts w:cs="Times New Roman"/>
                <w:sz w:val="20"/>
                <w:szCs w:val="20"/>
              </w:rPr>
              <w:t>&amp;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96AC9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vAlign w:val="center"/>
          </w:tcPr>
          <w:p w14:paraId="62E82C9D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cs="Times New Roman"/>
                <w:sz w:val="20"/>
                <w:szCs w:val="20"/>
              </w:rPr>
              <w:t>-3.298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0045E9A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cs="Times New Roman"/>
                <w:sz w:val="20"/>
                <w:szCs w:val="20"/>
              </w:rPr>
              <w:t>-3.298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2ADEC13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cs="Times New Roman"/>
                <w:sz w:val="20"/>
                <w:szCs w:val="20"/>
              </w:rPr>
              <w:t>-3.298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25465C3D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3.610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74D4E81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3.610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14:paraId="0BC96323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3.610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4A2D31" w:rsidRPr="00C96AC9" w14:paraId="12AB957A" w14:textId="77777777" w:rsidTr="002661D7">
        <w:tc>
          <w:tcPr>
            <w:tcW w:w="1521" w:type="dxa"/>
            <w:vAlign w:val="center"/>
          </w:tcPr>
          <w:p w14:paraId="6919532F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cs="Times New Roman"/>
                <w:sz w:val="20"/>
                <w:szCs w:val="20"/>
              </w:rPr>
              <w:t>Case 1.2 Domain 1</w:t>
            </w:r>
          </w:p>
        </w:tc>
        <w:tc>
          <w:tcPr>
            <w:tcW w:w="1629" w:type="dxa"/>
            <w:vAlign w:val="center"/>
          </w:tcPr>
          <w:p w14:paraId="0B991848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cs="Times New Roman"/>
                <w:color w:val="000000"/>
                <w:sz w:val="20"/>
                <w:szCs w:val="20"/>
              </w:rPr>
              <w:t>-5.94</w:t>
            </w: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70" w:type="dxa"/>
            <w:vAlign w:val="center"/>
          </w:tcPr>
          <w:p w14:paraId="0B452C58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cs="Times New Roman"/>
                <w:color w:val="000000"/>
                <w:sz w:val="20"/>
                <w:szCs w:val="20"/>
              </w:rPr>
              <w:t>-5.94</w:t>
            </w: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080" w:type="dxa"/>
            <w:vAlign w:val="center"/>
          </w:tcPr>
          <w:p w14:paraId="77C2E98F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96AC9">
              <w:rPr>
                <w:rFonts w:cs="Times New Roman"/>
                <w:color w:val="000000"/>
                <w:sz w:val="20"/>
                <w:szCs w:val="20"/>
              </w:rPr>
              <w:t>-5.94</w:t>
            </w: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10" w:type="dxa"/>
            <w:vAlign w:val="center"/>
          </w:tcPr>
          <w:p w14:paraId="0B86F8A1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1.010</w:t>
            </w:r>
          </w:p>
        </w:tc>
        <w:tc>
          <w:tcPr>
            <w:tcW w:w="1170" w:type="dxa"/>
            <w:vAlign w:val="center"/>
          </w:tcPr>
          <w:p w14:paraId="53FCFEB2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1.010</w:t>
            </w:r>
          </w:p>
        </w:tc>
        <w:tc>
          <w:tcPr>
            <w:tcW w:w="1116" w:type="dxa"/>
            <w:vAlign w:val="center"/>
          </w:tcPr>
          <w:p w14:paraId="2BC3D413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1.010</w:t>
            </w:r>
          </w:p>
        </w:tc>
      </w:tr>
      <w:tr w:rsidR="004A2D31" w:rsidRPr="00C96AC9" w14:paraId="33B54777" w14:textId="77777777" w:rsidTr="002661D7">
        <w:tc>
          <w:tcPr>
            <w:tcW w:w="1521" w:type="dxa"/>
            <w:vAlign w:val="center"/>
          </w:tcPr>
          <w:p w14:paraId="5B92221D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cs="Times New Roman"/>
                <w:sz w:val="20"/>
                <w:szCs w:val="20"/>
              </w:rPr>
              <w:t>Case 1.2 Domain 2</w:t>
            </w:r>
          </w:p>
        </w:tc>
        <w:tc>
          <w:tcPr>
            <w:tcW w:w="1629" w:type="dxa"/>
            <w:vAlign w:val="center"/>
          </w:tcPr>
          <w:p w14:paraId="1033A69A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-2.264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70" w:type="dxa"/>
            <w:vAlign w:val="center"/>
          </w:tcPr>
          <w:p w14:paraId="288B2349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-2.264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080" w:type="dxa"/>
            <w:vAlign w:val="center"/>
          </w:tcPr>
          <w:p w14:paraId="7CD569FA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-2.264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10" w:type="dxa"/>
            <w:vAlign w:val="center"/>
          </w:tcPr>
          <w:p w14:paraId="224FA072" w14:textId="77777777" w:rsidR="004A2D31" w:rsidRPr="00871FA5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2.414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63CAFC5F" w14:textId="77777777" w:rsidR="004A2D31" w:rsidRPr="00871FA5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2.414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  <w:vAlign w:val="center"/>
          </w:tcPr>
          <w:p w14:paraId="7D40A2DF" w14:textId="77777777" w:rsidR="004A2D31" w:rsidRPr="00871FA5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2.414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A2D31" w:rsidRPr="00C96AC9" w14:paraId="32C9B8C4" w14:textId="77777777" w:rsidTr="002661D7">
        <w:tc>
          <w:tcPr>
            <w:tcW w:w="1521" w:type="dxa"/>
            <w:vAlign w:val="center"/>
          </w:tcPr>
          <w:p w14:paraId="4C835CD9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cs="Times New Roman"/>
                <w:sz w:val="20"/>
                <w:szCs w:val="20"/>
              </w:rPr>
              <w:t>Case 1.3 - Domain 2</w:t>
            </w:r>
          </w:p>
        </w:tc>
        <w:tc>
          <w:tcPr>
            <w:tcW w:w="1629" w:type="dxa"/>
            <w:vAlign w:val="center"/>
          </w:tcPr>
          <w:p w14:paraId="668DC8A5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-2.264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70" w:type="dxa"/>
            <w:vAlign w:val="center"/>
          </w:tcPr>
          <w:p w14:paraId="68575DA5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-2.264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080" w:type="dxa"/>
            <w:vAlign w:val="center"/>
          </w:tcPr>
          <w:p w14:paraId="7AB07EDF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-2.264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10" w:type="dxa"/>
            <w:vAlign w:val="center"/>
          </w:tcPr>
          <w:p w14:paraId="60001B7C" w14:textId="77777777" w:rsidR="004A2D31" w:rsidRPr="00871FA5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2.414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7F2B423A" w14:textId="77777777" w:rsidR="004A2D31" w:rsidRPr="00871FA5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2.414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  <w:vAlign w:val="center"/>
          </w:tcPr>
          <w:p w14:paraId="3998B7A3" w14:textId="77777777" w:rsidR="004A2D31" w:rsidRPr="00871FA5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2.414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A2D31" w:rsidRPr="00C96AC9" w14:paraId="3EEE9348" w14:textId="77777777" w:rsidTr="002661D7"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7FC1F4CA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96AC9">
              <w:rPr>
                <w:rFonts w:cs="Times New Roman"/>
                <w:sz w:val="20"/>
                <w:szCs w:val="20"/>
              </w:rPr>
              <w:t>Case 1.4 - Domain 2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4ED8F56C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-1.949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44C1CCD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-1.949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6F9EC3F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-1.949</w:t>
            </w:r>
            <w:r w:rsidRPr="00C96AC9">
              <w:rPr>
                <w:rFonts w:ascii="Cambria Math" w:hAnsi="Cambria Math" w:cs="Cambria Math"/>
                <w:sz w:val="20"/>
                <w:szCs w:val="20"/>
              </w:rPr>
              <w:t>⋅</w:t>
            </w:r>
            <w:r w:rsidRPr="00C96AC9">
              <w:rPr>
                <w:rFonts w:cs="Times New Roman"/>
                <w:sz w:val="20"/>
                <w:szCs w:val="20"/>
              </w:rPr>
              <w:t>10</w:t>
            </w:r>
            <w:r w:rsidRPr="00C96AC9">
              <w:rPr>
                <w:rFonts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CE8E575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2.135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DB798A9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2.135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37687F76" w14:textId="77777777" w:rsidR="004A2D31" w:rsidRPr="00C96AC9" w:rsidRDefault="004A2D31" w:rsidP="002661D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2.135</w:t>
            </w:r>
            <w:r>
              <w:rPr>
                <w:rFonts w:ascii="Cambria Math" w:hAnsi="Cambria Math" w:cs="Cambria Math"/>
                <w:sz w:val="20"/>
                <w:szCs w:val="20"/>
              </w:rPr>
              <w:t>⋅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46EB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</w:p>
        </w:tc>
      </w:tr>
    </w:tbl>
    <w:p w14:paraId="6194FA96" w14:textId="77777777" w:rsidR="004A2D31" w:rsidRDefault="004A2D31" w:rsidP="004A2D31">
      <w:pPr>
        <w:spacing w:line="480" w:lineRule="auto"/>
      </w:pPr>
    </w:p>
    <w:p w14:paraId="2B5E26A2" w14:textId="77777777" w:rsidR="00F94AA7" w:rsidRDefault="00F94AA7"/>
    <w:p w14:paraId="55FCDC08" w14:textId="77777777" w:rsidR="00F94AA7" w:rsidRDefault="00BC7CB6">
      <w:r w:rsidRPr="00BC7CB6">
        <w:rPr>
          <w:noProof/>
        </w:rPr>
        <w:lastRenderedPageBreak/>
        <w:drawing>
          <wp:inline distT="0" distB="0" distL="0" distR="0" wp14:anchorId="6A6BC52A" wp14:editId="4377D5CB">
            <wp:extent cx="5943600" cy="4518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20E2C" w14:textId="77777777" w:rsidR="00F94AA7" w:rsidRDefault="00F94AA7" w:rsidP="00F94AA7">
      <w:pPr>
        <w:jc w:val="center"/>
      </w:pPr>
      <w:r w:rsidRPr="00F94AA7">
        <w:rPr>
          <w:b/>
        </w:rPr>
        <w:t>Figure S-1</w:t>
      </w:r>
      <w:r>
        <w:t>. Case 1.3. Concentration profiles</w:t>
      </w:r>
      <w:r w:rsidR="008D1B54">
        <w:t xml:space="preserve"> in bulk water</w:t>
      </w:r>
      <w:r>
        <w:t xml:space="preserve"> at t=100 s and t=1000</w:t>
      </w:r>
      <w:r w:rsidR="00FB38B7">
        <w:t xml:space="preserve"> </w:t>
      </w:r>
      <w:r>
        <w:t>s.</w:t>
      </w:r>
    </w:p>
    <w:p w14:paraId="5E36A412" w14:textId="77777777" w:rsidR="00F94AA7" w:rsidRDefault="00F94AA7"/>
    <w:p w14:paraId="71412A91" w14:textId="77777777" w:rsidR="00F94AA7" w:rsidRDefault="009C1F47">
      <w:r w:rsidRPr="009C1F47">
        <w:rPr>
          <w:noProof/>
        </w:rPr>
        <w:lastRenderedPageBreak/>
        <w:drawing>
          <wp:inline distT="0" distB="0" distL="0" distR="0" wp14:anchorId="6751980C" wp14:editId="4042F341">
            <wp:extent cx="5943600" cy="45189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AE952" w14:textId="77777777" w:rsidR="00245FF2" w:rsidRDefault="00245FF2" w:rsidP="00245FF2">
      <w:pPr>
        <w:jc w:val="center"/>
      </w:pPr>
      <w:r w:rsidRPr="00F94AA7">
        <w:rPr>
          <w:b/>
        </w:rPr>
        <w:t>Figure S-</w:t>
      </w:r>
      <w:r>
        <w:rPr>
          <w:b/>
        </w:rPr>
        <w:t>2</w:t>
      </w:r>
      <w:r>
        <w:t xml:space="preserve">. Case 1.4. Concentration profiles </w:t>
      </w:r>
      <w:r w:rsidR="008D1B54">
        <w:t xml:space="preserve">in bulk water </w:t>
      </w:r>
      <w:r>
        <w:t>at t=100 s and t=1000</w:t>
      </w:r>
      <w:r w:rsidR="00FB38B7">
        <w:t xml:space="preserve"> </w:t>
      </w:r>
      <w:r>
        <w:t>s.</w:t>
      </w:r>
    </w:p>
    <w:p w14:paraId="79A5D750" w14:textId="77777777" w:rsidR="00245FF2" w:rsidRDefault="00245FF2"/>
    <w:p w14:paraId="6A4200E3" w14:textId="77777777" w:rsidR="00C06E36" w:rsidRDefault="007B7995">
      <w:r w:rsidRPr="007B7995">
        <w:rPr>
          <w:noProof/>
        </w:rPr>
        <w:lastRenderedPageBreak/>
        <w:drawing>
          <wp:inline distT="0" distB="0" distL="0" distR="0" wp14:anchorId="637AD7DB" wp14:editId="7AB7E531">
            <wp:extent cx="5943600" cy="451898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8E2CE" w14:textId="77777777" w:rsidR="00C06E36" w:rsidRDefault="00C06E36" w:rsidP="00C06E36">
      <w:pPr>
        <w:jc w:val="center"/>
      </w:pPr>
      <w:r w:rsidRPr="00F94AA7">
        <w:rPr>
          <w:b/>
        </w:rPr>
        <w:t>Figure S-</w:t>
      </w:r>
      <w:r w:rsidR="003B19C9">
        <w:rPr>
          <w:b/>
        </w:rPr>
        <w:t>3</w:t>
      </w:r>
      <w:r>
        <w:t>. Case 2.1. Concentration profiles in bulk water at t=100 s and t=1000</w:t>
      </w:r>
      <w:r w:rsidR="00FB38B7">
        <w:t xml:space="preserve"> </w:t>
      </w:r>
      <w:r>
        <w:t>s.</w:t>
      </w:r>
    </w:p>
    <w:p w14:paraId="1891A040" w14:textId="77777777" w:rsidR="00A126E5" w:rsidRDefault="007B7995" w:rsidP="00C06E36">
      <w:pPr>
        <w:jc w:val="center"/>
      </w:pPr>
      <w:r w:rsidRPr="007B7995">
        <w:rPr>
          <w:noProof/>
        </w:rPr>
        <w:lastRenderedPageBreak/>
        <w:drawing>
          <wp:inline distT="0" distB="0" distL="0" distR="0" wp14:anchorId="7BE07392" wp14:editId="6CBEA218">
            <wp:extent cx="5943600" cy="451898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D7F8F" w14:textId="77777777" w:rsidR="003B19C9" w:rsidRDefault="003B19C9" w:rsidP="003B19C9">
      <w:pPr>
        <w:jc w:val="center"/>
      </w:pPr>
      <w:r w:rsidRPr="00F94AA7">
        <w:rPr>
          <w:b/>
        </w:rPr>
        <w:t>Figure S-</w:t>
      </w:r>
      <w:r>
        <w:rPr>
          <w:b/>
        </w:rPr>
        <w:t>4</w:t>
      </w:r>
      <w:r>
        <w:t>. Case 2.2. Concentration profiles in bulk water at t=100 s and t=1000</w:t>
      </w:r>
      <w:r w:rsidR="00FB38B7">
        <w:t xml:space="preserve"> </w:t>
      </w:r>
      <w:r>
        <w:t>s.</w:t>
      </w:r>
    </w:p>
    <w:p w14:paraId="71D35ACA" w14:textId="77777777" w:rsidR="00A126E5" w:rsidRDefault="00A126E5" w:rsidP="00C06E36">
      <w:pPr>
        <w:jc w:val="center"/>
      </w:pPr>
    </w:p>
    <w:p w14:paraId="544EE4AA" w14:textId="77777777" w:rsidR="00C06E36" w:rsidRDefault="00C21465">
      <w:r w:rsidRPr="00C21465">
        <w:rPr>
          <w:noProof/>
        </w:rPr>
        <w:lastRenderedPageBreak/>
        <w:drawing>
          <wp:inline distT="0" distB="0" distL="0" distR="0" wp14:anchorId="685D6EDF" wp14:editId="63736077">
            <wp:extent cx="5943600" cy="451898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37EE" w14:textId="77777777" w:rsidR="0011374F" w:rsidRDefault="0011374F" w:rsidP="0011374F">
      <w:pPr>
        <w:jc w:val="center"/>
      </w:pPr>
      <w:r w:rsidRPr="00F94AA7">
        <w:rPr>
          <w:b/>
        </w:rPr>
        <w:t>Figure S-</w:t>
      </w:r>
      <w:r w:rsidR="008C2A43">
        <w:rPr>
          <w:b/>
        </w:rPr>
        <w:t>5</w:t>
      </w:r>
      <w:r>
        <w:t>. Case 2.3. Concentration profiles in bulk water at t=100 s and t=1000</w:t>
      </w:r>
      <w:r w:rsidR="00FB38B7">
        <w:t xml:space="preserve"> </w:t>
      </w:r>
      <w:r>
        <w:t>s.</w:t>
      </w:r>
    </w:p>
    <w:p w14:paraId="37198E10" w14:textId="77777777" w:rsidR="0011374F" w:rsidRDefault="0011374F"/>
    <w:sectPr w:rsidR="00113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21E6"/>
    <w:multiLevelType w:val="hybridMultilevel"/>
    <w:tmpl w:val="6CA0A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510C1"/>
    <w:multiLevelType w:val="hybridMultilevel"/>
    <w:tmpl w:val="81DAE54E"/>
    <w:lvl w:ilvl="0" w:tplc="AC70CAB2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9FB"/>
    <w:multiLevelType w:val="multilevel"/>
    <w:tmpl w:val="76589702"/>
    <w:lvl w:ilvl="0">
      <w:start w:val="1"/>
      <w:numFmt w:val="decimal"/>
      <w:pStyle w:val="Heading2"/>
      <w:suff w:val="space"/>
      <w:lvlText w:val="%1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kern w:val="0"/>
        <w:sz w:val="28"/>
        <w:u w:val="none"/>
        <w:vertAlign w:val="baseline"/>
      </w:rPr>
    </w:lvl>
    <w:lvl w:ilvl="1">
      <w:start w:val="1"/>
      <w:numFmt w:val="decimal"/>
      <w:pStyle w:val="Heading3"/>
      <w:suff w:val="space"/>
      <w:lvlText w:val="%1.%2."/>
      <w:lvlJc w:val="left"/>
      <w:pPr>
        <w:ind w:left="1440" w:hanging="14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Heading4"/>
      <w:suff w:val="space"/>
      <w:lvlText w:val="%1.%2.%3."/>
      <w:lvlJc w:val="left"/>
      <w:pPr>
        <w:ind w:left="180" w:hanging="18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2880" w:hanging="28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0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33F36C6"/>
    <w:multiLevelType w:val="hybridMultilevel"/>
    <w:tmpl w:val="1F24E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D2CEE"/>
    <w:multiLevelType w:val="hybridMultilevel"/>
    <w:tmpl w:val="91669856"/>
    <w:lvl w:ilvl="0" w:tplc="0DA00E0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2B"/>
    <w:rsid w:val="000122AE"/>
    <w:rsid w:val="000D75CE"/>
    <w:rsid w:val="0011374F"/>
    <w:rsid w:val="001553F2"/>
    <w:rsid w:val="00245FF2"/>
    <w:rsid w:val="00254565"/>
    <w:rsid w:val="003B19C9"/>
    <w:rsid w:val="003D1343"/>
    <w:rsid w:val="004A2D31"/>
    <w:rsid w:val="004D2FBA"/>
    <w:rsid w:val="00575C34"/>
    <w:rsid w:val="006402DC"/>
    <w:rsid w:val="006545D4"/>
    <w:rsid w:val="007A367C"/>
    <w:rsid w:val="007B7995"/>
    <w:rsid w:val="00834AB6"/>
    <w:rsid w:val="008C2A43"/>
    <w:rsid w:val="008D1B54"/>
    <w:rsid w:val="0092655E"/>
    <w:rsid w:val="009C1F47"/>
    <w:rsid w:val="00A126E5"/>
    <w:rsid w:val="00A92C34"/>
    <w:rsid w:val="00B6342B"/>
    <w:rsid w:val="00BC7CB6"/>
    <w:rsid w:val="00C06E36"/>
    <w:rsid w:val="00C21465"/>
    <w:rsid w:val="00C3054A"/>
    <w:rsid w:val="00F94AA7"/>
    <w:rsid w:val="00FB38B7"/>
    <w:rsid w:val="00FD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A283D"/>
  <w15:chartTrackingRefBased/>
  <w15:docId w15:val="{1BB34C02-A626-4DEC-8DF3-6BC3177A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2DC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2DC"/>
    <w:pPr>
      <w:keepNext/>
      <w:keepLines/>
      <w:spacing w:before="480" w:after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02DC"/>
    <w:pPr>
      <w:keepNext/>
      <w:keepLines/>
      <w:spacing w:before="120" w:after="240"/>
      <w:ind w:left="720" w:hanging="72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02DC"/>
    <w:pPr>
      <w:keepNext/>
      <w:keepLines/>
      <w:spacing w:before="120" w:after="120"/>
      <w:ind w:left="1440" w:hanging="14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6402DC"/>
    <w:pPr>
      <w:keepNext/>
      <w:keepLines/>
      <w:spacing w:after="120"/>
      <w:ind w:left="180" w:hanging="180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2DC"/>
    <w:pPr>
      <w:keepNext/>
      <w:keepLines/>
      <w:spacing w:after="120"/>
      <w:ind w:left="2880" w:hanging="288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  <w:rsid w:val="006402D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402DC"/>
  </w:style>
  <w:style w:type="character" w:customStyle="1" w:styleId="Heading1Char">
    <w:name w:val="Heading 1 Char"/>
    <w:basedOn w:val="DefaultParagraphFont"/>
    <w:link w:val="Heading1"/>
    <w:uiPriority w:val="9"/>
    <w:rsid w:val="006402D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6402DC"/>
    <w:pPr>
      <w:spacing w:line="240" w:lineRule="auto"/>
    </w:pPr>
    <w:rPr>
      <w:bCs/>
      <w:szCs w:val="18"/>
    </w:rPr>
  </w:style>
  <w:style w:type="table" w:styleId="TableGrid">
    <w:name w:val="Table Grid"/>
    <w:basedOn w:val="TableNormal"/>
    <w:uiPriority w:val="59"/>
    <w:rsid w:val="0064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402DC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02DC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402DC"/>
    <w:rPr>
      <w:rFonts w:ascii="Times New Roman" w:eastAsiaTheme="majorEastAsia" w:hAnsi="Times New Roman" w:cstheme="majorBidi"/>
      <w:bCs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2DC"/>
    <w:rPr>
      <w:rFonts w:ascii="Times New Roman" w:eastAsiaTheme="majorEastAsia" w:hAnsi="Times New Roman" w:cstheme="majorBidi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6402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402DC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02D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2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402DC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402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2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2D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2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2DC"/>
    <w:rPr>
      <w:rFonts w:ascii="Times New Roman" w:hAnsi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402DC"/>
    <w:rPr>
      <w:color w:val="808080"/>
    </w:rPr>
  </w:style>
  <w:style w:type="character" w:customStyle="1" w:styleId="st">
    <w:name w:val="st"/>
    <w:basedOn w:val="DefaultParagraphFont"/>
    <w:rsid w:val="006402DC"/>
  </w:style>
  <w:style w:type="paragraph" w:styleId="ListParagraph">
    <w:name w:val="List Paragraph"/>
    <w:basedOn w:val="Normal"/>
    <w:uiPriority w:val="34"/>
    <w:qFormat/>
    <w:rsid w:val="006402DC"/>
    <w:pPr>
      <w:ind w:left="720"/>
      <w:contextualSpacing/>
    </w:pPr>
  </w:style>
  <w:style w:type="paragraph" w:customStyle="1" w:styleId="Default">
    <w:name w:val="Default"/>
    <w:rsid w:val="006402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6402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2DC"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6402DC"/>
  </w:style>
  <w:style w:type="paragraph" w:styleId="TOC2">
    <w:name w:val="toc 2"/>
    <w:basedOn w:val="Normal"/>
    <w:next w:val="Normal"/>
    <w:autoRedefine/>
    <w:uiPriority w:val="39"/>
    <w:unhideWhenUsed/>
    <w:rsid w:val="006402D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402D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6402DC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6402DC"/>
    <w:pPr>
      <w:spacing w:after="10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x.sourceforge.net/index.html" TargetMode="Externa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hyperlink" Target="https://www.hydrochemistry.eu/ph3/index.html" TargetMode="Externa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sgs.gov/software/phreeqc-version-3" TargetMode="Externa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urnassat\AppData\Roaming\Microsoft\Templates\Elsevier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B91CB-53CA-4710-87FC-83E4C131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Elsevier1.dotx</Template>
  <TotalTime>101</TotalTime>
  <Pages>7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Tournassat</dc:creator>
  <cp:keywords/>
  <dc:description/>
  <cp:lastModifiedBy>Christophe Tournassat</cp:lastModifiedBy>
  <cp:revision>22</cp:revision>
  <dcterms:created xsi:type="dcterms:W3CDTF">2018-06-24T05:34:00Z</dcterms:created>
  <dcterms:modified xsi:type="dcterms:W3CDTF">2019-04-17T04:26:00Z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Elsevier's Harvard Style (with titles)</vt:lpwstr>
  </property>
</Properties>
</file>