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F08B8" w14:textId="4F7DAF3A" w:rsidR="00B0443E" w:rsidRPr="0053041C" w:rsidRDefault="00B0443E" w:rsidP="009E03F6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3041C">
        <w:rPr>
          <w:rFonts w:ascii="Times New Roman" w:hAnsi="Times New Roman" w:cs="Times New Roman"/>
          <w:b/>
          <w:sz w:val="20"/>
          <w:szCs w:val="20"/>
        </w:rPr>
        <w:t>Supplement</w:t>
      </w:r>
    </w:p>
    <w:p w14:paraId="3B75FA65" w14:textId="77777777" w:rsidR="00823BE6" w:rsidRPr="0053041C" w:rsidRDefault="00823BE6" w:rsidP="00D07020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664C1CDF" w14:textId="6923E808" w:rsidR="00D07020" w:rsidRPr="0053041C" w:rsidRDefault="00D07020" w:rsidP="00D07020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3041C">
        <w:rPr>
          <w:rFonts w:ascii="Times New Roman" w:hAnsi="Times New Roman" w:cs="Times New Roman"/>
          <w:b/>
          <w:sz w:val="20"/>
          <w:szCs w:val="20"/>
        </w:rPr>
        <w:t>Table S</w:t>
      </w:r>
      <w:r w:rsidR="00B0443E" w:rsidRPr="0053041C">
        <w:rPr>
          <w:rFonts w:ascii="Times New Roman" w:hAnsi="Times New Roman" w:cs="Times New Roman"/>
          <w:b/>
          <w:sz w:val="20"/>
          <w:szCs w:val="20"/>
        </w:rPr>
        <w:t>1</w:t>
      </w:r>
    </w:p>
    <w:p w14:paraId="10FC7666" w14:textId="5799C946" w:rsidR="00D07020" w:rsidRPr="0053041C" w:rsidRDefault="00D07020" w:rsidP="00D07020">
      <w:pPr>
        <w:spacing w:after="0" w:line="480" w:lineRule="auto"/>
        <w:jc w:val="both"/>
        <w:outlineLvl w:val="0"/>
        <w:rPr>
          <w:rFonts w:ascii="Times New Roman" w:hAnsi="Times New Roman" w:cs="Times New Roman"/>
          <w:i/>
          <w:sz w:val="20"/>
          <w:szCs w:val="20"/>
        </w:rPr>
      </w:pPr>
      <w:r w:rsidRPr="0053041C">
        <w:rPr>
          <w:rFonts w:ascii="Times New Roman" w:hAnsi="Times New Roman" w:cs="Times New Roman"/>
          <w:i/>
          <w:sz w:val="20"/>
          <w:szCs w:val="20"/>
        </w:rPr>
        <w:t xml:space="preserve">Frequency of </w:t>
      </w:r>
      <w:r w:rsidR="00811C29" w:rsidRPr="0053041C">
        <w:rPr>
          <w:rFonts w:ascii="Times New Roman" w:hAnsi="Times New Roman" w:cs="Times New Roman"/>
          <w:i/>
          <w:sz w:val="20"/>
          <w:szCs w:val="20"/>
        </w:rPr>
        <w:t>current diagnoses in the MD gr</w:t>
      </w:r>
      <w:r w:rsidRPr="0053041C">
        <w:rPr>
          <w:rFonts w:ascii="Times New Roman" w:hAnsi="Times New Roman" w:cs="Times New Roman"/>
          <w:i/>
          <w:sz w:val="20"/>
          <w:szCs w:val="20"/>
        </w:rPr>
        <w:t>oup</w:t>
      </w:r>
      <w:r w:rsidR="008D4435" w:rsidRPr="0053041C">
        <w:rPr>
          <w:rFonts w:ascii="Times New Roman" w:hAnsi="Times New Roman" w:cs="Times New Roman"/>
          <w:i/>
          <w:sz w:val="20"/>
          <w:szCs w:val="20"/>
        </w:rPr>
        <w:t>.</w:t>
      </w:r>
      <w:r w:rsidRPr="0053041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tbl>
      <w:tblPr>
        <w:tblStyle w:val="TableGrid"/>
        <w:tblW w:w="6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6"/>
        <w:gridCol w:w="1152"/>
        <w:gridCol w:w="126"/>
        <w:gridCol w:w="1277"/>
      </w:tblGrid>
      <w:tr w:rsidR="00EA2360" w:rsidRPr="0053041C" w14:paraId="2F106432" w14:textId="77777777" w:rsidTr="00EA2360">
        <w:trPr>
          <w:trHeight w:val="192"/>
        </w:trPr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729267FA" w14:textId="77777777" w:rsidR="00EA2360" w:rsidRPr="0053041C" w:rsidRDefault="00EA2360" w:rsidP="00C957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31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6CB8F7" w14:textId="3F5F53C6" w:rsidR="00EA2360" w:rsidRPr="0053041C" w:rsidRDefault="00EA2360" w:rsidP="00C12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Current comorbid diagnosis</w:t>
            </w:r>
          </w:p>
        </w:tc>
      </w:tr>
      <w:tr w:rsidR="00EA2360" w:rsidRPr="0053041C" w14:paraId="3A07CA28" w14:textId="77777777" w:rsidTr="00EA2360">
        <w:trPr>
          <w:trHeight w:val="191"/>
        </w:trPr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7F072264" w14:textId="77777777" w:rsidR="00EA2360" w:rsidRPr="0053041C" w:rsidRDefault="00EA2360" w:rsidP="00C957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588A5E" w14:textId="57D45893" w:rsidR="00EA2360" w:rsidRPr="0053041C" w:rsidRDefault="00EA2360" w:rsidP="00E031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53041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de-DE"/>
              </w:rPr>
              <w:t>n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BF5E53" w14:textId="1F576C32" w:rsidR="00EA2360" w:rsidRPr="0053041C" w:rsidRDefault="00EA2360" w:rsidP="00C957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%</w:t>
            </w:r>
          </w:p>
        </w:tc>
      </w:tr>
      <w:tr w:rsidR="00EA2360" w:rsidRPr="0053041C" w14:paraId="78BE339F" w14:textId="77777777" w:rsidTr="00DB2F84">
        <w:tc>
          <w:tcPr>
            <w:tcW w:w="5103" w:type="dxa"/>
            <w:vAlign w:val="center"/>
          </w:tcPr>
          <w:p w14:paraId="19AC1F43" w14:textId="77777777" w:rsidR="00EA2360" w:rsidRPr="0053041C" w:rsidRDefault="00EA2360" w:rsidP="00A01B2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Attention-deficit/hyperactivity disorder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97EC9A" w14:textId="2BDAB30D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14:paraId="7B380801" w14:textId="2800E0A3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5.0%</w:t>
            </w:r>
          </w:p>
        </w:tc>
      </w:tr>
      <w:tr w:rsidR="00EA2360" w:rsidRPr="0053041C" w14:paraId="3F207E01" w14:textId="77777777" w:rsidTr="00DB2F84">
        <w:tc>
          <w:tcPr>
            <w:tcW w:w="5103" w:type="dxa"/>
            <w:vAlign w:val="center"/>
          </w:tcPr>
          <w:p w14:paraId="33CF5AE4" w14:textId="77777777" w:rsidR="00EA2360" w:rsidRPr="0053041C" w:rsidRDefault="00EA2360" w:rsidP="00A01B2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Separation anxiety disorder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89A086" w14:textId="0013B5BF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14:paraId="34DEA7AF" w14:textId="1451F6C2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5.0%</w:t>
            </w:r>
          </w:p>
        </w:tc>
      </w:tr>
      <w:tr w:rsidR="00EA2360" w:rsidRPr="0053041C" w14:paraId="4C9EB034" w14:textId="77777777" w:rsidTr="00DB2F84">
        <w:tc>
          <w:tcPr>
            <w:tcW w:w="5103" w:type="dxa"/>
            <w:vAlign w:val="center"/>
          </w:tcPr>
          <w:p w14:paraId="5C8EBC63" w14:textId="77777777" w:rsidR="00EA2360" w:rsidRPr="0053041C" w:rsidRDefault="00EA2360" w:rsidP="00A01B2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Specific anxiety disorder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1C5F41" w14:textId="4147949A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7</w:t>
            </w: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14:paraId="6ADDFB80" w14:textId="18849C67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35.0%</w:t>
            </w:r>
          </w:p>
        </w:tc>
      </w:tr>
      <w:tr w:rsidR="00EA2360" w:rsidRPr="0053041C" w14:paraId="130F8D5B" w14:textId="77777777" w:rsidTr="00DB2F84">
        <w:tc>
          <w:tcPr>
            <w:tcW w:w="5103" w:type="dxa"/>
            <w:vAlign w:val="center"/>
          </w:tcPr>
          <w:p w14:paraId="7EDA958D" w14:textId="77777777" w:rsidR="00EA2360" w:rsidRPr="0053041C" w:rsidRDefault="00EA2360" w:rsidP="00A01B2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Social anxiety disorder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3E8DD2" w14:textId="52E219F9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5</w:t>
            </w: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14:paraId="22A83A2F" w14:textId="1530F6C5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25.0%</w:t>
            </w:r>
          </w:p>
        </w:tc>
      </w:tr>
      <w:tr w:rsidR="00EA2360" w:rsidRPr="0053041C" w14:paraId="286A72F4" w14:textId="77777777" w:rsidTr="00DB2F84">
        <w:tc>
          <w:tcPr>
            <w:tcW w:w="5103" w:type="dxa"/>
            <w:vAlign w:val="center"/>
          </w:tcPr>
          <w:p w14:paraId="585C9C36" w14:textId="77777777" w:rsidR="00EA2360" w:rsidRPr="0053041C" w:rsidRDefault="00EA2360" w:rsidP="00A01B2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Agoraphobia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45B750" w14:textId="61CD935D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14:paraId="73E1A027" w14:textId="226284F8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5.0%</w:t>
            </w:r>
          </w:p>
        </w:tc>
      </w:tr>
      <w:tr w:rsidR="00EA2360" w:rsidRPr="0053041C" w14:paraId="34011DA2" w14:textId="77777777" w:rsidTr="00DB2F84">
        <w:tc>
          <w:tcPr>
            <w:tcW w:w="5103" w:type="dxa"/>
            <w:vAlign w:val="center"/>
          </w:tcPr>
          <w:p w14:paraId="5428FCA2" w14:textId="3F1B481C" w:rsidR="00EA2360" w:rsidRPr="0053041C" w:rsidRDefault="00EA2360" w:rsidP="00A01B2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Anorexia nervosa</w:t>
            </w: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BA58F" w14:textId="0856E3E3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1741" w:type="dxa"/>
            <w:gridSpan w:val="2"/>
            <w:shd w:val="clear" w:color="auto" w:fill="auto"/>
            <w:vAlign w:val="center"/>
          </w:tcPr>
          <w:p w14:paraId="4370B1A3" w14:textId="34AFD03C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5.0%</w:t>
            </w:r>
          </w:p>
        </w:tc>
      </w:tr>
      <w:tr w:rsidR="00EA2360" w:rsidRPr="0053041C" w14:paraId="7973635B" w14:textId="77777777" w:rsidTr="00DB2F84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380F92B6" w14:textId="6F1E40D4" w:rsidR="00EA2360" w:rsidRPr="0053041C" w:rsidRDefault="00EA2360" w:rsidP="00A01B2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Obsessive-compulsive disorder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7C2157" w14:textId="3DE91E43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1</w:t>
            </w:r>
          </w:p>
        </w:tc>
        <w:tc>
          <w:tcPr>
            <w:tcW w:w="174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7DC8C" w14:textId="15144FD9" w:rsidR="00EA2360" w:rsidRPr="0053041C" w:rsidRDefault="00EA2360" w:rsidP="00A01B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530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de-DE"/>
              </w:rPr>
              <w:t>5.0%</w:t>
            </w:r>
          </w:p>
        </w:tc>
      </w:tr>
    </w:tbl>
    <w:p w14:paraId="5D1E5736" w14:textId="3C6B2C1C" w:rsidR="00A33B3B" w:rsidRPr="0053041C" w:rsidRDefault="00A147C9" w:rsidP="00734EF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3041C">
        <w:rPr>
          <w:rFonts w:ascii="Times New Roman" w:hAnsi="Times New Roman" w:cs="Times New Roman"/>
          <w:i/>
          <w:sz w:val="20"/>
          <w:szCs w:val="20"/>
        </w:rPr>
        <w:t>Note</w:t>
      </w:r>
      <w:r w:rsidRPr="0053041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53041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3041C">
        <w:rPr>
          <w:rFonts w:ascii="Times New Roman" w:hAnsi="Times New Roman" w:cs="Times New Roman"/>
          <w:sz w:val="20"/>
          <w:szCs w:val="20"/>
        </w:rPr>
        <w:t>B</w:t>
      </w:r>
      <w:r w:rsidR="00CF268D" w:rsidRPr="0053041C">
        <w:rPr>
          <w:rFonts w:ascii="Times New Roman" w:hAnsi="Times New Roman" w:cs="Times New Roman"/>
          <w:sz w:val="20"/>
          <w:szCs w:val="20"/>
        </w:rPr>
        <w:t>MI</w:t>
      </w:r>
      <w:proofErr w:type="spellEnd"/>
      <w:proofErr w:type="gramEnd"/>
      <w:r w:rsidR="00CF268D" w:rsidRPr="0053041C">
        <w:rPr>
          <w:rFonts w:ascii="Times New Roman" w:hAnsi="Times New Roman" w:cs="Times New Roman"/>
          <w:sz w:val="20"/>
          <w:szCs w:val="20"/>
        </w:rPr>
        <w:t xml:space="preserve"> &gt; 10th p</w:t>
      </w:r>
      <w:r w:rsidRPr="0053041C">
        <w:rPr>
          <w:rFonts w:ascii="Times New Roman" w:hAnsi="Times New Roman" w:cs="Times New Roman"/>
          <w:sz w:val="20"/>
          <w:szCs w:val="20"/>
        </w:rPr>
        <w:t>ercentile at time of assessment.</w:t>
      </w:r>
    </w:p>
    <w:p w14:paraId="555F5F4B" w14:textId="515CAC79" w:rsidR="006040A3" w:rsidRDefault="006040A3" w:rsidP="006040A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5178FE" w14:textId="36308FB6" w:rsidR="00290B05" w:rsidRPr="002307FF" w:rsidRDefault="00290B05" w:rsidP="006040A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307FF">
        <w:rPr>
          <w:rFonts w:ascii="Times New Roman" w:hAnsi="Times New Roman" w:cs="Times New Roman"/>
          <w:b/>
          <w:bCs/>
          <w:sz w:val="20"/>
          <w:szCs w:val="20"/>
        </w:rPr>
        <w:t>Table S2</w:t>
      </w:r>
    </w:p>
    <w:p w14:paraId="0005F9C9" w14:textId="553CAF3F" w:rsidR="00290B05" w:rsidRPr="002307FF" w:rsidRDefault="00290B05" w:rsidP="006040A3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307FF">
        <w:rPr>
          <w:rFonts w:ascii="Times New Roman" w:hAnsi="Times New Roman" w:cs="Times New Roman"/>
          <w:i/>
          <w:iCs/>
          <w:sz w:val="20"/>
          <w:szCs w:val="20"/>
        </w:rPr>
        <w:t>Spearman-Brown-corrected split-half reliabilities for the percentage of dwell time spent on negative pictures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2448"/>
      </w:tblGrid>
      <w:tr w:rsidR="00525EB8" w:rsidRPr="002307FF" w14:paraId="2730BE08" w14:textId="77777777" w:rsidTr="008C1B1D">
        <w:tc>
          <w:tcPr>
            <w:tcW w:w="4606" w:type="dxa"/>
            <w:tcBorders>
              <w:left w:val="nil"/>
              <w:bottom w:val="single" w:sz="4" w:space="0" w:color="auto"/>
              <w:right w:val="nil"/>
            </w:tcBorders>
          </w:tcPr>
          <w:p w14:paraId="6F3C995C" w14:textId="2213C529" w:rsidR="00525EB8" w:rsidRPr="002307FF" w:rsidRDefault="0092130A" w:rsidP="00CF531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07FF">
              <w:rPr>
                <w:rFonts w:ascii="Times New Roman" w:hAnsi="Times New Roman" w:cs="Times New Roman"/>
                <w:sz w:val="20"/>
                <w:szCs w:val="20"/>
              </w:rPr>
              <w:t>Condition/focus</w:t>
            </w:r>
          </w:p>
        </w:tc>
        <w:tc>
          <w:tcPr>
            <w:tcW w:w="2448" w:type="dxa"/>
            <w:tcBorders>
              <w:left w:val="nil"/>
              <w:bottom w:val="single" w:sz="4" w:space="0" w:color="auto"/>
              <w:right w:val="nil"/>
            </w:tcBorders>
          </w:tcPr>
          <w:p w14:paraId="02D45796" w14:textId="688C4CF7" w:rsidR="00525EB8" w:rsidRPr="002307FF" w:rsidRDefault="0092130A" w:rsidP="008C1B1D">
            <w:pPr>
              <w:tabs>
                <w:tab w:val="left" w:pos="1064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7FF">
              <w:rPr>
                <w:rFonts w:ascii="Times New Roman" w:hAnsi="Times New Roman" w:cs="Times New Roman"/>
                <w:sz w:val="20"/>
                <w:szCs w:val="20"/>
              </w:rPr>
              <w:t>Cronbach’s α</w:t>
            </w:r>
          </w:p>
        </w:tc>
      </w:tr>
      <w:tr w:rsidR="00C92117" w:rsidRPr="002307FF" w14:paraId="1D77A324" w14:textId="77777777" w:rsidTr="008C1B1D">
        <w:tc>
          <w:tcPr>
            <w:tcW w:w="4606" w:type="dxa"/>
            <w:tcBorders>
              <w:left w:val="nil"/>
              <w:bottom w:val="nil"/>
              <w:right w:val="nil"/>
            </w:tcBorders>
          </w:tcPr>
          <w:p w14:paraId="13F6F6A7" w14:textId="3D39C316" w:rsidR="00C92117" w:rsidRPr="002307FF" w:rsidRDefault="00C92117" w:rsidP="00CF531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07FF">
              <w:rPr>
                <w:rFonts w:ascii="Times New Roman" w:hAnsi="Times New Roman" w:cs="Times New Roman"/>
                <w:sz w:val="20"/>
                <w:szCs w:val="20"/>
              </w:rPr>
              <w:t>Dwell time negative attend, emotional focus</w:t>
            </w:r>
          </w:p>
        </w:tc>
        <w:tc>
          <w:tcPr>
            <w:tcW w:w="2448" w:type="dxa"/>
            <w:tcBorders>
              <w:left w:val="nil"/>
              <w:bottom w:val="nil"/>
              <w:right w:val="nil"/>
            </w:tcBorders>
          </w:tcPr>
          <w:p w14:paraId="04612290" w14:textId="6790E9ED" w:rsidR="00C92117" w:rsidRPr="002307FF" w:rsidRDefault="00C92117" w:rsidP="008C1B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7FF">
              <w:rPr>
                <w:rFonts w:ascii="Times New Roman" w:hAnsi="Times New Roman" w:cs="Times New Roman"/>
                <w:sz w:val="20"/>
                <w:szCs w:val="20"/>
              </w:rPr>
              <w:t>.796</w:t>
            </w:r>
          </w:p>
        </w:tc>
      </w:tr>
      <w:tr w:rsidR="00C92117" w:rsidRPr="002307FF" w14:paraId="6CC4D831" w14:textId="77777777" w:rsidTr="008C1B1D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11BA51BB" w14:textId="09014AC6" w:rsidR="00C92117" w:rsidRPr="002307FF" w:rsidRDefault="00C92117" w:rsidP="00CF531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07FF">
              <w:rPr>
                <w:rFonts w:ascii="Times New Roman" w:hAnsi="Times New Roman" w:cs="Times New Roman"/>
                <w:sz w:val="20"/>
                <w:szCs w:val="20"/>
              </w:rPr>
              <w:t>Dwell time negative reappraise, emotional focus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33DE2882" w14:textId="70047AFC" w:rsidR="00C92117" w:rsidRPr="002307FF" w:rsidRDefault="00C92117" w:rsidP="008C1B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7FF">
              <w:rPr>
                <w:rFonts w:ascii="Times New Roman" w:hAnsi="Times New Roman" w:cs="Times New Roman"/>
                <w:sz w:val="20"/>
                <w:szCs w:val="20"/>
              </w:rPr>
              <w:t>.440</w:t>
            </w:r>
          </w:p>
        </w:tc>
      </w:tr>
      <w:tr w:rsidR="00C92117" w:rsidRPr="002307FF" w14:paraId="6D60579F" w14:textId="77777777" w:rsidTr="008C1B1D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6A6CF41" w14:textId="55F003BF" w:rsidR="00C92117" w:rsidRPr="002307FF" w:rsidRDefault="00C92117" w:rsidP="00CF531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07FF">
              <w:rPr>
                <w:rFonts w:ascii="Times New Roman" w:hAnsi="Times New Roman" w:cs="Times New Roman"/>
                <w:sz w:val="20"/>
                <w:szCs w:val="20"/>
              </w:rPr>
              <w:t>Dwell time negative attend, non-emotional focus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5869C967" w14:textId="431250B9" w:rsidR="00C92117" w:rsidRPr="002307FF" w:rsidRDefault="00C92117" w:rsidP="008C1B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7FF">
              <w:rPr>
                <w:rFonts w:ascii="Times New Roman" w:hAnsi="Times New Roman" w:cs="Times New Roman"/>
                <w:sz w:val="20"/>
                <w:szCs w:val="20"/>
              </w:rPr>
              <w:t>.528</w:t>
            </w:r>
          </w:p>
        </w:tc>
      </w:tr>
      <w:tr w:rsidR="00C92117" w:rsidRPr="002307FF" w14:paraId="6ADE5C1A" w14:textId="77777777" w:rsidTr="008C1B1D">
        <w:tc>
          <w:tcPr>
            <w:tcW w:w="4606" w:type="dxa"/>
            <w:tcBorders>
              <w:top w:val="nil"/>
              <w:left w:val="nil"/>
              <w:right w:val="nil"/>
            </w:tcBorders>
          </w:tcPr>
          <w:p w14:paraId="240E5B7C" w14:textId="5BA8C996" w:rsidR="00C92117" w:rsidRPr="002307FF" w:rsidRDefault="00C92117" w:rsidP="00CF531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07FF">
              <w:rPr>
                <w:rFonts w:ascii="Times New Roman" w:hAnsi="Times New Roman" w:cs="Times New Roman"/>
                <w:sz w:val="20"/>
                <w:szCs w:val="20"/>
              </w:rPr>
              <w:t>Dwell time negative reappraise, non-emotional focus</w:t>
            </w:r>
          </w:p>
        </w:tc>
        <w:tc>
          <w:tcPr>
            <w:tcW w:w="2448" w:type="dxa"/>
            <w:tcBorders>
              <w:top w:val="nil"/>
              <w:left w:val="nil"/>
              <w:right w:val="nil"/>
            </w:tcBorders>
          </w:tcPr>
          <w:p w14:paraId="55D86D1A" w14:textId="20014D4A" w:rsidR="00C92117" w:rsidRPr="002307FF" w:rsidRDefault="00C92117" w:rsidP="008C1B1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7FF">
              <w:rPr>
                <w:rFonts w:ascii="Times New Roman" w:hAnsi="Times New Roman" w:cs="Times New Roman"/>
                <w:sz w:val="20"/>
                <w:szCs w:val="20"/>
              </w:rPr>
              <w:t>.719</w:t>
            </w:r>
          </w:p>
        </w:tc>
      </w:tr>
    </w:tbl>
    <w:p w14:paraId="7FD7D671" w14:textId="77777777" w:rsidR="00290B05" w:rsidRPr="006040A3" w:rsidRDefault="00290B05" w:rsidP="006040A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B6D4E8" w14:textId="0353E4E4" w:rsidR="00122803" w:rsidRPr="0053041C" w:rsidRDefault="00122803" w:rsidP="008D4435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53041C">
        <w:rPr>
          <w:rFonts w:ascii="Times New Roman" w:hAnsi="Times New Roman" w:cs="Times New Roman"/>
          <w:b/>
          <w:sz w:val="20"/>
          <w:szCs w:val="20"/>
        </w:rPr>
        <w:t>Table S</w:t>
      </w:r>
      <w:r w:rsidR="00290B05" w:rsidRPr="005C05D9">
        <w:rPr>
          <w:rFonts w:ascii="Times New Roman" w:hAnsi="Times New Roman" w:cs="Times New Roman"/>
          <w:b/>
          <w:sz w:val="20"/>
          <w:szCs w:val="20"/>
        </w:rPr>
        <w:t>3</w:t>
      </w:r>
    </w:p>
    <w:p w14:paraId="41D83CBA" w14:textId="7E1B8AD8" w:rsidR="00122803" w:rsidRPr="0053041C" w:rsidRDefault="001062EE" w:rsidP="00122803">
      <w:pPr>
        <w:spacing w:after="0" w:line="480" w:lineRule="auto"/>
        <w:ind w:left="708" w:hanging="708"/>
        <w:rPr>
          <w:rFonts w:ascii="Times New Roman" w:hAnsi="Times New Roman" w:cs="Times New Roman"/>
          <w:i/>
          <w:sz w:val="20"/>
          <w:szCs w:val="20"/>
        </w:rPr>
      </w:pPr>
      <w:r w:rsidRPr="0053041C">
        <w:rPr>
          <w:rFonts w:ascii="Times New Roman" w:hAnsi="Times New Roman" w:cs="Times New Roman"/>
          <w:i/>
          <w:sz w:val="20"/>
          <w:szCs w:val="20"/>
        </w:rPr>
        <w:t>Percentage of dwell time (</w:t>
      </w:r>
      <w:r w:rsidRPr="0053041C">
        <w:rPr>
          <w:rFonts w:ascii="Times New Roman" w:hAnsi="Times New Roman" w:cs="Times New Roman"/>
          <w:sz w:val="20"/>
          <w:szCs w:val="20"/>
        </w:rPr>
        <w:t>M</w:t>
      </w:r>
      <w:r w:rsidRPr="0053041C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53041C">
        <w:rPr>
          <w:rFonts w:ascii="Times New Roman" w:hAnsi="Times New Roman" w:cs="Times New Roman"/>
          <w:sz w:val="20"/>
          <w:szCs w:val="20"/>
        </w:rPr>
        <w:t>SD</w:t>
      </w:r>
      <w:r w:rsidRPr="0053041C">
        <w:rPr>
          <w:rFonts w:ascii="Times New Roman" w:hAnsi="Times New Roman" w:cs="Times New Roman"/>
          <w:i/>
          <w:sz w:val="20"/>
          <w:szCs w:val="20"/>
        </w:rPr>
        <w:t>) spent fixating highlighted squares</w:t>
      </w:r>
      <w:r w:rsidR="008D4435" w:rsidRPr="0053041C">
        <w:rPr>
          <w:rFonts w:ascii="Times New Roman" w:hAnsi="Times New Roman" w:cs="Times New Roman"/>
          <w:i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31"/>
        <w:gridCol w:w="1531"/>
        <w:gridCol w:w="1531"/>
      </w:tblGrid>
      <w:tr w:rsidR="008E0CC0" w:rsidRPr="0053041C" w14:paraId="06BFC083" w14:textId="77777777" w:rsidTr="008D443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262AD01" w14:textId="53429B98" w:rsidR="008E0CC0" w:rsidRPr="0053041C" w:rsidRDefault="008E0CC0" w:rsidP="007562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</w:rPr>
              <w:t>Experimental condition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03909DC" w14:textId="77777777" w:rsidR="008E0CC0" w:rsidRPr="0053041C" w:rsidRDefault="008E0CC0" w:rsidP="007562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MD adolescents</w:t>
            </w:r>
          </w:p>
          <w:p w14:paraId="0E93DBC1" w14:textId="12825636" w:rsidR="008E0CC0" w:rsidRPr="0053041C" w:rsidRDefault="00756262" w:rsidP="007562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53041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</w:t>
            </w: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8E0CC0"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</w:t>
            </w: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8E0CC0"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3EEA99C" w14:textId="77777777" w:rsidR="00756262" w:rsidRPr="0053041C" w:rsidRDefault="00756262" w:rsidP="007562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TD adolescents</w:t>
            </w:r>
          </w:p>
          <w:p w14:paraId="59622D2A" w14:textId="0B495292" w:rsidR="008E0CC0" w:rsidRPr="0053041C" w:rsidRDefault="00756262" w:rsidP="007562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53041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</w:t>
            </w: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= 28)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66B8AFD" w14:textId="5ED8E68C" w:rsidR="008E0CC0" w:rsidRPr="0053041C" w:rsidRDefault="00756262" w:rsidP="007562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-value</w:t>
            </w:r>
          </w:p>
        </w:tc>
      </w:tr>
      <w:tr w:rsidR="00756262" w:rsidRPr="0053041C" w14:paraId="63B4C340" w14:textId="77777777" w:rsidTr="008D4435"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054928B3" w14:textId="4A763AF7" w:rsidR="00756262" w:rsidRPr="0053041C" w:rsidRDefault="00756262" w:rsidP="006262A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emotional/central focus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62AB1CF6" w14:textId="42718F09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59830393" w14:textId="4FBA556E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122D020F" w14:textId="7F636FBC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84BB6" w:rsidRPr="0053041C" w14:paraId="57BDFA88" w14:textId="77777777" w:rsidTr="008D4435">
        <w:tc>
          <w:tcPr>
            <w:tcW w:w="3686" w:type="dxa"/>
            <w:vAlign w:val="center"/>
          </w:tcPr>
          <w:p w14:paraId="28B36B3B" w14:textId="787BECC3" w:rsidR="00C84BB6" w:rsidRPr="0053041C" w:rsidRDefault="00C84BB6" w:rsidP="006262A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neutral attend </w:t>
            </w:r>
          </w:p>
        </w:tc>
        <w:tc>
          <w:tcPr>
            <w:tcW w:w="1531" w:type="dxa"/>
            <w:vAlign w:val="center"/>
          </w:tcPr>
          <w:p w14:paraId="06258F61" w14:textId="43ABC920" w:rsidR="00C84BB6" w:rsidRPr="0053041C" w:rsidRDefault="00C84BB6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96.08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2.10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vAlign w:val="center"/>
          </w:tcPr>
          <w:p w14:paraId="69FA20A7" w14:textId="67254388" w:rsidR="00C84BB6" w:rsidRPr="0053041C" w:rsidRDefault="00C84BB6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94.69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3.91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vAlign w:val="center"/>
          </w:tcPr>
          <w:p w14:paraId="3BC38B26" w14:textId="09BFB6C2" w:rsidR="00C84BB6" w:rsidRPr="0053041C" w:rsidRDefault="00C84BB6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.156</w:t>
            </w:r>
          </w:p>
        </w:tc>
      </w:tr>
      <w:tr w:rsidR="00C84BB6" w:rsidRPr="0053041C" w14:paraId="7B60CADF" w14:textId="77777777" w:rsidTr="008D4435">
        <w:tc>
          <w:tcPr>
            <w:tcW w:w="3686" w:type="dxa"/>
            <w:vAlign w:val="center"/>
          </w:tcPr>
          <w:p w14:paraId="2E41296B" w14:textId="4536F6B1" w:rsidR="00C84BB6" w:rsidRPr="0053041C" w:rsidRDefault="00C84BB6" w:rsidP="006262A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positive attend </w:t>
            </w:r>
          </w:p>
        </w:tc>
        <w:tc>
          <w:tcPr>
            <w:tcW w:w="1531" w:type="dxa"/>
            <w:vAlign w:val="center"/>
          </w:tcPr>
          <w:p w14:paraId="14DECAEF" w14:textId="304FAB97" w:rsidR="00C84BB6" w:rsidRPr="0053041C" w:rsidRDefault="00C84BB6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93.26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3.39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vAlign w:val="center"/>
          </w:tcPr>
          <w:p w14:paraId="421BFD3A" w14:textId="1B9CA295" w:rsidR="00C84BB6" w:rsidRPr="0053041C" w:rsidRDefault="00C84BB6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91.67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5.63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vAlign w:val="center"/>
          </w:tcPr>
          <w:p w14:paraId="46CE8212" w14:textId="1AD2E587" w:rsidR="00C84BB6" w:rsidRPr="0053041C" w:rsidRDefault="00C84BB6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.266</w:t>
            </w:r>
          </w:p>
        </w:tc>
      </w:tr>
      <w:tr w:rsidR="00C84BB6" w:rsidRPr="0053041C" w14:paraId="1D21279A" w14:textId="77777777" w:rsidTr="008D4435">
        <w:tc>
          <w:tcPr>
            <w:tcW w:w="3686" w:type="dxa"/>
            <w:vAlign w:val="center"/>
          </w:tcPr>
          <w:p w14:paraId="4B53C126" w14:textId="68A2B5E5" w:rsidR="00C84BB6" w:rsidRPr="0053041C" w:rsidRDefault="00C84BB6" w:rsidP="006262A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negative attend </w:t>
            </w:r>
          </w:p>
        </w:tc>
        <w:tc>
          <w:tcPr>
            <w:tcW w:w="1531" w:type="dxa"/>
            <w:vAlign w:val="center"/>
          </w:tcPr>
          <w:p w14:paraId="6725BD9F" w14:textId="7B7686F6" w:rsidR="00C84BB6" w:rsidRPr="0053041C" w:rsidRDefault="00C84BB6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93.55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3.38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vAlign w:val="center"/>
          </w:tcPr>
          <w:p w14:paraId="2DE86F67" w14:textId="6315F05D" w:rsidR="00C84BB6" w:rsidRPr="0053041C" w:rsidRDefault="00C84BB6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90.78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5.25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vAlign w:val="center"/>
          </w:tcPr>
          <w:p w14:paraId="490698CF" w14:textId="27BC3699" w:rsidR="00C84BB6" w:rsidRPr="0053041C" w:rsidRDefault="00C84BB6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.044</w:t>
            </w:r>
          </w:p>
        </w:tc>
      </w:tr>
      <w:tr w:rsidR="00C84BB6" w:rsidRPr="0053041C" w14:paraId="54FD6396" w14:textId="77777777" w:rsidTr="008D4435"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BF8EFBA" w14:textId="45290AFA" w:rsidR="00C84BB6" w:rsidRPr="0053041C" w:rsidRDefault="00C84BB6" w:rsidP="006262A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negative reappraise 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8116F90" w14:textId="0D2473AC" w:rsidR="00C84BB6" w:rsidRPr="0053041C" w:rsidRDefault="00C84BB6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91.36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4.33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0FF1BB9C" w14:textId="5BB30F80" w:rsidR="00C84BB6" w:rsidRPr="0053041C" w:rsidRDefault="00C84BB6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90.54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4.80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7B71069" w14:textId="7A875B27" w:rsidR="00C84BB6" w:rsidRPr="0053041C" w:rsidRDefault="00C84BB6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.546</w:t>
            </w:r>
          </w:p>
        </w:tc>
      </w:tr>
      <w:tr w:rsidR="00756262" w:rsidRPr="0053041C" w14:paraId="6358125E" w14:textId="77777777" w:rsidTr="008D4435"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7E24A5C" w14:textId="5D7DB80F" w:rsidR="00756262" w:rsidRPr="0053041C" w:rsidRDefault="00756262" w:rsidP="006262A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non-emotional/</w:t>
            </w:r>
            <w:proofErr w:type="spellStart"/>
            <w:r w:rsidR="009A5E4E" w:rsidRPr="0053041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periphera</w:t>
            </w:r>
            <w:proofErr w:type="spellEnd"/>
            <w:r w:rsidRPr="0053041C">
              <w:rPr>
                <w:rFonts w:ascii="Times New Roman" w:hAnsi="Times New Roman" w:cs="Times New Roman"/>
                <w:b/>
                <w:sz w:val="20"/>
                <w:szCs w:val="20"/>
              </w:rPr>
              <w:t>l focus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5F4B6F3B" w14:textId="48ADB6AD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6BF71308" w14:textId="7076B243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00A209A1" w14:textId="377830B6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756262" w:rsidRPr="0053041C" w14:paraId="4C9A44CD" w14:textId="77777777" w:rsidTr="008D4435">
        <w:tc>
          <w:tcPr>
            <w:tcW w:w="3686" w:type="dxa"/>
            <w:vAlign w:val="center"/>
          </w:tcPr>
          <w:p w14:paraId="44C598C9" w14:textId="5BC0C495" w:rsidR="00756262" w:rsidRPr="0053041C" w:rsidRDefault="00756262" w:rsidP="006262A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</w:rPr>
              <w:t xml:space="preserve">   neutral attend </w:t>
            </w:r>
          </w:p>
        </w:tc>
        <w:tc>
          <w:tcPr>
            <w:tcW w:w="1531" w:type="dxa"/>
            <w:vAlign w:val="center"/>
          </w:tcPr>
          <w:p w14:paraId="6B8326E4" w14:textId="2C335F39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90.95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3.63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vAlign w:val="center"/>
          </w:tcPr>
          <w:p w14:paraId="2177EACC" w14:textId="3A40066A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88.59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4.89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vAlign w:val="center"/>
          </w:tcPr>
          <w:p w14:paraId="1077523A" w14:textId="72478949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</w:rPr>
              <w:t>.074</w:t>
            </w:r>
          </w:p>
        </w:tc>
      </w:tr>
      <w:tr w:rsidR="00756262" w:rsidRPr="0053041C" w14:paraId="30137BD4" w14:textId="77777777" w:rsidTr="008D4435">
        <w:tc>
          <w:tcPr>
            <w:tcW w:w="3686" w:type="dxa"/>
            <w:vAlign w:val="center"/>
          </w:tcPr>
          <w:p w14:paraId="554E3C1F" w14:textId="0D426D6F" w:rsidR="00756262" w:rsidRPr="0053041C" w:rsidRDefault="00756262" w:rsidP="006262A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</w:rPr>
              <w:t xml:space="preserve">   positive attend </w:t>
            </w:r>
          </w:p>
        </w:tc>
        <w:tc>
          <w:tcPr>
            <w:tcW w:w="1531" w:type="dxa"/>
            <w:vAlign w:val="center"/>
          </w:tcPr>
          <w:p w14:paraId="35654E53" w14:textId="49D8E440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89.18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5.46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vAlign w:val="center"/>
          </w:tcPr>
          <w:p w14:paraId="0A7A908F" w14:textId="4542F0B7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84.66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7.07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vAlign w:val="center"/>
          </w:tcPr>
          <w:p w14:paraId="1B087F97" w14:textId="3D6AB98B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</w:rPr>
              <w:t>.021</w:t>
            </w:r>
          </w:p>
        </w:tc>
      </w:tr>
      <w:tr w:rsidR="00756262" w:rsidRPr="0053041C" w14:paraId="420AD2D8" w14:textId="77777777" w:rsidTr="008D4435">
        <w:tc>
          <w:tcPr>
            <w:tcW w:w="3686" w:type="dxa"/>
            <w:vAlign w:val="center"/>
          </w:tcPr>
          <w:p w14:paraId="768241CA" w14:textId="486D04FB" w:rsidR="00756262" w:rsidRPr="0053041C" w:rsidRDefault="00756262" w:rsidP="006262A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</w:rPr>
              <w:t xml:space="preserve">   negative attend </w:t>
            </w:r>
          </w:p>
        </w:tc>
        <w:tc>
          <w:tcPr>
            <w:tcW w:w="1531" w:type="dxa"/>
            <w:vAlign w:val="center"/>
          </w:tcPr>
          <w:p w14:paraId="7E22D10C" w14:textId="20B93D39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85.91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5.27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vAlign w:val="center"/>
          </w:tcPr>
          <w:p w14:paraId="18BAC481" w14:textId="34197F03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81.59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8.66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vAlign w:val="center"/>
          </w:tcPr>
          <w:p w14:paraId="5011482D" w14:textId="425CE56F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</w:rPr>
              <w:t>.054</w:t>
            </w:r>
          </w:p>
        </w:tc>
      </w:tr>
      <w:tr w:rsidR="00756262" w:rsidRPr="0053041C" w14:paraId="228A3526" w14:textId="77777777" w:rsidTr="008D4435"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44782E9" w14:textId="1964D9DE" w:rsidR="00756262" w:rsidRPr="0053041C" w:rsidRDefault="00756262" w:rsidP="006262A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</w:rPr>
              <w:t xml:space="preserve">   negative reappraise 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675E156" w14:textId="7D6E829A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86.18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6.53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3527F06" w14:textId="512A6A75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82.41 (</w:t>
            </w:r>
            <w:r w:rsidRPr="0053041C">
              <w:rPr>
                <w:rFonts w:ascii="Times New Roman" w:hAnsi="Times New Roman" w:cs="Times New Roman"/>
                <w:i/>
                <w:color w:val="010205"/>
                <w:sz w:val="20"/>
                <w:szCs w:val="20"/>
              </w:rPr>
              <w:t>8.54</w:t>
            </w:r>
            <w:r w:rsidRPr="0053041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EE000C3" w14:textId="00DAA84C" w:rsidR="00756262" w:rsidRPr="0053041C" w:rsidRDefault="00756262" w:rsidP="006262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041C">
              <w:rPr>
                <w:rFonts w:ascii="Times New Roman" w:hAnsi="Times New Roman" w:cs="Times New Roman"/>
                <w:sz w:val="20"/>
                <w:szCs w:val="20"/>
              </w:rPr>
              <w:t>.104</w:t>
            </w:r>
          </w:p>
        </w:tc>
      </w:tr>
    </w:tbl>
    <w:p w14:paraId="6668C7A6" w14:textId="1CC9A246" w:rsidR="00756262" w:rsidRPr="0053041C" w:rsidRDefault="00756262" w:rsidP="0075626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Abbreviations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: MD = Major Depression; TD = </w:t>
      </w:r>
      <w:proofErr w:type="gramStart"/>
      <w:r w:rsidRPr="0053041C">
        <w:rPr>
          <w:rFonts w:ascii="Times New Roman" w:hAnsi="Times New Roman" w:cs="Times New Roman"/>
          <w:sz w:val="20"/>
          <w:szCs w:val="20"/>
          <w:lang w:val="en-GB"/>
        </w:rPr>
        <w:t>Typically</w:t>
      </w:r>
      <w:proofErr w:type="gramEnd"/>
      <w:r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 developing.</w:t>
      </w:r>
    </w:p>
    <w:p w14:paraId="6F2FF8C0" w14:textId="318BE58F" w:rsidR="008E0CC0" w:rsidRPr="0053041C" w:rsidRDefault="008E0CC0" w:rsidP="008E0CC0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02B73D5" w14:textId="77777777" w:rsidR="00A168EB" w:rsidRDefault="00A168EB" w:rsidP="009E03F6">
      <w:pPr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7C83666" w14:textId="77777777" w:rsidR="00A168EB" w:rsidRDefault="00A168EB" w:rsidP="009E03F6">
      <w:pPr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476060A" w14:textId="77777777" w:rsidR="00A168EB" w:rsidRDefault="00A168EB" w:rsidP="009E03F6">
      <w:pPr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98A45A4" w14:textId="26DBAC84" w:rsidR="00312BB3" w:rsidRPr="0053041C" w:rsidRDefault="00312BB3" w:rsidP="009E03F6">
      <w:pPr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53041C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Relationships between ER success and questionnaire data</w:t>
      </w:r>
    </w:p>
    <w:p w14:paraId="6E1F7E7F" w14:textId="15CB1FFD" w:rsidR="00312BB3" w:rsidRPr="0053041C" w:rsidRDefault="00312BB3" w:rsidP="009E03F6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In neither of the two groups we found significant correlations between ER success in the emotional and non-emotional gaze focus condition, respectively, and the tendency to give socially desirable answers (as measured with the SDS-17; 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881E34" w:rsidRPr="0053041C">
        <w:rPr>
          <w:rFonts w:ascii="Times New Roman" w:hAnsi="Times New Roman" w:cs="Times New Roman"/>
          <w:sz w:val="20"/>
          <w:szCs w:val="20"/>
          <w:lang w:val="en-GB"/>
        </w:rPr>
        <w:t>s≥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.563). </w:t>
      </w:r>
    </w:p>
    <w:p w14:paraId="05323BE3" w14:textId="4094184A" w:rsidR="000574D9" w:rsidRPr="000574D9" w:rsidRDefault="00312BB3" w:rsidP="00A168EB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All correlations between ER success in the emotional and non-emotional gaze focus conditions and habitual ER strategies (as assessed with the FEEL-KJ) were non-significant in both groups (all 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881E34" w:rsidRPr="0053041C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≥.095). </w:t>
      </w:r>
    </w:p>
    <w:p w14:paraId="3CCBB65A" w14:textId="4ED28F6A" w:rsidR="00312BB3" w:rsidRDefault="00312BB3" w:rsidP="001D36DA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ER success in the two gaze focus conditions did not significantly correlate with the severity of the depressive symptomatology in MD adolescents (as assessed with the BDI-II; 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881E34" w:rsidRPr="0053041C">
        <w:rPr>
          <w:rFonts w:ascii="Times New Roman" w:hAnsi="Times New Roman" w:cs="Times New Roman"/>
          <w:sz w:val="20"/>
          <w:szCs w:val="20"/>
          <w:lang w:val="en-GB"/>
        </w:rPr>
        <w:t>s≥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.121). </w:t>
      </w:r>
    </w:p>
    <w:p w14:paraId="7ED4B0EB" w14:textId="77777777" w:rsidR="00A168EB" w:rsidRPr="001D36DA" w:rsidRDefault="00A168EB" w:rsidP="001D36DA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49F8BB4" w14:textId="44914273" w:rsidR="00BF1A81" w:rsidRPr="0053041C" w:rsidRDefault="002E543B" w:rsidP="009E03F6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3041C">
        <w:rPr>
          <w:rFonts w:ascii="Times New Roman" w:hAnsi="Times New Roman" w:cs="Times New Roman"/>
          <w:b/>
          <w:sz w:val="20"/>
          <w:szCs w:val="20"/>
        </w:rPr>
        <w:t xml:space="preserve">Detailed results on </w:t>
      </w:r>
      <w:r w:rsidR="001B3944" w:rsidRPr="0053041C">
        <w:rPr>
          <w:rFonts w:ascii="Times New Roman" w:hAnsi="Times New Roman" w:cs="Times New Roman"/>
          <w:b/>
          <w:sz w:val="20"/>
          <w:szCs w:val="20"/>
        </w:rPr>
        <w:t>g</w:t>
      </w:r>
      <w:r w:rsidR="00BF1A81" w:rsidRPr="0053041C">
        <w:rPr>
          <w:rFonts w:ascii="Times New Roman" w:hAnsi="Times New Roman" w:cs="Times New Roman"/>
          <w:b/>
          <w:sz w:val="20"/>
          <w:szCs w:val="20"/>
        </w:rPr>
        <w:t>aze behavior over time</w:t>
      </w:r>
    </w:p>
    <w:p w14:paraId="75B365DC" w14:textId="54160406" w:rsidR="00BF1A81" w:rsidRPr="0053041C" w:rsidRDefault="002E543B" w:rsidP="009E03F6">
      <w:pPr>
        <w:spacing w:after="0" w:line="48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To investigate gaze </w:t>
      </w:r>
      <w:r w:rsidR="001B3944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patterns over time, we </w:t>
      </w:r>
      <w:proofErr w:type="spellStart"/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splitt</w:t>
      </w:r>
      <w:r w:rsidR="001B3944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ed</w:t>
      </w:r>
      <w:proofErr w:type="spellEnd"/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7-second picture presentation duration into 7 epochs each </w:t>
      </w:r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lasting 1 second. The 2(group</w:t>
      </w:r>
      <w:proofErr w:type="gramStart"/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)×</w:t>
      </w:r>
      <w:proofErr w:type="gramEnd"/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2(gaze focus condition)×7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(epoch) mixed-model ANOVA for the “reinterpret” instruction revealed a significant main effect of epoch 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(</w:t>
      </w:r>
      <w:r w:rsidR="00BF1A81"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F</w:t>
      </w:r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(6,144.82)=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134.73, </w:t>
      </w:r>
      <w:r w:rsidR="00C269BA"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p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&lt;.001, </w:t>
      </w:r>
      <w:r w:rsidR="00BF1A81" w:rsidRPr="0053041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GB"/>
        </w:rPr>
        <w:t>ƞ</w:t>
      </w:r>
      <w:r w:rsidR="00BF1A81" w:rsidRPr="0053041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  <w:lang w:val="en-GB"/>
        </w:rPr>
        <w:t>p</w:t>
      </w:r>
      <w:r w:rsidR="00C269BA" w:rsidRPr="0053041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perscript"/>
          <w:lang w:val="en-GB"/>
        </w:rPr>
        <w:t>2</w:t>
      </w:r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745)</w:t>
      </w:r>
      <w:r w:rsidR="00505066" w:rsidRPr="0053041C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 Post-hoc 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t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-tests revealed a significant increase in dwell time between second 3 and 4 (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 xml:space="preserve">p </w:t>
      </w:r>
      <w:r w:rsidR="00C269BA"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.015) and second 5 and 6 (</w:t>
      </w:r>
      <w:r w:rsidR="00C269BA"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=.002). </w:t>
      </w:r>
      <w:r w:rsidR="006B6C84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No significant main effect of group was found </w:t>
      </w:r>
      <w:r w:rsidR="006B6C84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proofErr w:type="gramStart"/>
      <w:r w:rsidR="006B6C84" w:rsidRPr="0053041C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F</w:t>
      </w:r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proofErr w:type="gramEnd"/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1,46)=</w:t>
      </w:r>
      <w:r w:rsidR="006B6C84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1.64, </w:t>
      </w:r>
      <w:r w:rsidR="00C269BA" w:rsidRPr="0053041C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</w:t>
      </w:r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=</w:t>
      </w:r>
      <w:r w:rsidR="006B6C84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.207, </w:t>
      </w:r>
      <w:r w:rsidR="006B6C84" w:rsidRPr="0053041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ƞ</w:t>
      </w:r>
      <w:r w:rsidR="006B6C84" w:rsidRPr="0053041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</w:rPr>
        <w:t>p</w:t>
      </w:r>
      <w:r w:rsidR="00C269BA" w:rsidRPr="0053041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perscript"/>
        </w:rPr>
        <w:t>2</w:t>
      </w:r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=</w:t>
      </w:r>
      <w:r w:rsidR="006B6C84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.034). However, t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>here was a significant interaction between group and gaze focus condition (</w:t>
      </w:r>
      <w:proofErr w:type="gramStart"/>
      <w:r w:rsidR="006B6C84" w:rsidRPr="0053041C">
        <w:rPr>
          <w:rFonts w:ascii="Times New Roman" w:hAnsi="Times New Roman" w:cs="Times New Roman"/>
          <w:i/>
          <w:sz w:val="20"/>
          <w:szCs w:val="20"/>
          <w:lang w:val="en-GB"/>
        </w:rPr>
        <w:t>F</w:t>
      </w:r>
      <w:r w:rsidR="00C269BA" w:rsidRPr="0053041C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End"/>
      <w:r w:rsidR="00C269BA" w:rsidRPr="0053041C">
        <w:rPr>
          <w:rFonts w:ascii="Times New Roman" w:hAnsi="Times New Roman" w:cs="Times New Roman"/>
          <w:sz w:val="20"/>
          <w:szCs w:val="20"/>
          <w:lang w:val="en-GB"/>
        </w:rPr>
        <w:t>1,46)=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4.62, </w:t>
      </w:r>
      <w:r w:rsidR="00C269BA"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C269BA"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.037, </w:t>
      </w:r>
      <w:r w:rsidR="006B6C84" w:rsidRPr="0053041C">
        <w:rPr>
          <w:rFonts w:ascii="Times New Roman" w:hAnsi="Times New Roman" w:cs="Times New Roman"/>
          <w:i/>
          <w:iCs/>
          <w:sz w:val="20"/>
          <w:szCs w:val="20"/>
          <w:lang w:val="en-GB"/>
        </w:rPr>
        <w:t>ƞ</w:t>
      </w:r>
      <w:r w:rsidR="006B6C84" w:rsidRPr="0053041C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GB"/>
        </w:rPr>
        <w:t>p</w:t>
      </w:r>
      <w:r w:rsidR="00C269BA" w:rsidRPr="0053041C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2</w:t>
      </w:r>
      <w:r w:rsidR="00C269BA" w:rsidRPr="0053041C">
        <w:rPr>
          <w:rFonts w:ascii="Times New Roman" w:hAnsi="Times New Roman" w:cs="Times New Roman"/>
          <w:i/>
          <w:iCs/>
          <w:sz w:val="20"/>
          <w:szCs w:val="20"/>
          <w:lang w:val="en-GB"/>
        </w:rPr>
        <w:t>=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.091). Post-hoc independent </w:t>
      </w:r>
      <w:r w:rsidR="006B6C84" w:rsidRPr="0053041C">
        <w:rPr>
          <w:rFonts w:ascii="Times New Roman" w:hAnsi="Times New Roman" w:cs="Times New Roman"/>
          <w:i/>
          <w:sz w:val="20"/>
          <w:szCs w:val="20"/>
          <w:lang w:val="en-GB"/>
        </w:rPr>
        <w:t>t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-tests revealed that dwell times were comparable between groups in both the emotional and non-emotional gaze focus condition (both </w:t>
      </w:r>
      <w:r w:rsidR="00C269BA" w:rsidRPr="0053041C">
        <w:rPr>
          <w:rFonts w:ascii="Times New Roman" w:hAnsi="Times New Roman" w:cs="Times New Roman"/>
          <w:i/>
          <w:sz w:val="20"/>
          <w:szCs w:val="20"/>
          <w:lang w:val="en-GB"/>
        </w:rPr>
        <w:t>ps</w:t>
      </w:r>
      <w:r w:rsidR="00C269BA" w:rsidRPr="0053041C">
        <w:rPr>
          <w:rFonts w:ascii="Times New Roman" w:hAnsi="Times New Roman" w:cs="Times New Roman"/>
          <w:sz w:val="20"/>
          <w:szCs w:val="20"/>
          <w:lang w:val="en-GB"/>
        </w:rPr>
        <w:t>≥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.109, emotional: </w:t>
      </w:r>
      <w:r w:rsidR="006B6C84" w:rsidRPr="0053041C">
        <w:rPr>
          <w:rFonts w:ascii="Times New Roman" w:hAnsi="Times New Roman" w:cs="Times New Roman"/>
          <w:i/>
          <w:sz w:val="20"/>
          <w:szCs w:val="20"/>
          <w:lang w:val="en-GB"/>
        </w:rPr>
        <w:t>d</w:t>
      </w:r>
      <w:r w:rsidR="00C269BA"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0.11, non-emotional: </w:t>
      </w:r>
      <w:r w:rsidR="00C269BA" w:rsidRPr="0053041C">
        <w:rPr>
          <w:rFonts w:ascii="Times New Roman" w:hAnsi="Times New Roman" w:cs="Times New Roman"/>
          <w:i/>
          <w:sz w:val="20"/>
          <w:szCs w:val="20"/>
          <w:lang w:val="en-GB"/>
        </w:rPr>
        <w:t>d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=0.33). 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To further investigate the interaction, we then calculated the difference scores between the percentages of dwell time spent on emotional vs. non-emotional picture aspects during reinterpretation for each group. The post-hoc independent 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t</w:t>
      </w:r>
      <w:r w:rsidR="006B6C84" w:rsidRPr="0053041C">
        <w:rPr>
          <w:rFonts w:ascii="Times New Roman" w:hAnsi="Times New Roman" w:cs="Times New Roman"/>
          <w:sz w:val="20"/>
          <w:szCs w:val="20"/>
        </w:rPr>
        <w:t>-test indicated a lower difference score in depressed than in healthy adolescents (</w:t>
      </w:r>
      <w:proofErr w:type="gramStart"/>
      <w:r w:rsidR="006B6C84" w:rsidRPr="0053041C">
        <w:rPr>
          <w:rFonts w:ascii="Times New Roman" w:hAnsi="Times New Roman" w:cs="Times New Roman"/>
          <w:i/>
          <w:sz w:val="20"/>
          <w:szCs w:val="20"/>
        </w:rPr>
        <w:t>t</w:t>
      </w:r>
      <w:r w:rsidR="00C269BA" w:rsidRPr="0053041C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C269BA" w:rsidRPr="0053041C">
        <w:rPr>
          <w:rFonts w:ascii="Times New Roman" w:hAnsi="Times New Roman" w:cs="Times New Roman"/>
          <w:sz w:val="20"/>
          <w:szCs w:val="20"/>
        </w:rPr>
        <w:t>46)=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2.09, 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p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=.042, 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d</w:t>
      </w:r>
      <w:r w:rsidR="00C269BA" w:rsidRPr="0053041C">
        <w:rPr>
          <w:rFonts w:ascii="Times New Roman" w:hAnsi="Times New Roman" w:cs="Times New Roman"/>
          <w:sz w:val="20"/>
          <w:szCs w:val="20"/>
        </w:rPr>
        <w:t>=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-0.61). </w:t>
      </w:r>
      <w:r w:rsidR="006B6C84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The other interactions involving group were non-significant (</w:t>
      </w:r>
      <w:r w:rsidR="006B6C84" w:rsidRPr="0053041C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F</w:t>
      </w:r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s≤</w:t>
      </w:r>
      <w:r w:rsidR="006B6C84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0.59, </w:t>
      </w:r>
      <w:r w:rsidR="006B6C84" w:rsidRPr="0053041C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</w:t>
      </w:r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s≥</w:t>
      </w:r>
      <w:r w:rsidR="006B6C84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.736). 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Moreover, we 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found a significant interaction between epoch and gaze focus condition </w:t>
      </w:r>
      <w:r w:rsidR="006B6C84" w:rsidRPr="0053041C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6B6C84" w:rsidRPr="0053041C">
        <w:rPr>
          <w:rFonts w:ascii="Times New Roman" w:hAnsi="Times New Roman" w:cs="Times New Roman"/>
          <w:i/>
          <w:sz w:val="20"/>
          <w:szCs w:val="20"/>
        </w:rPr>
        <w:t>F</w:t>
      </w:r>
      <w:r w:rsidR="00C269BA" w:rsidRPr="0053041C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C269BA" w:rsidRPr="0053041C">
        <w:rPr>
          <w:rFonts w:ascii="Times New Roman" w:hAnsi="Times New Roman" w:cs="Times New Roman"/>
          <w:sz w:val="20"/>
          <w:szCs w:val="20"/>
        </w:rPr>
        <w:t>4.30,197.84)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=74.72, 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p</w:t>
      </w:r>
      <w:r w:rsidR="00C269BA" w:rsidRPr="0053041C">
        <w:rPr>
          <w:rFonts w:ascii="Times New Roman" w:hAnsi="Times New Roman" w:cs="Times New Roman"/>
          <w:sz w:val="20"/>
          <w:szCs w:val="20"/>
        </w:rPr>
        <w:t>&lt;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.001, </w:t>
      </w:r>
      <w:r w:rsidR="006B6C84" w:rsidRPr="0053041C">
        <w:rPr>
          <w:rFonts w:ascii="Times New Roman" w:hAnsi="Times New Roman" w:cs="Times New Roman"/>
          <w:i/>
          <w:iCs/>
          <w:sz w:val="20"/>
          <w:szCs w:val="20"/>
        </w:rPr>
        <w:t>ƞ</w:t>
      </w:r>
      <w:r w:rsidR="006B6C84" w:rsidRPr="0053041C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p</w:t>
      </w:r>
      <w:r w:rsidR="00C269BA" w:rsidRPr="0053041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="00C269BA" w:rsidRPr="0053041C">
        <w:rPr>
          <w:rFonts w:ascii="Times New Roman" w:hAnsi="Times New Roman" w:cs="Times New Roman"/>
          <w:sz w:val="20"/>
          <w:szCs w:val="20"/>
        </w:rPr>
        <w:t>=</w:t>
      </w:r>
      <w:r w:rsidR="00040A33">
        <w:rPr>
          <w:rFonts w:ascii="Times New Roman" w:hAnsi="Times New Roman" w:cs="Times New Roman"/>
          <w:sz w:val="20"/>
          <w:szCs w:val="20"/>
        </w:rPr>
        <w:t>.619) (see Figure 3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). When participants’ gaze was directed to emotional picture aspects a decrease in dwell time between second 2 and 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second </w:t>
      </w:r>
      <w:r w:rsidR="006B6C84" w:rsidRPr="0053041C">
        <w:rPr>
          <w:rFonts w:ascii="Times New Roman" w:hAnsi="Times New Roman" w:cs="Times New Roman"/>
          <w:sz w:val="20"/>
          <w:szCs w:val="20"/>
        </w:rPr>
        <w:t>3 (</w:t>
      </w:r>
      <w:r w:rsidR="00C269BA" w:rsidRPr="0053041C">
        <w:rPr>
          <w:rFonts w:ascii="Times New Roman" w:hAnsi="Times New Roman" w:cs="Times New Roman"/>
          <w:i/>
          <w:sz w:val="20"/>
          <w:szCs w:val="20"/>
        </w:rPr>
        <w:t>p</w:t>
      </w:r>
      <w:r w:rsidR="00C269BA" w:rsidRPr="0053041C">
        <w:rPr>
          <w:rFonts w:ascii="Times New Roman" w:hAnsi="Times New Roman" w:cs="Times New Roman"/>
          <w:sz w:val="20"/>
          <w:szCs w:val="20"/>
        </w:rPr>
        <w:t>=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.001, </w:t>
      </w:r>
      <w:r w:rsidR="00C269BA" w:rsidRPr="0053041C">
        <w:rPr>
          <w:rFonts w:ascii="Times New Roman" w:hAnsi="Times New Roman" w:cs="Times New Roman"/>
          <w:i/>
          <w:sz w:val="20"/>
          <w:szCs w:val="20"/>
        </w:rPr>
        <w:t>d</w:t>
      </w:r>
      <w:r w:rsidR="00C269BA" w:rsidRPr="0053041C">
        <w:rPr>
          <w:rFonts w:ascii="Times New Roman" w:hAnsi="Times New Roman" w:cs="Times New Roman"/>
          <w:sz w:val="20"/>
          <w:szCs w:val="20"/>
        </w:rPr>
        <w:t>=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0.44), and increases in dwell time between second 3 and 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>seconds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 4, 6, 7, respectively, (</w:t>
      </w:r>
      <w:proofErr w:type="spellStart"/>
      <w:r w:rsidR="006B6C84" w:rsidRPr="0053041C">
        <w:rPr>
          <w:rFonts w:ascii="Times New Roman" w:hAnsi="Times New Roman" w:cs="Times New Roman"/>
          <w:i/>
          <w:sz w:val="20"/>
          <w:szCs w:val="20"/>
        </w:rPr>
        <w:t>p</w:t>
      </w:r>
      <w:r w:rsidR="006B6C84" w:rsidRPr="0053041C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="006B6C84" w:rsidRPr="0053041C">
        <w:rPr>
          <w:rFonts w:ascii="Times New Roman" w:hAnsi="Times New Roman" w:cs="Times New Roman"/>
          <w:i/>
          <w:sz w:val="20"/>
          <w:szCs w:val="20"/>
        </w:rPr>
        <w:t xml:space="preserve">≤ 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.022, 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d</w:t>
      </w:r>
      <w:r w:rsidR="006B6C84" w:rsidRPr="0053041C">
        <w:rPr>
          <w:rFonts w:ascii="Times New Roman" w:hAnsi="Times New Roman" w:cs="Times New Roman"/>
          <w:sz w:val="20"/>
          <w:szCs w:val="20"/>
        </w:rPr>
        <w:t>s</w:t>
      </w:r>
      <w:r w:rsidR="00C269BA" w:rsidRPr="0053041C">
        <w:rPr>
          <w:rFonts w:ascii="Times New Roman" w:hAnsi="Times New Roman" w:cs="Times New Roman"/>
          <w:sz w:val="20"/>
          <w:szCs w:val="20"/>
        </w:rPr>
        <w:t>≥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0.34), 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second 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4 and 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>second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 7 (</w:t>
      </w:r>
      <w:r w:rsidR="00C269BA" w:rsidRPr="0053041C">
        <w:rPr>
          <w:rFonts w:ascii="Times New Roman" w:hAnsi="Times New Roman" w:cs="Times New Roman"/>
          <w:i/>
          <w:sz w:val="20"/>
          <w:szCs w:val="20"/>
        </w:rPr>
        <w:t>p</w:t>
      </w:r>
      <w:r w:rsidR="00C269BA" w:rsidRPr="0053041C">
        <w:rPr>
          <w:rFonts w:ascii="Times New Roman" w:hAnsi="Times New Roman" w:cs="Times New Roman"/>
          <w:sz w:val="20"/>
          <w:szCs w:val="20"/>
        </w:rPr>
        <w:t>=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.01, </w:t>
      </w:r>
      <w:r w:rsidR="00C269BA" w:rsidRPr="0053041C">
        <w:rPr>
          <w:rFonts w:ascii="Times New Roman" w:hAnsi="Times New Roman" w:cs="Times New Roman"/>
          <w:i/>
          <w:sz w:val="20"/>
          <w:szCs w:val="20"/>
        </w:rPr>
        <w:t>d</w:t>
      </w:r>
      <w:r w:rsidR="00C269BA" w:rsidRPr="0053041C">
        <w:rPr>
          <w:rFonts w:ascii="Times New Roman" w:hAnsi="Times New Roman" w:cs="Times New Roman"/>
          <w:sz w:val="20"/>
          <w:szCs w:val="20"/>
        </w:rPr>
        <w:t>=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0.40), and 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second 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5 and 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>seconds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 6, 7, respectively (</w:t>
      </w:r>
      <w:r w:rsidR="00C269BA" w:rsidRPr="0053041C">
        <w:rPr>
          <w:rFonts w:ascii="Times New Roman" w:hAnsi="Times New Roman" w:cs="Times New Roman"/>
          <w:i/>
          <w:sz w:val="20"/>
          <w:szCs w:val="20"/>
        </w:rPr>
        <w:t>ps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≤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.032, 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d</w:t>
      </w:r>
      <w:r w:rsidR="006B6C84" w:rsidRPr="0053041C">
        <w:rPr>
          <w:rFonts w:ascii="Times New Roman" w:hAnsi="Times New Roman" w:cs="Times New Roman"/>
          <w:sz w:val="20"/>
          <w:szCs w:val="20"/>
        </w:rPr>
        <w:t>s</w:t>
      </w:r>
      <w:r w:rsidR="00C269BA" w:rsidRPr="0053041C">
        <w:rPr>
          <w:rFonts w:ascii="Times New Roman" w:hAnsi="Times New Roman" w:cs="Times New Roman"/>
          <w:sz w:val="20"/>
          <w:szCs w:val="20"/>
        </w:rPr>
        <w:t>≥</w:t>
      </w:r>
      <w:r w:rsidR="00040A33">
        <w:rPr>
          <w:rFonts w:ascii="Times New Roman" w:hAnsi="Times New Roman" w:cs="Times New Roman"/>
          <w:sz w:val="20"/>
          <w:szCs w:val="20"/>
        </w:rPr>
        <w:t>0.31) were found (see Figure 3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). With respect to the non-emotional gaze focus condition, significant increases in dwell time were found between second 2 and 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>seconds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 3, 4, 5, 6, 7, respectively (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p</w:t>
      </w:r>
      <w:r w:rsidR="006B6C84" w:rsidRPr="0053041C">
        <w:rPr>
          <w:rFonts w:ascii="Times New Roman" w:hAnsi="Times New Roman" w:cs="Times New Roman"/>
          <w:sz w:val="20"/>
          <w:szCs w:val="20"/>
        </w:rPr>
        <w:t>s</w:t>
      </w:r>
      <w:r w:rsidR="00C269BA" w:rsidRPr="0053041C">
        <w:rPr>
          <w:rFonts w:ascii="Times New Roman" w:hAnsi="Times New Roman" w:cs="Times New Roman"/>
          <w:i/>
          <w:sz w:val="20"/>
          <w:szCs w:val="20"/>
        </w:rPr>
        <w:t>≤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.033, 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d</w:t>
      </w:r>
      <w:r w:rsidR="006B6C84" w:rsidRPr="0053041C">
        <w:rPr>
          <w:rFonts w:ascii="Times New Roman" w:hAnsi="Times New Roman" w:cs="Times New Roman"/>
          <w:sz w:val="20"/>
          <w:szCs w:val="20"/>
        </w:rPr>
        <w:t>s</w:t>
      </w:r>
      <w:r w:rsidR="00C269BA" w:rsidRPr="0053041C">
        <w:rPr>
          <w:rFonts w:ascii="Times New Roman" w:hAnsi="Times New Roman" w:cs="Times New Roman"/>
          <w:sz w:val="20"/>
          <w:szCs w:val="20"/>
        </w:rPr>
        <w:t>≥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0.24), 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second 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3 and 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>seconds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 6, 7, respectively, (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p</w:t>
      </w:r>
      <w:r w:rsidR="006B6C84" w:rsidRPr="0053041C">
        <w:rPr>
          <w:rFonts w:ascii="Times New Roman" w:hAnsi="Times New Roman" w:cs="Times New Roman"/>
          <w:sz w:val="20"/>
          <w:szCs w:val="20"/>
        </w:rPr>
        <w:t>s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≤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.019, 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d</w:t>
      </w:r>
      <w:r w:rsidR="006B6C84" w:rsidRPr="0053041C">
        <w:rPr>
          <w:rFonts w:ascii="Times New Roman" w:hAnsi="Times New Roman" w:cs="Times New Roman"/>
          <w:sz w:val="20"/>
          <w:szCs w:val="20"/>
        </w:rPr>
        <w:t>s</w:t>
      </w:r>
      <w:r w:rsidR="00C269BA" w:rsidRPr="0053041C">
        <w:rPr>
          <w:rFonts w:ascii="Times New Roman" w:hAnsi="Times New Roman" w:cs="Times New Roman"/>
          <w:sz w:val="20"/>
          <w:szCs w:val="20"/>
        </w:rPr>
        <w:t>≥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0.44), and 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second 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5 and </w:t>
      </w:r>
      <w:r w:rsidR="006B6C84" w:rsidRPr="0053041C">
        <w:rPr>
          <w:rFonts w:ascii="Times New Roman" w:hAnsi="Times New Roman" w:cs="Times New Roman"/>
          <w:sz w:val="20"/>
          <w:szCs w:val="20"/>
          <w:lang w:val="en-GB"/>
        </w:rPr>
        <w:t>seconds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 6, 7, respectively (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p</w:t>
      </w:r>
      <w:r w:rsidR="006B6C84" w:rsidRPr="0053041C">
        <w:rPr>
          <w:rFonts w:ascii="Times New Roman" w:hAnsi="Times New Roman" w:cs="Times New Roman"/>
          <w:sz w:val="20"/>
          <w:szCs w:val="20"/>
        </w:rPr>
        <w:t>s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≤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.033, </w:t>
      </w:r>
      <w:r w:rsidR="006B6C84" w:rsidRPr="0053041C">
        <w:rPr>
          <w:rFonts w:ascii="Times New Roman" w:hAnsi="Times New Roman" w:cs="Times New Roman"/>
          <w:i/>
          <w:sz w:val="20"/>
          <w:szCs w:val="20"/>
        </w:rPr>
        <w:t>d</w:t>
      </w:r>
      <w:r w:rsidR="00040A33">
        <w:rPr>
          <w:rFonts w:ascii="Times New Roman" w:hAnsi="Times New Roman" w:cs="Times New Roman"/>
          <w:sz w:val="20"/>
          <w:szCs w:val="20"/>
        </w:rPr>
        <w:t>s≥0.29) (see Figure 3</w:t>
      </w:r>
      <w:r w:rsidR="006B6C84" w:rsidRPr="0053041C">
        <w:rPr>
          <w:rFonts w:ascii="Times New Roman" w:hAnsi="Times New Roman" w:cs="Times New Roman"/>
          <w:sz w:val="20"/>
          <w:szCs w:val="20"/>
        </w:rPr>
        <w:t xml:space="preserve">). 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There 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was also a main effect of gaze focus condition (</w:t>
      </w:r>
      <w:proofErr w:type="gramStart"/>
      <w:r w:rsidR="00BF1A81"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F</w:t>
      </w:r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(</w:t>
      </w:r>
      <w:proofErr w:type="gramEnd"/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1,46)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=95.35, </w:t>
      </w:r>
      <w:r w:rsidR="00C269BA"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p</w:t>
      </w:r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&lt;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.001, </w:t>
      </w:r>
      <w:r w:rsidR="00BF1A81" w:rsidRPr="0053041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GB"/>
        </w:rPr>
        <w:t>ƞ</w:t>
      </w:r>
      <w:r w:rsidR="00BF1A81" w:rsidRPr="0053041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  <w:lang w:val="en-GB"/>
        </w:rPr>
        <w:t>p</w:t>
      </w:r>
      <w:r w:rsidR="00C269BA" w:rsidRPr="0053041C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perscript"/>
          <w:lang w:val="en-GB"/>
        </w:rPr>
        <w:t>2</w:t>
      </w:r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.675), with higher dwell times in the highlighted square in the emotional (</w:t>
      </w:r>
      <w:r w:rsidR="00BF1A81"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M</w:t>
      </w:r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90.60%, </w:t>
      </w:r>
      <w:r w:rsidR="00C269BA"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SD</w:t>
      </w:r>
      <w:r w:rsidR="00C269BA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7.32%), as compared with the non-emotional gaze focus condition (</w:t>
      </w:r>
      <w:r w:rsidR="00C269BA"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M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=83.70%, </w:t>
      </w:r>
      <w:r w:rsidR="00C269BA"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SD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=10.33%).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7E579B8F" w14:textId="1323D1BA" w:rsidR="00BF1A81" w:rsidRPr="0053041C" w:rsidRDefault="00C269BA" w:rsidP="009E03F6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The 2(group</w:t>
      </w:r>
      <w:proofErr w:type="gramStart"/>
      <w:r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)×</w:t>
      </w:r>
      <w:proofErr w:type="gramEnd"/>
      <w:r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>2(gaze focus condition)×7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(epoch) mixed-model ANOVA for the “attend” 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instruction indicated a main effect of 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group (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F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(1,46)=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4.58, 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.038, </w:t>
      </w:r>
      <w:r w:rsidR="00BF1A81" w:rsidRPr="0053041C">
        <w:rPr>
          <w:rFonts w:ascii="Times New Roman" w:hAnsi="Times New Roman" w:cs="Times New Roman"/>
          <w:i/>
          <w:iCs/>
          <w:sz w:val="20"/>
          <w:szCs w:val="20"/>
          <w:lang w:val="en-GB"/>
        </w:rPr>
        <w:t>ƞ</w:t>
      </w:r>
      <w:r w:rsidR="00BF1A81" w:rsidRPr="0053041C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GB"/>
        </w:rPr>
        <w:t>p</w:t>
      </w:r>
      <w:r w:rsidR="00BF1A81" w:rsidRPr="0053041C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2</w:t>
      </w:r>
      <w:r w:rsidRPr="0053041C">
        <w:rPr>
          <w:rFonts w:ascii="Times New Roman" w:hAnsi="Times New Roman" w:cs="Times New Roman"/>
          <w:i/>
          <w:iCs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.090), with higher dwell times in the MD 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(</w:t>
      </w:r>
      <w:r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M</w:t>
      </w:r>
      <w:r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89.26%, </w:t>
      </w:r>
      <w:r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SD</w:t>
      </w:r>
      <w:r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6.90%) 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than in the TD group (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M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85.59%, 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SD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10.02%). The main effect of gaze focus condition was also significant (</w:t>
      </w:r>
      <w:proofErr w:type="gramStart"/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F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End"/>
      <w:r w:rsidRPr="0053041C">
        <w:rPr>
          <w:rFonts w:ascii="Times New Roman" w:hAnsi="Times New Roman" w:cs="Times New Roman"/>
          <w:sz w:val="20"/>
          <w:szCs w:val="20"/>
          <w:lang w:val="en-GB"/>
        </w:rPr>
        <w:t>1,46)=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148.23, 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&lt;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.001, </w:t>
      </w:r>
      <w:r w:rsidR="00BF1A81" w:rsidRPr="0053041C">
        <w:rPr>
          <w:rFonts w:ascii="Times New Roman" w:hAnsi="Times New Roman" w:cs="Times New Roman"/>
          <w:i/>
          <w:iCs/>
          <w:sz w:val="20"/>
          <w:szCs w:val="20"/>
          <w:lang w:val="en-GB"/>
        </w:rPr>
        <w:t>ƞ</w:t>
      </w:r>
      <w:r w:rsidR="00BF1A81" w:rsidRPr="0053041C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GB"/>
        </w:rPr>
        <w:t>p</w:t>
      </w:r>
      <w:r w:rsidRPr="0053041C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2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.763), with higher dwell times in the emotional 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(</w:t>
      </w:r>
      <w:r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M</w:t>
      </w:r>
      <w:r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91.61%, </w:t>
      </w:r>
      <w:r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SD</w:t>
      </w:r>
      <w:r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7.28%)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, as compared with the non-emotional gaze focus condition 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(</w:t>
      </w:r>
      <w:r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M</w:t>
      </w:r>
      <w:r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82.62%, </w:t>
      </w:r>
      <w:r w:rsidRPr="0053041C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SD</w:t>
      </w:r>
      <w:r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10.87%). 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Moreover, the ANOVA revealed a main effect of </w:t>
      </w:r>
      <w:r w:rsidR="00BF1A81" w:rsidRPr="005304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epoch 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Start"/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F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End"/>
      <w:r w:rsidRPr="0053041C">
        <w:rPr>
          <w:rFonts w:ascii="Times New Roman" w:hAnsi="Times New Roman" w:cs="Times New Roman"/>
          <w:sz w:val="20"/>
          <w:szCs w:val="20"/>
          <w:lang w:val="en-GB"/>
        </w:rPr>
        <w:t>6,147.74)=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83.31, 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&lt;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.001, </w:t>
      </w:r>
      <w:r w:rsidR="00BF1A81" w:rsidRPr="0053041C">
        <w:rPr>
          <w:rFonts w:ascii="Times New Roman" w:hAnsi="Times New Roman" w:cs="Times New Roman"/>
          <w:i/>
          <w:iCs/>
          <w:sz w:val="20"/>
          <w:szCs w:val="20"/>
          <w:lang w:val="en-GB"/>
        </w:rPr>
        <w:t>ƞ</w:t>
      </w:r>
      <w:r w:rsidR="00BF1A81" w:rsidRPr="0053041C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GB"/>
        </w:rPr>
        <w:t>p</w:t>
      </w:r>
      <w:r w:rsidRPr="0053041C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2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.644). Further analyses revealed significant increases in dwell time between second 2 and seconds 5, 6, 7, respectively (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≤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.025, 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d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≥0.32), second 3 and seconds 4, 5, 6, 7, respectively (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≤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.002, 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d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s≥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0.34), second 4 and seconds 5, 6, 7, respectively (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s≤.041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d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s≥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0.23), and second 6 and 7 (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.029, 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d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0.27). All interactions involving the factor group were found to be non-significant (all 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F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s≥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0.62, all 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s≥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.193). </w:t>
      </w:r>
      <w:r w:rsidR="00BF1A81" w:rsidRPr="0053041C">
        <w:rPr>
          <w:rFonts w:ascii="Times New Roman" w:hAnsi="Times New Roman" w:cs="Times New Roman"/>
          <w:sz w:val="20"/>
          <w:szCs w:val="20"/>
        </w:rPr>
        <w:t>We found a significant interaction between epoch and gaze focus condition (</w:t>
      </w:r>
      <w:proofErr w:type="gramStart"/>
      <w:r w:rsidR="00BF1A81" w:rsidRPr="0053041C">
        <w:rPr>
          <w:rFonts w:ascii="Times New Roman" w:hAnsi="Times New Roman" w:cs="Times New Roman"/>
          <w:i/>
          <w:sz w:val="20"/>
          <w:szCs w:val="20"/>
        </w:rPr>
        <w:t>F</w:t>
      </w:r>
      <w:r w:rsidRPr="0053041C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53041C">
        <w:rPr>
          <w:rFonts w:ascii="Times New Roman" w:hAnsi="Times New Roman" w:cs="Times New Roman"/>
          <w:sz w:val="20"/>
          <w:szCs w:val="20"/>
        </w:rPr>
        <w:t>6,4.40)=</w:t>
      </w:r>
      <w:r w:rsidR="00BF1A81" w:rsidRPr="0053041C">
        <w:rPr>
          <w:rFonts w:ascii="Times New Roman" w:hAnsi="Times New Roman" w:cs="Times New Roman"/>
          <w:sz w:val="20"/>
          <w:szCs w:val="20"/>
        </w:rPr>
        <w:t xml:space="preserve">130.72, </w:t>
      </w:r>
      <w:r w:rsidR="00BF1A81" w:rsidRPr="0053041C">
        <w:rPr>
          <w:rFonts w:ascii="Times New Roman" w:hAnsi="Times New Roman" w:cs="Times New Roman"/>
          <w:i/>
          <w:sz w:val="20"/>
          <w:szCs w:val="20"/>
        </w:rPr>
        <w:t>p</w:t>
      </w:r>
      <w:r w:rsidRPr="0053041C">
        <w:rPr>
          <w:rFonts w:ascii="Times New Roman" w:hAnsi="Times New Roman" w:cs="Times New Roman"/>
          <w:sz w:val="20"/>
          <w:szCs w:val="20"/>
        </w:rPr>
        <w:t>&lt;</w:t>
      </w:r>
      <w:r w:rsidR="00BF1A81" w:rsidRPr="0053041C">
        <w:rPr>
          <w:rFonts w:ascii="Times New Roman" w:hAnsi="Times New Roman" w:cs="Times New Roman"/>
          <w:sz w:val="20"/>
          <w:szCs w:val="20"/>
        </w:rPr>
        <w:t xml:space="preserve">.001, </w:t>
      </w:r>
      <w:r w:rsidR="00BF1A81" w:rsidRPr="0053041C">
        <w:rPr>
          <w:rFonts w:ascii="Times New Roman" w:hAnsi="Times New Roman" w:cs="Times New Roman"/>
          <w:i/>
          <w:iCs/>
          <w:sz w:val="20"/>
          <w:szCs w:val="20"/>
        </w:rPr>
        <w:t>ƞ</w:t>
      </w:r>
      <w:r w:rsidR="00BF1A81" w:rsidRPr="0053041C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p</w:t>
      </w:r>
      <w:r w:rsidRPr="0053041C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="00BF1A81" w:rsidRPr="0053041C">
        <w:rPr>
          <w:rFonts w:ascii="Times New Roman" w:hAnsi="Times New Roman" w:cs="Times New Roman"/>
          <w:sz w:val="20"/>
          <w:szCs w:val="20"/>
        </w:rPr>
        <w:t>=.740)</w:t>
      </w:r>
      <w:r w:rsidR="00040A33">
        <w:rPr>
          <w:rFonts w:ascii="Times New Roman" w:hAnsi="Times New Roman" w:cs="Times New Roman"/>
          <w:sz w:val="20"/>
          <w:szCs w:val="20"/>
        </w:rPr>
        <w:t xml:space="preserve"> (see Figure 3</w:t>
      </w:r>
      <w:r w:rsidR="00C73E9C" w:rsidRPr="0053041C">
        <w:rPr>
          <w:rFonts w:ascii="Times New Roman" w:hAnsi="Times New Roman" w:cs="Times New Roman"/>
          <w:sz w:val="20"/>
          <w:szCs w:val="20"/>
        </w:rPr>
        <w:t>)</w:t>
      </w:r>
      <w:r w:rsidR="00BF1A81" w:rsidRPr="0053041C">
        <w:rPr>
          <w:rFonts w:ascii="Times New Roman" w:hAnsi="Times New Roman" w:cs="Times New Roman"/>
          <w:sz w:val="20"/>
          <w:szCs w:val="20"/>
        </w:rPr>
        <w:t xml:space="preserve">. 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When participants focused their gaze on emotional picture aspects, a decrease in dwell time was observed between second 2 and seconds 3, 4, respectively (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ps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≤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.010, 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d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≥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-0.47), as well as increases in dwell time between second 3 and seconds 6, 7, respectively (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≤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.010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d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s≥0.50), and second 5 and second 7 (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.029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d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040A33">
        <w:rPr>
          <w:rFonts w:ascii="Times New Roman" w:hAnsi="Times New Roman" w:cs="Times New Roman"/>
          <w:sz w:val="20"/>
          <w:szCs w:val="20"/>
          <w:lang w:val="en-GB"/>
        </w:rPr>
        <w:t>0.50; see Figure 3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). With regard to the non-emotional focus condition, significant </w:t>
      </w:r>
      <w:r w:rsidR="005D449A" w:rsidRPr="0053041C">
        <w:rPr>
          <w:rFonts w:ascii="Times New Roman" w:hAnsi="Times New Roman" w:cs="Times New Roman"/>
          <w:sz w:val="20"/>
          <w:szCs w:val="20"/>
          <w:lang w:val="en-GB"/>
        </w:rPr>
        <w:t>increases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 in dwell time were found between second 2 and seconds 4, 5, 6, 7, respectively (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≤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.008, 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d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s≥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0.13), second 2 and second 5 (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&lt;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.001, 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d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0.66), second 2 and 6 (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&lt;.001, 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d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0.83), 2 and 7 (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&lt;.001,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d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1.02), second 3 and seconds 4, 5, 6, 7, respectively (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≤.002, 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d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≥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0.42), second 4 and seconds 6, 7, respectively (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≤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.007,</w:t>
      </w:r>
      <w:r w:rsidR="00BF1A81" w:rsidRPr="0053041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d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s≥0.47), and second 5 and second 7 (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>=.002,</w:t>
      </w:r>
      <w:r w:rsidRPr="0053041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d</w:t>
      </w:r>
      <w:r w:rsidRPr="0053041C">
        <w:rPr>
          <w:rFonts w:ascii="Times New Roman" w:hAnsi="Times New Roman" w:cs="Times New Roman"/>
          <w:sz w:val="20"/>
          <w:szCs w:val="20"/>
          <w:lang w:val="en-GB"/>
        </w:rPr>
        <w:t>=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0.54; see Figure </w:t>
      </w:r>
      <w:r w:rsidR="00040A33">
        <w:rPr>
          <w:rFonts w:ascii="Times New Roman" w:hAnsi="Times New Roman" w:cs="Times New Roman"/>
          <w:sz w:val="20"/>
          <w:szCs w:val="20"/>
          <w:lang w:val="en-GB"/>
        </w:rPr>
        <w:t>3</w:t>
      </w:r>
      <w:r w:rsidR="00BF1A81" w:rsidRPr="0053041C">
        <w:rPr>
          <w:rFonts w:ascii="Times New Roman" w:hAnsi="Times New Roman" w:cs="Times New Roman"/>
          <w:sz w:val="20"/>
          <w:szCs w:val="20"/>
          <w:lang w:val="en-GB"/>
        </w:rPr>
        <w:t xml:space="preserve">).  </w:t>
      </w:r>
    </w:p>
    <w:p w14:paraId="13990456" w14:textId="77777777" w:rsidR="00E02648" w:rsidRPr="0053041C" w:rsidRDefault="00E02648" w:rsidP="009E03F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02648" w:rsidRPr="0053041C">
      <w:headerReference w:type="default" r:id="rId7"/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B0931" w14:textId="77777777" w:rsidR="007C58B6" w:rsidRDefault="007C58B6" w:rsidP="00695186">
      <w:pPr>
        <w:spacing w:after="0" w:line="240" w:lineRule="auto"/>
      </w:pPr>
      <w:r>
        <w:separator/>
      </w:r>
    </w:p>
  </w:endnote>
  <w:endnote w:type="continuationSeparator" w:id="0">
    <w:p w14:paraId="6EC5DDA1" w14:textId="77777777" w:rsidR="007C58B6" w:rsidRDefault="007C58B6" w:rsidP="00695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9658015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1BDCF2" w14:textId="736D5BDF" w:rsidR="000574D9" w:rsidRDefault="000574D9" w:rsidP="00B409E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B0578E" w14:textId="77777777" w:rsidR="000574D9" w:rsidRDefault="000574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Times New Roman" w:hAnsi="Times New Roman" w:cs="Times New Roman"/>
        <w:sz w:val="20"/>
        <w:szCs w:val="20"/>
      </w:rPr>
      <w:id w:val="-15972511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657777" w14:textId="4CCCB7D7" w:rsidR="000574D9" w:rsidRPr="000574D9" w:rsidRDefault="000574D9" w:rsidP="00B409E1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0574D9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0574D9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0574D9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="00040A33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3</w:t>
        </w:r>
        <w:r w:rsidRPr="000574D9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B4E9867" w14:textId="76175907" w:rsidR="00695186" w:rsidRPr="00695186" w:rsidRDefault="00695186">
    <w:pPr>
      <w:pStyle w:val="Footer"/>
      <w:jc w:val="center"/>
      <w:rPr>
        <w:rFonts w:ascii="Times New Roman" w:hAnsi="Times New Roman" w:cs="Times New Roman"/>
        <w:sz w:val="24"/>
      </w:rPr>
    </w:pPr>
  </w:p>
  <w:p w14:paraId="548DC385" w14:textId="77777777" w:rsidR="00695186" w:rsidRDefault="006951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BF09B" w14:textId="77777777" w:rsidR="007C58B6" w:rsidRDefault="007C58B6" w:rsidP="00695186">
      <w:pPr>
        <w:spacing w:after="0" w:line="240" w:lineRule="auto"/>
      </w:pPr>
      <w:r>
        <w:separator/>
      </w:r>
    </w:p>
  </w:footnote>
  <w:footnote w:type="continuationSeparator" w:id="0">
    <w:p w14:paraId="45875AA7" w14:textId="77777777" w:rsidR="007C58B6" w:rsidRDefault="007C58B6" w:rsidP="00695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9DF9D" w14:textId="77777777" w:rsidR="001D36DA" w:rsidRPr="009A19B6" w:rsidRDefault="001D36DA" w:rsidP="001D36DA">
    <w:pPr>
      <w:spacing w:after="0" w:line="480" w:lineRule="auto"/>
      <w:jc w:val="both"/>
      <w:rPr>
        <w:rFonts w:ascii="Times New Roman" w:hAnsi="Times New Roman" w:cs="Times New Roman"/>
        <w:sz w:val="20"/>
        <w:szCs w:val="20"/>
      </w:rPr>
    </w:pPr>
    <w:r w:rsidRPr="009A19B6">
      <w:rPr>
        <w:rFonts w:ascii="Times New Roman" w:hAnsi="Times New Roman" w:cs="Times New Roman"/>
        <w:sz w:val="20"/>
        <w:szCs w:val="20"/>
      </w:rPr>
      <w:t>Attentional deployment and reinterpretation in depressed youth</w:t>
    </w:r>
  </w:p>
  <w:p w14:paraId="5D0711F5" w14:textId="77777777" w:rsidR="000574D9" w:rsidRDefault="000574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80190"/>
    <w:multiLevelType w:val="hybridMultilevel"/>
    <w:tmpl w:val="C15EB22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2193A"/>
    <w:multiLevelType w:val="hybridMultilevel"/>
    <w:tmpl w:val="E0EA12DA"/>
    <w:lvl w:ilvl="0" w:tplc="E30CE50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F468B1"/>
    <w:multiLevelType w:val="hybridMultilevel"/>
    <w:tmpl w:val="F4E8120E"/>
    <w:lvl w:ilvl="0" w:tplc="9698E26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E47E2A"/>
    <w:multiLevelType w:val="hybridMultilevel"/>
    <w:tmpl w:val="8D744720"/>
    <w:lvl w:ilvl="0" w:tplc="AF70C95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D171CD"/>
    <w:multiLevelType w:val="hybridMultilevel"/>
    <w:tmpl w:val="404616C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D2F99"/>
    <w:multiLevelType w:val="hybridMultilevel"/>
    <w:tmpl w:val="2358674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071B4"/>
    <w:multiLevelType w:val="hybridMultilevel"/>
    <w:tmpl w:val="FE34D86E"/>
    <w:lvl w:ilvl="0" w:tplc="EF2C310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273242"/>
    <w:multiLevelType w:val="hybridMultilevel"/>
    <w:tmpl w:val="020E0B76"/>
    <w:lvl w:ilvl="0" w:tplc="6D2E120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E76DAF"/>
    <w:multiLevelType w:val="hybridMultilevel"/>
    <w:tmpl w:val="DDFA6BD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932FF"/>
    <w:multiLevelType w:val="hybridMultilevel"/>
    <w:tmpl w:val="DDFEF62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20"/>
    <w:rsid w:val="000003D3"/>
    <w:rsid w:val="00040A33"/>
    <w:rsid w:val="00050AD1"/>
    <w:rsid w:val="000574D9"/>
    <w:rsid w:val="001062EE"/>
    <w:rsid w:val="0010708C"/>
    <w:rsid w:val="0011166D"/>
    <w:rsid w:val="001210DE"/>
    <w:rsid w:val="00122803"/>
    <w:rsid w:val="0013745C"/>
    <w:rsid w:val="0013798A"/>
    <w:rsid w:val="001541AE"/>
    <w:rsid w:val="00172EBB"/>
    <w:rsid w:val="00191E90"/>
    <w:rsid w:val="001933E7"/>
    <w:rsid w:val="001B3944"/>
    <w:rsid w:val="001D36DA"/>
    <w:rsid w:val="002043DF"/>
    <w:rsid w:val="002078F5"/>
    <w:rsid w:val="002250E1"/>
    <w:rsid w:val="002307FF"/>
    <w:rsid w:val="00287A49"/>
    <w:rsid w:val="00290B05"/>
    <w:rsid w:val="002A7DBB"/>
    <w:rsid w:val="002E543B"/>
    <w:rsid w:val="00306AAA"/>
    <w:rsid w:val="00312BB3"/>
    <w:rsid w:val="00314D5D"/>
    <w:rsid w:val="00324E06"/>
    <w:rsid w:val="00361E63"/>
    <w:rsid w:val="00364529"/>
    <w:rsid w:val="00422373"/>
    <w:rsid w:val="004401FA"/>
    <w:rsid w:val="0048767D"/>
    <w:rsid w:val="004D0F3D"/>
    <w:rsid w:val="004E4796"/>
    <w:rsid w:val="004F72E2"/>
    <w:rsid w:val="00505066"/>
    <w:rsid w:val="00507883"/>
    <w:rsid w:val="00525EB8"/>
    <w:rsid w:val="0053041C"/>
    <w:rsid w:val="00536C67"/>
    <w:rsid w:val="00560089"/>
    <w:rsid w:val="00585452"/>
    <w:rsid w:val="005B1196"/>
    <w:rsid w:val="005B3FC0"/>
    <w:rsid w:val="005B71F4"/>
    <w:rsid w:val="005C05D9"/>
    <w:rsid w:val="005D284A"/>
    <w:rsid w:val="005D449A"/>
    <w:rsid w:val="005D581F"/>
    <w:rsid w:val="00603860"/>
    <w:rsid w:val="006040A3"/>
    <w:rsid w:val="006262AE"/>
    <w:rsid w:val="00627278"/>
    <w:rsid w:val="0066353D"/>
    <w:rsid w:val="00695186"/>
    <w:rsid w:val="006B6C84"/>
    <w:rsid w:val="006D14D7"/>
    <w:rsid w:val="00734EF0"/>
    <w:rsid w:val="00751970"/>
    <w:rsid w:val="00756262"/>
    <w:rsid w:val="007A4629"/>
    <w:rsid w:val="007A68F6"/>
    <w:rsid w:val="007C58B6"/>
    <w:rsid w:val="007C70CA"/>
    <w:rsid w:val="00802FD0"/>
    <w:rsid w:val="00810A38"/>
    <w:rsid w:val="00811C29"/>
    <w:rsid w:val="00823BE6"/>
    <w:rsid w:val="008464D9"/>
    <w:rsid w:val="0086272C"/>
    <w:rsid w:val="00863834"/>
    <w:rsid w:val="00871C64"/>
    <w:rsid w:val="00881E34"/>
    <w:rsid w:val="008C1B1D"/>
    <w:rsid w:val="008D4435"/>
    <w:rsid w:val="008E0CC0"/>
    <w:rsid w:val="008E6B8A"/>
    <w:rsid w:val="0092130A"/>
    <w:rsid w:val="009326B2"/>
    <w:rsid w:val="0093418E"/>
    <w:rsid w:val="00937D22"/>
    <w:rsid w:val="009653F5"/>
    <w:rsid w:val="009A21AC"/>
    <w:rsid w:val="009A5E4E"/>
    <w:rsid w:val="009C2CD8"/>
    <w:rsid w:val="009E03F6"/>
    <w:rsid w:val="00A01B2E"/>
    <w:rsid w:val="00A147C9"/>
    <w:rsid w:val="00A168EB"/>
    <w:rsid w:val="00A21A19"/>
    <w:rsid w:val="00A31C85"/>
    <w:rsid w:val="00A33B3B"/>
    <w:rsid w:val="00A37E54"/>
    <w:rsid w:val="00A42FF4"/>
    <w:rsid w:val="00A6765F"/>
    <w:rsid w:val="00A97BC2"/>
    <w:rsid w:val="00AC2AA6"/>
    <w:rsid w:val="00AC468E"/>
    <w:rsid w:val="00AE2ADA"/>
    <w:rsid w:val="00B0443E"/>
    <w:rsid w:val="00B576DB"/>
    <w:rsid w:val="00B65273"/>
    <w:rsid w:val="00B72C50"/>
    <w:rsid w:val="00BF1A81"/>
    <w:rsid w:val="00C12569"/>
    <w:rsid w:val="00C269BA"/>
    <w:rsid w:val="00C73E9C"/>
    <w:rsid w:val="00C84BB6"/>
    <w:rsid w:val="00C92117"/>
    <w:rsid w:val="00C95778"/>
    <w:rsid w:val="00CF268D"/>
    <w:rsid w:val="00CF531A"/>
    <w:rsid w:val="00D07020"/>
    <w:rsid w:val="00D30E6E"/>
    <w:rsid w:val="00D36DD6"/>
    <w:rsid w:val="00D46536"/>
    <w:rsid w:val="00D47434"/>
    <w:rsid w:val="00D51AAA"/>
    <w:rsid w:val="00D57A3C"/>
    <w:rsid w:val="00D642D8"/>
    <w:rsid w:val="00D827DE"/>
    <w:rsid w:val="00D871D5"/>
    <w:rsid w:val="00DB2F84"/>
    <w:rsid w:val="00DE606C"/>
    <w:rsid w:val="00E02648"/>
    <w:rsid w:val="00E03136"/>
    <w:rsid w:val="00E45608"/>
    <w:rsid w:val="00E525CC"/>
    <w:rsid w:val="00E8749C"/>
    <w:rsid w:val="00E9217C"/>
    <w:rsid w:val="00E94635"/>
    <w:rsid w:val="00EA2360"/>
    <w:rsid w:val="00EB1341"/>
    <w:rsid w:val="00EF28BE"/>
    <w:rsid w:val="00F04D41"/>
    <w:rsid w:val="00F275FA"/>
    <w:rsid w:val="00F77823"/>
    <w:rsid w:val="00FA1529"/>
    <w:rsid w:val="00FD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37760"/>
  <w15:docId w15:val="{6E4300B0-3A71-AB42-9B80-E3221882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02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D07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72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2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27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2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278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278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5600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518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18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518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186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7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6466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cpiechac</dc:creator>
  <cp:lastModifiedBy>Divyasree S.</cp:lastModifiedBy>
  <cp:revision>7</cp:revision>
  <dcterms:created xsi:type="dcterms:W3CDTF">2022-03-26T14:12:00Z</dcterms:created>
  <dcterms:modified xsi:type="dcterms:W3CDTF">2022-04-26T11:02:00Z</dcterms:modified>
</cp:coreProperties>
</file>