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91887" w14:textId="77777777" w:rsidR="00D94E22" w:rsidRDefault="00D94E22" w:rsidP="00D94E22">
      <w:pPr>
        <w:jc w:val="center"/>
        <w:rPr>
          <w:rFonts w:ascii="Times New Roman" w:hAnsi="Times New Roman" w:cs="Times New Roman"/>
          <w:b/>
          <w:bCs/>
          <w:sz w:val="20"/>
          <w:szCs w:val="20"/>
        </w:rPr>
      </w:pPr>
      <w:r>
        <w:rPr>
          <w:rFonts w:ascii="Times New Roman" w:hAnsi="Times New Roman" w:cs="Times New Roman"/>
          <w:b/>
          <w:bCs/>
          <w:sz w:val="20"/>
          <w:szCs w:val="20"/>
        </w:rPr>
        <w:t>Supplementary Online Materials</w:t>
      </w:r>
    </w:p>
    <w:p w14:paraId="520EAC70" w14:textId="77777777" w:rsidR="00D94E22" w:rsidRDefault="00D94E22" w:rsidP="00D94E22">
      <w:pPr>
        <w:jc w:val="center"/>
        <w:rPr>
          <w:rFonts w:ascii="Times New Roman" w:hAnsi="Times New Roman" w:cs="Times New Roman"/>
          <w:b/>
          <w:bCs/>
          <w:sz w:val="20"/>
          <w:szCs w:val="20"/>
        </w:rPr>
      </w:pPr>
    </w:p>
    <w:p w14:paraId="17FA23C7" w14:textId="77777777" w:rsidR="00D94E22" w:rsidRDefault="00D94E22" w:rsidP="00D94E22">
      <w:pPr>
        <w:jc w:val="center"/>
        <w:rPr>
          <w:rFonts w:ascii="Times New Roman" w:hAnsi="Times New Roman" w:cs="Times New Roman"/>
          <w:b/>
          <w:bCs/>
          <w:sz w:val="20"/>
          <w:szCs w:val="20"/>
        </w:rPr>
      </w:pPr>
      <w:r>
        <w:rPr>
          <w:rFonts w:ascii="Times New Roman" w:hAnsi="Times New Roman" w:cs="Times New Roman"/>
          <w:b/>
          <w:bCs/>
          <w:sz w:val="20"/>
          <w:szCs w:val="20"/>
        </w:rPr>
        <w:t xml:space="preserve">Appendix A </w:t>
      </w:r>
    </w:p>
    <w:p w14:paraId="723B3520" w14:textId="77777777" w:rsidR="00D94E22" w:rsidRDefault="00D94E22" w:rsidP="00D94E22">
      <w:pPr>
        <w:jc w:val="center"/>
        <w:rPr>
          <w:rFonts w:ascii="Times New Roman" w:hAnsi="Times New Roman" w:cs="Times New Roman"/>
          <w:b/>
          <w:bCs/>
          <w:sz w:val="20"/>
          <w:szCs w:val="20"/>
        </w:rPr>
      </w:pPr>
      <w:r>
        <w:rPr>
          <w:rFonts w:ascii="Times New Roman" w:hAnsi="Times New Roman" w:cs="Times New Roman"/>
          <w:b/>
          <w:bCs/>
          <w:sz w:val="20"/>
          <w:szCs w:val="20"/>
        </w:rPr>
        <w:t xml:space="preserve">Full </w:t>
      </w:r>
      <w:proofErr w:type="spellStart"/>
      <w:r>
        <w:rPr>
          <w:rFonts w:ascii="Times New Roman" w:hAnsi="Times New Roman" w:cs="Times New Roman"/>
          <w:b/>
          <w:bCs/>
          <w:sz w:val="20"/>
          <w:szCs w:val="20"/>
        </w:rPr>
        <w:t>PsycInfo</w:t>
      </w:r>
      <w:proofErr w:type="spellEnd"/>
      <w:r>
        <w:rPr>
          <w:rFonts w:ascii="Times New Roman" w:hAnsi="Times New Roman" w:cs="Times New Roman"/>
          <w:b/>
          <w:bCs/>
          <w:sz w:val="20"/>
          <w:szCs w:val="20"/>
        </w:rPr>
        <w:t xml:space="preserve"> Search</w:t>
      </w:r>
    </w:p>
    <w:p w14:paraId="6471F06D" w14:textId="77777777" w:rsidR="00D94E22" w:rsidRDefault="00D94E22" w:rsidP="00D94E22">
      <w:pPr>
        <w:jc w:val="center"/>
        <w:rPr>
          <w:rFonts w:ascii="Times New Roman" w:hAnsi="Times New Roman" w:cs="Times New Roman"/>
          <w:b/>
          <w:bCs/>
          <w:sz w:val="20"/>
          <w:szCs w:val="20"/>
        </w:rPr>
      </w:pPr>
    </w:p>
    <w:p w14:paraId="022183B5" w14:textId="69FC3365" w:rsidR="00D94E22" w:rsidRDefault="00D94E22" w:rsidP="00D94E22">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11EF44B" wp14:editId="6ABDE9FA">
            <wp:extent cx="5734050" cy="3057525"/>
            <wp:effectExtent l="0" t="0" r="0" b="9525"/>
            <wp:docPr id="1409827636"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aphical user interface, text, application, email&#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4050" cy="3057525"/>
                    </a:xfrm>
                    <a:prstGeom prst="rect">
                      <a:avLst/>
                    </a:prstGeom>
                    <a:noFill/>
                    <a:ln>
                      <a:noFill/>
                    </a:ln>
                  </pic:spPr>
                </pic:pic>
              </a:graphicData>
            </a:graphic>
          </wp:inline>
        </w:drawing>
      </w:r>
    </w:p>
    <w:p w14:paraId="5AC65EC4" w14:textId="48923F11" w:rsidR="00D94E22" w:rsidRDefault="00D94E22" w:rsidP="00D94E22">
      <w:pPr>
        <w:rPr>
          <w:rFonts w:ascii="Times New Roman" w:hAnsi="Times New Roman" w:cs="Times New Roman"/>
          <w:sz w:val="20"/>
          <w:szCs w:val="20"/>
        </w:rPr>
      </w:pPr>
      <w:r>
        <w:rPr>
          <w:noProof/>
        </w:rPr>
        <mc:AlternateContent>
          <mc:Choice Requires="wps">
            <w:drawing>
              <wp:anchor distT="0" distB="0" distL="114300" distR="114300" simplePos="0" relativeHeight="251658240" behindDoc="0" locked="0" layoutInCell="1" allowOverlap="1" wp14:anchorId="18E909FA" wp14:editId="34735BB7">
                <wp:simplePos x="0" y="0"/>
                <wp:positionH relativeFrom="column">
                  <wp:posOffset>-201930</wp:posOffset>
                </wp:positionH>
                <wp:positionV relativeFrom="paragraph">
                  <wp:posOffset>3169285</wp:posOffset>
                </wp:positionV>
                <wp:extent cx="6185535" cy="1044575"/>
                <wp:effectExtent l="0" t="0" r="24765" b="22225"/>
                <wp:wrapNone/>
                <wp:docPr id="25" name="Rectangle 4"/>
                <wp:cNvGraphicFramePr/>
                <a:graphic xmlns:a="http://schemas.openxmlformats.org/drawingml/2006/main">
                  <a:graphicData uri="http://schemas.microsoft.com/office/word/2010/wordprocessingShape">
                    <wps:wsp>
                      <wps:cNvSpPr/>
                      <wps:spPr>
                        <a:xfrm>
                          <a:off x="0" y="0"/>
                          <a:ext cx="6185535" cy="10445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72C408" id="Rectangle 4" o:spid="_x0000_s1026" style="position:absolute;margin-left:-15.9pt;margin-top:249.55pt;width:487.05pt;height:8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" fillcolor="white [3201]" strokecolor="white [3212]" strokeweight="1pt"/>
            </w:pict>
          </mc:Fallback>
        </mc:AlternateContent>
      </w:r>
      <w:r>
        <w:rPr>
          <w:rFonts w:ascii="Times New Roman" w:hAnsi="Times New Roman" w:cs="Times New Roman"/>
          <w:noProof/>
          <w:sz w:val="20"/>
          <w:szCs w:val="20"/>
        </w:rPr>
        <w:drawing>
          <wp:inline distT="0" distB="0" distL="0" distR="0" wp14:anchorId="5B8EAC8C" wp14:editId="62F1F822">
            <wp:extent cx="5724525" cy="3657600"/>
            <wp:effectExtent l="0" t="0" r="9525" b="0"/>
            <wp:docPr id="996406472"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phical user interface, text, application, email&#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3657600"/>
                    </a:xfrm>
                    <a:prstGeom prst="rect">
                      <a:avLst/>
                    </a:prstGeom>
                    <a:noFill/>
                    <a:ln>
                      <a:noFill/>
                    </a:ln>
                  </pic:spPr>
                </pic:pic>
              </a:graphicData>
            </a:graphic>
          </wp:inline>
        </w:drawing>
      </w:r>
    </w:p>
    <w:p w14:paraId="072E5EE6" w14:textId="77777777" w:rsidR="00D94E22" w:rsidRDefault="00D94E22" w:rsidP="00D94E22">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Appendix 2</w:t>
      </w:r>
    </w:p>
    <w:p w14:paraId="18FB51EF" w14:textId="77777777" w:rsidR="00D94E22" w:rsidRDefault="00D94E22" w:rsidP="00D94E22">
      <w:pPr>
        <w:jc w:val="center"/>
        <w:rPr>
          <w:rFonts w:ascii="Times New Roman" w:hAnsi="Times New Roman" w:cs="Times New Roman"/>
          <w:b/>
          <w:bCs/>
          <w:sz w:val="20"/>
          <w:szCs w:val="20"/>
        </w:rPr>
      </w:pPr>
      <w:r>
        <w:rPr>
          <w:rFonts w:ascii="Times New Roman" w:hAnsi="Times New Roman" w:cs="Times New Roman"/>
          <w:b/>
          <w:bCs/>
          <w:sz w:val="20"/>
          <w:szCs w:val="20"/>
        </w:rPr>
        <w:t>Appendix B</w:t>
      </w:r>
    </w:p>
    <w:p w14:paraId="7C82F006" w14:textId="77777777" w:rsidR="00D94E22" w:rsidRDefault="00D94E22" w:rsidP="00D94E22">
      <w:pPr>
        <w:jc w:val="center"/>
        <w:rPr>
          <w:rFonts w:ascii="Times New Roman" w:hAnsi="Times New Roman" w:cs="Times New Roman"/>
          <w:b/>
          <w:bCs/>
          <w:sz w:val="20"/>
          <w:szCs w:val="20"/>
        </w:rPr>
      </w:pPr>
      <w:r>
        <w:rPr>
          <w:rFonts w:ascii="Times New Roman" w:hAnsi="Times New Roman" w:cs="Times New Roman"/>
          <w:b/>
          <w:bCs/>
          <w:sz w:val="20"/>
          <w:szCs w:val="20"/>
        </w:rPr>
        <w:t>Detailed Title/Abstract and Full Text Screening Criteria</w:t>
      </w:r>
    </w:p>
    <w:p w14:paraId="463F0AD8" w14:textId="77777777" w:rsidR="00D94E22" w:rsidRDefault="00D94E22" w:rsidP="00D94E22">
      <w:pPr>
        <w:rPr>
          <w:rFonts w:ascii="Times New Roman" w:hAnsi="Times New Roman" w:cs="Times New Roman"/>
          <w:b/>
          <w:bCs/>
          <w:sz w:val="20"/>
          <w:szCs w:val="20"/>
        </w:rPr>
      </w:pPr>
    </w:p>
    <w:p w14:paraId="7B8FD343" w14:textId="77777777" w:rsidR="00D94E22" w:rsidRDefault="00D94E22" w:rsidP="00D94E22">
      <w:pPr>
        <w:rPr>
          <w:rFonts w:ascii="Times New Roman" w:hAnsi="Times New Roman" w:cs="Times New Roman"/>
          <w:sz w:val="20"/>
          <w:szCs w:val="20"/>
        </w:rPr>
      </w:pPr>
      <w:r>
        <w:rPr>
          <w:rFonts w:ascii="Times New Roman" w:hAnsi="Times New Roman" w:cs="Times New Roman"/>
          <w:b/>
          <w:bCs/>
          <w:sz w:val="20"/>
          <w:szCs w:val="20"/>
        </w:rPr>
        <w:t>Detailed Title/Abstract Screening Criteria</w:t>
      </w:r>
    </w:p>
    <w:p w14:paraId="57A8A687" w14:textId="77777777" w:rsidR="00D94E22" w:rsidRDefault="00D94E22" w:rsidP="00D94E22">
      <w:pPr>
        <w:rPr>
          <w:rFonts w:ascii="Times New Roman" w:hAnsi="Times New Roman" w:cs="Times New Roman"/>
          <w:sz w:val="20"/>
          <w:szCs w:val="20"/>
        </w:rPr>
      </w:pPr>
      <w:r>
        <w:rPr>
          <w:rFonts w:ascii="Times New Roman" w:hAnsi="Times New Roman" w:cs="Times New Roman"/>
          <w:sz w:val="20"/>
          <w:szCs w:val="20"/>
        </w:rPr>
        <w:t xml:space="preserve">All titles and abstracts were screened against the following </w:t>
      </w:r>
      <w:r>
        <w:rPr>
          <w:rFonts w:ascii="Times New Roman" w:hAnsi="Times New Roman" w:cs="Times New Roman"/>
          <w:b/>
          <w:bCs/>
          <w:sz w:val="20"/>
          <w:szCs w:val="20"/>
        </w:rPr>
        <w:t>exclusion criteria</w:t>
      </w:r>
      <w:r>
        <w:rPr>
          <w:rFonts w:ascii="Times New Roman" w:hAnsi="Times New Roman" w:cs="Times New Roman"/>
          <w:sz w:val="20"/>
          <w:szCs w:val="20"/>
        </w:rPr>
        <w:t>. They were excluded if ANY of the following applied. If there is no reason for exclusion at this stage progress to full text screening.</w:t>
      </w:r>
    </w:p>
    <w:p w14:paraId="7C09662D" w14:textId="77777777" w:rsidR="00D94E22" w:rsidRDefault="00D94E22" w:rsidP="00D94E22">
      <w:pPr>
        <w:rPr>
          <w:rFonts w:ascii="Times New Roman" w:hAnsi="Times New Roman" w:cs="Times New Roman"/>
          <w:sz w:val="20"/>
          <w:szCs w:val="20"/>
        </w:rPr>
      </w:pPr>
    </w:p>
    <w:tbl>
      <w:tblPr>
        <w:tblStyle w:val="TableGrid"/>
        <w:tblW w:w="0" w:type="auto"/>
        <w:tblInd w:w="0" w:type="dxa"/>
        <w:tblLook w:val="04A0" w:firstRow="1" w:lastRow="0" w:firstColumn="1" w:lastColumn="0" w:noHBand="0" w:noVBand="1"/>
      </w:tblPr>
      <w:tblGrid>
        <w:gridCol w:w="9016"/>
      </w:tblGrid>
      <w:tr w:rsidR="00D94E22" w14:paraId="4BEC3DA8" w14:textId="77777777" w:rsidTr="00D94E22">
        <w:tc>
          <w:tcPr>
            <w:tcW w:w="9016" w:type="dxa"/>
            <w:tcBorders>
              <w:top w:val="single" w:sz="4" w:space="0" w:color="auto"/>
              <w:left w:val="single" w:sz="4" w:space="0" w:color="auto"/>
              <w:bottom w:val="single" w:sz="4" w:space="0" w:color="auto"/>
              <w:right w:val="single" w:sz="4" w:space="0" w:color="auto"/>
            </w:tcBorders>
            <w:hideMark/>
          </w:tcPr>
          <w:p w14:paraId="0FA1C416" w14:textId="77777777" w:rsidR="00D94E22" w:rsidRDefault="00D94E22">
            <w:pPr>
              <w:spacing w:line="240" w:lineRule="auto"/>
              <w:rPr>
                <w:rFonts w:ascii="Times New Roman" w:hAnsi="Times New Roman" w:cs="Times New Roman"/>
                <w:b/>
                <w:bCs/>
                <w:sz w:val="20"/>
                <w:szCs w:val="20"/>
              </w:rPr>
            </w:pPr>
            <w:r>
              <w:rPr>
                <w:rFonts w:ascii="Times New Roman" w:hAnsi="Times New Roman" w:cs="Times New Roman"/>
                <w:b/>
                <w:bCs/>
                <w:sz w:val="20"/>
                <w:szCs w:val="20"/>
              </w:rPr>
              <w:t>Criteria</w:t>
            </w:r>
          </w:p>
        </w:tc>
      </w:tr>
      <w:tr w:rsidR="00D94E22" w14:paraId="2838CF39" w14:textId="77777777" w:rsidTr="00D94E22">
        <w:tc>
          <w:tcPr>
            <w:tcW w:w="9016" w:type="dxa"/>
            <w:tcBorders>
              <w:top w:val="single" w:sz="4" w:space="0" w:color="auto"/>
              <w:left w:val="single" w:sz="4" w:space="0" w:color="auto"/>
              <w:bottom w:val="single" w:sz="4" w:space="0" w:color="auto"/>
              <w:right w:val="single" w:sz="4" w:space="0" w:color="auto"/>
            </w:tcBorders>
            <w:hideMark/>
          </w:tcPr>
          <w:p w14:paraId="410642AD" w14:textId="77777777" w:rsidR="00D94E22" w:rsidRDefault="00D94E22">
            <w:pPr>
              <w:spacing w:line="240" w:lineRule="auto"/>
              <w:rPr>
                <w:rFonts w:ascii="Times New Roman" w:hAnsi="Times New Roman" w:cs="Times New Roman"/>
                <w:sz w:val="20"/>
                <w:szCs w:val="20"/>
              </w:rPr>
            </w:pPr>
            <w:r>
              <w:rPr>
                <w:rFonts w:ascii="Times New Roman" w:hAnsi="Times New Roman" w:cs="Times New Roman"/>
                <w:sz w:val="20"/>
                <w:szCs w:val="20"/>
              </w:rPr>
              <w:t>Study does not include a CBT arm. At this stage studies that do not include an active psychological intervention at all, or which include an active intervention other than CBT are excluded. Excluded studies include those offering derivatives of CBT (e.g. MBCT, ACT, DBT, CST, BA, CBSAP) and those offering alternative psychotherapeutic interventions (e.g. psychodynamic psychotherapy, peer support, counselling). If the details of the psychotherapeutic intervention are unclear from the abstract the paper should be progressed to full-text screening.</w:t>
            </w:r>
          </w:p>
        </w:tc>
      </w:tr>
      <w:tr w:rsidR="00D94E22" w14:paraId="155205DA" w14:textId="77777777" w:rsidTr="00D94E22">
        <w:tc>
          <w:tcPr>
            <w:tcW w:w="9016" w:type="dxa"/>
            <w:tcBorders>
              <w:top w:val="single" w:sz="4" w:space="0" w:color="auto"/>
              <w:left w:val="single" w:sz="4" w:space="0" w:color="auto"/>
              <w:bottom w:val="single" w:sz="4" w:space="0" w:color="auto"/>
              <w:right w:val="single" w:sz="4" w:space="0" w:color="auto"/>
            </w:tcBorders>
            <w:hideMark/>
          </w:tcPr>
          <w:p w14:paraId="26729886" w14:textId="77777777" w:rsidR="00D94E22" w:rsidRDefault="00D94E22">
            <w:pPr>
              <w:spacing w:line="240" w:lineRule="auto"/>
              <w:rPr>
                <w:rFonts w:ascii="Times New Roman" w:hAnsi="Times New Roman" w:cs="Times New Roman"/>
                <w:sz w:val="20"/>
                <w:szCs w:val="20"/>
              </w:rPr>
            </w:pPr>
            <w:r>
              <w:rPr>
                <w:rFonts w:ascii="Times New Roman" w:hAnsi="Times New Roman" w:cs="Times New Roman"/>
                <w:sz w:val="20"/>
                <w:szCs w:val="20"/>
              </w:rPr>
              <w:t xml:space="preserve">The population under investigation is not defined by the presence of a mental health problem. Studies are excluded if the population of interest is defined by the presence of an addictive behaviour (e.g., to gambling, pornography, smoking) or other forms of substance abuse / dependence. Studies are excluded if the population under investigation is defined by the presence of traumatic brain injury, chronic pain, insomnia, physical health problems including diabetes, cancer, obesity, sexual </w:t>
            </w:r>
            <w:proofErr w:type="gramStart"/>
            <w:r>
              <w:rPr>
                <w:rFonts w:ascii="Times New Roman" w:hAnsi="Times New Roman" w:cs="Times New Roman"/>
                <w:sz w:val="20"/>
                <w:szCs w:val="20"/>
              </w:rPr>
              <w:t>dysfunction</w:t>
            </w:r>
            <w:proofErr w:type="gramEnd"/>
            <w:r>
              <w:rPr>
                <w:rFonts w:ascii="Times New Roman" w:hAnsi="Times New Roman" w:cs="Times New Roman"/>
                <w:sz w:val="20"/>
                <w:szCs w:val="20"/>
              </w:rPr>
              <w:t xml:space="preserve"> or other similar conditions. Studies on forensic populations are excluded due to the likelihood of different drivers of motivations for treatment in these populations.</w:t>
            </w:r>
          </w:p>
        </w:tc>
      </w:tr>
      <w:tr w:rsidR="00D94E22" w14:paraId="4013A3F9" w14:textId="77777777" w:rsidTr="00D94E22">
        <w:tc>
          <w:tcPr>
            <w:tcW w:w="9016" w:type="dxa"/>
            <w:tcBorders>
              <w:top w:val="single" w:sz="4" w:space="0" w:color="auto"/>
              <w:left w:val="single" w:sz="4" w:space="0" w:color="auto"/>
              <w:bottom w:val="single" w:sz="4" w:space="0" w:color="auto"/>
              <w:right w:val="single" w:sz="4" w:space="0" w:color="auto"/>
            </w:tcBorders>
            <w:hideMark/>
          </w:tcPr>
          <w:p w14:paraId="06B74661" w14:textId="77777777" w:rsidR="00D94E22" w:rsidRDefault="00D94E22">
            <w:pPr>
              <w:spacing w:line="240" w:lineRule="auto"/>
              <w:rPr>
                <w:rFonts w:ascii="Times New Roman" w:hAnsi="Times New Roman" w:cs="Times New Roman"/>
                <w:sz w:val="20"/>
                <w:szCs w:val="20"/>
              </w:rPr>
            </w:pPr>
            <w:r>
              <w:rPr>
                <w:rFonts w:ascii="Times New Roman" w:hAnsi="Times New Roman" w:cs="Times New Roman"/>
                <w:sz w:val="20"/>
                <w:szCs w:val="20"/>
              </w:rPr>
              <w:t>The clinical target of the intervention is not a mental health problem. Studies where the clinical target is related to an addictive behaviour (e.g., craving, abstinence), are excluded.</w:t>
            </w:r>
          </w:p>
        </w:tc>
      </w:tr>
      <w:tr w:rsidR="00D94E22" w14:paraId="57167766" w14:textId="77777777" w:rsidTr="00D94E22">
        <w:tc>
          <w:tcPr>
            <w:tcW w:w="9016" w:type="dxa"/>
            <w:tcBorders>
              <w:top w:val="single" w:sz="4" w:space="0" w:color="auto"/>
              <w:left w:val="single" w:sz="4" w:space="0" w:color="auto"/>
              <w:bottom w:val="single" w:sz="4" w:space="0" w:color="auto"/>
              <w:right w:val="single" w:sz="4" w:space="0" w:color="auto"/>
            </w:tcBorders>
            <w:hideMark/>
          </w:tcPr>
          <w:p w14:paraId="4C864BCB" w14:textId="77777777" w:rsidR="00D94E22" w:rsidRDefault="00D94E22">
            <w:pPr>
              <w:spacing w:line="240" w:lineRule="auto"/>
              <w:rPr>
                <w:rFonts w:ascii="Times New Roman" w:hAnsi="Times New Roman" w:cs="Times New Roman"/>
                <w:sz w:val="20"/>
                <w:szCs w:val="20"/>
              </w:rPr>
            </w:pPr>
            <w:r>
              <w:rPr>
                <w:rFonts w:ascii="Times New Roman" w:hAnsi="Times New Roman" w:cs="Times New Roman"/>
                <w:sz w:val="20"/>
                <w:szCs w:val="20"/>
              </w:rPr>
              <w:t xml:space="preserve">The study does not include original data (e.g., a commentary, opinion piece or protocol), or was a qualitative </w:t>
            </w:r>
            <w:proofErr w:type="gramStart"/>
            <w:r>
              <w:rPr>
                <w:rFonts w:ascii="Times New Roman" w:hAnsi="Times New Roman" w:cs="Times New Roman"/>
                <w:sz w:val="20"/>
                <w:szCs w:val="20"/>
              </w:rPr>
              <w:t>study,  a</w:t>
            </w:r>
            <w:proofErr w:type="gramEnd"/>
            <w:r>
              <w:rPr>
                <w:rFonts w:ascii="Times New Roman" w:hAnsi="Times New Roman" w:cs="Times New Roman"/>
                <w:sz w:val="20"/>
                <w:szCs w:val="20"/>
              </w:rPr>
              <w:t xml:space="preserve"> case study or case series,  a cross-sectional study or a review.</w:t>
            </w:r>
          </w:p>
        </w:tc>
      </w:tr>
    </w:tbl>
    <w:p w14:paraId="13EF56EE" w14:textId="77777777" w:rsidR="00D94E22" w:rsidRDefault="00D94E22" w:rsidP="00D94E22">
      <w:pPr>
        <w:rPr>
          <w:rFonts w:ascii="Times New Roman" w:hAnsi="Times New Roman" w:cs="Times New Roman"/>
          <w:sz w:val="20"/>
          <w:szCs w:val="20"/>
        </w:rPr>
      </w:pPr>
    </w:p>
    <w:p w14:paraId="5FE697E4" w14:textId="77777777" w:rsidR="00D94E22" w:rsidRDefault="00D94E22" w:rsidP="00D94E22">
      <w:pPr>
        <w:rPr>
          <w:rFonts w:ascii="Times New Roman" w:hAnsi="Times New Roman" w:cs="Times New Roman"/>
          <w:b/>
          <w:bCs/>
          <w:sz w:val="20"/>
          <w:szCs w:val="20"/>
        </w:rPr>
      </w:pPr>
      <w:r>
        <w:rPr>
          <w:rFonts w:ascii="Times New Roman" w:hAnsi="Times New Roman" w:cs="Times New Roman"/>
          <w:b/>
          <w:bCs/>
          <w:sz w:val="20"/>
          <w:szCs w:val="20"/>
        </w:rPr>
        <w:br w:type="page"/>
      </w:r>
    </w:p>
    <w:p w14:paraId="2C5DDED8" w14:textId="5FE30801" w:rsidR="00D94E22" w:rsidRDefault="00D94E22" w:rsidP="00D94E22">
      <w:pPr>
        <w:rPr>
          <w:rFonts w:ascii="Times New Roman" w:hAnsi="Times New Roman" w:cs="Times New Roman"/>
          <w:b/>
          <w:bCs/>
          <w:sz w:val="20"/>
          <w:szCs w:val="20"/>
        </w:rPr>
      </w:pPr>
      <w:r>
        <w:rPr>
          <w:noProof/>
        </w:rPr>
        <w:lastRenderedPageBreak/>
        <mc:AlternateContent>
          <mc:Choice Requires="wps">
            <w:drawing>
              <wp:anchor distT="0" distB="0" distL="114300" distR="114300" simplePos="0" relativeHeight="251658240" behindDoc="0" locked="0" layoutInCell="1" allowOverlap="1" wp14:anchorId="3F3075AB" wp14:editId="3F55F69F">
                <wp:simplePos x="0" y="0"/>
                <wp:positionH relativeFrom="margin">
                  <wp:align>left</wp:align>
                </wp:positionH>
                <wp:positionV relativeFrom="paragraph">
                  <wp:posOffset>288290</wp:posOffset>
                </wp:positionV>
                <wp:extent cx="6210935" cy="5930265"/>
                <wp:effectExtent l="0" t="0" r="18415" b="13335"/>
                <wp:wrapNone/>
                <wp:docPr id="19" name="Text Box 3"/>
                <wp:cNvGraphicFramePr/>
                <a:graphic xmlns:a="http://schemas.openxmlformats.org/drawingml/2006/main">
                  <a:graphicData uri="http://schemas.microsoft.com/office/word/2010/wordprocessingShape">
                    <wps:wsp>
                      <wps:cNvSpPr txBox="1"/>
                      <wps:spPr>
                        <a:xfrm>
                          <a:off x="0" y="0"/>
                          <a:ext cx="6210300" cy="592963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B7E65C2" w14:textId="77777777" w:rsidR="00D94E22" w:rsidRDefault="00D94E22" w:rsidP="00D94E22">
                            <w:pPr>
                              <w:rPr>
                                <w:rFonts w:hAnsi="Calibri"/>
                                <w:b/>
                                <w:bCs/>
                                <w:color w:val="000000" w:themeColor="dark1"/>
                              </w:rPr>
                            </w:pPr>
                            <w:r>
                              <w:rPr>
                                <w:rFonts w:hAnsi="Calibri"/>
                                <w:b/>
                                <w:bCs/>
                                <w:color w:val="000000" w:themeColor="dark1"/>
                              </w:rPr>
                              <w:t>Exclude if:</w:t>
                            </w:r>
                          </w:p>
                          <w:p w14:paraId="0B12705D" w14:textId="77777777" w:rsidR="00D94E22" w:rsidRDefault="00D94E22" w:rsidP="00D94E22">
                            <w:pPr>
                              <w:rPr>
                                <w:rFonts w:hAnsi="Calibri"/>
                                <w:color w:val="000000" w:themeColor="dark1"/>
                              </w:rPr>
                            </w:pPr>
                            <w:r>
                              <w:rPr>
                                <w:rFonts w:hAnsi="Calibri"/>
                                <w:color w:val="000000" w:themeColor="dark1"/>
                              </w:rPr>
                              <w:t xml:space="preserve">1. </w:t>
                            </w:r>
                            <w:r>
                              <w:rPr>
                                <w:rFonts w:hAnsi="Calibri"/>
                                <w:b/>
                                <w:bCs/>
                                <w:color w:val="000000" w:themeColor="dark1"/>
                              </w:rPr>
                              <w:t xml:space="preserve">Meets title/abstract exclusion criteria </w:t>
                            </w:r>
                            <w:r>
                              <w:rPr>
                                <w:rFonts w:hAnsi="Calibri"/>
                                <w:color w:val="000000" w:themeColor="dark1"/>
                              </w:rPr>
                              <w:t>(if includes people with dual diagnosis outcome and readiness measures must relate to non-substance misuse outcomes)</w:t>
                            </w:r>
                          </w:p>
                          <w:p w14:paraId="5D6D4BB1" w14:textId="77777777" w:rsidR="00D94E22" w:rsidRDefault="00D94E22" w:rsidP="00D94E22">
                            <w:pPr>
                              <w:rPr>
                                <w:rFonts w:hAnsi="Calibri"/>
                                <w:b/>
                                <w:bCs/>
                                <w:color w:val="000000" w:themeColor="dark1"/>
                              </w:rPr>
                            </w:pPr>
                            <w:r>
                              <w:rPr>
                                <w:rFonts w:hAnsi="Calibri"/>
                                <w:color w:val="000000" w:themeColor="dark1"/>
                              </w:rPr>
                              <w:t>2.</w:t>
                            </w:r>
                            <w:r>
                              <w:rPr>
                                <w:rFonts w:hAnsi="Calibri"/>
                                <w:b/>
                                <w:bCs/>
                                <w:color w:val="000000" w:themeColor="dark1"/>
                              </w:rPr>
                              <w:t xml:space="preserve"> Study </w:t>
                            </w:r>
                            <w:r>
                              <w:rPr>
                                <w:rFonts w:hAnsi="Calibri"/>
                                <w:b/>
                                <w:bCs/>
                                <w:color w:val="000000" w:themeColor="dark1"/>
                                <w:u w:val="single"/>
                              </w:rPr>
                              <w:t xml:space="preserve">does not </w:t>
                            </w:r>
                            <w:r>
                              <w:rPr>
                                <w:rFonts w:hAnsi="Calibri"/>
                                <w:b/>
                                <w:bCs/>
                                <w:color w:val="000000" w:themeColor="dark1"/>
                              </w:rPr>
                              <w:t xml:space="preserve">include a measure of motivational readiness linked to transtheoretical model of stages of change </w:t>
                            </w:r>
                          </w:p>
                          <w:p w14:paraId="44FDB013" w14:textId="77777777" w:rsidR="00D94E22" w:rsidRDefault="00D94E22" w:rsidP="00D94E22">
                            <w:pPr>
                              <w:rPr>
                                <w:rFonts w:hAnsi="Calibri"/>
                                <w:color w:val="000000" w:themeColor="dark1"/>
                              </w:rPr>
                            </w:pPr>
                            <w:r>
                              <w:rPr>
                                <w:rFonts w:hAnsi="Calibri"/>
                                <w:b/>
                                <w:bCs/>
                                <w:i/>
                                <w:iCs/>
                                <w:color w:val="000000" w:themeColor="dark1"/>
                              </w:rPr>
                              <w:t>Eligible measures</w:t>
                            </w:r>
                            <w:r>
                              <w:rPr>
                                <w:rFonts w:hAnsi="Calibri"/>
                                <w:color w:val="000000" w:themeColor="dark1"/>
                              </w:rPr>
                              <w:t xml:space="preserve"> including, but not limited to </w:t>
                            </w:r>
                            <w:proofErr w:type="gramStart"/>
                            <w:r>
                              <w:rPr>
                                <w:rFonts w:hAnsi="Calibri"/>
                                <w:color w:val="000000" w:themeColor="dark1"/>
                              </w:rPr>
                              <w:t>....URICA</w:t>
                            </w:r>
                            <w:proofErr w:type="gramEnd"/>
                            <w:r>
                              <w:rPr>
                                <w:rFonts w:hAnsi="Calibri"/>
                                <w:color w:val="000000" w:themeColor="dark1"/>
                              </w:rPr>
                              <w:t>, Change Questionnaire, Stages of Change Questionnaire/Scale, Anorexia Nervosa/Bulimia Nervosa Stages of Change Questionnaire, Readiness Ruler, etc</w:t>
                            </w:r>
                          </w:p>
                          <w:p w14:paraId="53589C85" w14:textId="77777777" w:rsidR="00D94E22" w:rsidRDefault="00D94E22" w:rsidP="00D94E22">
                            <w:pPr>
                              <w:rPr>
                                <w:rFonts w:hAnsi="Calibri"/>
                                <w:color w:val="000000" w:themeColor="dark1"/>
                              </w:rPr>
                            </w:pPr>
                            <w:r>
                              <w:rPr>
                                <w:rFonts w:hAnsi="Calibri"/>
                                <w:b/>
                                <w:bCs/>
                                <w:i/>
                                <w:iCs/>
                                <w:color w:val="000000" w:themeColor="dark1"/>
                              </w:rPr>
                              <w:t>Ineligible measures:</w:t>
                            </w:r>
                            <w:r>
                              <w:rPr>
                                <w:rFonts w:hAnsi="Calibri"/>
                                <w:b/>
                                <w:bCs/>
                                <w:color w:val="000000" w:themeColor="dark1"/>
                              </w:rPr>
                              <w:t xml:space="preserve"> </w:t>
                            </w:r>
                            <w:r>
                              <w:rPr>
                                <w:rFonts w:hAnsi="Calibri"/>
                                <w:color w:val="000000" w:themeColor="dark1"/>
                              </w:rPr>
                              <w:t>measures such as Nijmegen Motivation List (NML/NML-2/NML-child version), Willingness Scale, or measures focused on Treatment Expectancy, Treatment Credibility, Treatment Efficacy or Importance, or Therapeutic Alliance/Resistance, etc)</w:t>
                            </w:r>
                          </w:p>
                          <w:p w14:paraId="09798F6F" w14:textId="77777777" w:rsidR="00D94E22" w:rsidRDefault="00D94E22" w:rsidP="00D94E22">
                            <w:pPr>
                              <w:textAlignment w:val="baseline"/>
                              <w:rPr>
                                <w:rFonts w:hAnsi="Calibri"/>
                                <w:color w:val="000000" w:themeColor="dark1"/>
                              </w:rPr>
                            </w:pPr>
                            <w:r>
                              <w:rPr>
                                <w:rFonts w:hAnsi="Calibri"/>
                                <w:color w:val="000000" w:themeColor="dark1"/>
                              </w:rPr>
                              <w:t xml:space="preserve">3. </w:t>
                            </w:r>
                            <w:r>
                              <w:rPr>
                                <w:rFonts w:hAnsi="Calibri"/>
                                <w:b/>
                                <w:bCs/>
                                <w:color w:val="000000" w:themeColor="dark1"/>
                              </w:rPr>
                              <w:t xml:space="preserve">Measure of motivational readiness </w:t>
                            </w:r>
                            <w:r>
                              <w:rPr>
                                <w:rFonts w:hAnsi="Calibri"/>
                                <w:b/>
                                <w:bCs/>
                                <w:color w:val="000000" w:themeColor="dark1"/>
                                <w:u w:val="single"/>
                              </w:rPr>
                              <w:t xml:space="preserve">is not </w:t>
                            </w:r>
                            <w:r>
                              <w:rPr>
                                <w:rFonts w:hAnsi="Calibri"/>
                                <w:b/>
                                <w:bCs/>
                                <w:color w:val="000000" w:themeColor="dark1"/>
                              </w:rPr>
                              <w:t xml:space="preserve">taken prior to intervention or session 1 </w:t>
                            </w:r>
                            <w:r>
                              <w:rPr>
                                <w:rFonts w:hAnsi="Calibri"/>
                                <w:color w:val="000000" w:themeColor="dark1"/>
                              </w:rPr>
                              <w:t>(initial measure must be taken at baseline or session 1 only)</w:t>
                            </w:r>
                          </w:p>
                          <w:p w14:paraId="17804522" w14:textId="77777777" w:rsidR="00D94E22" w:rsidRDefault="00D94E22" w:rsidP="00D94E22">
                            <w:pPr>
                              <w:textAlignment w:val="baseline"/>
                              <w:rPr>
                                <w:rFonts w:hAnsi="Calibri"/>
                                <w:color w:val="000000" w:themeColor="dark1"/>
                              </w:rPr>
                            </w:pPr>
                            <w:r>
                              <w:rPr>
                                <w:rFonts w:hAnsi="Calibri"/>
                                <w:color w:val="000000" w:themeColor="dark1"/>
                              </w:rPr>
                              <w:t>4</w:t>
                            </w:r>
                            <w:r>
                              <w:rPr>
                                <w:rFonts w:hAnsi="Calibri"/>
                                <w:b/>
                                <w:bCs/>
                                <w:color w:val="000000" w:themeColor="dark1"/>
                              </w:rPr>
                              <w:t xml:space="preserve">. Study </w:t>
                            </w:r>
                            <w:r>
                              <w:rPr>
                                <w:rFonts w:hAnsi="Calibri"/>
                                <w:b/>
                                <w:bCs/>
                                <w:color w:val="000000" w:themeColor="dark1"/>
                                <w:u w:val="single"/>
                              </w:rPr>
                              <w:t xml:space="preserve">does not </w:t>
                            </w:r>
                            <w:r>
                              <w:rPr>
                                <w:rFonts w:hAnsi="Calibri"/>
                                <w:b/>
                                <w:bCs/>
                                <w:color w:val="000000" w:themeColor="dark1"/>
                              </w:rPr>
                              <w:t xml:space="preserve">include a CBT intervention </w:t>
                            </w:r>
                            <w:r>
                              <w:rPr>
                                <w:rFonts w:hAnsi="Calibri"/>
                                <w:color w:val="000000" w:themeColor="dark1"/>
                              </w:rPr>
                              <w:t>(note: ERP included for OCD spectrum disorders). CBT plus medication or CBT as main psychological treatment in context of inpatient admission where there are other adjunctive psychological interventions included.</w:t>
                            </w:r>
                            <w:r>
                              <w:rPr>
                                <w:rFonts w:hAnsi="Calibri"/>
                                <w:b/>
                                <w:bCs/>
                                <w:color w:val="000000" w:themeColor="dark1"/>
                              </w:rPr>
                              <w:t xml:space="preserve"> </w:t>
                            </w:r>
                            <w:r>
                              <w:rPr>
                                <w:rFonts w:hAnsi="Calibri"/>
                                <w:color w:val="000000" w:themeColor="dark1"/>
                              </w:rPr>
                              <w:t xml:space="preserve">Combined CBT and Motivational interviewing not included. Unguided (pure self-help) CBT bibliotherapy not included. </w:t>
                            </w:r>
                          </w:p>
                          <w:p w14:paraId="2EE8D87C" w14:textId="77777777" w:rsidR="00D94E22" w:rsidRDefault="00D94E22" w:rsidP="00D94E22">
                            <w:pPr>
                              <w:textAlignment w:val="baseline"/>
                              <w:rPr>
                                <w:rFonts w:hAnsi="Calibri"/>
                                <w:color w:val="000000" w:themeColor="dark1"/>
                              </w:rPr>
                            </w:pPr>
                            <w:r>
                              <w:rPr>
                                <w:rFonts w:hAnsi="Calibri"/>
                                <w:color w:val="000000" w:themeColor="dark1"/>
                              </w:rPr>
                              <w:t xml:space="preserve">5. </w:t>
                            </w:r>
                            <w:r>
                              <w:rPr>
                                <w:rFonts w:hAnsi="Calibri"/>
                                <w:b/>
                                <w:bCs/>
                                <w:color w:val="000000" w:themeColor="dark1"/>
                              </w:rPr>
                              <w:t xml:space="preserve">Study </w:t>
                            </w:r>
                            <w:r>
                              <w:rPr>
                                <w:rFonts w:hAnsi="Calibri"/>
                                <w:b/>
                                <w:bCs/>
                                <w:color w:val="000000" w:themeColor="dark1"/>
                                <w:u w:val="single"/>
                              </w:rPr>
                              <w:t xml:space="preserve">does not </w:t>
                            </w:r>
                            <w:r>
                              <w:rPr>
                                <w:rFonts w:hAnsi="Calibri"/>
                                <w:b/>
                                <w:bCs/>
                                <w:color w:val="000000" w:themeColor="dark1"/>
                              </w:rPr>
                              <w:t xml:space="preserve">report analysis which directly examines link between motivational readiness and outcome/engagement. </w:t>
                            </w:r>
                            <w:r>
                              <w:rPr>
                                <w:rFonts w:hAnsi="Calibri"/>
                                <w:color w:val="000000" w:themeColor="dark1"/>
                              </w:rPr>
                              <w:t xml:space="preserve">NOTE: if study includes multiple treatment arms comprising a CBT treatment arm and other non-CBT treatment arms analysis </w:t>
                            </w:r>
                            <w:r>
                              <w:rPr>
                                <w:rFonts w:hAnsi="Calibri"/>
                                <w:color w:val="000000" w:themeColor="dark1"/>
                                <w:u w:val="single"/>
                              </w:rPr>
                              <w:t xml:space="preserve">must </w:t>
                            </w:r>
                            <w:r>
                              <w:rPr>
                                <w:rFonts w:hAnsi="Calibri"/>
                                <w:color w:val="000000" w:themeColor="dark1"/>
                              </w:rPr>
                              <w:t xml:space="preserve">either examine the association between motivational readiness and CBT outcome separately or examine the overall association across treatment arms and report the interaction between motivation and treatment arm on outcome. </w:t>
                            </w:r>
                          </w:p>
                          <w:p w14:paraId="35C5CA30" w14:textId="77777777" w:rsidR="00D94E22" w:rsidRDefault="00D94E22" w:rsidP="00D94E22">
                            <w:pPr>
                              <w:rPr>
                                <w:rFonts w:hAnsi="Calibri"/>
                                <w:color w:val="000000" w:themeColor="dark1"/>
                              </w:rPr>
                            </w:pPr>
                            <w:r>
                              <w:rPr>
                                <w:rFonts w:hAnsi="Calibri"/>
                                <w:color w:val="000000" w:themeColor="dark1"/>
                              </w:rPr>
                              <w:t xml:space="preserve">3. </w:t>
                            </w:r>
                            <w:r>
                              <w:rPr>
                                <w:rFonts w:hAnsi="Calibri"/>
                                <w:b/>
                                <w:bCs/>
                                <w:color w:val="000000" w:themeColor="dark1"/>
                              </w:rPr>
                              <w:t xml:space="preserve">No measure of clinical symptoms post intervention </w:t>
                            </w:r>
                            <w:r>
                              <w:rPr>
                                <w:rFonts w:hAnsi="Calibri"/>
                                <w:b/>
                                <w:bCs/>
                                <w:color w:val="000000" w:themeColor="dark1"/>
                                <w:u w:val="single"/>
                              </w:rPr>
                              <w:t>or</w:t>
                            </w:r>
                            <w:r>
                              <w:rPr>
                                <w:rFonts w:hAnsi="Calibri"/>
                                <w:b/>
                                <w:bCs/>
                                <w:color w:val="000000" w:themeColor="dark1"/>
                              </w:rPr>
                              <w:t xml:space="preserve"> engagement with intervention </w:t>
                            </w:r>
                            <w:r>
                              <w:rPr>
                                <w:rFonts w:hAnsi="Calibri"/>
                                <w:color w:val="000000" w:themeColor="dark1"/>
                              </w:rPr>
                              <w:t xml:space="preserve">symptom outcome, attendance, duration of treatment etc included- e.g. needs to have one or the other to be </w:t>
                            </w:r>
                            <w:proofErr w:type="gramStart"/>
                            <w:r>
                              <w:rPr>
                                <w:rFonts w:hAnsi="Calibri"/>
                                <w:color w:val="000000" w:themeColor="dark1"/>
                              </w:rPr>
                              <w:t>included, but</w:t>
                            </w:r>
                            <w:proofErr w:type="gramEnd"/>
                            <w:r>
                              <w:rPr>
                                <w:rFonts w:hAnsi="Calibri"/>
                                <w:color w:val="000000" w:themeColor="dark1"/>
                              </w:rPr>
                              <w:t xml:space="preserve"> does not need both.</w:t>
                            </w:r>
                          </w:p>
                          <w:p w14:paraId="7FEA75AA" w14:textId="77777777" w:rsidR="00D94E22" w:rsidRDefault="00D94E22" w:rsidP="00D94E22">
                            <w:pPr>
                              <w:textAlignment w:val="baseline"/>
                              <w:rPr>
                                <w:rFonts w:hAnsi="Calibri"/>
                                <w:color w:val="000000" w:themeColor="dark1"/>
                              </w:rPr>
                            </w:pPr>
                            <w:r>
                              <w:rPr>
                                <w:rFonts w:hAnsi="Calibri"/>
                                <w:color w:val="000000" w:themeColor="dark1"/>
                              </w:rPr>
                              <w:t>6</w:t>
                            </w:r>
                            <w:r>
                              <w:rPr>
                                <w:rFonts w:hAnsi="Calibri"/>
                                <w:b/>
                                <w:bCs/>
                                <w:color w:val="000000" w:themeColor="dark1"/>
                              </w:rPr>
                              <w:t>. No original data included</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3F3075AB" id="_x0000_t202" coordsize="21600,21600" o:spt="202" path="m,l,21600r21600,l21600,xe">
                <v:stroke joinstyle="miter"/>
                <v:path gradientshapeok="t" o:connecttype="rect"/>
              </v:shapetype>
              <v:shape id="Text Box 3" o:spid="_x0000_s1026" type="#_x0000_t202" style="position:absolute;margin-left:0;margin-top:22.7pt;width:489.05pt;height:466.9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" fillcolor="white [3201]" strokecolor="#7f7f7f [1601]">
                <v:textbox>
                  <w:txbxContent>
                    <w:p w14:paraId="0B7E65C2" w14:textId="77777777" w:rsidR="00D94E22" w:rsidRDefault="00D94E22" w:rsidP="00D94E22">
                      <w:pPr>
                        <w:rPr>
                          <w:rFonts w:hAnsi="Calibri"/>
                          <w:b/>
                          <w:bCs/>
                          <w:color w:val="000000" w:themeColor="dark1"/>
                        </w:rPr>
                      </w:pPr>
                      <w:r>
                        <w:rPr>
                          <w:rFonts w:hAnsi="Calibri"/>
                          <w:b/>
                          <w:bCs/>
                          <w:color w:val="000000" w:themeColor="dark1"/>
                        </w:rPr>
                        <w:t>Exclude if:</w:t>
                      </w:r>
                    </w:p>
                    <w:p w14:paraId="0B12705D" w14:textId="77777777" w:rsidR="00D94E22" w:rsidRDefault="00D94E22" w:rsidP="00D94E22">
                      <w:pPr>
                        <w:rPr>
                          <w:rFonts w:hAnsi="Calibri"/>
                          <w:color w:val="000000" w:themeColor="dark1"/>
                        </w:rPr>
                      </w:pPr>
                      <w:r>
                        <w:rPr>
                          <w:rFonts w:hAnsi="Calibri"/>
                          <w:color w:val="000000" w:themeColor="dark1"/>
                        </w:rPr>
                        <w:t xml:space="preserve">1. </w:t>
                      </w:r>
                      <w:r>
                        <w:rPr>
                          <w:rFonts w:hAnsi="Calibri"/>
                          <w:b/>
                          <w:bCs/>
                          <w:color w:val="000000" w:themeColor="dark1"/>
                        </w:rPr>
                        <w:t xml:space="preserve">Meets title/abstract exclusion criteria </w:t>
                      </w:r>
                      <w:r>
                        <w:rPr>
                          <w:rFonts w:hAnsi="Calibri"/>
                          <w:color w:val="000000" w:themeColor="dark1"/>
                        </w:rPr>
                        <w:t>(if includes people with dual diagnosis outcome and readiness measures must relate to non-substance misuse outcomes)</w:t>
                      </w:r>
                    </w:p>
                    <w:p w14:paraId="5D6D4BB1" w14:textId="77777777" w:rsidR="00D94E22" w:rsidRDefault="00D94E22" w:rsidP="00D94E22">
                      <w:pPr>
                        <w:rPr>
                          <w:rFonts w:hAnsi="Calibri"/>
                          <w:b/>
                          <w:bCs/>
                          <w:color w:val="000000" w:themeColor="dark1"/>
                        </w:rPr>
                      </w:pPr>
                      <w:r>
                        <w:rPr>
                          <w:rFonts w:hAnsi="Calibri"/>
                          <w:color w:val="000000" w:themeColor="dark1"/>
                        </w:rPr>
                        <w:t>2.</w:t>
                      </w:r>
                      <w:r>
                        <w:rPr>
                          <w:rFonts w:hAnsi="Calibri"/>
                          <w:b/>
                          <w:bCs/>
                          <w:color w:val="000000" w:themeColor="dark1"/>
                        </w:rPr>
                        <w:t xml:space="preserve"> Study </w:t>
                      </w:r>
                      <w:r>
                        <w:rPr>
                          <w:rFonts w:hAnsi="Calibri"/>
                          <w:b/>
                          <w:bCs/>
                          <w:color w:val="000000" w:themeColor="dark1"/>
                          <w:u w:val="single"/>
                        </w:rPr>
                        <w:t xml:space="preserve">does not </w:t>
                      </w:r>
                      <w:r>
                        <w:rPr>
                          <w:rFonts w:hAnsi="Calibri"/>
                          <w:b/>
                          <w:bCs/>
                          <w:color w:val="000000" w:themeColor="dark1"/>
                        </w:rPr>
                        <w:t xml:space="preserve">include a measure of motivational readiness linked to transtheoretical model of stages of change </w:t>
                      </w:r>
                    </w:p>
                    <w:p w14:paraId="44FDB013" w14:textId="77777777" w:rsidR="00D94E22" w:rsidRDefault="00D94E22" w:rsidP="00D94E22">
                      <w:pPr>
                        <w:rPr>
                          <w:rFonts w:hAnsi="Calibri"/>
                          <w:color w:val="000000" w:themeColor="dark1"/>
                        </w:rPr>
                      </w:pPr>
                      <w:r>
                        <w:rPr>
                          <w:rFonts w:hAnsi="Calibri"/>
                          <w:b/>
                          <w:bCs/>
                          <w:i/>
                          <w:iCs/>
                          <w:color w:val="000000" w:themeColor="dark1"/>
                        </w:rPr>
                        <w:t>Eligible measures</w:t>
                      </w:r>
                      <w:r>
                        <w:rPr>
                          <w:rFonts w:hAnsi="Calibri"/>
                          <w:color w:val="000000" w:themeColor="dark1"/>
                        </w:rPr>
                        <w:t xml:space="preserve"> including, but not limited to </w:t>
                      </w:r>
                      <w:proofErr w:type="gramStart"/>
                      <w:r>
                        <w:rPr>
                          <w:rFonts w:hAnsi="Calibri"/>
                          <w:color w:val="000000" w:themeColor="dark1"/>
                        </w:rPr>
                        <w:t>....URICA</w:t>
                      </w:r>
                      <w:proofErr w:type="gramEnd"/>
                      <w:r>
                        <w:rPr>
                          <w:rFonts w:hAnsi="Calibri"/>
                          <w:color w:val="000000" w:themeColor="dark1"/>
                        </w:rPr>
                        <w:t>, Change Questionnaire, Stages of Change Questionnaire/Scale, Anorexia Nervosa/Bulimia Nervosa Stages of Change Questionnaire, Readiness Ruler, etc</w:t>
                      </w:r>
                    </w:p>
                    <w:p w14:paraId="53589C85" w14:textId="77777777" w:rsidR="00D94E22" w:rsidRDefault="00D94E22" w:rsidP="00D94E22">
                      <w:pPr>
                        <w:rPr>
                          <w:rFonts w:hAnsi="Calibri"/>
                          <w:color w:val="000000" w:themeColor="dark1"/>
                        </w:rPr>
                      </w:pPr>
                      <w:r>
                        <w:rPr>
                          <w:rFonts w:hAnsi="Calibri"/>
                          <w:b/>
                          <w:bCs/>
                          <w:i/>
                          <w:iCs/>
                          <w:color w:val="000000" w:themeColor="dark1"/>
                        </w:rPr>
                        <w:t>Ineligible measures:</w:t>
                      </w:r>
                      <w:r>
                        <w:rPr>
                          <w:rFonts w:hAnsi="Calibri"/>
                          <w:b/>
                          <w:bCs/>
                          <w:color w:val="000000" w:themeColor="dark1"/>
                        </w:rPr>
                        <w:t xml:space="preserve"> </w:t>
                      </w:r>
                      <w:r>
                        <w:rPr>
                          <w:rFonts w:hAnsi="Calibri"/>
                          <w:color w:val="000000" w:themeColor="dark1"/>
                        </w:rPr>
                        <w:t>measures such as Nijmegen Motivation List (NML/NML-2/NML-child version), Willingness Scale, or measures focused on Treatment Expectancy, Treatment Credibility, Treatment Efficacy or Importance, or Therapeutic Alliance/Resistance, etc)</w:t>
                      </w:r>
                    </w:p>
                    <w:p w14:paraId="09798F6F" w14:textId="77777777" w:rsidR="00D94E22" w:rsidRDefault="00D94E22" w:rsidP="00D94E22">
                      <w:pPr>
                        <w:textAlignment w:val="baseline"/>
                        <w:rPr>
                          <w:rFonts w:hAnsi="Calibri"/>
                          <w:color w:val="000000" w:themeColor="dark1"/>
                        </w:rPr>
                      </w:pPr>
                      <w:r>
                        <w:rPr>
                          <w:rFonts w:hAnsi="Calibri"/>
                          <w:color w:val="000000" w:themeColor="dark1"/>
                        </w:rPr>
                        <w:t xml:space="preserve">3. </w:t>
                      </w:r>
                      <w:r>
                        <w:rPr>
                          <w:rFonts w:hAnsi="Calibri"/>
                          <w:b/>
                          <w:bCs/>
                          <w:color w:val="000000" w:themeColor="dark1"/>
                        </w:rPr>
                        <w:t xml:space="preserve">Measure of motivational readiness </w:t>
                      </w:r>
                      <w:r>
                        <w:rPr>
                          <w:rFonts w:hAnsi="Calibri"/>
                          <w:b/>
                          <w:bCs/>
                          <w:color w:val="000000" w:themeColor="dark1"/>
                          <w:u w:val="single"/>
                        </w:rPr>
                        <w:t xml:space="preserve">is not </w:t>
                      </w:r>
                      <w:r>
                        <w:rPr>
                          <w:rFonts w:hAnsi="Calibri"/>
                          <w:b/>
                          <w:bCs/>
                          <w:color w:val="000000" w:themeColor="dark1"/>
                        </w:rPr>
                        <w:t xml:space="preserve">taken prior to intervention or session 1 </w:t>
                      </w:r>
                      <w:r>
                        <w:rPr>
                          <w:rFonts w:hAnsi="Calibri"/>
                          <w:color w:val="000000" w:themeColor="dark1"/>
                        </w:rPr>
                        <w:t>(initial measure must be taken at baseline or session 1 only)</w:t>
                      </w:r>
                    </w:p>
                    <w:p w14:paraId="17804522" w14:textId="77777777" w:rsidR="00D94E22" w:rsidRDefault="00D94E22" w:rsidP="00D94E22">
                      <w:pPr>
                        <w:textAlignment w:val="baseline"/>
                        <w:rPr>
                          <w:rFonts w:hAnsi="Calibri"/>
                          <w:color w:val="000000" w:themeColor="dark1"/>
                        </w:rPr>
                      </w:pPr>
                      <w:r>
                        <w:rPr>
                          <w:rFonts w:hAnsi="Calibri"/>
                          <w:color w:val="000000" w:themeColor="dark1"/>
                        </w:rPr>
                        <w:t>4</w:t>
                      </w:r>
                      <w:r>
                        <w:rPr>
                          <w:rFonts w:hAnsi="Calibri"/>
                          <w:b/>
                          <w:bCs/>
                          <w:color w:val="000000" w:themeColor="dark1"/>
                        </w:rPr>
                        <w:t xml:space="preserve">. Study </w:t>
                      </w:r>
                      <w:r>
                        <w:rPr>
                          <w:rFonts w:hAnsi="Calibri"/>
                          <w:b/>
                          <w:bCs/>
                          <w:color w:val="000000" w:themeColor="dark1"/>
                          <w:u w:val="single"/>
                        </w:rPr>
                        <w:t xml:space="preserve">does not </w:t>
                      </w:r>
                      <w:r>
                        <w:rPr>
                          <w:rFonts w:hAnsi="Calibri"/>
                          <w:b/>
                          <w:bCs/>
                          <w:color w:val="000000" w:themeColor="dark1"/>
                        </w:rPr>
                        <w:t xml:space="preserve">include a CBT intervention </w:t>
                      </w:r>
                      <w:r>
                        <w:rPr>
                          <w:rFonts w:hAnsi="Calibri"/>
                          <w:color w:val="000000" w:themeColor="dark1"/>
                        </w:rPr>
                        <w:t>(note: ERP included for OCD spectrum disorders). CBT plus medication or CBT as main psychological treatment in context of inpatient admission where there are other adjunctive psychological interventions included.</w:t>
                      </w:r>
                      <w:r>
                        <w:rPr>
                          <w:rFonts w:hAnsi="Calibri"/>
                          <w:b/>
                          <w:bCs/>
                          <w:color w:val="000000" w:themeColor="dark1"/>
                        </w:rPr>
                        <w:t xml:space="preserve"> </w:t>
                      </w:r>
                      <w:r>
                        <w:rPr>
                          <w:rFonts w:hAnsi="Calibri"/>
                          <w:color w:val="000000" w:themeColor="dark1"/>
                        </w:rPr>
                        <w:t xml:space="preserve">Combined CBT and Motivational interviewing not included. Unguided (pure self-help) CBT bibliotherapy not included. </w:t>
                      </w:r>
                    </w:p>
                    <w:p w14:paraId="2EE8D87C" w14:textId="77777777" w:rsidR="00D94E22" w:rsidRDefault="00D94E22" w:rsidP="00D94E22">
                      <w:pPr>
                        <w:textAlignment w:val="baseline"/>
                        <w:rPr>
                          <w:rFonts w:hAnsi="Calibri"/>
                          <w:color w:val="000000" w:themeColor="dark1"/>
                        </w:rPr>
                      </w:pPr>
                      <w:r>
                        <w:rPr>
                          <w:rFonts w:hAnsi="Calibri"/>
                          <w:color w:val="000000" w:themeColor="dark1"/>
                        </w:rPr>
                        <w:t xml:space="preserve">5. </w:t>
                      </w:r>
                      <w:r>
                        <w:rPr>
                          <w:rFonts w:hAnsi="Calibri"/>
                          <w:b/>
                          <w:bCs/>
                          <w:color w:val="000000" w:themeColor="dark1"/>
                        </w:rPr>
                        <w:t xml:space="preserve">Study </w:t>
                      </w:r>
                      <w:r>
                        <w:rPr>
                          <w:rFonts w:hAnsi="Calibri"/>
                          <w:b/>
                          <w:bCs/>
                          <w:color w:val="000000" w:themeColor="dark1"/>
                          <w:u w:val="single"/>
                        </w:rPr>
                        <w:t xml:space="preserve">does not </w:t>
                      </w:r>
                      <w:r>
                        <w:rPr>
                          <w:rFonts w:hAnsi="Calibri"/>
                          <w:b/>
                          <w:bCs/>
                          <w:color w:val="000000" w:themeColor="dark1"/>
                        </w:rPr>
                        <w:t xml:space="preserve">report analysis which directly examines link between motivational readiness and outcome/engagement. </w:t>
                      </w:r>
                      <w:r>
                        <w:rPr>
                          <w:rFonts w:hAnsi="Calibri"/>
                          <w:color w:val="000000" w:themeColor="dark1"/>
                        </w:rPr>
                        <w:t xml:space="preserve">NOTE: if study includes multiple treatment arms comprising a CBT treatment arm and other non-CBT treatment arms analysis </w:t>
                      </w:r>
                      <w:r>
                        <w:rPr>
                          <w:rFonts w:hAnsi="Calibri"/>
                          <w:color w:val="000000" w:themeColor="dark1"/>
                          <w:u w:val="single"/>
                        </w:rPr>
                        <w:t xml:space="preserve">must </w:t>
                      </w:r>
                      <w:r>
                        <w:rPr>
                          <w:rFonts w:hAnsi="Calibri"/>
                          <w:color w:val="000000" w:themeColor="dark1"/>
                        </w:rPr>
                        <w:t xml:space="preserve">either examine the association between motivational readiness and CBT outcome separately or examine the overall association across treatment arms and report the interaction between motivation and treatment arm on outcome. </w:t>
                      </w:r>
                    </w:p>
                    <w:p w14:paraId="35C5CA30" w14:textId="77777777" w:rsidR="00D94E22" w:rsidRDefault="00D94E22" w:rsidP="00D94E22">
                      <w:pPr>
                        <w:rPr>
                          <w:rFonts w:hAnsi="Calibri"/>
                          <w:color w:val="000000" w:themeColor="dark1"/>
                        </w:rPr>
                      </w:pPr>
                      <w:r>
                        <w:rPr>
                          <w:rFonts w:hAnsi="Calibri"/>
                          <w:color w:val="000000" w:themeColor="dark1"/>
                        </w:rPr>
                        <w:t xml:space="preserve">3. </w:t>
                      </w:r>
                      <w:r>
                        <w:rPr>
                          <w:rFonts w:hAnsi="Calibri"/>
                          <w:b/>
                          <w:bCs/>
                          <w:color w:val="000000" w:themeColor="dark1"/>
                        </w:rPr>
                        <w:t xml:space="preserve">No measure of clinical symptoms post intervention </w:t>
                      </w:r>
                      <w:r>
                        <w:rPr>
                          <w:rFonts w:hAnsi="Calibri"/>
                          <w:b/>
                          <w:bCs/>
                          <w:color w:val="000000" w:themeColor="dark1"/>
                          <w:u w:val="single"/>
                        </w:rPr>
                        <w:t>or</w:t>
                      </w:r>
                      <w:r>
                        <w:rPr>
                          <w:rFonts w:hAnsi="Calibri"/>
                          <w:b/>
                          <w:bCs/>
                          <w:color w:val="000000" w:themeColor="dark1"/>
                        </w:rPr>
                        <w:t xml:space="preserve"> engagement with intervention </w:t>
                      </w:r>
                      <w:r>
                        <w:rPr>
                          <w:rFonts w:hAnsi="Calibri"/>
                          <w:color w:val="000000" w:themeColor="dark1"/>
                        </w:rPr>
                        <w:t xml:space="preserve">symptom outcome, attendance, duration of treatment etc included- e.g. needs to have one or the other to be </w:t>
                      </w:r>
                      <w:proofErr w:type="gramStart"/>
                      <w:r>
                        <w:rPr>
                          <w:rFonts w:hAnsi="Calibri"/>
                          <w:color w:val="000000" w:themeColor="dark1"/>
                        </w:rPr>
                        <w:t>included, but</w:t>
                      </w:r>
                      <w:proofErr w:type="gramEnd"/>
                      <w:r>
                        <w:rPr>
                          <w:rFonts w:hAnsi="Calibri"/>
                          <w:color w:val="000000" w:themeColor="dark1"/>
                        </w:rPr>
                        <w:t xml:space="preserve"> does not need both.</w:t>
                      </w:r>
                    </w:p>
                    <w:p w14:paraId="7FEA75AA" w14:textId="77777777" w:rsidR="00D94E22" w:rsidRDefault="00D94E22" w:rsidP="00D94E22">
                      <w:pPr>
                        <w:textAlignment w:val="baseline"/>
                        <w:rPr>
                          <w:rFonts w:hAnsi="Calibri"/>
                          <w:color w:val="000000" w:themeColor="dark1"/>
                        </w:rPr>
                      </w:pPr>
                      <w:r>
                        <w:rPr>
                          <w:rFonts w:hAnsi="Calibri"/>
                          <w:color w:val="000000" w:themeColor="dark1"/>
                        </w:rPr>
                        <w:t>6</w:t>
                      </w:r>
                      <w:r>
                        <w:rPr>
                          <w:rFonts w:hAnsi="Calibri"/>
                          <w:b/>
                          <w:bCs/>
                          <w:color w:val="000000" w:themeColor="dark1"/>
                        </w:rPr>
                        <w:t>. No original data included</w:t>
                      </w:r>
                    </w:p>
                  </w:txbxContent>
                </v:textbox>
                <w10:wrap anchorx="margin"/>
              </v:shape>
            </w:pict>
          </mc:Fallback>
        </mc:AlternateContent>
      </w:r>
      <w:r>
        <w:rPr>
          <w:rFonts w:ascii="Times New Roman" w:hAnsi="Times New Roman" w:cs="Times New Roman"/>
          <w:b/>
          <w:bCs/>
          <w:sz w:val="20"/>
          <w:szCs w:val="20"/>
        </w:rPr>
        <w:t>Detailed Full Text Screening Criteria</w:t>
      </w:r>
    </w:p>
    <w:p w14:paraId="283AD638" w14:textId="77777777" w:rsidR="00D94E22" w:rsidRDefault="00D94E22" w:rsidP="00D94E22">
      <w:pPr>
        <w:jc w:val="center"/>
        <w:rPr>
          <w:rFonts w:ascii="Times New Roman" w:hAnsi="Times New Roman" w:cs="Times New Roman"/>
          <w:sz w:val="20"/>
          <w:szCs w:val="20"/>
        </w:rPr>
      </w:pPr>
      <w:r>
        <w:rPr>
          <w:rFonts w:ascii="Times New Roman" w:hAnsi="Times New Roman" w:cs="Times New Roman"/>
          <w:sz w:val="20"/>
          <w:szCs w:val="20"/>
        </w:rPr>
        <w:t xml:space="preserve"> </w:t>
      </w:r>
    </w:p>
    <w:p w14:paraId="49328D83" w14:textId="77777777" w:rsidR="009402AA" w:rsidRDefault="009402AA"/>
    <w:sectPr w:rsidR="009402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22"/>
    <w:rsid w:val="00273337"/>
    <w:rsid w:val="005937F3"/>
    <w:rsid w:val="009402AA"/>
    <w:rsid w:val="00D94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1E1F"/>
  <w15:chartTrackingRefBased/>
  <w15:docId w15:val="{BD83AAAE-32C1-46DB-A259-AA99E0CE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E22"/>
    <w:pPr>
      <w:spacing w:line="256" w:lineRule="auto"/>
    </w:pPr>
    <w:rPr>
      <w:kern w:val="0"/>
      <w:lang w:val="en-GB"/>
      <w14:ligatures w14:val="none"/>
    </w:rPr>
  </w:style>
  <w:style w:type="paragraph" w:styleId="Heading1">
    <w:name w:val="heading 1"/>
    <w:basedOn w:val="Normal"/>
    <w:next w:val="Normal"/>
    <w:link w:val="Heading1Char"/>
    <w:uiPriority w:val="9"/>
    <w:qFormat/>
    <w:rsid w:val="00D94E2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94E2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94E22"/>
    <w:pPr>
      <w:keepNext/>
      <w:keepLines/>
      <w:spacing w:before="160" w:after="80" w:line="259"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94E22"/>
    <w:pPr>
      <w:keepNext/>
      <w:keepLines/>
      <w:spacing w:before="80" w:after="40" w:line="259" w:lineRule="auto"/>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D94E22"/>
    <w:pPr>
      <w:keepNext/>
      <w:keepLines/>
      <w:spacing w:before="80" w:after="40" w:line="259" w:lineRule="auto"/>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D94E22"/>
    <w:pPr>
      <w:keepNext/>
      <w:keepLines/>
      <w:spacing w:before="40" w:after="0" w:line="259" w:lineRule="auto"/>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D94E22"/>
    <w:pPr>
      <w:keepNext/>
      <w:keepLines/>
      <w:spacing w:before="40" w:after="0" w:line="259" w:lineRule="auto"/>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D94E22"/>
    <w:pPr>
      <w:keepNext/>
      <w:keepLines/>
      <w:spacing w:after="0" w:line="259" w:lineRule="auto"/>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D94E22"/>
    <w:pPr>
      <w:keepNext/>
      <w:keepLines/>
      <w:spacing w:after="0" w:line="259" w:lineRule="auto"/>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E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E22"/>
    <w:rPr>
      <w:rFonts w:eastAsiaTheme="majorEastAsia" w:cstheme="majorBidi"/>
      <w:color w:val="272727" w:themeColor="text1" w:themeTint="D8"/>
    </w:rPr>
  </w:style>
  <w:style w:type="paragraph" w:styleId="Title">
    <w:name w:val="Title"/>
    <w:basedOn w:val="Normal"/>
    <w:next w:val="Normal"/>
    <w:link w:val="TitleChar"/>
    <w:uiPriority w:val="10"/>
    <w:qFormat/>
    <w:rsid w:val="00D94E2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94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E22"/>
    <w:pPr>
      <w:numPr>
        <w:ilvl w:val="1"/>
      </w:numPr>
      <w:spacing w:line="259"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94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E22"/>
    <w:pPr>
      <w:spacing w:before="160" w:line="259"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D94E22"/>
    <w:rPr>
      <w:i/>
      <w:iCs/>
      <w:color w:val="404040" w:themeColor="text1" w:themeTint="BF"/>
    </w:rPr>
  </w:style>
  <w:style w:type="paragraph" w:styleId="ListParagraph">
    <w:name w:val="List Paragraph"/>
    <w:basedOn w:val="Normal"/>
    <w:uiPriority w:val="34"/>
    <w:qFormat/>
    <w:rsid w:val="00D94E22"/>
    <w:pPr>
      <w:spacing w:line="259"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D94E22"/>
    <w:rPr>
      <w:i/>
      <w:iCs/>
      <w:color w:val="0F4761" w:themeColor="accent1" w:themeShade="BF"/>
    </w:rPr>
  </w:style>
  <w:style w:type="paragraph" w:styleId="IntenseQuote">
    <w:name w:val="Intense Quote"/>
    <w:basedOn w:val="Normal"/>
    <w:next w:val="Normal"/>
    <w:link w:val="IntenseQuoteChar"/>
    <w:uiPriority w:val="30"/>
    <w:qFormat/>
    <w:rsid w:val="00D94E2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D94E22"/>
    <w:rPr>
      <w:i/>
      <w:iCs/>
      <w:color w:val="0F4761" w:themeColor="accent1" w:themeShade="BF"/>
    </w:rPr>
  </w:style>
  <w:style w:type="character" w:styleId="IntenseReference">
    <w:name w:val="Intense Reference"/>
    <w:basedOn w:val="DefaultParagraphFont"/>
    <w:uiPriority w:val="32"/>
    <w:qFormat/>
    <w:rsid w:val="00D94E22"/>
    <w:rPr>
      <w:b/>
      <w:bCs/>
      <w:smallCaps/>
      <w:color w:val="0F4761" w:themeColor="accent1" w:themeShade="BF"/>
      <w:spacing w:val="5"/>
    </w:rPr>
  </w:style>
  <w:style w:type="table" w:styleId="TableGrid">
    <w:name w:val="Table Grid"/>
    <w:basedOn w:val="TableNormal"/>
    <w:uiPriority w:val="39"/>
    <w:rsid w:val="00D94E22"/>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83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308</Words>
  <Characters>1759</Characters>
  <Application>Microsoft Office Word</Application>
  <DocSecurity>0</DocSecurity>
  <Lines>14</Lines>
  <Paragraphs>4</Paragraphs>
  <ScaleCrop>false</ScaleCrop>
  <Company>Springer Nature</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Savio Anthony Barretto</dc:creator>
  <cp:keywords/>
  <dc:description/>
  <cp:lastModifiedBy>Savio Anthony Barretto</cp:lastModifiedBy>
  <cp:revision>1</cp:revision>
  <dcterms:created xsi:type="dcterms:W3CDTF">2024-06-14T06:28:00Z</dcterms:created>
  <dcterms:modified xsi:type="dcterms:W3CDTF">2024-06-14T06:29:00Z</dcterms:modified>
</cp:coreProperties>
</file>