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0CEAB" w14:textId="142F35C5" w:rsidR="002A674F" w:rsidRPr="002A674F" w:rsidRDefault="002A674F" w:rsidP="002A674F">
      <w:pPr>
        <w:pStyle w:val="Heading1"/>
        <w:rPr>
          <w:rFonts w:cs="Times New Roman"/>
          <w:szCs w:val="24"/>
        </w:rPr>
      </w:pPr>
      <w:r w:rsidRPr="0C1C27C4">
        <w:rPr>
          <w:rFonts w:cs="Times New Roman"/>
        </w:rPr>
        <w:t>S</w:t>
      </w:r>
      <w:r w:rsidR="005D78E3" w:rsidRPr="0C1C27C4">
        <w:rPr>
          <w:rFonts w:cs="Times New Roman"/>
        </w:rPr>
        <w:t xml:space="preserve">upplement </w:t>
      </w:r>
      <w:r w:rsidR="00073F37" w:rsidRPr="0C1C27C4">
        <w:rPr>
          <w:rFonts w:cs="Times New Roman"/>
        </w:rPr>
        <w:t>2</w:t>
      </w:r>
      <w:r w:rsidRPr="0C1C27C4">
        <w:rPr>
          <w:rFonts w:cs="Times New Roman"/>
        </w:rPr>
        <w:t>: Network Centrality, Stability, and Node Predictability</w:t>
      </w:r>
    </w:p>
    <w:p w14:paraId="309B7CB0" w14:textId="784541B4" w:rsidR="004C22BA" w:rsidRDefault="006F1B7E" w:rsidP="00E126CE">
      <w:pPr>
        <w:spacing w:after="0" w:line="480" w:lineRule="auto"/>
        <w:ind w:firstLine="720"/>
        <w:contextualSpacing/>
        <w:jc w:val="both"/>
      </w:pPr>
      <w:r>
        <w:t xml:space="preserve">To identify the most central nodes in the network, the expected influence of each node in the network was estimated </w:t>
      </w:r>
      <w:r>
        <w:fldChar w:fldCharType="begin"/>
      </w:r>
      <w:r w:rsidR="002C61CD">
        <w:instrText xml:space="preserve"> ADDIN EN.CITE &lt;EndNote&gt;&lt;Cite&gt;&lt;Author&gt;Robinaugh&lt;/Author&gt;&lt;Year&gt;2016&lt;/Year&gt;&lt;RecNum&gt;718&lt;/RecNum&gt;&lt;DisplayText&gt;(Robinaugh et al., 2016)&lt;/DisplayText&gt;&lt;record&gt;&lt;rec-number&gt;718&lt;/rec-number&gt;&lt;foreign-keys&gt;&lt;key app="EN" db-id="zaevd55a4w95dge0fpavfz9zf252azs2adfs" timestamp="1632726243"&gt;718&lt;/key&gt;&lt;/foreign-keys&gt;&lt;ref-type name="Journal Article"&gt;17&lt;/ref-type&gt;&lt;contributors&gt;&lt;authors&gt;&lt;author&gt;Robinaugh, Donald J.&lt;/author&gt;&lt;author&gt;Millner, Alexander J.&lt;/author&gt;&lt;author&gt;McNally, Richard J.&lt;/author&gt;&lt;/authors&gt;&lt;/contributors&gt;&lt;titles&gt;&lt;title&gt;Identifying highly influential nodes in the complicated grief network&lt;/title&gt;&lt;secondary-title&gt;Journal of Abnormal Psychology&lt;/secondary-title&gt;&lt;alt-title&gt;J Abnorm Psychol&lt;/alt-title&gt;&lt;/titles&gt;&lt;periodical&gt;&lt;full-title&gt;Journal of Abnormal Psychology&lt;/full-title&gt;&lt;/periodical&gt;&lt;alt-periodical&gt;&lt;full-title&gt;J Abnorm Psychol&lt;/full-title&gt;&lt;/alt-periodical&gt;&lt;pages&gt;747-757&lt;/pages&gt;&lt;volume&gt;125&lt;/volume&gt;&lt;number&gt;6&lt;/number&gt;&lt;edition&gt;2016/06/16&lt;/edition&gt;&lt;keywords&gt;&lt;keyword&gt;Aged&lt;/keyword&gt;&lt;keyword&gt;Female&lt;/keyword&gt;&lt;keyword&gt;*Grief&lt;/keyword&gt;&lt;keyword&gt;Humans&lt;/keyword&gt;&lt;keyword&gt;Longitudinal Studies&lt;/keyword&gt;&lt;keyword&gt;Male&lt;/keyword&gt;&lt;keyword&gt;Mental Disorders/*etiology/*psychology&lt;/keyword&gt;&lt;keyword&gt;*Models, Psychological&lt;/keyword&gt;&lt;/keywords&gt;&lt;dates&gt;&lt;year&gt;2016&lt;/year&gt;&lt;/dates&gt;&lt;isbn&gt;1939-1846&amp;#xD;0021-843X&lt;/isbn&gt;&lt;accession-num&gt;27505622&lt;/accession-num&gt;&lt;urls&gt;&lt;related-urls&gt;&lt;url&gt;https://pubmed.ncbi.nlm.nih.gov/27505622&lt;/url&gt;&lt;url&gt;https://www.ncbi.nlm.nih.gov/pmc/articles/PMC5060093/&lt;/url&gt;&lt;/related-urls&gt;&lt;/urls&gt;&lt;electronic-resource-num&gt;10.1037/abn0000181&lt;/electronic-resource-num&gt;&lt;remote-database-name&gt;PubMed&lt;/remote-database-name&gt;&lt;language&gt;eng&lt;/language&gt;&lt;/record&gt;&lt;/Cite&gt;&lt;/EndNote&gt;</w:instrText>
      </w:r>
      <w:r>
        <w:fldChar w:fldCharType="separate"/>
      </w:r>
      <w:r w:rsidRPr="1E104737">
        <w:rPr>
          <w:noProof/>
        </w:rPr>
        <w:t>(Robinaugh et al., 2016)</w:t>
      </w:r>
      <w:r>
        <w:fldChar w:fldCharType="end"/>
      </w:r>
      <w:r>
        <w:t xml:space="preserve"> using the R-package </w:t>
      </w:r>
      <w:proofErr w:type="spellStart"/>
      <w:r w:rsidRPr="1E104737">
        <w:rPr>
          <w:i/>
          <w:iCs/>
        </w:rPr>
        <w:t>networktools</w:t>
      </w:r>
      <w:proofErr w:type="spellEnd"/>
      <w:r>
        <w:t xml:space="preserve"> </w:t>
      </w:r>
      <w:r>
        <w:fldChar w:fldCharType="begin"/>
      </w:r>
      <w:r>
        <w:instrText xml:space="preserve"> ADDIN EN.CITE &lt;EndNote&gt;&lt;Cite&gt;&lt;Author&gt;Jones&lt;/Author&gt;&lt;Year&gt;2018&lt;/Year&gt;&lt;RecNum&gt;871&lt;/RecNum&gt;&lt;Prefix&gt;Version 1.4.0`; &lt;/Prefix&gt;&lt;DisplayText&gt;(Version 1.4.0; Jones, 2018)&lt;/DisplayText&gt;&lt;record&gt;&lt;rec-number&gt;871&lt;/rec-number&gt;&lt;foreign-keys&gt;&lt;key app="EN" db-id="zaevd55a4w95dge0fpavfz9zf252azs2adfs" timestamp="1654091420"&gt;871&lt;/key&gt;&lt;/foreign-keys&gt;&lt;ref-type name="Book"&gt;6&lt;/ref-type&gt;&lt;contributors&gt;&lt;authors&gt;&lt;author&gt;Jones, PJ&lt;/author&gt;&lt;/authors&gt;&lt;/contributors&gt;&lt;titles&gt;&lt;title&gt;networktools: Tools for identifying important nodes in networks&lt;/title&gt;&lt;/titles&gt;&lt;dates&gt;&lt;year&gt;2018&lt;/year&gt;&lt;/dates&gt;&lt;urls&gt;&lt;/urls&gt;&lt;/record&gt;&lt;/Cite&gt;&lt;/EndNote&gt;</w:instrText>
      </w:r>
      <w:r>
        <w:fldChar w:fldCharType="separate"/>
      </w:r>
      <w:r w:rsidRPr="1E104737">
        <w:rPr>
          <w:noProof/>
        </w:rPr>
        <w:t>(Version 1.4.0; Jones, 2018)</w:t>
      </w:r>
      <w:r>
        <w:fldChar w:fldCharType="end"/>
      </w:r>
      <w:r>
        <w:t>. Expected influence is defined as the sum of all edges extending from a given node (maintaining the sign of each edge). Note that the expected influence centrality estimate is more appropriate than alternatives (</w:t>
      </w:r>
      <w:r w:rsidR="0023788C">
        <w:t>e.g.,</w:t>
      </w:r>
      <w:r>
        <w:t xml:space="preserve"> strength centrality, which uses absolute values of edge weights) when the network contains both positive and negative edges </w:t>
      </w:r>
      <w:r>
        <w:fldChar w:fldCharType="begin"/>
      </w:r>
      <w:r w:rsidR="002C61CD">
        <w:instrText xml:space="preserve"> ADDIN EN.CITE &lt;EndNote&gt;&lt;Cite&gt;&lt;Author&gt;Robinaugh&lt;/Author&gt;&lt;Year&gt;2016&lt;/Year&gt;&lt;RecNum&gt;718&lt;/RecNum&gt;&lt;DisplayText&gt;(Robinaugh et al., 2016)&lt;/DisplayText&gt;&lt;record&gt;&lt;rec-number&gt;718&lt;/rec-number&gt;&lt;foreign-keys&gt;&lt;key app="EN" db-id="zaevd55a4w95dge0fpavfz9zf252azs2adfs" timestamp="1632726243"&gt;718&lt;/key&gt;&lt;/foreign-keys&gt;&lt;ref-type name="Journal Article"&gt;17&lt;/ref-type&gt;&lt;contributors&gt;&lt;authors&gt;&lt;author&gt;Robinaugh, Donald J.&lt;/author&gt;&lt;author&gt;Millner, Alexander J.&lt;/author&gt;&lt;author&gt;McNally, Richard J.&lt;/author&gt;&lt;/authors&gt;&lt;/contributors&gt;&lt;titles&gt;&lt;title&gt;Identifying highly influential nodes in the complicated grief network&lt;/title&gt;&lt;secondary-title&gt;Journal of Abnormal Psychology&lt;/secondary-title&gt;&lt;alt-title&gt;J Abnorm Psychol&lt;/alt-title&gt;&lt;/titles&gt;&lt;periodical&gt;&lt;full-title&gt;Journal of Abnormal Psychology&lt;/full-title&gt;&lt;/periodical&gt;&lt;alt-periodical&gt;&lt;full-title&gt;J Abnorm Psychol&lt;/full-title&gt;&lt;/alt-periodical&gt;&lt;pages&gt;747-757&lt;/pages&gt;&lt;volume&gt;125&lt;/volume&gt;&lt;number&gt;6&lt;/number&gt;&lt;edition&gt;2016/06/16&lt;/edition&gt;&lt;keywords&gt;&lt;keyword&gt;Aged&lt;/keyword&gt;&lt;keyword&gt;Female&lt;/keyword&gt;&lt;keyword&gt;*Grief&lt;/keyword&gt;&lt;keyword&gt;Humans&lt;/keyword&gt;&lt;keyword&gt;Longitudinal Studies&lt;/keyword&gt;&lt;keyword&gt;Male&lt;/keyword&gt;&lt;keyword&gt;Mental Disorders/*etiology/*psychology&lt;/keyword&gt;&lt;keyword&gt;*Models, Psychological&lt;/keyword&gt;&lt;/keywords&gt;&lt;dates&gt;&lt;year&gt;2016&lt;/year&gt;&lt;/dates&gt;&lt;isbn&gt;1939-1846&amp;#xD;0021-843X&lt;/isbn&gt;&lt;accession-num&gt;27505622&lt;/accession-num&gt;&lt;urls&gt;&lt;related-urls&gt;&lt;url&gt;https://pubmed.ncbi.nlm.nih.gov/27505622&lt;/url&gt;&lt;url&gt;https://www.ncbi.nlm.nih.gov/pmc/articles/PMC5060093/&lt;/url&gt;&lt;/related-urls&gt;&lt;/urls&gt;&lt;electronic-resource-num&gt;10.1037/abn0000181&lt;/electronic-resource-num&gt;&lt;remote-database-name&gt;PubMed&lt;/remote-database-name&gt;&lt;language&gt;eng&lt;/language&gt;&lt;/record&gt;&lt;/Cite&gt;&lt;/EndNote&gt;</w:instrText>
      </w:r>
      <w:r>
        <w:fldChar w:fldCharType="separate"/>
      </w:r>
      <w:r w:rsidRPr="1E104737">
        <w:rPr>
          <w:noProof/>
        </w:rPr>
        <w:t>(Robinaugh et al., 2016)</w:t>
      </w:r>
      <w:r>
        <w:fldChar w:fldCharType="end"/>
      </w:r>
      <w:r>
        <w:t>. Importantly, the expected influence values and standard deviations (</w:t>
      </w:r>
      <w:r w:rsidRPr="1E104737">
        <w:rPr>
          <w:i/>
          <w:iCs/>
        </w:rPr>
        <w:t>SD</w:t>
      </w:r>
      <w:r>
        <w:t>s) of the individual nodes in the estimated network were not significantly correlated in the present study (</w:t>
      </w:r>
      <w:r w:rsidRPr="1E104737">
        <w:rPr>
          <w:i/>
          <w:iCs/>
        </w:rPr>
        <w:t>r</w:t>
      </w:r>
      <w:r>
        <w:t xml:space="preserve"> = .30, </w:t>
      </w:r>
      <w:r w:rsidRPr="1E104737">
        <w:rPr>
          <w:i/>
          <w:iCs/>
        </w:rPr>
        <w:t>p</w:t>
      </w:r>
      <w:r>
        <w:t xml:space="preserve"> = .300). The expected influence and the means of the nodes were also not significantly correlated (</w:t>
      </w:r>
      <w:r w:rsidRPr="1E104737">
        <w:rPr>
          <w:i/>
          <w:iCs/>
        </w:rPr>
        <w:t>r</w:t>
      </w:r>
      <w:r>
        <w:t xml:space="preserve"> = .17, </w:t>
      </w:r>
      <w:r w:rsidRPr="1E104737">
        <w:rPr>
          <w:i/>
          <w:iCs/>
        </w:rPr>
        <w:t>p</w:t>
      </w:r>
      <w:r>
        <w:t xml:space="preserve"> = .500). This indicates that the centrality of the nodes was not driven by the differential node variability or averages.</w:t>
      </w:r>
      <w:r w:rsidR="00E126CE">
        <w:t xml:space="preserve"> </w:t>
      </w:r>
    </w:p>
    <w:p w14:paraId="34836360" w14:textId="5C7F156E" w:rsidR="006F1B7E" w:rsidRDefault="004C22BA" w:rsidP="00E126CE">
      <w:pPr>
        <w:spacing w:after="0" w:line="480" w:lineRule="auto"/>
        <w:ind w:firstLine="720"/>
        <w:contextualSpacing/>
        <w:jc w:val="both"/>
      </w:pPr>
      <w:r>
        <w:t xml:space="preserve">Figure S1 shows the </w:t>
      </w:r>
      <w:r w:rsidR="006F1B7E" w:rsidRPr="00520372">
        <w:t xml:space="preserve">centrality </w:t>
      </w:r>
      <w:r w:rsidR="005B4D0B">
        <w:t xml:space="preserve">(i.e., expected influence) </w:t>
      </w:r>
      <w:r w:rsidR="006F1B7E" w:rsidRPr="00520372">
        <w:t>of each node in the network model</w:t>
      </w:r>
      <w:r w:rsidR="005B4D0B">
        <w:t>.</w:t>
      </w:r>
      <w:r w:rsidR="006F1B7E" w:rsidRPr="00520372">
        <w:t xml:space="preserve"> The expected influence estimates indicate that co-dampening was the most central node in the network, whereas rejection sensitivity was the least central node. With </w:t>
      </w:r>
      <w:r w:rsidR="006F1B7E">
        <w:t>respect</w:t>
      </w:r>
      <w:r w:rsidR="006F1B7E" w:rsidRPr="00520372">
        <w:t xml:space="preserve"> to interpretation processes, centrality</w:t>
      </w:r>
      <w:r w:rsidR="00BD7A9D">
        <w:t xml:space="preserve"> </w:t>
      </w:r>
      <w:r w:rsidR="006F1B7E" w:rsidRPr="00520372">
        <w:t>difference tests (see Figure S</w:t>
      </w:r>
      <w:r w:rsidR="002B4102">
        <w:t>2</w:t>
      </w:r>
      <w:r w:rsidR="006F1B7E" w:rsidRPr="00520372">
        <w:t>) suggested that negative interpretation inflexibility was significantly more connected to other nodes within the network than positive interpretation bias. There was no difference in centrality between negative</w:t>
      </w:r>
      <w:r w:rsidR="00056DC9">
        <w:t xml:space="preserve"> </w:t>
      </w:r>
      <w:r w:rsidR="006F1B7E" w:rsidRPr="00520372">
        <w:t>interpretation inflexibility and negative interpretation bias.</w:t>
      </w:r>
    </w:p>
    <w:p w14:paraId="2F882EEC" w14:textId="30A3A11E" w:rsidR="006F1B7E" w:rsidRDefault="006F1B7E" w:rsidP="00412672">
      <w:pPr>
        <w:spacing w:after="0" w:line="480" w:lineRule="auto"/>
        <w:ind w:firstLine="720"/>
        <w:contextualSpacing/>
        <w:jc w:val="both"/>
      </w:pPr>
      <w:r>
        <w:t xml:space="preserve">The robustness of the network estimates was examined through network stability analyses </w:t>
      </w:r>
      <w:r>
        <w:fldChar w:fldCharType="begin"/>
      </w:r>
      <w:r>
        <w:instrText xml:space="preserve"> ADDIN EN.CITE &lt;EndNote&gt;&lt;Cite&gt;&lt;Author&gt;Epskamp&lt;/Author&gt;&lt;Year&gt;2018&lt;/Year&gt;&lt;RecNum&gt;532&lt;/RecNum&gt;&lt;DisplayText&gt;(Epskamp et al., 2018)&lt;/DisplayText&gt;&lt;record&gt;&lt;rec-number&gt;532&lt;/rec-number&gt;&lt;foreign-keys&gt;&lt;key app="EN" db-id="zaevd55a4w95dge0fpavfz9zf252azs2adfs" timestamp="1632227089"&gt;532&lt;/key&gt;&lt;/foreign-keys&gt;&lt;ref-type name="Journal Article"&gt;17&lt;/ref-type&gt;&lt;contributors&gt;&lt;authors&gt;&lt;author&gt;Epskamp, Sacha&lt;/author&gt;&lt;author&gt;Borsboom, Denny&lt;/author&gt;&lt;author&gt;Fried, Eiko I.&lt;/author&gt;&lt;/authors&gt;&lt;/contributors&gt;&lt;titles&gt;&lt;title&gt;Estimating psychological networks and their accuracy: A tutorial paper&lt;/title&gt;&lt;secondary-title&gt;Behavior Research Methods&lt;/secondary-title&gt;&lt;/titles&gt;&lt;periodical&gt;&lt;full-title&gt;Behavior Research Methods&lt;/full-title&gt;&lt;/periodical&gt;&lt;pages&gt;195-212&lt;/pages&gt;&lt;volume&gt;50&lt;/volume&gt;&lt;number&gt;1&lt;/number&gt;&lt;dates&gt;&lt;year&gt;2018&lt;/year&gt;&lt;/dates&gt;&lt;isbn&gt;1554-3528&lt;/isbn&gt;&lt;urls&gt;&lt;related-urls&gt;&lt;url&gt;10.3758/s13428-017-0862-1&lt;/url&gt;&lt;/related-urls&gt;&lt;/urls&gt;&lt;electronic-resource-num&gt;10.3758/s13428-017-0862-1&lt;/electronic-resource-num&gt;&lt;/record&gt;&lt;/Cite&gt;&lt;/EndNote&gt;</w:instrText>
      </w:r>
      <w:r>
        <w:fldChar w:fldCharType="separate"/>
      </w:r>
      <w:r w:rsidRPr="2D464CAF">
        <w:rPr>
          <w:noProof/>
        </w:rPr>
        <w:t>(Epskamp et al., 2018)</w:t>
      </w:r>
      <w:r>
        <w:fldChar w:fldCharType="end"/>
      </w:r>
      <w:r>
        <w:t xml:space="preserve"> using the R-package </w:t>
      </w:r>
      <w:proofErr w:type="spellStart"/>
      <w:r w:rsidRPr="2D464CAF">
        <w:rPr>
          <w:i/>
          <w:iCs/>
        </w:rPr>
        <w:t>bootnet</w:t>
      </w:r>
      <w:proofErr w:type="spellEnd"/>
      <w:r>
        <w:t xml:space="preserve"> (Version 1.5). Specifically, the stability of the edge weights was estimated by constructing a 95% CI around each edge weight using nonparametric bootstrapping with 1000 re-samples (see Figure S</w:t>
      </w:r>
      <w:r w:rsidR="008752A9">
        <w:t>3</w:t>
      </w:r>
      <w:r w:rsidR="00E85C74">
        <w:t>)</w:t>
      </w:r>
      <w:r w:rsidR="009545F5">
        <w:t xml:space="preserve"> and</w:t>
      </w:r>
      <w:r>
        <w:t xml:space="preserve"> performing bootstrapped</w:t>
      </w:r>
      <w:r w:rsidR="00DC65B5">
        <w:t xml:space="preserve"> </w:t>
      </w:r>
      <w:r w:rsidR="007876A2">
        <w:t>edge weights</w:t>
      </w:r>
      <w:r>
        <w:t xml:space="preserve"> difference tests</w:t>
      </w:r>
      <w:r w:rsidR="003C21CF">
        <w:t xml:space="preserve"> (see Figure S</w:t>
      </w:r>
      <w:r w:rsidR="007D5D6A">
        <w:t>4</w:t>
      </w:r>
      <w:r w:rsidR="003C21CF">
        <w:t>)</w:t>
      </w:r>
      <w:r>
        <w:t xml:space="preserve">. </w:t>
      </w:r>
      <w:r w:rsidR="00387F3B">
        <w:t xml:space="preserve">Additionally, the stability of the expected influence </w:t>
      </w:r>
      <w:r w:rsidR="002063F2">
        <w:t>was</w:t>
      </w:r>
      <w:r w:rsidR="008B6D48">
        <w:rPr>
          <w:rStyle w:val="normaltextrun"/>
          <w:shd w:val="clear" w:color="auto" w:fill="FFFFFF"/>
        </w:rPr>
        <w:t xml:space="preserve"> estimated using case-dropping bootstrapping with 1000 sample</w:t>
      </w:r>
      <w:r w:rsidR="00826057">
        <w:rPr>
          <w:rStyle w:val="normaltextrun"/>
          <w:shd w:val="clear" w:color="auto" w:fill="FFFFFF"/>
        </w:rPr>
        <w:t>s</w:t>
      </w:r>
      <w:r w:rsidR="008B6D48">
        <w:t xml:space="preserve"> </w:t>
      </w:r>
      <w:r w:rsidR="00FE461D">
        <w:t xml:space="preserve">(see Figure S5). </w:t>
      </w:r>
      <w:r>
        <w:t xml:space="preserve">The correlation stability (CS) coefficient was calculated as an index for network stability. CS refers to the percentage of cases that can be dropped while maintaining a sufficiently high correlation between the set of edges in the network based on the full and sub-sample. The stability of the expected influence was .67, which is well above the .25 minimum threshold recommended by </w:t>
      </w:r>
      <w:r>
        <w:fldChar w:fldCharType="begin"/>
      </w:r>
      <w:r>
        <w:instrText xml:space="preserve"> ADDIN EN.CITE &lt;EndNote&gt;&lt;Cite AuthorYear="1"&gt;&lt;Author&gt;Epskamp&lt;/Author&gt;&lt;Year&gt;2018&lt;/Year&gt;&lt;RecNum&gt;532&lt;/RecNum&gt;&lt;DisplayText&gt;Epskamp et al. (2018)&lt;/DisplayText&gt;&lt;record&gt;&lt;rec-number&gt;532&lt;/rec-number&gt;&lt;foreign-keys&gt;&lt;key app="EN" db-id="zaevd55a4w95dge0fpavfz9zf252azs2adfs" timestamp="1632227089"&gt;532&lt;/key&gt;&lt;/foreign-keys&gt;&lt;ref-type name="Journal Article"&gt;17&lt;/ref-type&gt;&lt;contributors&gt;&lt;authors&gt;&lt;author&gt;Epskamp, Sacha&lt;/author&gt;&lt;author&gt;Borsboom, Denny&lt;/author&gt;&lt;author&gt;Fried, Eiko I.&lt;/author&gt;&lt;/authors&gt;&lt;/contributors&gt;&lt;titles&gt;&lt;title&gt;Estimating psychological networks and their accuracy: A tutorial paper&lt;/title&gt;&lt;secondary-title&gt;Behavior Research Methods&lt;/secondary-title&gt;&lt;/titles&gt;&lt;periodical&gt;&lt;full-title&gt;Behavior Research Methods&lt;/full-title&gt;&lt;/periodical&gt;&lt;pages&gt;195-212&lt;/pages&gt;&lt;volume&gt;50&lt;/volume&gt;&lt;number&gt;1&lt;/number&gt;&lt;dates&gt;&lt;year&gt;2018&lt;/year&gt;&lt;/dates&gt;&lt;isbn&gt;1554-3528&lt;/isbn&gt;&lt;urls&gt;&lt;related-urls&gt;&lt;url&gt;10.3758/s13428-017-0862-1&lt;/url&gt;&lt;/related-urls&gt;&lt;/urls&gt;&lt;electronic-resource-num&gt;10.3758/s13428-017-0862-1&lt;/electronic-resource-num&gt;&lt;/record&gt;&lt;/Cite&gt;&lt;/EndNote&gt;</w:instrText>
      </w:r>
      <w:r>
        <w:fldChar w:fldCharType="separate"/>
      </w:r>
      <w:r w:rsidRPr="2D464CAF">
        <w:rPr>
          <w:noProof/>
        </w:rPr>
        <w:t>Epskamp et al. (2018)</w:t>
      </w:r>
      <w:r>
        <w:fldChar w:fldCharType="end"/>
      </w:r>
      <w:r>
        <w:t xml:space="preserve">. </w:t>
      </w:r>
    </w:p>
    <w:p w14:paraId="0EFEFD6D" w14:textId="144C4A54" w:rsidR="00166BD7" w:rsidRDefault="006F1B7E" w:rsidP="00166BD7">
      <w:pPr>
        <w:spacing w:after="0" w:line="480" w:lineRule="auto"/>
        <w:ind w:firstLine="720"/>
        <w:contextualSpacing/>
        <w:jc w:val="both"/>
        <w:rPr>
          <w:b/>
          <w:bCs/>
        </w:rPr>
        <w:sectPr w:rsidR="00166BD7" w:rsidSect="008C17F4">
          <w:footerReference w:type="default" r:id="rId8"/>
          <w:pgSz w:w="11906" w:h="16838" w:code="9"/>
          <w:pgMar w:top="1440" w:right="1440" w:bottom="1440" w:left="1440" w:header="720" w:footer="720" w:gutter="0"/>
          <w:cols w:space="720"/>
          <w:docGrid w:linePitch="326"/>
        </w:sectPr>
      </w:pPr>
      <w:r w:rsidRPr="00B30BB9">
        <w:t>The predictability of each node in the network is the proportion of variance (</w:t>
      </w:r>
      <w:r w:rsidRPr="004E0FA5">
        <w:rPr>
          <w:i/>
          <w:iCs/>
        </w:rPr>
        <w:t>R</w:t>
      </w:r>
      <w:r w:rsidRPr="004E0FA5">
        <w:rPr>
          <w:i/>
          <w:iCs/>
          <w:vertAlign w:val="superscript"/>
        </w:rPr>
        <w:t>2</w:t>
      </w:r>
      <w:r w:rsidRPr="00B30BB9">
        <w:t xml:space="preserve">) in that node which can be explained by all nodes adjacent to it </w:t>
      </w:r>
      <w:r w:rsidRPr="00B30BB9">
        <w:fldChar w:fldCharType="begin">
          <w:fldData xml:space="preserve">PEVuZE5vdGU+PENpdGU+PEF1dGhvcj5IYXNsYmVjazwvQXV0aG9yPjxZZWFyPjIwMTg8L1llYXI+
PFJlY051bT43MTc8L1JlY051bT48RGlzcGxheVRleHQ+KEhhc2xiZWNrICZhbXA7IEZyaWVkLCAy
MDE3OyBIYXNsYmVjayAmYW1wOyBXYWxkb3JwLCAyMDE4KTwvRGlzcGxheVRleHQ+PHJlY29yZD48
cmVjLW51bWJlcj43MTc8L3JlYy1udW1iZXI+PGZvcmVpZ24ta2V5cz48a2V5IGFwcD0iRU4iIGRi
LWlkPSJ6YWV2ZDU1YTR3OTVkZ2UwZnBhdmZ6OXpmMjUyYXpzMmFkZnMiIHRpbWVzdGFtcD0iMTYz
MjQwNTY2NyI+NzE3PC9rZXk+PC9mb3JlaWduLWtleXM+PHJlZi10eXBlIG5hbWU9IkpvdXJuYWwg
QXJ0aWNsZSI+MTc8L3JlZi10eXBlPjxjb250cmlidXRvcnM+PGF1dGhvcnM+PGF1dGhvcj5IYXNs
YmVjaywgSm9uYXMgTS4gQi48L2F1dGhvcj48YXV0aG9yPldhbGRvcnAsIExvdXJlbnMgSi48L2F1
dGhvcj48L2F1dGhvcnM+PC9jb250cmlidXRvcnM+PHRpdGxlcz48dGl0bGU+SG93IHdlbGwgZG8g
bmV0d29yayBtb2RlbHMgcHJlZGljdCBvYnNlcnZhdGlvbnM/IE9uIHRoZSBpbXBvcnRhbmNlIG9m
IHByZWRpY3RhYmlsaXR5IGluIG5ldHdvcmsgbW9kZWxzPC90aXRsZT48c2Vjb25kYXJ5LXRpdGxl
PkJlaGF2aW9yIFJlc2VhcmNoIE1ldGhvZHM8L3NlY29uZGFyeS10aXRsZT48L3RpdGxlcz48cGVy
aW9kaWNhbD48ZnVsbC10aXRsZT5CZWhhdmlvciBSZXNlYXJjaCBNZXRob2RzPC9mdWxsLXRpdGxl
PjwvcGVyaW9kaWNhbD48cGFnZXM+ODUzLTg2MTwvcGFnZXM+PHZvbHVtZT41MDwvdm9sdW1lPjxu
dW1iZXI+MjwvbnVtYmVyPjxkYXRlcz48eWVhcj4yMDE4PC95ZWFyPjxwdWItZGF0ZXM+PGRhdGU+
MjAxOC8wNC8wMTwvZGF0ZT48L3B1Yi1kYXRlcz48L2RhdGVzPjxpc2JuPjE1NTQtMzUyODwvaXNi
bj48dXJscz48cmVsYXRlZC11cmxzPjx1cmw+aHR0cHM6Ly9kb2kub3JnLzEwLjM3NTgvczEzNDI4
LTAxNy0wOTEwLXg8L3VybD48L3JlbGF0ZWQtdXJscz48L3VybHM+PGVsZWN0cm9uaWMtcmVzb3Vy
Y2UtbnVtPjEwLjM3NTgvczEzNDI4LTAxNy0wOTEwLXg8L2VsZWN0cm9uaWMtcmVzb3VyY2UtbnVt
PjwvcmVjb3JkPjwvQ2l0ZT48Q2l0ZT48QXV0aG9yPkhhc2xiZWNrPC9BdXRob3I+PFllYXI+MjAx
NzwvWWVhcj48UmVjTnVtPjc0OTwvUmVjTnVtPjxyZWNvcmQ+PHJlYy1udW1iZXI+NzQ5PC9yZWMt
bnVtYmVyPjxmb3JlaWduLWtleXM+PGtleSBhcHA9IkVOIiBkYi1pZD0iemFldmQ1NWE0dzk1ZGdl
MGZwYXZmejl6ZjI1MmF6czJhZGZzIiB0aW1lc3RhbXA9IjE2MzM1OTMzODAiPjc0OTwva2V5Pjwv
Zm9yZWlnbi1rZXlzPjxyZWYtdHlwZSBuYW1lPSJKb3VybmFsIEFydGljbGUiPjE3PC9yZWYtdHlw
ZT48Y29udHJpYnV0b3JzPjxhdXRob3JzPjxhdXRob3I+SGFzbGJlY2ssIEpvbmFzIE0uIEIuPC9h
dXRob3I+PGF1dGhvcj5GcmllZCwgRS4gSS48L2F1dGhvcj48L2F1dGhvcnM+PC9jb250cmlidXRv
cnM+PHRpdGxlcz48dGl0bGU+SG93IHByZWRpY3RhYmxlIGFyZSBzeW1wdG9tcyBpbiBwc3ljaG9w
YXRob2xvZ2ljYWwgbmV0d29ya3M/IEEgcmVhbmFseXNpcyBvZiAxOCBwdWJsaXNoZWQgZGF0YXNl
dHM8L3RpdGxlPjxzZWNvbmRhcnktdGl0bGU+UHN5Y2hvbG9naWNhbCBNZWRpY2luZTwvc2Vjb25k
YXJ5LXRpdGxlPjwvdGl0bGVzPjxwZXJpb2RpY2FsPjxmdWxsLXRpdGxlPlBzeWNob2xvZ2ljYWwg
TWVkaWNpbmU8L2Z1bGwtdGl0bGU+PC9wZXJpb2RpY2FsPjxwYWdlcz4yNzY3LTI3NzY8L3BhZ2Vz
Pjx2b2x1bWU+NDc8L3ZvbHVtZT48bnVtYmVyPjE2PC9udW1iZXI+PGVkaXRpb24+MjAxNy8wNi8x
OTwvZWRpdGlvbj48a2V5d29yZHM+PGtleXdvcmQ+Q2VudHJhbGl0eTwva2V5d29yZD48a2V5d29y
ZD5pbnRlcnZlbnRpb248L2tleXdvcmQ+PGtleXdvcmQ+bmV0d29yayBtb2RlbHM8L2tleXdvcmQ+
PGtleXdvcmQ+cHJlZGljdGFiaWxpdHk8L2tleXdvcmQ+PC9rZXl3b3Jkcz48ZGF0ZXM+PHllYXI+
MjAxNzwveWVhcj48L2RhdGVzPjxwdWJsaXNoZXI+Q2FtYnJpZGdlIFVuaXZlcnNpdHkgUHJlc3M8
L3B1Ymxpc2hlcj48aXNibj4wMDMzLTI5MTc8L2lzYm4+PHVybHM+PHJlbGF0ZWQtdXJscz48dXJs
Pmh0dHBzOi8vd3d3LmNhbWJyaWRnZS5vcmcvY29yZS9hcnRpY2xlL2hvdy1wcmVkaWN0YWJsZS1h
cmUtc3ltcHRvbXMtaW4tcHN5Y2hvcGF0aG9sb2dpY2FsLW5ldHdvcmtzLWEtcmVhbmFseXNpcy1v
Zi0xOC1wdWJsaXNoZWQtZGF0YXNldHMvODRGMUQ3RjczREIwMzU4NkFCQTQ4NzgzNDE5RkU2MkE8
L3VybD48L3JlbGF0ZWQtdXJscz48L3VybHM+PGVsZWN0cm9uaWMtcmVzb3VyY2UtbnVtPjEwLjEw
MTcvUzAwMzMyOTE3MTcwMDEyNTg8L2VsZWN0cm9uaWMtcmVzb3VyY2UtbnVtPjxyZW1vdGUtZGF0
YWJhc2UtbmFtZT5DYW1icmlkZ2UgQ29yZTwvcmVtb3RlLWRhdGFiYXNlLW5hbWU+PHJlbW90ZS1k
YXRhYmFzZS1wcm92aWRlcj5DYW1icmlkZ2UgVW5pdmVyc2l0eSBQcmVzczwvcmVtb3RlLWRhdGFi
YXNlLXByb3ZpZGVyPjwvcmVjb3JkPjwvQ2l0ZT48L0VuZE5vdGU+AG==
</w:fldData>
        </w:fldChar>
      </w:r>
      <w:r>
        <w:instrText xml:space="preserve"> ADDIN EN.CITE </w:instrText>
      </w:r>
      <w:r>
        <w:fldChar w:fldCharType="begin">
          <w:fldData xml:space="preserve">PEVuZE5vdGU+PENpdGU+PEF1dGhvcj5IYXNsYmVjazwvQXV0aG9yPjxZZWFyPjIwMTg8L1llYXI+
PFJlY051bT43MTc8L1JlY051bT48RGlzcGxheVRleHQ+KEhhc2xiZWNrICZhbXA7IEZyaWVkLCAy
MDE3OyBIYXNsYmVjayAmYW1wOyBXYWxkb3JwLCAyMDE4KTwvRGlzcGxheVRleHQ+PHJlY29yZD48
cmVjLW51bWJlcj43MTc8L3JlYy1udW1iZXI+PGZvcmVpZ24ta2V5cz48a2V5IGFwcD0iRU4iIGRi
LWlkPSJ6YWV2ZDU1YTR3OTVkZ2UwZnBhdmZ6OXpmMjUyYXpzMmFkZnMiIHRpbWVzdGFtcD0iMTYz
MjQwNTY2NyI+NzE3PC9rZXk+PC9mb3JlaWduLWtleXM+PHJlZi10eXBlIG5hbWU9IkpvdXJuYWwg
QXJ0aWNsZSI+MTc8L3JlZi10eXBlPjxjb250cmlidXRvcnM+PGF1dGhvcnM+PGF1dGhvcj5IYXNs
YmVjaywgSm9uYXMgTS4gQi48L2F1dGhvcj48YXV0aG9yPldhbGRvcnAsIExvdXJlbnMgSi48L2F1
dGhvcj48L2F1dGhvcnM+PC9jb250cmlidXRvcnM+PHRpdGxlcz48dGl0bGU+SG93IHdlbGwgZG8g
bmV0d29yayBtb2RlbHMgcHJlZGljdCBvYnNlcnZhdGlvbnM/IE9uIHRoZSBpbXBvcnRhbmNlIG9m
IHByZWRpY3RhYmlsaXR5IGluIG5ldHdvcmsgbW9kZWxzPC90aXRsZT48c2Vjb25kYXJ5LXRpdGxl
PkJlaGF2aW9yIFJlc2VhcmNoIE1ldGhvZHM8L3NlY29uZGFyeS10aXRsZT48L3RpdGxlcz48cGVy
aW9kaWNhbD48ZnVsbC10aXRsZT5CZWhhdmlvciBSZXNlYXJjaCBNZXRob2RzPC9mdWxsLXRpdGxl
PjwvcGVyaW9kaWNhbD48cGFnZXM+ODUzLTg2MTwvcGFnZXM+PHZvbHVtZT41MDwvdm9sdW1lPjxu
dW1iZXI+MjwvbnVtYmVyPjxkYXRlcz48eWVhcj4yMDE4PC95ZWFyPjxwdWItZGF0ZXM+PGRhdGU+
MjAxOC8wNC8wMTwvZGF0ZT48L3B1Yi1kYXRlcz48L2RhdGVzPjxpc2JuPjE1NTQtMzUyODwvaXNi
bj48dXJscz48cmVsYXRlZC11cmxzPjx1cmw+aHR0cHM6Ly9kb2kub3JnLzEwLjM3NTgvczEzNDI4
LTAxNy0wOTEwLXg8L3VybD48L3JlbGF0ZWQtdXJscz48L3VybHM+PGVsZWN0cm9uaWMtcmVzb3Vy
Y2UtbnVtPjEwLjM3NTgvczEzNDI4LTAxNy0wOTEwLXg8L2VsZWN0cm9uaWMtcmVzb3VyY2UtbnVt
PjwvcmVjb3JkPjwvQ2l0ZT48Q2l0ZT48QXV0aG9yPkhhc2xiZWNrPC9BdXRob3I+PFllYXI+MjAx
NzwvWWVhcj48UmVjTnVtPjc0OTwvUmVjTnVtPjxyZWNvcmQ+PHJlYy1udW1iZXI+NzQ5PC9yZWMt
bnVtYmVyPjxmb3JlaWduLWtleXM+PGtleSBhcHA9IkVOIiBkYi1pZD0iemFldmQ1NWE0dzk1ZGdl
MGZwYXZmejl6ZjI1MmF6czJhZGZzIiB0aW1lc3RhbXA9IjE2MzM1OTMzODAiPjc0OTwva2V5Pjwv
Zm9yZWlnbi1rZXlzPjxyZWYtdHlwZSBuYW1lPSJKb3VybmFsIEFydGljbGUiPjE3PC9yZWYtdHlw
ZT48Y29udHJpYnV0b3JzPjxhdXRob3JzPjxhdXRob3I+SGFzbGJlY2ssIEpvbmFzIE0uIEIuPC9h
dXRob3I+PGF1dGhvcj5GcmllZCwgRS4gSS48L2F1dGhvcj48L2F1dGhvcnM+PC9jb250cmlidXRv
cnM+PHRpdGxlcz48dGl0bGU+SG93IHByZWRpY3RhYmxlIGFyZSBzeW1wdG9tcyBpbiBwc3ljaG9w
YXRob2xvZ2ljYWwgbmV0d29ya3M/IEEgcmVhbmFseXNpcyBvZiAxOCBwdWJsaXNoZWQgZGF0YXNl
dHM8L3RpdGxlPjxzZWNvbmRhcnktdGl0bGU+UHN5Y2hvbG9naWNhbCBNZWRpY2luZTwvc2Vjb25k
YXJ5LXRpdGxlPjwvdGl0bGVzPjxwZXJpb2RpY2FsPjxmdWxsLXRpdGxlPlBzeWNob2xvZ2ljYWwg
TWVkaWNpbmU8L2Z1bGwtdGl0bGU+PC9wZXJpb2RpY2FsPjxwYWdlcz4yNzY3LTI3NzY8L3BhZ2Vz
Pjx2b2x1bWU+NDc8L3ZvbHVtZT48bnVtYmVyPjE2PC9udW1iZXI+PGVkaXRpb24+MjAxNy8wNi8x
OTwvZWRpdGlvbj48a2V5d29yZHM+PGtleXdvcmQ+Q2VudHJhbGl0eTwva2V5d29yZD48a2V5d29y
ZD5pbnRlcnZlbnRpb248L2tleXdvcmQ+PGtleXdvcmQ+bmV0d29yayBtb2RlbHM8L2tleXdvcmQ+
PGtleXdvcmQ+cHJlZGljdGFiaWxpdHk8L2tleXdvcmQ+PC9rZXl3b3Jkcz48ZGF0ZXM+PHllYXI+
MjAxNzwveWVhcj48L2RhdGVzPjxwdWJsaXNoZXI+Q2FtYnJpZGdlIFVuaXZlcnNpdHkgUHJlc3M8
L3B1Ymxpc2hlcj48aXNibj4wMDMzLTI5MTc8L2lzYm4+PHVybHM+PHJlbGF0ZWQtdXJscz48dXJs
Pmh0dHBzOi8vd3d3LmNhbWJyaWRnZS5vcmcvY29yZS9hcnRpY2xlL2hvdy1wcmVkaWN0YWJsZS1h
cmUtc3ltcHRvbXMtaW4tcHN5Y2hvcGF0aG9sb2dpY2FsLW5ldHdvcmtzLWEtcmVhbmFseXNpcy1v
Zi0xOC1wdWJsaXNoZWQtZGF0YXNldHMvODRGMUQ3RjczREIwMzU4NkFCQTQ4NzgzNDE5RkU2MkE8
L3VybD48L3JlbGF0ZWQtdXJscz48L3VybHM+PGVsZWN0cm9uaWMtcmVzb3VyY2UtbnVtPjEwLjEw
MTcvUzAwMzMyOTE3MTcwMDEyNTg8L2VsZWN0cm9uaWMtcmVzb3VyY2UtbnVtPjxyZW1vdGUtZGF0
YWJhc2UtbmFtZT5DYW1icmlkZ2UgQ29yZTwvcmVtb3RlLWRhdGFiYXNlLW5hbWU+PHJlbW90ZS1k
YXRhYmFzZS1wcm92aWRlcj5DYW1icmlkZ2UgVW5pdmVyc2l0eSBQcmVzczwvcmVtb3RlLWRhdGFi
YXNlLXByb3ZpZGVyPjwvcmVjb3JkPjwvQ2l0ZT48L0VuZE5vdGU+AG==
</w:fldData>
        </w:fldChar>
      </w:r>
      <w:r>
        <w:instrText xml:space="preserve"> ADDIN EN.CITE.DATA </w:instrText>
      </w:r>
      <w:r>
        <w:fldChar w:fldCharType="end"/>
      </w:r>
      <w:r w:rsidRPr="00B30BB9">
        <w:fldChar w:fldCharType="separate"/>
      </w:r>
      <w:r>
        <w:rPr>
          <w:noProof/>
        </w:rPr>
        <w:t>(Haslbeck &amp; Fried, 2017; Haslbeck &amp; Waldorp, 2018)</w:t>
      </w:r>
      <w:r w:rsidRPr="00B30BB9">
        <w:fldChar w:fldCharType="end"/>
      </w:r>
      <w:r w:rsidRPr="00B30BB9">
        <w:t xml:space="preserve">. High predictability, on average, across nodes indicates that the network is largely determined by itself through strong mutual interactions, whereas low average predictability indicates that the network is mostly determined by other factors that are not included in the network </w:t>
      </w:r>
      <w:r w:rsidRPr="00B30BB9">
        <w:fldChar w:fldCharType="begin"/>
      </w:r>
      <w:r>
        <w:instrText xml:space="preserve"> ADDIN EN.CITE &lt;EndNote&gt;&lt;Cite&gt;&lt;Author&gt;Haslbeck&lt;/Author&gt;&lt;Year&gt;2018&lt;/Year&gt;&lt;RecNum&gt;717&lt;/RecNum&gt;&lt;DisplayText&gt;(Haslbeck &amp;amp; Waldorp, 2018)&lt;/DisplayText&gt;&lt;record&gt;&lt;rec-number&gt;717&lt;/rec-number&gt;&lt;foreign-keys&gt;&lt;key app="EN" db-id="zaevd55a4w95dge0fpavfz9zf252azs2adfs" timestamp="1632405667"&gt;717&lt;/key&gt;&lt;/foreign-keys&gt;&lt;ref-type name="Journal Article"&gt;17&lt;/ref-type&gt;&lt;contributors&gt;&lt;authors&gt;&lt;author&gt;Haslbeck, Jonas M. B.&lt;/author&gt;&lt;author&gt;Waldorp, Lourens J.&lt;/author&gt;&lt;/authors&gt;&lt;/contributors&gt;&lt;titles&gt;&lt;title&gt;How well do network models predict observations? On the importance of predictability in network models&lt;/title&gt;&lt;secondary-title&gt;Behavior Research Methods&lt;/secondary-title&gt;&lt;/titles&gt;&lt;periodical&gt;&lt;full-title&gt;Behavior Research Methods&lt;/full-title&gt;&lt;/periodical&gt;&lt;pages&gt;853-861&lt;/pages&gt;&lt;volume&gt;50&lt;/volume&gt;&lt;number&gt;2&lt;/number&gt;&lt;dates&gt;&lt;year&gt;2018&lt;/year&gt;&lt;pub-dates&gt;&lt;date&gt;2018/04/01&lt;/date&gt;&lt;/pub-dates&gt;&lt;/dates&gt;&lt;isbn&gt;1554-3528&lt;/isbn&gt;&lt;urls&gt;&lt;related-urls&gt;&lt;url&gt;https://doi.org/10.3758/s13428-017-0910-x&lt;/url&gt;&lt;/related-urls&gt;&lt;/urls&gt;&lt;electronic-resource-num&gt;10.3758/s13428-017-0910-x&lt;/electronic-resource-num&gt;&lt;/record&gt;&lt;/Cite&gt;&lt;/EndNote&gt;</w:instrText>
      </w:r>
      <w:r w:rsidRPr="00B30BB9">
        <w:fldChar w:fldCharType="separate"/>
      </w:r>
      <w:r>
        <w:rPr>
          <w:noProof/>
        </w:rPr>
        <w:t>(Haslbeck &amp; Waldorp, 2018)</w:t>
      </w:r>
      <w:r w:rsidRPr="00B30BB9">
        <w:fldChar w:fldCharType="end"/>
      </w:r>
      <w:r w:rsidRPr="00B30BB9">
        <w:t xml:space="preserve">. </w:t>
      </w:r>
      <w:r>
        <w:t>Figure S</w:t>
      </w:r>
      <w:r w:rsidR="002E76E0">
        <w:t>6</w:t>
      </w:r>
      <w:r>
        <w:t xml:space="preserve"> shows the network predictability plot. </w:t>
      </w:r>
      <w:r w:rsidRPr="00B30BB9">
        <w:t xml:space="preserve">The average predictability of the nodes was .58, suggesting that 58% of the variance of a node not predicted by the intercept model is explained by its neighbors in the network </w:t>
      </w:r>
      <w:r w:rsidRPr="00B30BB9">
        <w:fldChar w:fldCharType="begin"/>
      </w:r>
      <w:r>
        <w:instrText xml:space="preserve"> ADDIN EN.CITE &lt;EndNote&gt;&lt;Cite&gt;&lt;Author&gt;Haslbeck&lt;/Author&gt;&lt;Year&gt;2017&lt;/Year&gt;&lt;RecNum&gt;749&lt;/RecNum&gt;&lt;DisplayText&gt;(Haslbeck &amp;amp; Fried, 2017)&lt;/DisplayText&gt;&lt;record&gt;&lt;rec-number&gt;749&lt;/rec-number&gt;&lt;foreign-keys&gt;&lt;key app="EN" db-id="zaevd55a4w95dge0fpavfz9zf252azs2adfs" timestamp="1633593380"&gt;749&lt;/key&gt;&lt;/foreign-keys&gt;&lt;ref-type name="Journal Article"&gt;17&lt;/ref-type&gt;&lt;contributors&gt;&lt;authors&gt;&lt;author&gt;Haslbeck, Jonas M. B.&lt;/author&gt;&lt;author&gt;Fried, E. I.&lt;/author&gt;&lt;/authors&gt;&lt;/contributors&gt;&lt;titles&gt;&lt;title&gt;How predictable are symptoms in psychopathological networks? A reanalysis of 18 published datasets&lt;/title&gt;&lt;secondary-title&gt;Psychological Medicine&lt;/secondary-title&gt;&lt;/titles&gt;&lt;periodical&gt;&lt;full-title&gt;Psychological Medicine&lt;/full-title&gt;&lt;/periodical&gt;&lt;pages&gt;2767-2776&lt;/pages&gt;&lt;volume&gt;47&lt;/volume&gt;&lt;number&gt;16&lt;/number&gt;&lt;edition&gt;2017/06/19&lt;/edition&gt;&lt;keywords&gt;&lt;keyword&gt;Centrality&lt;/keyword&gt;&lt;keyword&gt;intervention&lt;/keyword&gt;&lt;keyword&gt;network models&lt;/keyword&gt;&lt;keyword&gt;predictability&lt;/keyword&gt;&lt;/keywords&gt;&lt;dates&gt;&lt;year&gt;2017&lt;/year&gt;&lt;/dates&gt;&lt;publisher&gt;Cambridge University Press&lt;/publisher&gt;&lt;isbn&gt;0033-2917&lt;/isbn&gt;&lt;urls&gt;&lt;related-urls&gt;&lt;url&gt;https://www.cambridge.org/core/article/how-predictable-are-symptoms-in-psychopathological-networks-a-reanalysis-of-18-published-datasets/84F1D7F73DB03586ABA48783419FE62A&lt;/url&gt;&lt;/related-urls&gt;&lt;/urls&gt;&lt;electronic-resource-num&gt;10.1017/S0033291717001258&lt;/electronic-resource-num&gt;&lt;remote-database-name&gt;Cambridge Core&lt;/remote-database-name&gt;&lt;remote-database-provider&gt;Cambridge University Press&lt;/remote-database-provider&gt;&lt;/record&gt;&lt;/Cite&gt;&lt;/EndNote&gt;</w:instrText>
      </w:r>
      <w:r w:rsidRPr="00B30BB9">
        <w:fldChar w:fldCharType="separate"/>
      </w:r>
      <w:r>
        <w:rPr>
          <w:noProof/>
        </w:rPr>
        <w:t>(Haslbeck &amp; Fried, 2017)</w:t>
      </w:r>
      <w:r w:rsidRPr="00B30BB9">
        <w:fldChar w:fldCharType="end"/>
      </w:r>
      <w:r w:rsidR="00166BD7" w:rsidRPr="00210A49">
        <w:t xml:space="preserve"> </w:t>
      </w:r>
    </w:p>
    <w:p w14:paraId="2B703014" w14:textId="77777777" w:rsidR="00166BD7" w:rsidRDefault="00166BD7" w:rsidP="00412672">
      <w:pPr>
        <w:spacing w:after="0" w:line="480" w:lineRule="auto"/>
        <w:rPr>
          <w:b/>
          <w:bCs/>
        </w:rPr>
      </w:pPr>
    </w:p>
    <w:p w14:paraId="0601DFD7" w14:textId="77777777" w:rsidR="00166BD7" w:rsidRDefault="00166BD7" w:rsidP="00412672">
      <w:pPr>
        <w:spacing w:after="0" w:line="480" w:lineRule="auto"/>
        <w:rPr>
          <w:b/>
          <w:bCs/>
        </w:rPr>
      </w:pPr>
    </w:p>
    <w:p w14:paraId="2196A31A" w14:textId="77777777" w:rsidR="00166BD7" w:rsidRDefault="00166BD7" w:rsidP="00412672">
      <w:pPr>
        <w:spacing w:after="0" w:line="480" w:lineRule="auto"/>
        <w:rPr>
          <w:b/>
          <w:bCs/>
        </w:rPr>
      </w:pPr>
    </w:p>
    <w:p w14:paraId="1C19233E" w14:textId="77777777" w:rsidR="00166BD7" w:rsidRDefault="00166BD7" w:rsidP="00412672">
      <w:pPr>
        <w:spacing w:after="0" w:line="480" w:lineRule="auto"/>
        <w:rPr>
          <w:b/>
          <w:bCs/>
        </w:rPr>
      </w:pPr>
    </w:p>
    <w:p w14:paraId="71E42C13" w14:textId="77777777" w:rsidR="00166BD7" w:rsidRDefault="00166BD7" w:rsidP="00412672">
      <w:pPr>
        <w:spacing w:after="0" w:line="480" w:lineRule="auto"/>
        <w:rPr>
          <w:b/>
          <w:bCs/>
        </w:rPr>
      </w:pPr>
    </w:p>
    <w:p w14:paraId="7BD9BEF0" w14:textId="77777777" w:rsidR="00166BD7" w:rsidRDefault="00166BD7" w:rsidP="00412672">
      <w:pPr>
        <w:spacing w:after="0" w:line="480" w:lineRule="auto"/>
        <w:rPr>
          <w:b/>
          <w:bCs/>
        </w:rPr>
      </w:pPr>
    </w:p>
    <w:p w14:paraId="0183DA63" w14:textId="77777777" w:rsidR="00166BD7" w:rsidRDefault="00166BD7" w:rsidP="00412672">
      <w:pPr>
        <w:spacing w:after="0" w:line="480" w:lineRule="auto"/>
        <w:rPr>
          <w:b/>
          <w:bCs/>
        </w:rPr>
      </w:pPr>
    </w:p>
    <w:p w14:paraId="39262D23" w14:textId="77777777" w:rsidR="00166BD7" w:rsidRDefault="00166BD7" w:rsidP="00412672">
      <w:pPr>
        <w:spacing w:after="0" w:line="480" w:lineRule="auto"/>
        <w:rPr>
          <w:b/>
          <w:bCs/>
        </w:rPr>
      </w:pPr>
    </w:p>
    <w:p w14:paraId="42433D13" w14:textId="77777777" w:rsidR="00166BD7" w:rsidRDefault="00166BD7" w:rsidP="00412672">
      <w:pPr>
        <w:spacing w:after="0" w:line="480" w:lineRule="auto"/>
        <w:rPr>
          <w:b/>
          <w:bCs/>
        </w:rPr>
      </w:pPr>
    </w:p>
    <w:p w14:paraId="7430A1C4" w14:textId="77777777" w:rsidR="00166BD7" w:rsidRDefault="00166BD7" w:rsidP="00412672">
      <w:pPr>
        <w:spacing w:after="0" w:line="480" w:lineRule="auto"/>
        <w:rPr>
          <w:b/>
          <w:bCs/>
        </w:rPr>
      </w:pPr>
    </w:p>
    <w:p w14:paraId="044FEBFA" w14:textId="77777777" w:rsidR="00166BD7" w:rsidRDefault="00166BD7" w:rsidP="00412672">
      <w:pPr>
        <w:spacing w:after="0" w:line="480" w:lineRule="auto"/>
        <w:rPr>
          <w:b/>
          <w:bCs/>
        </w:rPr>
      </w:pPr>
    </w:p>
    <w:p w14:paraId="5A5C1619" w14:textId="08BAE0D4" w:rsidR="006F1B7E" w:rsidRPr="00520372" w:rsidRDefault="006F1B7E" w:rsidP="00412672">
      <w:pPr>
        <w:spacing w:after="0" w:line="480" w:lineRule="auto"/>
        <w:rPr>
          <w:b/>
          <w:bCs/>
        </w:rPr>
      </w:pPr>
      <w:r w:rsidRPr="00520372">
        <w:rPr>
          <w:b/>
          <w:bCs/>
        </w:rPr>
        <w:t>Figure S</w:t>
      </w:r>
      <w:r>
        <w:rPr>
          <w:b/>
          <w:bCs/>
        </w:rPr>
        <w:t>1</w:t>
      </w:r>
    </w:p>
    <w:p w14:paraId="19C8A5D6" w14:textId="77777777" w:rsidR="006F1B7E" w:rsidRPr="00520372" w:rsidRDefault="006F1B7E" w:rsidP="00412672">
      <w:pPr>
        <w:spacing w:after="0" w:line="480" w:lineRule="auto"/>
        <w:rPr>
          <w:i/>
          <w:iCs/>
        </w:rPr>
      </w:pPr>
      <w:r w:rsidRPr="00520372">
        <w:rPr>
          <w:i/>
          <w:iCs/>
        </w:rPr>
        <w:t>Centrality Plot Expected Influence</w:t>
      </w:r>
    </w:p>
    <w:p w14:paraId="418EB3AC" w14:textId="77777777" w:rsidR="006F1B7E" w:rsidRPr="00520372" w:rsidRDefault="006F1B7E" w:rsidP="00412672">
      <w:pPr>
        <w:spacing w:after="0" w:line="480" w:lineRule="auto"/>
        <w:rPr>
          <w:i/>
          <w:iCs/>
        </w:rPr>
      </w:pPr>
      <w:r w:rsidRPr="00520372">
        <w:rPr>
          <w:i/>
          <w:iCs/>
          <w:noProof/>
        </w:rPr>
        <w:drawing>
          <wp:inline distT="0" distB="0" distL="0" distR="0" wp14:anchorId="37343FC3" wp14:editId="6A7EE950">
            <wp:extent cx="5943600" cy="3994150"/>
            <wp:effectExtent l="0" t="0" r="0" b="635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9"/>
                    <a:stretch>
                      <a:fillRect/>
                    </a:stretch>
                  </pic:blipFill>
                  <pic:spPr>
                    <a:xfrm>
                      <a:off x="0" y="0"/>
                      <a:ext cx="5943600" cy="3994150"/>
                    </a:xfrm>
                    <a:prstGeom prst="rect">
                      <a:avLst/>
                    </a:prstGeom>
                  </pic:spPr>
                </pic:pic>
              </a:graphicData>
            </a:graphic>
          </wp:inline>
        </w:drawing>
      </w:r>
    </w:p>
    <w:p w14:paraId="11D6E690" w14:textId="5360F1A4" w:rsidR="006F1B7E" w:rsidRPr="00520372" w:rsidRDefault="006F1B7E" w:rsidP="00412672">
      <w:pPr>
        <w:spacing w:after="0" w:line="240" w:lineRule="auto"/>
      </w:pPr>
      <w:r w:rsidRPr="00520372">
        <w:rPr>
          <w:i/>
          <w:iCs/>
        </w:rPr>
        <w:t>Note.</w:t>
      </w:r>
      <w:r w:rsidRPr="00520372">
        <w:t xml:space="preserve"> CDM = Co-Dampening. SAD = Social Anxiety. NSI = Negative Social Interactions. NSZ = Network Size. ERS = Excessive Reassurance</w:t>
      </w:r>
      <w:r>
        <w:t>-</w:t>
      </w:r>
      <w:r w:rsidRPr="00520372">
        <w:t>Seeking. BDI = Depression. NDI = Network Diversity. CRM = Co-Rumination. LNL = Loneliness. NEM = Number of Embedded Networks.</w:t>
      </w:r>
      <w:r w:rsidR="0091423A">
        <w:t xml:space="preserve"> </w:t>
      </w:r>
      <w:r w:rsidRPr="00520372">
        <w:t>NII = Negative Interpretation Inflexibility. NIB = Negative Interpretation Bias. PIB = Positive Interpretation Bias. NFS = Negative Feedback</w:t>
      </w:r>
      <w:r>
        <w:t>-</w:t>
      </w:r>
      <w:r w:rsidRPr="00520372">
        <w:t>Seeking. RJS = Rejection Sensitivity.</w:t>
      </w:r>
    </w:p>
    <w:p w14:paraId="7C57E3CC" w14:textId="77777777" w:rsidR="006F1B7E" w:rsidRPr="00520372" w:rsidRDefault="006F1B7E" w:rsidP="00412672">
      <w:pPr>
        <w:spacing w:after="0" w:line="480" w:lineRule="auto"/>
        <w:rPr>
          <w:b/>
          <w:bCs/>
        </w:rPr>
      </w:pPr>
      <w:r w:rsidRPr="00520372">
        <w:rPr>
          <w:b/>
          <w:bCs/>
        </w:rPr>
        <w:br w:type="page"/>
      </w:r>
    </w:p>
    <w:p w14:paraId="52CAFFDF" w14:textId="1EB05C9A" w:rsidR="006F1B7E" w:rsidRDefault="006F1B7E" w:rsidP="00412672">
      <w:pPr>
        <w:spacing w:after="0" w:line="480" w:lineRule="auto"/>
        <w:rPr>
          <w:b/>
          <w:bCs/>
        </w:rPr>
      </w:pPr>
      <w:r w:rsidRPr="00520372">
        <w:rPr>
          <w:b/>
          <w:bCs/>
        </w:rPr>
        <w:t>Figure S</w:t>
      </w:r>
      <w:r>
        <w:rPr>
          <w:b/>
          <w:bCs/>
        </w:rPr>
        <w:t>2</w:t>
      </w:r>
    </w:p>
    <w:p w14:paraId="393152DD" w14:textId="77777777" w:rsidR="00155523" w:rsidRDefault="00155523" w:rsidP="00155523">
      <w:pPr>
        <w:spacing w:after="0" w:line="240" w:lineRule="auto"/>
        <w:rPr>
          <w:i/>
          <w:iCs/>
        </w:rPr>
      </w:pPr>
      <w:r w:rsidRPr="00520372">
        <w:rPr>
          <w:i/>
          <w:iCs/>
        </w:rPr>
        <w:t>Centrality Difference Test</w:t>
      </w:r>
    </w:p>
    <w:p w14:paraId="3444BA08" w14:textId="77777777" w:rsidR="00155523" w:rsidRDefault="00155523" w:rsidP="00155523">
      <w:pPr>
        <w:spacing w:after="0" w:line="240" w:lineRule="auto"/>
        <w:rPr>
          <w:i/>
          <w:iCs/>
        </w:rPr>
      </w:pPr>
    </w:p>
    <w:p w14:paraId="4BA1A543" w14:textId="49915293" w:rsidR="00155523" w:rsidRPr="00520372" w:rsidRDefault="00155523" w:rsidP="00155523">
      <w:pPr>
        <w:spacing w:after="0" w:line="240" w:lineRule="auto"/>
        <w:rPr>
          <w:i/>
          <w:iCs/>
        </w:rPr>
      </w:pPr>
      <w:r w:rsidRPr="00520372">
        <w:rPr>
          <w:i/>
          <w:iCs/>
          <w:noProof/>
        </w:rPr>
        <w:drawing>
          <wp:inline distT="0" distB="0" distL="0" distR="0" wp14:anchorId="2F5C3054" wp14:editId="7EB6CEF8">
            <wp:extent cx="5943600" cy="4043680"/>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10"/>
                    <a:stretch>
                      <a:fillRect/>
                    </a:stretch>
                  </pic:blipFill>
                  <pic:spPr>
                    <a:xfrm>
                      <a:off x="0" y="0"/>
                      <a:ext cx="5943600" cy="4043680"/>
                    </a:xfrm>
                    <a:prstGeom prst="rect">
                      <a:avLst/>
                    </a:prstGeom>
                  </pic:spPr>
                </pic:pic>
              </a:graphicData>
            </a:graphic>
          </wp:inline>
        </w:drawing>
      </w:r>
      <w:r w:rsidRPr="00520372">
        <w:rPr>
          <w:i/>
          <w:iCs/>
        </w:rPr>
        <w:t>Note.</w:t>
      </w:r>
      <w:r w:rsidRPr="00520372">
        <w:t xml:space="preserve"> </w:t>
      </w:r>
      <w:r w:rsidR="00401BDF">
        <w:t xml:space="preserve">Gray boxes represent </w:t>
      </w:r>
      <w:r w:rsidR="003B6628">
        <w:t xml:space="preserve">nodes or </w:t>
      </w:r>
      <w:r w:rsidR="00401BDF">
        <w:t>edges that are</w:t>
      </w:r>
      <w:r w:rsidR="00E03A9A">
        <w:t xml:space="preserve"> not</w:t>
      </w:r>
      <w:r w:rsidR="00401BDF">
        <w:t xml:space="preserve"> significant and black boxes represent </w:t>
      </w:r>
      <w:r w:rsidR="003B6628">
        <w:t xml:space="preserve">nodes or </w:t>
      </w:r>
      <w:r w:rsidR="00401BDF">
        <w:t xml:space="preserve">edges that are significant. </w:t>
      </w:r>
      <w:r w:rsidRPr="00520372">
        <w:t>NII = Negative Interpretation Inflexibility. NIB = Negative Interpretation Bias. PIB = Positive Interpretation Bias. BDI = Depression. SAD = Social Anxiety. RJS = Rejection Sensitivity. NFS = Negative Feedback</w:t>
      </w:r>
      <w:r>
        <w:t>-</w:t>
      </w:r>
      <w:r w:rsidRPr="00520372">
        <w:t>Seeking. ERS = Excessive Reassurance</w:t>
      </w:r>
      <w:r>
        <w:t>-</w:t>
      </w:r>
      <w:r w:rsidRPr="00520372">
        <w:t>Seeking. CRM = Co-Rumination. CDM = Co-Dampening. NSI = Negative Social Interactions. LNL = Loneliness. NDI = Network Diversity. NSZ = Network Size. NEM = Number of Embedded Networks.</w:t>
      </w:r>
    </w:p>
    <w:p w14:paraId="6B168202" w14:textId="6BF27603" w:rsidR="00355302" w:rsidRDefault="00355302" w:rsidP="00C45D35">
      <w:pPr>
        <w:rPr>
          <w:b/>
          <w:bCs/>
        </w:rPr>
      </w:pPr>
    </w:p>
    <w:p w14:paraId="3564F73A" w14:textId="77777777" w:rsidR="00C45D35" w:rsidRDefault="00C45D35" w:rsidP="00C45D35">
      <w:pPr>
        <w:rPr>
          <w:b/>
          <w:bCs/>
        </w:rPr>
      </w:pPr>
    </w:p>
    <w:p w14:paraId="607F5716" w14:textId="77777777" w:rsidR="00C45D35" w:rsidRDefault="00C45D35" w:rsidP="00C45D35">
      <w:pPr>
        <w:rPr>
          <w:b/>
          <w:bCs/>
        </w:rPr>
      </w:pPr>
    </w:p>
    <w:p w14:paraId="09B24F88" w14:textId="77777777" w:rsidR="00C45D35" w:rsidRDefault="00C45D35" w:rsidP="00C45D35">
      <w:pPr>
        <w:rPr>
          <w:b/>
          <w:bCs/>
        </w:rPr>
      </w:pPr>
    </w:p>
    <w:p w14:paraId="1280AF23" w14:textId="77777777" w:rsidR="00C45D35" w:rsidRDefault="00C45D35" w:rsidP="00C45D35">
      <w:pPr>
        <w:rPr>
          <w:b/>
          <w:bCs/>
        </w:rPr>
      </w:pPr>
    </w:p>
    <w:p w14:paraId="3598E544" w14:textId="77777777" w:rsidR="00C45D35" w:rsidRDefault="00C45D35" w:rsidP="00C45D35">
      <w:pPr>
        <w:rPr>
          <w:b/>
          <w:bCs/>
        </w:rPr>
      </w:pPr>
    </w:p>
    <w:p w14:paraId="1915A8A9" w14:textId="77777777" w:rsidR="00355302" w:rsidRDefault="00355302" w:rsidP="00412672">
      <w:pPr>
        <w:spacing w:after="0" w:line="480" w:lineRule="auto"/>
        <w:rPr>
          <w:b/>
          <w:bCs/>
        </w:rPr>
      </w:pPr>
    </w:p>
    <w:p w14:paraId="233BFA93" w14:textId="77777777" w:rsidR="00355302" w:rsidRDefault="00355302" w:rsidP="00412672">
      <w:pPr>
        <w:spacing w:after="0" w:line="480" w:lineRule="auto"/>
        <w:rPr>
          <w:b/>
          <w:bCs/>
        </w:rPr>
      </w:pPr>
    </w:p>
    <w:p w14:paraId="4DB9DC5D" w14:textId="77777777" w:rsidR="00355302" w:rsidRPr="00520372" w:rsidRDefault="00355302" w:rsidP="00412672">
      <w:pPr>
        <w:spacing w:after="0" w:line="480" w:lineRule="auto"/>
        <w:rPr>
          <w:b/>
          <w:bCs/>
        </w:rPr>
      </w:pPr>
    </w:p>
    <w:p w14:paraId="3641E3C8" w14:textId="379481B3" w:rsidR="00355302" w:rsidRPr="00355302" w:rsidRDefault="00355302" w:rsidP="00412672">
      <w:pPr>
        <w:spacing w:after="0" w:line="480" w:lineRule="auto"/>
        <w:rPr>
          <w:b/>
          <w:bCs/>
        </w:rPr>
      </w:pPr>
      <w:r w:rsidRPr="00520372">
        <w:rPr>
          <w:b/>
          <w:bCs/>
        </w:rPr>
        <w:t>Figure S</w:t>
      </w:r>
      <w:r>
        <w:rPr>
          <w:b/>
          <w:bCs/>
        </w:rPr>
        <w:t>3</w:t>
      </w:r>
    </w:p>
    <w:p w14:paraId="50C6E41B" w14:textId="333FEBB2" w:rsidR="006F1B7E" w:rsidRPr="00520372" w:rsidRDefault="006F1B7E" w:rsidP="00412672">
      <w:pPr>
        <w:spacing w:after="0" w:line="480" w:lineRule="auto"/>
        <w:rPr>
          <w:i/>
          <w:iCs/>
        </w:rPr>
      </w:pPr>
      <w:r w:rsidRPr="00520372">
        <w:rPr>
          <w:i/>
          <w:iCs/>
        </w:rPr>
        <w:t>Edge Weight Stability Analysis</w:t>
      </w:r>
    </w:p>
    <w:p w14:paraId="7929AE55" w14:textId="77777777" w:rsidR="006F1B7E" w:rsidRPr="00520372" w:rsidRDefault="006F1B7E" w:rsidP="00412672">
      <w:pPr>
        <w:spacing w:after="0" w:line="480" w:lineRule="auto"/>
        <w:rPr>
          <w:i/>
          <w:iCs/>
        </w:rPr>
      </w:pPr>
      <w:r w:rsidRPr="00520372">
        <w:rPr>
          <w:i/>
          <w:iCs/>
          <w:noProof/>
        </w:rPr>
        <w:drawing>
          <wp:inline distT="0" distB="0" distL="0" distR="0" wp14:anchorId="21C99B39" wp14:editId="4E54A888">
            <wp:extent cx="5943600" cy="4019550"/>
            <wp:effectExtent l="0" t="0" r="0" b="0"/>
            <wp:docPr id="3" name="Picture 3"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chart&#10;&#10;Description automatically generated"/>
                    <pic:cNvPicPr/>
                  </pic:nvPicPr>
                  <pic:blipFill>
                    <a:blip r:embed="rId11"/>
                    <a:stretch>
                      <a:fillRect/>
                    </a:stretch>
                  </pic:blipFill>
                  <pic:spPr>
                    <a:xfrm>
                      <a:off x="0" y="0"/>
                      <a:ext cx="5943600" cy="4019550"/>
                    </a:xfrm>
                    <a:prstGeom prst="rect">
                      <a:avLst/>
                    </a:prstGeom>
                  </pic:spPr>
                </pic:pic>
              </a:graphicData>
            </a:graphic>
          </wp:inline>
        </w:drawing>
      </w:r>
    </w:p>
    <w:p w14:paraId="4F11DA81" w14:textId="77777777" w:rsidR="006F1B7E" w:rsidRPr="00520372" w:rsidRDefault="006F1B7E" w:rsidP="00412672">
      <w:pPr>
        <w:pStyle w:val="FirstParagraph"/>
        <w:spacing w:before="0" w:after="0" w:line="480" w:lineRule="auto"/>
        <w:rPr>
          <w:rFonts w:ascii="Times New Roman" w:hAnsi="Times New Roman" w:cs="Times New Roman"/>
        </w:rPr>
      </w:pPr>
      <w:r w:rsidRPr="00520372">
        <w:rPr>
          <w:rFonts w:ascii="Times New Roman" w:hAnsi="Times New Roman" w:cs="Times New Roman"/>
          <w:i/>
          <w:iCs/>
        </w:rPr>
        <w:t xml:space="preserve">Note. </w:t>
      </w:r>
      <w:r w:rsidRPr="00520372">
        <w:rPr>
          <w:rFonts w:ascii="Times New Roman" w:hAnsi="Times New Roman" w:cs="Times New Roman"/>
        </w:rPr>
        <w:t>The edge weight stability is .67.</w:t>
      </w:r>
    </w:p>
    <w:p w14:paraId="1C6C45B1" w14:textId="3D2D0CC6" w:rsidR="006F1B7E" w:rsidRPr="00520372" w:rsidRDefault="006F1B7E" w:rsidP="00412672">
      <w:pPr>
        <w:spacing w:after="0" w:line="480" w:lineRule="auto"/>
        <w:rPr>
          <w:b/>
          <w:bCs/>
        </w:rPr>
      </w:pPr>
      <w:r w:rsidRPr="00520372">
        <w:rPr>
          <w:b/>
          <w:bCs/>
        </w:rPr>
        <w:br w:type="page"/>
      </w:r>
    </w:p>
    <w:p w14:paraId="00BA4D2E" w14:textId="6104662F" w:rsidR="006F1B7E" w:rsidRDefault="006F1B7E" w:rsidP="00412672">
      <w:pPr>
        <w:spacing w:after="0" w:line="480" w:lineRule="auto"/>
        <w:rPr>
          <w:b/>
          <w:bCs/>
        </w:rPr>
      </w:pPr>
      <w:r w:rsidRPr="00520372">
        <w:rPr>
          <w:b/>
          <w:bCs/>
        </w:rPr>
        <w:t>Figure S</w:t>
      </w:r>
      <w:r>
        <w:rPr>
          <w:b/>
          <w:bCs/>
        </w:rPr>
        <w:t>4</w:t>
      </w:r>
    </w:p>
    <w:p w14:paraId="1B068D69" w14:textId="77777777" w:rsidR="004C2E13" w:rsidRPr="00520372" w:rsidRDefault="004C2E13" w:rsidP="004C2E13">
      <w:pPr>
        <w:spacing w:after="0" w:line="480" w:lineRule="auto"/>
        <w:rPr>
          <w:i/>
          <w:iCs/>
        </w:rPr>
      </w:pPr>
      <w:r w:rsidRPr="00520372">
        <w:rPr>
          <w:i/>
          <w:iCs/>
        </w:rPr>
        <w:t>Edge Weight Difference Test</w:t>
      </w:r>
    </w:p>
    <w:p w14:paraId="656BAC71" w14:textId="77777777" w:rsidR="004C2E13" w:rsidRPr="00520372" w:rsidRDefault="004C2E13" w:rsidP="004C2E13">
      <w:pPr>
        <w:spacing w:after="0" w:line="480" w:lineRule="auto"/>
        <w:rPr>
          <w:i/>
          <w:iCs/>
        </w:rPr>
      </w:pPr>
      <w:r w:rsidRPr="00520372">
        <w:rPr>
          <w:i/>
          <w:iCs/>
          <w:noProof/>
        </w:rPr>
        <w:drawing>
          <wp:inline distT="0" distB="0" distL="0" distR="0" wp14:anchorId="54816D23" wp14:editId="0444B90D">
            <wp:extent cx="5943600" cy="4194175"/>
            <wp:effectExtent l="0" t="0" r="0" b="0"/>
            <wp:docPr id="1768633850" name="Picture 176863385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histogram&#10;&#10;Description automatically generated"/>
                    <pic:cNvPicPr/>
                  </pic:nvPicPr>
                  <pic:blipFill>
                    <a:blip r:embed="rId12"/>
                    <a:stretch>
                      <a:fillRect/>
                    </a:stretch>
                  </pic:blipFill>
                  <pic:spPr>
                    <a:xfrm>
                      <a:off x="0" y="0"/>
                      <a:ext cx="5943600" cy="4194175"/>
                    </a:xfrm>
                    <a:prstGeom prst="rect">
                      <a:avLst/>
                    </a:prstGeom>
                  </pic:spPr>
                </pic:pic>
              </a:graphicData>
            </a:graphic>
          </wp:inline>
        </w:drawing>
      </w:r>
    </w:p>
    <w:p w14:paraId="6EC346D6" w14:textId="6886A77F" w:rsidR="004C2E13" w:rsidRPr="00520372" w:rsidRDefault="004C2E13" w:rsidP="004C2E13">
      <w:pPr>
        <w:spacing w:after="0" w:line="240" w:lineRule="auto"/>
      </w:pPr>
      <w:r w:rsidRPr="00520372">
        <w:rPr>
          <w:i/>
          <w:iCs/>
        </w:rPr>
        <w:t>Note.</w:t>
      </w:r>
      <w:r w:rsidRPr="00520372">
        <w:t xml:space="preserve"> </w:t>
      </w:r>
      <w:r>
        <w:t xml:space="preserve">Gray boxes represent </w:t>
      </w:r>
      <w:r w:rsidR="003B6628">
        <w:t xml:space="preserve">nodes or </w:t>
      </w:r>
      <w:r>
        <w:t xml:space="preserve">edges that are not significant and black boxes represent </w:t>
      </w:r>
      <w:r w:rsidR="003B6628">
        <w:t xml:space="preserve">nodes or </w:t>
      </w:r>
      <w:r>
        <w:t>edges that are significant</w:t>
      </w:r>
      <w:r w:rsidRPr="00520372">
        <w:t>. NIB = Negative Interpretation Bias. PIB = Positive Interpretation Bias. BDI = Depression. SAD = Social Anxiety. RJS = Rejection Sensitivity. NFS = Negative Feedback</w:t>
      </w:r>
      <w:r>
        <w:t>-</w:t>
      </w:r>
      <w:r w:rsidRPr="00520372">
        <w:t>Seeking. ERS = Excessive Reassurance</w:t>
      </w:r>
      <w:r>
        <w:t>-</w:t>
      </w:r>
      <w:r w:rsidRPr="00520372">
        <w:t>Seeking. CRM = Co-Rumination. CDM = Co-Dampening. NSI = Negative Social Interactions. LNL = Loneliness. NDI = Network Diversity. NSZ = Network Size. NEM = Number of Embedded Networks.</w:t>
      </w:r>
    </w:p>
    <w:p w14:paraId="59A49C21" w14:textId="77777777" w:rsidR="004C2E13" w:rsidRPr="00520372" w:rsidRDefault="004C2E13" w:rsidP="00412672">
      <w:pPr>
        <w:spacing w:after="0" w:line="480" w:lineRule="auto"/>
        <w:rPr>
          <w:b/>
          <w:bCs/>
        </w:rPr>
      </w:pPr>
    </w:p>
    <w:p w14:paraId="66B56626" w14:textId="77777777" w:rsidR="006F1B7E" w:rsidRPr="00520372" w:rsidRDefault="006F1B7E" w:rsidP="00412672">
      <w:pPr>
        <w:spacing w:after="0" w:line="480" w:lineRule="auto"/>
        <w:rPr>
          <w:i/>
          <w:iCs/>
        </w:rPr>
      </w:pPr>
    </w:p>
    <w:p w14:paraId="581CADCC" w14:textId="77777777" w:rsidR="006F1B7E" w:rsidRPr="00520372" w:rsidRDefault="006F1B7E" w:rsidP="00412672">
      <w:pPr>
        <w:spacing w:after="0" w:line="480" w:lineRule="auto"/>
        <w:rPr>
          <w:b/>
          <w:bCs/>
        </w:rPr>
      </w:pPr>
      <w:r w:rsidRPr="00520372">
        <w:rPr>
          <w:b/>
          <w:bCs/>
        </w:rPr>
        <w:br w:type="page"/>
      </w:r>
    </w:p>
    <w:p w14:paraId="5F445DD3" w14:textId="6B150BE7" w:rsidR="006F1B7E" w:rsidRDefault="006F1B7E" w:rsidP="00412672">
      <w:pPr>
        <w:spacing w:after="0" w:line="480" w:lineRule="auto"/>
        <w:rPr>
          <w:b/>
          <w:bCs/>
        </w:rPr>
      </w:pPr>
      <w:r w:rsidRPr="00520372">
        <w:rPr>
          <w:b/>
          <w:bCs/>
        </w:rPr>
        <w:t>Figure S</w:t>
      </w:r>
      <w:r>
        <w:rPr>
          <w:b/>
          <w:bCs/>
        </w:rPr>
        <w:t>5</w:t>
      </w:r>
    </w:p>
    <w:p w14:paraId="218BE4ED" w14:textId="79591488" w:rsidR="004C2E13" w:rsidRPr="00520372" w:rsidRDefault="003F211D" w:rsidP="004C2E13">
      <w:pPr>
        <w:spacing w:after="0" w:line="480" w:lineRule="auto"/>
        <w:rPr>
          <w:i/>
          <w:iCs/>
        </w:rPr>
      </w:pPr>
      <w:r>
        <w:rPr>
          <w:i/>
          <w:iCs/>
        </w:rPr>
        <w:t>Centrality</w:t>
      </w:r>
      <w:r w:rsidR="004C2E13" w:rsidRPr="00520372">
        <w:rPr>
          <w:i/>
          <w:iCs/>
        </w:rPr>
        <w:t xml:space="preserve"> Stability Analysis</w:t>
      </w:r>
    </w:p>
    <w:p w14:paraId="0EDA1026" w14:textId="77777777" w:rsidR="004C2E13" w:rsidRPr="00520372" w:rsidRDefault="004C2E13" w:rsidP="004C2E13">
      <w:pPr>
        <w:spacing w:after="0" w:line="480" w:lineRule="auto"/>
        <w:rPr>
          <w:i/>
          <w:iCs/>
        </w:rPr>
      </w:pPr>
      <w:r w:rsidRPr="00520372">
        <w:rPr>
          <w:i/>
          <w:iCs/>
          <w:noProof/>
        </w:rPr>
        <w:drawing>
          <wp:inline distT="0" distB="0" distL="0" distR="0" wp14:anchorId="4207659F" wp14:editId="30D269D7">
            <wp:extent cx="5943600" cy="3779520"/>
            <wp:effectExtent l="0" t="0" r="0" b="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13"/>
                    <a:stretch>
                      <a:fillRect/>
                    </a:stretch>
                  </pic:blipFill>
                  <pic:spPr>
                    <a:xfrm>
                      <a:off x="0" y="0"/>
                      <a:ext cx="5943600" cy="3779520"/>
                    </a:xfrm>
                    <a:prstGeom prst="rect">
                      <a:avLst/>
                    </a:prstGeom>
                  </pic:spPr>
                </pic:pic>
              </a:graphicData>
            </a:graphic>
          </wp:inline>
        </w:drawing>
      </w:r>
    </w:p>
    <w:p w14:paraId="5EAA302F" w14:textId="77777777" w:rsidR="004C2E13" w:rsidRPr="00520372" w:rsidRDefault="004C2E13" w:rsidP="004C2E13">
      <w:pPr>
        <w:pStyle w:val="FirstParagraph"/>
        <w:spacing w:before="0" w:after="0" w:line="480" w:lineRule="auto"/>
        <w:rPr>
          <w:rFonts w:ascii="Times New Roman" w:hAnsi="Times New Roman" w:cs="Times New Roman"/>
        </w:rPr>
      </w:pPr>
      <w:r w:rsidRPr="00520372">
        <w:rPr>
          <w:rFonts w:ascii="Times New Roman" w:hAnsi="Times New Roman" w:cs="Times New Roman"/>
          <w:i/>
          <w:iCs/>
        </w:rPr>
        <w:t xml:space="preserve">Note. </w:t>
      </w:r>
      <w:r w:rsidRPr="00520372">
        <w:rPr>
          <w:rFonts w:ascii="Times New Roman" w:hAnsi="Times New Roman" w:cs="Times New Roman"/>
        </w:rPr>
        <w:t>The stability of the expected influence is .67.</w:t>
      </w:r>
    </w:p>
    <w:p w14:paraId="2B813E8E" w14:textId="77777777" w:rsidR="00C45D35" w:rsidRPr="00520372" w:rsidRDefault="00C45D35" w:rsidP="00412672">
      <w:pPr>
        <w:spacing w:after="0" w:line="480" w:lineRule="auto"/>
        <w:rPr>
          <w:b/>
          <w:bCs/>
        </w:rPr>
      </w:pPr>
    </w:p>
    <w:p w14:paraId="22295ABB" w14:textId="77777777" w:rsidR="002E76E0" w:rsidRDefault="002E76E0" w:rsidP="00412672">
      <w:pPr>
        <w:spacing w:after="0" w:line="480" w:lineRule="auto"/>
        <w:rPr>
          <w:b/>
          <w:bCs/>
        </w:rPr>
      </w:pPr>
    </w:p>
    <w:p w14:paraId="096351FA" w14:textId="77777777" w:rsidR="002E76E0" w:rsidRDefault="002E76E0" w:rsidP="00412672">
      <w:pPr>
        <w:spacing w:after="0" w:line="480" w:lineRule="auto"/>
        <w:rPr>
          <w:b/>
          <w:bCs/>
        </w:rPr>
      </w:pPr>
    </w:p>
    <w:p w14:paraId="0FF8E8EA" w14:textId="77777777" w:rsidR="002E76E0" w:rsidRDefault="002E76E0" w:rsidP="00412672">
      <w:pPr>
        <w:spacing w:after="0" w:line="480" w:lineRule="auto"/>
        <w:rPr>
          <w:b/>
          <w:bCs/>
        </w:rPr>
      </w:pPr>
    </w:p>
    <w:p w14:paraId="77816BA4" w14:textId="77777777" w:rsidR="002E76E0" w:rsidRDefault="002E76E0" w:rsidP="00412672">
      <w:pPr>
        <w:spacing w:after="0" w:line="480" w:lineRule="auto"/>
        <w:rPr>
          <w:b/>
          <w:bCs/>
        </w:rPr>
      </w:pPr>
    </w:p>
    <w:p w14:paraId="3DCCBC08" w14:textId="77777777" w:rsidR="002E76E0" w:rsidRDefault="002E76E0" w:rsidP="00412672">
      <w:pPr>
        <w:spacing w:after="0" w:line="480" w:lineRule="auto"/>
        <w:rPr>
          <w:b/>
          <w:bCs/>
        </w:rPr>
      </w:pPr>
    </w:p>
    <w:p w14:paraId="75668B41" w14:textId="77777777" w:rsidR="002E76E0" w:rsidRDefault="002E76E0" w:rsidP="00412672">
      <w:pPr>
        <w:spacing w:after="0" w:line="480" w:lineRule="auto"/>
        <w:rPr>
          <w:b/>
          <w:bCs/>
        </w:rPr>
      </w:pPr>
    </w:p>
    <w:p w14:paraId="2452399D" w14:textId="77777777" w:rsidR="004C2E13" w:rsidRDefault="004C2E13" w:rsidP="00412672">
      <w:pPr>
        <w:spacing w:after="0" w:line="480" w:lineRule="auto"/>
        <w:rPr>
          <w:b/>
          <w:bCs/>
        </w:rPr>
      </w:pPr>
    </w:p>
    <w:p w14:paraId="17C5A38C" w14:textId="77777777" w:rsidR="004C2E13" w:rsidRDefault="004C2E13" w:rsidP="00412672">
      <w:pPr>
        <w:spacing w:after="0" w:line="480" w:lineRule="auto"/>
        <w:rPr>
          <w:b/>
          <w:bCs/>
        </w:rPr>
      </w:pPr>
    </w:p>
    <w:p w14:paraId="2AE3E0EC" w14:textId="77777777" w:rsidR="004C2E13" w:rsidRDefault="004C2E13" w:rsidP="00412672">
      <w:pPr>
        <w:spacing w:after="0" w:line="480" w:lineRule="auto"/>
        <w:rPr>
          <w:b/>
          <w:bCs/>
        </w:rPr>
      </w:pPr>
    </w:p>
    <w:p w14:paraId="6890BBD4" w14:textId="77777777" w:rsidR="002E76E0" w:rsidRDefault="002E76E0" w:rsidP="00412672">
      <w:pPr>
        <w:spacing w:after="0" w:line="480" w:lineRule="auto"/>
        <w:rPr>
          <w:b/>
          <w:bCs/>
        </w:rPr>
      </w:pPr>
    </w:p>
    <w:p w14:paraId="38F8897D" w14:textId="5AB0B700" w:rsidR="006F1B7E" w:rsidRPr="00520372" w:rsidRDefault="006F1B7E" w:rsidP="00412672">
      <w:pPr>
        <w:spacing w:after="0" w:line="480" w:lineRule="auto"/>
        <w:rPr>
          <w:b/>
          <w:bCs/>
        </w:rPr>
      </w:pPr>
      <w:r w:rsidRPr="00520372">
        <w:rPr>
          <w:b/>
          <w:bCs/>
        </w:rPr>
        <w:t>Figure S</w:t>
      </w:r>
      <w:r>
        <w:rPr>
          <w:b/>
          <w:bCs/>
        </w:rPr>
        <w:t>6</w:t>
      </w:r>
    </w:p>
    <w:p w14:paraId="31BF6291" w14:textId="77777777" w:rsidR="006F1B7E" w:rsidRPr="00520372" w:rsidRDefault="006F1B7E" w:rsidP="00412672">
      <w:pPr>
        <w:spacing w:after="0" w:line="480" w:lineRule="auto"/>
        <w:rPr>
          <w:i/>
          <w:iCs/>
        </w:rPr>
      </w:pPr>
      <w:r w:rsidRPr="00520372">
        <w:rPr>
          <w:i/>
          <w:iCs/>
        </w:rPr>
        <w:t>Network Predictability Plot</w:t>
      </w:r>
    </w:p>
    <w:p w14:paraId="16352C92" w14:textId="77777777" w:rsidR="006F1B7E" w:rsidRPr="00520372" w:rsidRDefault="006F1B7E" w:rsidP="00412672">
      <w:pPr>
        <w:spacing w:after="0" w:line="480" w:lineRule="auto"/>
        <w:rPr>
          <w:i/>
          <w:iCs/>
        </w:rPr>
      </w:pPr>
      <w:r w:rsidRPr="00520372">
        <w:rPr>
          <w:i/>
          <w:iCs/>
          <w:noProof/>
        </w:rPr>
        <w:drawing>
          <wp:inline distT="0" distB="0" distL="0" distR="0" wp14:anchorId="024AD033" wp14:editId="0B21DB32">
            <wp:extent cx="5943600" cy="3729355"/>
            <wp:effectExtent l="0" t="0" r="0" b="4445"/>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14"/>
                    <a:stretch>
                      <a:fillRect/>
                    </a:stretch>
                  </pic:blipFill>
                  <pic:spPr>
                    <a:xfrm>
                      <a:off x="0" y="0"/>
                      <a:ext cx="5943600" cy="3729355"/>
                    </a:xfrm>
                    <a:prstGeom prst="rect">
                      <a:avLst/>
                    </a:prstGeom>
                  </pic:spPr>
                </pic:pic>
              </a:graphicData>
            </a:graphic>
          </wp:inline>
        </w:drawing>
      </w:r>
    </w:p>
    <w:p w14:paraId="10FB92FE" w14:textId="77777777" w:rsidR="006F1B7E" w:rsidRPr="00520372" w:rsidRDefault="006F1B7E" w:rsidP="00412672">
      <w:pPr>
        <w:spacing w:after="0" w:line="480" w:lineRule="auto"/>
      </w:pPr>
      <w:r w:rsidRPr="00520372">
        <w:rPr>
          <w:i/>
          <w:iCs/>
        </w:rPr>
        <w:t>Note.</w:t>
      </w:r>
      <w:r w:rsidRPr="00520372">
        <w:t xml:space="preserve"> </w:t>
      </w:r>
      <w:r w:rsidRPr="00520372">
        <w:rPr>
          <w:color w:val="538135" w:themeColor="accent6" w:themeShade="BF"/>
        </w:rPr>
        <w:t xml:space="preserve">Green </w:t>
      </w:r>
      <w:r w:rsidRPr="00520372">
        <w:t xml:space="preserve">edges indicate positive associations, whereas </w:t>
      </w:r>
      <w:r w:rsidRPr="00520372">
        <w:rPr>
          <w:color w:val="C00000"/>
        </w:rPr>
        <w:t xml:space="preserve">red </w:t>
      </w:r>
      <w:r w:rsidRPr="00520372">
        <w:t>edges indicate negative associations.</w:t>
      </w:r>
    </w:p>
    <w:p w14:paraId="276DF068" w14:textId="77777777" w:rsidR="00612EA2" w:rsidRDefault="00612EA2" w:rsidP="002C61CD">
      <w:pPr>
        <w:pStyle w:val="Heading1"/>
        <w:jc w:val="left"/>
        <w:rPr>
          <w:rFonts w:cs="Times New Roman"/>
          <w:szCs w:val="24"/>
        </w:rPr>
        <w:sectPr w:rsidR="00612EA2" w:rsidSect="00166BD7">
          <w:type w:val="continuous"/>
          <w:pgSz w:w="11906" w:h="16838" w:code="9"/>
          <w:pgMar w:top="1440" w:right="1440" w:bottom="1440" w:left="1440" w:header="720" w:footer="720" w:gutter="0"/>
          <w:cols w:space="720"/>
          <w:docGrid w:linePitch="326"/>
        </w:sectPr>
      </w:pPr>
    </w:p>
    <w:p w14:paraId="1E30A23F" w14:textId="68707773" w:rsidR="002C61CD" w:rsidRPr="00096D88" w:rsidRDefault="00096D88" w:rsidP="00096D88">
      <w:pPr>
        <w:pStyle w:val="Heading1"/>
      </w:pPr>
      <w:r>
        <w:t>References</w:t>
      </w:r>
    </w:p>
    <w:p w14:paraId="111E1C17" w14:textId="025A7CEC" w:rsidR="00096D88" w:rsidRPr="00096D88" w:rsidRDefault="002C61CD" w:rsidP="00096D88">
      <w:pPr>
        <w:pStyle w:val="EndNoteBibliography"/>
        <w:spacing w:line="480" w:lineRule="auto"/>
      </w:pPr>
      <w:r>
        <w:rPr>
          <w:bCs/>
        </w:rPr>
        <w:fldChar w:fldCharType="begin"/>
      </w:r>
      <w:r>
        <w:rPr>
          <w:bCs/>
        </w:rPr>
        <w:instrText xml:space="preserve"> ADDIN EN.REFLIST </w:instrText>
      </w:r>
      <w:r>
        <w:rPr>
          <w:bCs/>
        </w:rPr>
        <w:fldChar w:fldCharType="separate"/>
      </w:r>
      <w:r w:rsidR="00096D88" w:rsidRPr="00096D88">
        <w:t xml:space="preserve">Epskamp, S., Borsboom, D., &amp; Fried, E. I. (2018). Estimating psychological networks and their accuracy: A tutorial paper. </w:t>
      </w:r>
      <w:r w:rsidR="00096D88" w:rsidRPr="00096D88">
        <w:rPr>
          <w:i/>
        </w:rPr>
        <w:t>Behavior Research Methods</w:t>
      </w:r>
      <w:r w:rsidR="00096D88" w:rsidRPr="00096D88">
        <w:t>,</w:t>
      </w:r>
      <w:r w:rsidR="00096D88" w:rsidRPr="00096D88">
        <w:rPr>
          <w:i/>
        </w:rPr>
        <w:t xml:space="preserve"> 50</w:t>
      </w:r>
      <w:r w:rsidR="00096D88" w:rsidRPr="00096D88">
        <w:t xml:space="preserve">(1), 195-212. </w:t>
      </w:r>
      <w:hyperlink r:id="rId15" w:history="1">
        <w:r w:rsidR="00096D88" w:rsidRPr="00096D88">
          <w:rPr>
            <w:rStyle w:val="Hyperlink"/>
          </w:rPr>
          <w:t>https://doi.org/10.3758/s13428-017-0862-1</w:t>
        </w:r>
      </w:hyperlink>
      <w:r w:rsidR="00096D88" w:rsidRPr="00096D88">
        <w:t xml:space="preserve"> </w:t>
      </w:r>
    </w:p>
    <w:p w14:paraId="7E940599" w14:textId="3B8B8469" w:rsidR="00096D88" w:rsidRPr="00096D88" w:rsidRDefault="00096D88" w:rsidP="00096D88">
      <w:pPr>
        <w:pStyle w:val="EndNoteBibliography"/>
        <w:spacing w:line="480" w:lineRule="auto"/>
      </w:pPr>
      <w:r w:rsidRPr="00096D88">
        <w:t xml:space="preserve">Haslbeck, J. M. B., &amp; Fried, E. I. (2017). How predictable are symptoms in psychopathological networks? A reanalysis of 18 published datasets. </w:t>
      </w:r>
      <w:r w:rsidRPr="00096D88">
        <w:rPr>
          <w:i/>
        </w:rPr>
        <w:t>Psychological Medicine</w:t>
      </w:r>
      <w:r w:rsidRPr="00096D88">
        <w:t>,</w:t>
      </w:r>
      <w:r w:rsidRPr="00096D88">
        <w:rPr>
          <w:i/>
        </w:rPr>
        <w:t xml:space="preserve"> 47</w:t>
      </w:r>
      <w:r w:rsidRPr="00096D88">
        <w:t xml:space="preserve">(16), 2767-2776. </w:t>
      </w:r>
      <w:hyperlink r:id="rId16" w:history="1">
        <w:r w:rsidRPr="00096D88">
          <w:rPr>
            <w:rStyle w:val="Hyperlink"/>
          </w:rPr>
          <w:t>https://doi.org/10.1017/S0033291717001258</w:t>
        </w:r>
      </w:hyperlink>
      <w:r w:rsidRPr="00096D88">
        <w:t xml:space="preserve"> </w:t>
      </w:r>
    </w:p>
    <w:p w14:paraId="58F6FF4F" w14:textId="440DAB2E" w:rsidR="00096D88" w:rsidRPr="00096D88" w:rsidRDefault="00096D88" w:rsidP="00096D88">
      <w:pPr>
        <w:pStyle w:val="EndNoteBibliography"/>
        <w:spacing w:line="480" w:lineRule="auto"/>
      </w:pPr>
      <w:r w:rsidRPr="00096D88">
        <w:t xml:space="preserve">Haslbeck, J. M. B., &amp; Waldorp, L. J. (2018). How well do network models predict observations? On the importance of predictability in network models. </w:t>
      </w:r>
      <w:r w:rsidRPr="00096D88">
        <w:rPr>
          <w:i/>
        </w:rPr>
        <w:t>Behavior Research Methods</w:t>
      </w:r>
      <w:r w:rsidRPr="00096D88">
        <w:t>,</w:t>
      </w:r>
      <w:r w:rsidRPr="00096D88">
        <w:rPr>
          <w:i/>
        </w:rPr>
        <w:t xml:space="preserve"> 50</w:t>
      </w:r>
      <w:r w:rsidRPr="00096D88">
        <w:t xml:space="preserve">(2), 853-861. </w:t>
      </w:r>
      <w:hyperlink r:id="rId17" w:history="1">
        <w:r w:rsidRPr="00096D88">
          <w:rPr>
            <w:rStyle w:val="Hyperlink"/>
          </w:rPr>
          <w:t>https://doi.org/10.3758/s13428-017-0910-x</w:t>
        </w:r>
      </w:hyperlink>
      <w:r w:rsidRPr="00096D88">
        <w:t xml:space="preserve"> </w:t>
      </w:r>
    </w:p>
    <w:p w14:paraId="14E8CA19" w14:textId="77777777" w:rsidR="00096D88" w:rsidRPr="00096D88" w:rsidRDefault="00096D88" w:rsidP="00096D88">
      <w:pPr>
        <w:pStyle w:val="EndNoteBibliography"/>
        <w:spacing w:line="480" w:lineRule="auto"/>
      </w:pPr>
      <w:r w:rsidRPr="00096D88">
        <w:t xml:space="preserve">Jones, P. (2018). </w:t>
      </w:r>
      <w:r w:rsidRPr="00096D88">
        <w:rPr>
          <w:i/>
        </w:rPr>
        <w:t>networktools: Tools for identifying important nodes in networks</w:t>
      </w:r>
      <w:r w:rsidRPr="00096D88">
        <w:t xml:space="preserve">. </w:t>
      </w:r>
    </w:p>
    <w:p w14:paraId="462CCC47" w14:textId="0E381A05" w:rsidR="00096D88" w:rsidRPr="00096D88" w:rsidRDefault="00096D88" w:rsidP="00096D88">
      <w:pPr>
        <w:pStyle w:val="EndNoteBibliography"/>
        <w:spacing w:line="480" w:lineRule="auto"/>
      </w:pPr>
      <w:r w:rsidRPr="00096D88">
        <w:t xml:space="preserve">Robinaugh, D. J., Millner, A. J., &amp; McNally, R. J. (2016). Identifying highly influential nodes in the complicated grief network. </w:t>
      </w:r>
      <w:r w:rsidRPr="00096D88">
        <w:rPr>
          <w:i/>
        </w:rPr>
        <w:t>Journal of Abnormal Psychology</w:t>
      </w:r>
      <w:r w:rsidRPr="00096D88">
        <w:t>,</w:t>
      </w:r>
      <w:r w:rsidRPr="00096D88">
        <w:rPr>
          <w:i/>
        </w:rPr>
        <w:t xml:space="preserve"> 125</w:t>
      </w:r>
      <w:r w:rsidRPr="00096D88">
        <w:t xml:space="preserve">(6), 747-757. </w:t>
      </w:r>
      <w:hyperlink r:id="rId18" w:history="1">
        <w:r w:rsidRPr="00096D88">
          <w:rPr>
            <w:rStyle w:val="Hyperlink"/>
          </w:rPr>
          <w:t>https://doi.org/10.1037/abn0000181</w:t>
        </w:r>
      </w:hyperlink>
      <w:r w:rsidRPr="00096D88">
        <w:t xml:space="preserve"> </w:t>
      </w:r>
    </w:p>
    <w:p w14:paraId="0D2814A7" w14:textId="5FBF3A4F" w:rsidR="006F1B7E" w:rsidRPr="006F1B7E" w:rsidRDefault="002C61CD" w:rsidP="00096D88">
      <w:pPr>
        <w:pStyle w:val="Heading1"/>
        <w:jc w:val="left"/>
        <w:rPr>
          <w:b w:val="0"/>
          <w:bCs/>
        </w:rPr>
      </w:pPr>
      <w:r>
        <w:rPr>
          <w:b w:val="0"/>
          <w:bCs/>
        </w:rPr>
        <w:fldChar w:fldCharType="end"/>
      </w:r>
    </w:p>
    <w:sectPr w:rsidR="006F1B7E" w:rsidRPr="006F1B7E" w:rsidSect="002C61CD">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D7279" w14:textId="77777777" w:rsidR="002004DA" w:rsidRDefault="002004DA">
      <w:pPr>
        <w:spacing w:after="0" w:line="240" w:lineRule="auto"/>
      </w:pPr>
      <w:r>
        <w:separator/>
      </w:r>
    </w:p>
  </w:endnote>
  <w:endnote w:type="continuationSeparator" w:id="0">
    <w:p w14:paraId="4041A1A8" w14:textId="77777777" w:rsidR="002004DA" w:rsidRDefault="002004DA">
      <w:pPr>
        <w:spacing w:after="0" w:line="240" w:lineRule="auto"/>
      </w:pPr>
      <w:r>
        <w:continuationSeparator/>
      </w:r>
    </w:p>
  </w:endnote>
  <w:endnote w:type="continuationNotice" w:id="1">
    <w:p w14:paraId="24CAE23A" w14:textId="77777777" w:rsidR="002004DA" w:rsidRDefault="002004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02A674F" w14:paraId="4FDBAF97" w14:textId="77777777" w:rsidTr="008469A6">
      <w:trPr>
        <w:trHeight w:val="300"/>
      </w:trPr>
      <w:tc>
        <w:tcPr>
          <w:tcW w:w="4650" w:type="dxa"/>
        </w:tcPr>
        <w:p w14:paraId="6439417D" w14:textId="77777777" w:rsidR="002A674F" w:rsidRDefault="002A674F" w:rsidP="008469A6">
          <w:pPr>
            <w:pStyle w:val="Header"/>
            <w:ind w:left="-115"/>
          </w:pPr>
        </w:p>
      </w:tc>
      <w:tc>
        <w:tcPr>
          <w:tcW w:w="4650" w:type="dxa"/>
        </w:tcPr>
        <w:p w14:paraId="03924A9B" w14:textId="77777777" w:rsidR="002A674F" w:rsidRDefault="002A674F" w:rsidP="008469A6">
          <w:pPr>
            <w:pStyle w:val="Header"/>
            <w:jc w:val="center"/>
          </w:pPr>
        </w:p>
      </w:tc>
      <w:tc>
        <w:tcPr>
          <w:tcW w:w="4650" w:type="dxa"/>
        </w:tcPr>
        <w:p w14:paraId="1E44C8E5" w14:textId="77777777" w:rsidR="002A674F" w:rsidRDefault="002A674F" w:rsidP="008469A6">
          <w:pPr>
            <w:pStyle w:val="Header"/>
            <w:ind w:right="-115"/>
            <w:jc w:val="right"/>
          </w:pPr>
        </w:p>
      </w:tc>
    </w:tr>
  </w:tbl>
  <w:p w14:paraId="39EC08C0" w14:textId="77777777" w:rsidR="002A674F" w:rsidRDefault="002A674F" w:rsidP="00846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339F73" w14:textId="77777777" w:rsidR="002004DA" w:rsidRDefault="002004DA">
      <w:pPr>
        <w:spacing w:after="0" w:line="240" w:lineRule="auto"/>
      </w:pPr>
      <w:r>
        <w:separator/>
      </w:r>
    </w:p>
  </w:footnote>
  <w:footnote w:type="continuationSeparator" w:id="0">
    <w:p w14:paraId="459EDA1A" w14:textId="77777777" w:rsidR="002004DA" w:rsidRDefault="002004DA">
      <w:pPr>
        <w:spacing w:after="0" w:line="240" w:lineRule="auto"/>
      </w:pPr>
      <w:r>
        <w:continuationSeparator/>
      </w:r>
    </w:p>
  </w:footnote>
  <w:footnote w:type="continuationNotice" w:id="1">
    <w:p w14:paraId="02CAD3DA" w14:textId="77777777" w:rsidR="002004DA" w:rsidRDefault="002004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26305"/>
    <w:multiLevelType w:val="hybridMultilevel"/>
    <w:tmpl w:val="DB421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B7F29"/>
    <w:multiLevelType w:val="multilevel"/>
    <w:tmpl w:val="263C57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0540E8"/>
    <w:multiLevelType w:val="multilevel"/>
    <w:tmpl w:val="A0D44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1B26C1"/>
    <w:multiLevelType w:val="hybridMultilevel"/>
    <w:tmpl w:val="D0C22598"/>
    <w:lvl w:ilvl="0" w:tplc="F4EA74E4">
      <w:numFmt w:val="bullet"/>
      <w:lvlText w:val=""/>
      <w:lvlJc w:val="left"/>
      <w:pPr>
        <w:ind w:left="720" w:hanging="360"/>
      </w:pPr>
      <w:rPr>
        <w:rFonts w:ascii="Wingdings" w:eastAsia="SimSu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B27A11"/>
    <w:multiLevelType w:val="hybridMultilevel"/>
    <w:tmpl w:val="ACD60672"/>
    <w:lvl w:ilvl="0" w:tplc="7D28E1EC">
      <w:start w:val="5"/>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E97A5B"/>
    <w:multiLevelType w:val="hybridMultilevel"/>
    <w:tmpl w:val="A66AB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6725934">
    <w:abstractNumId w:val="0"/>
  </w:num>
  <w:num w:numId="2" w16cid:durableId="322978325">
    <w:abstractNumId w:val="4"/>
  </w:num>
  <w:num w:numId="3" w16cid:durableId="1356273389">
    <w:abstractNumId w:val="5"/>
  </w:num>
  <w:num w:numId="4" w16cid:durableId="1108237466">
    <w:abstractNumId w:val="3"/>
  </w:num>
  <w:num w:numId="5" w16cid:durableId="1301423351">
    <w:abstractNumId w:val="2"/>
  </w:num>
  <w:num w:numId="6" w16cid:durableId="1333023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evd55a4w95dge0fpavfz9zf252azs2adfs&quot;&gt;My EndNote Library (1)&lt;record-ids&gt;&lt;item&gt;532&lt;/item&gt;&lt;item&gt;717&lt;/item&gt;&lt;item&gt;718&lt;/item&gt;&lt;item&gt;749&lt;/item&gt;&lt;item&gt;871&lt;/item&gt;&lt;/record-ids&gt;&lt;/item&gt;&lt;/Libraries&gt;"/>
  </w:docVars>
  <w:rsids>
    <w:rsidRoot w:val="006F1B7E"/>
    <w:rsid w:val="00000542"/>
    <w:rsid w:val="000016CB"/>
    <w:rsid w:val="00012404"/>
    <w:rsid w:val="0004101F"/>
    <w:rsid w:val="000534D9"/>
    <w:rsid w:val="00056DC9"/>
    <w:rsid w:val="00062832"/>
    <w:rsid w:val="000648BD"/>
    <w:rsid w:val="00073F37"/>
    <w:rsid w:val="00077371"/>
    <w:rsid w:val="00086785"/>
    <w:rsid w:val="00096D88"/>
    <w:rsid w:val="000A1887"/>
    <w:rsid w:val="000A54F9"/>
    <w:rsid w:val="000B5885"/>
    <w:rsid w:val="000C4431"/>
    <w:rsid w:val="000D163B"/>
    <w:rsid w:val="000E1F4A"/>
    <w:rsid w:val="000ED397"/>
    <w:rsid w:val="000F7FCB"/>
    <w:rsid w:val="00117349"/>
    <w:rsid w:val="00133B85"/>
    <w:rsid w:val="00144DE6"/>
    <w:rsid w:val="00155242"/>
    <w:rsid w:val="00155523"/>
    <w:rsid w:val="00155F36"/>
    <w:rsid w:val="00157D23"/>
    <w:rsid w:val="00166BD7"/>
    <w:rsid w:val="00180F29"/>
    <w:rsid w:val="00181324"/>
    <w:rsid w:val="00185347"/>
    <w:rsid w:val="00194A44"/>
    <w:rsid w:val="001A5639"/>
    <w:rsid w:val="001A6ABB"/>
    <w:rsid w:val="001B48B7"/>
    <w:rsid w:val="001C07E9"/>
    <w:rsid w:val="001C6C29"/>
    <w:rsid w:val="001D6B56"/>
    <w:rsid w:val="001E5A87"/>
    <w:rsid w:val="002004DA"/>
    <w:rsid w:val="002045B9"/>
    <w:rsid w:val="002050AF"/>
    <w:rsid w:val="002063F2"/>
    <w:rsid w:val="00210A49"/>
    <w:rsid w:val="002352EA"/>
    <w:rsid w:val="0023788C"/>
    <w:rsid w:val="00243030"/>
    <w:rsid w:val="00247F64"/>
    <w:rsid w:val="00267A33"/>
    <w:rsid w:val="002731DB"/>
    <w:rsid w:val="002761A9"/>
    <w:rsid w:val="00282CAE"/>
    <w:rsid w:val="00287CCD"/>
    <w:rsid w:val="002934E3"/>
    <w:rsid w:val="002A674F"/>
    <w:rsid w:val="002B1782"/>
    <w:rsid w:val="002B2F9A"/>
    <w:rsid w:val="002B4102"/>
    <w:rsid w:val="002B733E"/>
    <w:rsid w:val="002C49A9"/>
    <w:rsid w:val="002C61CD"/>
    <w:rsid w:val="002D13C9"/>
    <w:rsid w:val="002E76E0"/>
    <w:rsid w:val="002F0B60"/>
    <w:rsid w:val="002F4F7F"/>
    <w:rsid w:val="00313D09"/>
    <w:rsid w:val="00314CB3"/>
    <w:rsid w:val="00316071"/>
    <w:rsid w:val="0032638F"/>
    <w:rsid w:val="00331ED8"/>
    <w:rsid w:val="00337C0B"/>
    <w:rsid w:val="00342DE1"/>
    <w:rsid w:val="00355302"/>
    <w:rsid w:val="0035645A"/>
    <w:rsid w:val="00372CFF"/>
    <w:rsid w:val="00387F3B"/>
    <w:rsid w:val="003940B7"/>
    <w:rsid w:val="003A259C"/>
    <w:rsid w:val="003B6628"/>
    <w:rsid w:val="003C0ECE"/>
    <w:rsid w:val="003C1EF4"/>
    <w:rsid w:val="003C21CF"/>
    <w:rsid w:val="003D1A7F"/>
    <w:rsid w:val="003E6F07"/>
    <w:rsid w:val="003F211D"/>
    <w:rsid w:val="003F2F06"/>
    <w:rsid w:val="00401BDF"/>
    <w:rsid w:val="004060E1"/>
    <w:rsid w:val="00412672"/>
    <w:rsid w:val="00424A4E"/>
    <w:rsid w:val="004257F8"/>
    <w:rsid w:val="00453A55"/>
    <w:rsid w:val="004601C8"/>
    <w:rsid w:val="0047323C"/>
    <w:rsid w:val="004809E1"/>
    <w:rsid w:val="004821EB"/>
    <w:rsid w:val="00496633"/>
    <w:rsid w:val="004C01BD"/>
    <w:rsid w:val="004C22BA"/>
    <w:rsid w:val="004C2E13"/>
    <w:rsid w:val="004D1881"/>
    <w:rsid w:val="004E0F64"/>
    <w:rsid w:val="004E178A"/>
    <w:rsid w:val="004E7CC6"/>
    <w:rsid w:val="004F12C5"/>
    <w:rsid w:val="004F2F35"/>
    <w:rsid w:val="004F51F7"/>
    <w:rsid w:val="00502E4D"/>
    <w:rsid w:val="00521130"/>
    <w:rsid w:val="00521E7C"/>
    <w:rsid w:val="0052673D"/>
    <w:rsid w:val="00536A68"/>
    <w:rsid w:val="005410CB"/>
    <w:rsid w:val="00554AE9"/>
    <w:rsid w:val="0056610A"/>
    <w:rsid w:val="00570011"/>
    <w:rsid w:val="0057342D"/>
    <w:rsid w:val="00586D13"/>
    <w:rsid w:val="005955C7"/>
    <w:rsid w:val="005A490F"/>
    <w:rsid w:val="005B4D0B"/>
    <w:rsid w:val="005C330F"/>
    <w:rsid w:val="005C3B45"/>
    <w:rsid w:val="005D3A6F"/>
    <w:rsid w:val="005D3E22"/>
    <w:rsid w:val="005D78E3"/>
    <w:rsid w:val="005E4FB5"/>
    <w:rsid w:val="005E56B1"/>
    <w:rsid w:val="005E5AF1"/>
    <w:rsid w:val="005F1EDA"/>
    <w:rsid w:val="005F435C"/>
    <w:rsid w:val="00612EA2"/>
    <w:rsid w:val="00637B59"/>
    <w:rsid w:val="0064411E"/>
    <w:rsid w:val="0066202D"/>
    <w:rsid w:val="00676125"/>
    <w:rsid w:val="00676802"/>
    <w:rsid w:val="006851F1"/>
    <w:rsid w:val="00686816"/>
    <w:rsid w:val="006936B0"/>
    <w:rsid w:val="006A7D33"/>
    <w:rsid w:val="006B0411"/>
    <w:rsid w:val="006B0876"/>
    <w:rsid w:val="006C008C"/>
    <w:rsid w:val="006C1614"/>
    <w:rsid w:val="006F1B7E"/>
    <w:rsid w:val="006F1F1B"/>
    <w:rsid w:val="00711792"/>
    <w:rsid w:val="00721B0C"/>
    <w:rsid w:val="00725EAB"/>
    <w:rsid w:val="0072626C"/>
    <w:rsid w:val="00731BA9"/>
    <w:rsid w:val="00740EEB"/>
    <w:rsid w:val="007437AC"/>
    <w:rsid w:val="00744A5D"/>
    <w:rsid w:val="00747BDF"/>
    <w:rsid w:val="00762CD1"/>
    <w:rsid w:val="007676B6"/>
    <w:rsid w:val="00775DBA"/>
    <w:rsid w:val="007832C4"/>
    <w:rsid w:val="007876A2"/>
    <w:rsid w:val="00787DEE"/>
    <w:rsid w:val="007928A1"/>
    <w:rsid w:val="00794F37"/>
    <w:rsid w:val="007A209C"/>
    <w:rsid w:val="007A6200"/>
    <w:rsid w:val="007A7F01"/>
    <w:rsid w:val="007B1546"/>
    <w:rsid w:val="007B5865"/>
    <w:rsid w:val="007C54C2"/>
    <w:rsid w:val="007D14D2"/>
    <w:rsid w:val="007D5D6A"/>
    <w:rsid w:val="007E648A"/>
    <w:rsid w:val="007E6A04"/>
    <w:rsid w:val="007F07F4"/>
    <w:rsid w:val="007F4607"/>
    <w:rsid w:val="008007C8"/>
    <w:rsid w:val="00817297"/>
    <w:rsid w:val="00824351"/>
    <w:rsid w:val="00826057"/>
    <w:rsid w:val="008469A6"/>
    <w:rsid w:val="00860100"/>
    <w:rsid w:val="00861204"/>
    <w:rsid w:val="00870172"/>
    <w:rsid w:val="008752A9"/>
    <w:rsid w:val="00883EC6"/>
    <w:rsid w:val="00891C59"/>
    <w:rsid w:val="00893FC3"/>
    <w:rsid w:val="008A0F63"/>
    <w:rsid w:val="008B52D7"/>
    <w:rsid w:val="008B6D48"/>
    <w:rsid w:val="008B70F1"/>
    <w:rsid w:val="008C17F4"/>
    <w:rsid w:val="008D126F"/>
    <w:rsid w:val="008E5A63"/>
    <w:rsid w:val="008E7EBA"/>
    <w:rsid w:val="008F4FCE"/>
    <w:rsid w:val="0091239A"/>
    <w:rsid w:val="0091423A"/>
    <w:rsid w:val="009178E9"/>
    <w:rsid w:val="00926EE2"/>
    <w:rsid w:val="00926F60"/>
    <w:rsid w:val="00927814"/>
    <w:rsid w:val="009320B1"/>
    <w:rsid w:val="00937740"/>
    <w:rsid w:val="009545F5"/>
    <w:rsid w:val="00955541"/>
    <w:rsid w:val="00961FDC"/>
    <w:rsid w:val="00971C35"/>
    <w:rsid w:val="009844BC"/>
    <w:rsid w:val="009932B6"/>
    <w:rsid w:val="00996C0F"/>
    <w:rsid w:val="009A6A22"/>
    <w:rsid w:val="009B6F4E"/>
    <w:rsid w:val="009D0CA8"/>
    <w:rsid w:val="009D560A"/>
    <w:rsid w:val="009F2220"/>
    <w:rsid w:val="009F2981"/>
    <w:rsid w:val="009F3CE6"/>
    <w:rsid w:val="009F604F"/>
    <w:rsid w:val="00A05BC7"/>
    <w:rsid w:val="00A05CED"/>
    <w:rsid w:val="00A06CD0"/>
    <w:rsid w:val="00A17C60"/>
    <w:rsid w:val="00A279BF"/>
    <w:rsid w:val="00A33D32"/>
    <w:rsid w:val="00A61C1A"/>
    <w:rsid w:val="00A76B95"/>
    <w:rsid w:val="00A80B80"/>
    <w:rsid w:val="00AA023F"/>
    <w:rsid w:val="00AA3634"/>
    <w:rsid w:val="00AC06FF"/>
    <w:rsid w:val="00AC572E"/>
    <w:rsid w:val="00AD7E05"/>
    <w:rsid w:val="00AF6B32"/>
    <w:rsid w:val="00B04D9E"/>
    <w:rsid w:val="00B13A32"/>
    <w:rsid w:val="00B142C3"/>
    <w:rsid w:val="00B3032A"/>
    <w:rsid w:val="00B33896"/>
    <w:rsid w:val="00B43F59"/>
    <w:rsid w:val="00B50570"/>
    <w:rsid w:val="00B61BC6"/>
    <w:rsid w:val="00B75EDE"/>
    <w:rsid w:val="00BA1301"/>
    <w:rsid w:val="00BA2364"/>
    <w:rsid w:val="00BB6D52"/>
    <w:rsid w:val="00BC3B6E"/>
    <w:rsid w:val="00BD7A9D"/>
    <w:rsid w:val="00BE2733"/>
    <w:rsid w:val="00BE344F"/>
    <w:rsid w:val="00BE7C26"/>
    <w:rsid w:val="00BF29C5"/>
    <w:rsid w:val="00BF37B2"/>
    <w:rsid w:val="00C340A7"/>
    <w:rsid w:val="00C45D35"/>
    <w:rsid w:val="00C50217"/>
    <w:rsid w:val="00C67657"/>
    <w:rsid w:val="00C74E40"/>
    <w:rsid w:val="00C75D3E"/>
    <w:rsid w:val="00C767FF"/>
    <w:rsid w:val="00C86DA3"/>
    <w:rsid w:val="00C96509"/>
    <w:rsid w:val="00CD1775"/>
    <w:rsid w:val="00CD7638"/>
    <w:rsid w:val="00CE40F4"/>
    <w:rsid w:val="00CF0BBC"/>
    <w:rsid w:val="00CF74A7"/>
    <w:rsid w:val="00D23B20"/>
    <w:rsid w:val="00D307D9"/>
    <w:rsid w:val="00D35E9E"/>
    <w:rsid w:val="00D440DD"/>
    <w:rsid w:val="00D66895"/>
    <w:rsid w:val="00D70FDB"/>
    <w:rsid w:val="00D81478"/>
    <w:rsid w:val="00D81501"/>
    <w:rsid w:val="00D879A0"/>
    <w:rsid w:val="00D93471"/>
    <w:rsid w:val="00D95683"/>
    <w:rsid w:val="00DA2F4B"/>
    <w:rsid w:val="00DA38D2"/>
    <w:rsid w:val="00DA58D5"/>
    <w:rsid w:val="00DB3481"/>
    <w:rsid w:val="00DC65B5"/>
    <w:rsid w:val="00DD1318"/>
    <w:rsid w:val="00DD50B8"/>
    <w:rsid w:val="00DE1128"/>
    <w:rsid w:val="00DF6551"/>
    <w:rsid w:val="00DF7413"/>
    <w:rsid w:val="00E0304F"/>
    <w:rsid w:val="00E03A9A"/>
    <w:rsid w:val="00E06ECB"/>
    <w:rsid w:val="00E126CE"/>
    <w:rsid w:val="00E176D6"/>
    <w:rsid w:val="00E31FBA"/>
    <w:rsid w:val="00E33748"/>
    <w:rsid w:val="00E340C0"/>
    <w:rsid w:val="00E424F6"/>
    <w:rsid w:val="00E57E89"/>
    <w:rsid w:val="00E72626"/>
    <w:rsid w:val="00E756CB"/>
    <w:rsid w:val="00E85C74"/>
    <w:rsid w:val="00E929D3"/>
    <w:rsid w:val="00E95C69"/>
    <w:rsid w:val="00EB0164"/>
    <w:rsid w:val="00EB12E7"/>
    <w:rsid w:val="00EB4DF3"/>
    <w:rsid w:val="00EE29CD"/>
    <w:rsid w:val="00EE414D"/>
    <w:rsid w:val="00EE44BE"/>
    <w:rsid w:val="00EF645F"/>
    <w:rsid w:val="00EF7C15"/>
    <w:rsid w:val="00F03D8C"/>
    <w:rsid w:val="00F073B6"/>
    <w:rsid w:val="00F22259"/>
    <w:rsid w:val="00F35927"/>
    <w:rsid w:val="00F40305"/>
    <w:rsid w:val="00F44AEB"/>
    <w:rsid w:val="00F525B0"/>
    <w:rsid w:val="00F54488"/>
    <w:rsid w:val="00F56286"/>
    <w:rsid w:val="00F606AC"/>
    <w:rsid w:val="00F72F55"/>
    <w:rsid w:val="00F745F0"/>
    <w:rsid w:val="00F74F04"/>
    <w:rsid w:val="00F75515"/>
    <w:rsid w:val="00F75E97"/>
    <w:rsid w:val="00F80058"/>
    <w:rsid w:val="00F83B66"/>
    <w:rsid w:val="00F91838"/>
    <w:rsid w:val="00F9384F"/>
    <w:rsid w:val="00FB2F3D"/>
    <w:rsid w:val="00FB4C91"/>
    <w:rsid w:val="00FC55BC"/>
    <w:rsid w:val="00FD03AA"/>
    <w:rsid w:val="00FE461D"/>
    <w:rsid w:val="00FE5702"/>
    <w:rsid w:val="00FF0D85"/>
    <w:rsid w:val="0440FAF1"/>
    <w:rsid w:val="0475F5FD"/>
    <w:rsid w:val="05B936E6"/>
    <w:rsid w:val="091F9B80"/>
    <w:rsid w:val="09F295D8"/>
    <w:rsid w:val="0AF49F72"/>
    <w:rsid w:val="0B6BC62D"/>
    <w:rsid w:val="0C1C27C4"/>
    <w:rsid w:val="18D03A0B"/>
    <w:rsid w:val="1956F96E"/>
    <w:rsid w:val="19C9A39B"/>
    <w:rsid w:val="1D3BAA64"/>
    <w:rsid w:val="1E104737"/>
    <w:rsid w:val="23270D02"/>
    <w:rsid w:val="24B6C8D9"/>
    <w:rsid w:val="2D2243F3"/>
    <w:rsid w:val="2D9BE0DE"/>
    <w:rsid w:val="2E2BD591"/>
    <w:rsid w:val="37835D08"/>
    <w:rsid w:val="37E6B4CC"/>
    <w:rsid w:val="39B522C3"/>
    <w:rsid w:val="3B44ABF7"/>
    <w:rsid w:val="41D15F11"/>
    <w:rsid w:val="477218D0"/>
    <w:rsid w:val="488B7EA2"/>
    <w:rsid w:val="4A9585AA"/>
    <w:rsid w:val="4C34EE4F"/>
    <w:rsid w:val="4D48DD5B"/>
    <w:rsid w:val="51763FE6"/>
    <w:rsid w:val="541E3C69"/>
    <w:rsid w:val="54930ACC"/>
    <w:rsid w:val="55ABDBB9"/>
    <w:rsid w:val="576A2958"/>
    <w:rsid w:val="58C18D29"/>
    <w:rsid w:val="5C3F3417"/>
    <w:rsid w:val="5CB08E13"/>
    <w:rsid w:val="5FE364E6"/>
    <w:rsid w:val="6086D92B"/>
    <w:rsid w:val="680B6EFA"/>
    <w:rsid w:val="6CD846C3"/>
    <w:rsid w:val="70ED12CC"/>
    <w:rsid w:val="72823FB5"/>
    <w:rsid w:val="7501146C"/>
    <w:rsid w:val="7BF1003A"/>
    <w:rsid w:val="7CE925E5"/>
    <w:rsid w:val="7ED102BB"/>
  </w:rsids>
  <m:mathPr>
    <m:mathFont m:val="Cambria Math"/>
    <m:brkBin m:val="before"/>
    <m:brkBinSub m:val="--"/>
    <m:smallFrac m:val="0"/>
    <m:dispDef/>
    <m:lMargin m:val="0"/>
    <m:rMargin m:val="0"/>
    <m:defJc m:val="centerGroup"/>
    <m:wrapIndent m:val="1440"/>
    <m:intLim m:val="subSup"/>
    <m:naryLim m:val="undOvr"/>
  </m:mathPr>
  <w:themeFontLang w:val="en-US" w:eastAsia="ja-JP" w:bidi="n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1D3A18"/>
  <w15:chartTrackingRefBased/>
  <w15:docId w15:val="{7388354E-4005-4C27-AF74-AA06C377C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981"/>
    <w:rPr>
      <w:rFonts w:ascii="Times New Roman" w:hAnsi="Times New Roman" w:cs="Times New Roman"/>
      <w:color w:val="000000"/>
      <w:kern w:val="0"/>
      <w:sz w:val="24"/>
      <w:szCs w:val="24"/>
      <w14:ligatures w14:val="none"/>
    </w:rPr>
  </w:style>
  <w:style w:type="paragraph" w:styleId="Heading1">
    <w:name w:val="heading 1"/>
    <w:basedOn w:val="Normal"/>
    <w:next w:val="Normal"/>
    <w:link w:val="Heading1Char"/>
    <w:uiPriority w:val="9"/>
    <w:qFormat/>
    <w:rsid w:val="006F1B7E"/>
    <w:pPr>
      <w:keepNext/>
      <w:keepLines/>
      <w:spacing w:after="0" w:line="480" w:lineRule="auto"/>
      <w:jc w:val="center"/>
      <w:outlineLvl w:val="0"/>
    </w:pPr>
    <w:rPr>
      <w:rFonts w:eastAsiaTheme="majorEastAsia" w:cstheme="majorBidi"/>
      <w:b/>
      <w:color w:val="auto"/>
      <w:szCs w:val="32"/>
    </w:rPr>
  </w:style>
  <w:style w:type="paragraph" w:styleId="Heading2">
    <w:name w:val="heading 2"/>
    <w:basedOn w:val="Normal"/>
    <w:next w:val="Normal"/>
    <w:link w:val="Heading2Char"/>
    <w:uiPriority w:val="9"/>
    <w:unhideWhenUsed/>
    <w:qFormat/>
    <w:rsid w:val="00144DE6"/>
    <w:pPr>
      <w:keepNext/>
      <w:keepLines/>
      <w:spacing w:before="40" w:after="0" w:line="480" w:lineRule="auto"/>
      <w:outlineLvl w:val="1"/>
    </w:pPr>
    <w:rPr>
      <w:rFonts w:eastAsiaTheme="majorEastAsia" w:cstheme="majorBidi"/>
      <w:b/>
      <w:szCs w:val="26"/>
      <w:lang w:eastAsia="en-GB"/>
    </w:rPr>
  </w:style>
  <w:style w:type="paragraph" w:styleId="Heading3">
    <w:name w:val="heading 3"/>
    <w:basedOn w:val="Normal"/>
    <w:next w:val="Normal"/>
    <w:link w:val="Heading3Char"/>
    <w:uiPriority w:val="9"/>
    <w:unhideWhenUsed/>
    <w:qFormat/>
    <w:rsid w:val="00144DE6"/>
    <w:pPr>
      <w:keepNext/>
      <w:keepLines/>
      <w:spacing w:before="40" w:after="0" w:line="480" w:lineRule="auto"/>
      <w:outlineLvl w:val="2"/>
    </w:pPr>
    <w:rPr>
      <w:rFonts w:eastAsiaTheme="majorEastAsia" w:cstheme="majorBidi"/>
      <w:b/>
      <w:i/>
      <w:lang w:eastAsia="en-GB"/>
    </w:rPr>
  </w:style>
  <w:style w:type="paragraph" w:styleId="Heading4">
    <w:name w:val="heading 4"/>
    <w:basedOn w:val="Normal"/>
    <w:next w:val="Normal"/>
    <w:link w:val="Heading4Char"/>
    <w:uiPriority w:val="9"/>
    <w:unhideWhenUsed/>
    <w:qFormat/>
    <w:rsid w:val="00144DE6"/>
    <w:pPr>
      <w:keepNext/>
      <w:keepLines/>
      <w:spacing w:before="40" w:after="0" w:line="480" w:lineRule="auto"/>
      <w:outlineLvl w:val="3"/>
    </w:pPr>
    <w:rPr>
      <w:rFonts w:eastAsiaTheme="majorEastAsia" w:cstheme="majorBidi"/>
      <w:b/>
      <w:iCs/>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autoRedefine/>
    <w:qFormat/>
    <w:rsid w:val="00372CFF"/>
    <w:pPr>
      <w:spacing w:after="0" w:line="240" w:lineRule="auto"/>
      <w:ind w:left="720" w:hanging="720"/>
    </w:pPr>
    <w:rPr>
      <w:noProof/>
      <w:shd w:val="clear" w:color="auto" w:fill="FFFFFF"/>
    </w:rPr>
  </w:style>
  <w:style w:type="character" w:customStyle="1" w:styleId="EndNoteBibliographyChar">
    <w:name w:val="EndNote Bibliography Char"/>
    <w:basedOn w:val="DefaultParagraphFont"/>
    <w:link w:val="EndNoteBibliography"/>
    <w:rsid w:val="00372CFF"/>
    <w:rPr>
      <w:rFonts w:ascii="Times New Roman" w:hAnsi="Times New Roman" w:cs="Times New Roman"/>
      <w:noProof/>
      <w:color w:val="000000"/>
      <w:kern w:val="0"/>
      <w:sz w:val="24"/>
      <w:szCs w:val="24"/>
      <w14:ligatures w14:val="none"/>
    </w:rPr>
  </w:style>
  <w:style w:type="character" w:customStyle="1" w:styleId="Heading2Char">
    <w:name w:val="Heading 2 Char"/>
    <w:basedOn w:val="DefaultParagraphFont"/>
    <w:link w:val="Heading2"/>
    <w:uiPriority w:val="9"/>
    <w:rsid w:val="00144DE6"/>
    <w:rPr>
      <w:rFonts w:ascii="Times New Roman" w:eastAsiaTheme="majorEastAsia" w:hAnsi="Times New Roman" w:cstheme="majorBidi"/>
      <w:b/>
      <w:szCs w:val="26"/>
      <w:lang w:eastAsia="en-GB"/>
    </w:rPr>
  </w:style>
  <w:style w:type="character" w:customStyle="1" w:styleId="Heading3Char">
    <w:name w:val="Heading 3 Char"/>
    <w:basedOn w:val="DefaultParagraphFont"/>
    <w:link w:val="Heading3"/>
    <w:uiPriority w:val="9"/>
    <w:rsid w:val="00144DE6"/>
    <w:rPr>
      <w:rFonts w:ascii="Times New Roman" w:eastAsiaTheme="majorEastAsia" w:hAnsi="Times New Roman" w:cstheme="majorBidi"/>
      <w:b/>
      <w:i/>
      <w:lang w:eastAsia="en-GB"/>
    </w:rPr>
  </w:style>
  <w:style w:type="paragraph" w:styleId="Title">
    <w:name w:val="Title"/>
    <w:basedOn w:val="Normal"/>
    <w:next w:val="Normal"/>
    <w:link w:val="TitleChar"/>
    <w:uiPriority w:val="10"/>
    <w:qFormat/>
    <w:rsid w:val="00144DE6"/>
    <w:pPr>
      <w:spacing w:after="0" w:line="48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144DE6"/>
    <w:rPr>
      <w:rFonts w:ascii="Times New Roman" w:eastAsiaTheme="majorEastAsia" w:hAnsi="Times New Roman" w:cstheme="majorBidi"/>
      <w:b/>
      <w:spacing w:val="-10"/>
      <w:kern w:val="28"/>
      <w:szCs w:val="56"/>
    </w:rPr>
  </w:style>
  <w:style w:type="character" w:customStyle="1" w:styleId="Heading4Char">
    <w:name w:val="Heading 4 Char"/>
    <w:basedOn w:val="DefaultParagraphFont"/>
    <w:link w:val="Heading4"/>
    <w:uiPriority w:val="9"/>
    <w:rsid w:val="00144DE6"/>
    <w:rPr>
      <w:rFonts w:ascii="Times New Roman" w:eastAsiaTheme="majorEastAsia" w:hAnsi="Times New Roman" w:cstheme="majorBidi"/>
      <w:b/>
      <w:iCs/>
      <w:lang w:eastAsia="en-GB"/>
    </w:rPr>
  </w:style>
  <w:style w:type="character" w:customStyle="1" w:styleId="Heading1Char">
    <w:name w:val="Heading 1 Char"/>
    <w:basedOn w:val="DefaultParagraphFont"/>
    <w:link w:val="Heading1"/>
    <w:uiPriority w:val="9"/>
    <w:rsid w:val="006F1B7E"/>
    <w:rPr>
      <w:rFonts w:ascii="Times New Roman" w:eastAsiaTheme="majorEastAsia" w:hAnsi="Times New Roman" w:cstheme="majorBidi"/>
      <w:b/>
      <w:kern w:val="0"/>
      <w:sz w:val="24"/>
      <w:szCs w:val="32"/>
      <w14:ligatures w14:val="none"/>
    </w:rPr>
  </w:style>
  <w:style w:type="character" w:styleId="CommentReference">
    <w:name w:val="annotation reference"/>
    <w:basedOn w:val="DefaultParagraphFont"/>
    <w:uiPriority w:val="99"/>
    <w:semiHidden/>
    <w:unhideWhenUsed/>
    <w:rsid w:val="006F1B7E"/>
    <w:rPr>
      <w:sz w:val="16"/>
      <w:szCs w:val="16"/>
    </w:rPr>
  </w:style>
  <w:style w:type="paragraph" w:styleId="CommentText">
    <w:name w:val="annotation text"/>
    <w:basedOn w:val="Normal"/>
    <w:link w:val="CommentTextChar"/>
    <w:uiPriority w:val="99"/>
    <w:unhideWhenUsed/>
    <w:rsid w:val="006F1B7E"/>
    <w:pPr>
      <w:spacing w:line="240" w:lineRule="auto"/>
    </w:pPr>
    <w:rPr>
      <w:sz w:val="20"/>
      <w:szCs w:val="20"/>
    </w:rPr>
  </w:style>
  <w:style w:type="character" w:customStyle="1" w:styleId="CommentTextChar">
    <w:name w:val="Comment Text Char"/>
    <w:basedOn w:val="DefaultParagraphFont"/>
    <w:link w:val="CommentText"/>
    <w:uiPriority w:val="99"/>
    <w:rsid w:val="006F1B7E"/>
    <w:rPr>
      <w:rFonts w:ascii="Times New Roman" w:hAnsi="Times New Roman" w:cs="Times New Roman"/>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F1B7E"/>
    <w:rPr>
      <w:b/>
      <w:bCs/>
    </w:rPr>
  </w:style>
  <w:style w:type="character" w:customStyle="1" w:styleId="CommentSubjectChar">
    <w:name w:val="Comment Subject Char"/>
    <w:basedOn w:val="CommentTextChar"/>
    <w:link w:val="CommentSubject"/>
    <w:uiPriority w:val="99"/>
    <w:semiHidden/>
    <w:rsid w:val="006F1B7E"/>
    <w:rPr>
      <w:rFonts w:ascii="Times New Roman" w:hAnsi="Times New Roman" w:cs="Times New Roman"/>
      <w:b/>
      <w:bCs/>
      <w:color w:val="000000"/>
      <w:kern w:val="0"/>
      <w:sz w:val="20"/>
      <w:szCs w:val="20"/>
      <w14:ligatures w14:val="none"/>
    </w:rPr>
  </w:style>
  <w:style w:type="table" w:styleId="TableGrid">
    <w:name w:val="Table Grid"/>
    <w:basedOn w:val="TableNormal"/>
    <w:uiPriority w:val="39"/>
    <w:rsid w:val="006F1B7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1B7E"/>
    <w:pPr>
      <w:ind w:left="720"/>
      <w:contextualSpacing/>
    </w:pPr>
    <w:rPr>
      <w:rFonts w:asciiTheme="minorHAnsi" w:hAnsiTheme="minorHAnsi" w:cstheme="minorBidi"/>
      <w:color w:val="auto"/>
      <w:sz w:val="22"/>
      <w:szCs w:val="22"/>
    </w:rPr>
  </w:style>
  <w:style w:type="paragraph" w:customStyle="1" w:styleId="EndNoteBibliographyTitle">
    <w:name w:val="EndNote Bibliography Title"/>
    <w:basedOn w:val="Normal"/>
    <w:link w:val="EndNoteBibliographyTitleChar"/>
    <w:rsid w:val="006F1B7E"/>
    <w:pPr>
      <w:spacing w:after="0"/>
      <w:jc w:val="center"/>
    </w:pPr>
    <w:rPr>
      <w:noProof/>
    </w:rPr>
  </w:style>
  <w:style w:type="character" w:customStyle="1" w:styleId="EndNoteBibliographyTitleChar">
    <w:name w:val="EndNote Bibliography Title Char"/>
    <w:basedOn w:val="DefaultParagraphFont"/>
    <w:link w:val="EndNoteBibliographyTitle"/>
    <w:rsid w:val="006F1B7E"/>
    <w:rPr>
      <w:rFonts w:ascii="Times New Roman" w:hAnsi="Times New Roman" w:cs="Times New Roman"/>
      <w:noProof/>
      <w:color w:val="000000"/>
      <w:kern w:val="0"/>
      <w:sz w:val="24"/>
      <w:szCs w:val="24"/>
      <w14:ligatures w14:val="none"/>
    </w:rPr>
  </w:style>
  <w:style w:type="character" w:styleId="Hyperlink">
    <w:name w:val="Hyperlink"/>
    <w:basedOn w:val="DefaultParagraphFont"/>
    <w:uiPriority w:val="99"/>
    <w:unhideWhenUsed/>
    <w:rsid w:val="006F1B7E"/>
    <w:rPr>
      <w:color w:val="0563C1" w:themeColor="hyperlink"/>
      <w:u w:val="single"/>
    </w:rPr>
  </w:style>
  <w:style w:type="character" w:styleId="UnresolvedMention">
    <w:name w:val="Unresolved Mention"/>
    <w:basedOn w:val="DefaultParagraphFont"/>
    <w:uiPriority w:val="99"/>
    <w:semiHidden/>
    <w:unhideWhenUsed/>
    <w:rsid w:val="006F1B7E"/>
    <w:rPr>
      <w:color w:val="605E5C"/>
      <w:shd w:val="clear" w:color="auto" w:fill="E1DFDD"/>
    </w:rPr>
  </w:style>
  <w:style w:type="character" w:styleId="PlaceholderText">
    <w:name w:val="Placeholder Text"/>
    <w:basedOn w:val="DefaultParagraphFont"/>
    <w:uiPriority w:val="99"/>
    <w:semiHidden/>
    <w:rsid w:val="006F1B7E"/>
    <w:rPr>
      <w:color w:val="808080"/>
    </w:rPr>
  </w:style>
  <w:style w:type="paragraph" w:styleId="Header">
    <w:name w:val="header"/>
    <w:basedOn w:val="Normal"/>
    <w:link w:val="HeaderChar"/>
    <w:uiPriority w:val="99"/>
    <w:unhideWhenUsed/>
    <w:rsid w:val="006F1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B7E"/>
    <w:rPr>
      <w:rFonts w:ascii="Times New Roman" w:hAnsi="Times New Roman" w:cs="Times New Roman"/>
      <w:color w:val="000000"/>
      <w:kern w:val="0"/>
      <w:sz w:val="24"/>
      <w:szCs w:val="24"/>
      <w14:ligatures w14:val="none"/>
    </w:rPr>
  </w:style>
  <w:style w:type="paragraph" w:styleId="Footer">
    <w:name w:val="footer"/>
    <w:basedOn w:val="Normal"/>
    <w:link w:val="FooterChar"/>
    <w:uiPriority w:val="99"/>
    <w:unhideWhenUsed/>
    <w:rsid w:val="006F1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B7E"/>
    <w:rPr>
      <w:rFonts w:ascii="Times New Roman" w:hAnsi="Times New Roman" w:cs="Times New Roman"/>
      <w:color w:val="000000"/>
      <w:kern w:val="0"/>
      <w:sz w:val="24"/>
      <w:szCs w:val="24"/>
      <w14:ligatures w14:val="none"/>
    </w:rPr>
  </w:style>
  <w:style w:type="paragraph" w:customStyle="1" w:styleId="FirstParagraph">
    <w:name w:val="First Paragraph"/>
    <w:basedOn w:val="BodyText"/>
    <w:next w:val="BodyText"/>
    <w:qFormat/>
    <w:rsid w:val="006F1B7E"/>
    <w:pPr>
      <w:spacing w:before="180" w:after="180" w:line="240" w:lineRule="auto"/>
    </w:pPr>
    <w:rPr>
      <w:rFonts w:asciiTheme="minorHAnsi" w:hAnsiTheme="minorHAnsi" w:cstheme="minorBidi"/>
      <w:color w:val="auto"/>
    </w:rPr>
  </w:style>
  <w:style w:type="paragraph" w:styleId="BodyText">
    <w:name w:val="Body Text"/>
    <w:basedOn w:val="Normal"/>
    <w:link w:val="BodyTextChar"/>
    <w:uiPriority w:val="99"/>
    <w:semiHidden/>
    <w:unhideWhenUsed/>
    <w:rsid w:val="006F1B7E"/>
    <w:pPr>
      <w:spacing w:after="120"/>
    </w:pPr>
  </w:style>
  <w:style w:type="character" w:customStyle="1" w:styleId="BodyTextChar">
    <w:name w:val="Body Text Char"/>
    <w:basedOn w:val="DefaultParagraphFont"/>
    <w:link w:val="BodyText"/>
    <w:uiPriority w:val="99"/>
    <w:semiHidden/>
    <w:rsid w:val="006F1B7E"/>
    <w:rPr>
      <w:rFonts w:ascii="Times New Roman" w:hAnsi="Times New Roman" w:cs="Times New Roman"/>
      <w:color w:val="000000"/>
      <w:kern w:val="0"/>
      <w:sz w:val="24"/>
      <w:szCs w:val="24"/>
      <w14:ligatures w14:val="none"/>
    </w:rPr>
  </w:style>
  <w:style w:type="paragraph" w:styleId="Revision">
    <w:name w:val="Revision"/>
    <w:hidden/>
    <w:uiPriority w:val="99"/>
    <w:semiHidden/>
    <w:rsid w:val="006F1B7E"/>
    <w:pPr>
      <w:spacing w:after="0" w:line="240" w:lineRule="auto"/>
    </w:pPr>
    <w:rPr>
      <w:rFonts w:ascii="Times New Roman" w:hAnsi="Times New Roman" w:cs="Times New Roman"/>
      <w:color w:val="000000"/>
      <w:kern w:val="0"/>
      <w:sz w:val="24"/>
      <w:szCs w:val="24"/>
      <w14:ligatures w14:val="none"/>
    </w:rPr>
  </w:style>
  <w:style w:type="paragraph" w:customStyle="1" w:styleId="paragraph">
    <w:name w:val="paragraph"/>
    <w:basedOn w:val="Normal"/>
    <w:rsid w:val="006F1B7E"/>
    <w:pPr>
      <w:spacing w:before="100" w:beforeAutospacing="1" w:after="100" w:afterAutospacing="1" w:line="240" w:lineRule="auto"/>
    </w:pPr>
    <w:rPr>
      <w:rFonts w:eastAsia="Times New Roman"/>
      <w:color w:val="auto"/>
      <w:lang w:val="nl-NL" w:eastAsia="nl-NL"/>
    </w:rPr>
  </w:style>
  <w:style w:type="character" w:customStyle="1" w:styleId="normaltextrun">
    <w:name w:val="normaltextrun"/>
    <w:basedOn w:val="DefaultParagraphFont"/>
    <w:rsid w:val="006F1B7E"/>
  </w:style>
  <w:style w:type="character" w:customStyle="1" w:styleId="eop">
    <w:name w:val="eop"/>
    <w:basedOn w:val="DefaultParagraphFont"/>
    <w:rsid w:val="006F1B7E"/>
  </w:style>
  <w:style w:type="character" w:customStyle="1" w:styleId="findhit">
    <w:name w:val="findhit"/>
    <w:basedOn w:val="DefaultParagraphFont"/>
    <w:rsid w:val="004F2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16375">
      <w:bodyDiv w:val="1"/>
      <w:marLeft w:val="0"/>
      <w:marRight w:val="0"/>
      <w:marTop w:val="0"/>
      <w:marBottom w:val="0"/>
      <w:divBdr>
        <w:top w:val="none" w:sz="0" w:space="0" w:color="auto"/>
        <w:left w:val="none" w:sz="0" w:space="0" w:color="auto"/>
        <w:bottom w:val="none" w:sz="0" w:space="0" w:color="auto"/>
        <w:right w:val="none" w:sz="0" w:space="0" w:color="auto"/>
      </w:divBdr>
    </w:div>
    <w:div w:id="794983202">
      <w:bodyDiv w:val="1"/>
      <w:marLeft w:val="0"/>
      <w:marRight w:val="0"/>
      <w:marTop w:val="0"/>
      <w:marBottom w:val="0"/>
      <w:divBdr>
        <w:top w:val="none" w:sz="0" w:space="0" w:color="auto"/>
        <w:left w:val="none" w:sz="0" w:space="0" w:color="auto"/>
        <w:bottom w:val="none" w:sz="0" w:space="0" w:color="auto"/>
        <w:right w:val="none" w:sz="0" w:space="0" w:color="auto"/>
      </w:divBdr>
    </w:div>
    <w:div w:id="162688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yperlink" Target="https://doi.org/10.1037/abn00001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3758/s13428-017-0910-x" TargetMode="External"/><Relationship Id="rId2" Type="http://schemas.openxmlformats.org/officeDocument/2006/relationships/numbering" Target="numbering.xml"/><Relationship Id="rId16" Type="http://schemas.openxmlformats.org/officeDocument/2006/relationships/hyperlink" Target="https://doi.org/10.1017/S003329171700125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doi.org/10.3758/s13428-017-0862-1"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D8CC6-85B4-44AA-879A-B82C98155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2280</Words>
  <Characters>12997</Characters>
  <Application>Microsoft Office Word</Application>
  <DocSecurity>4</DocSecurity>
  <Lines>108</Lines>
  <Paragraphs>30</Paragraphs>
  <ScaleCrop>false</ScaleCrop>
  <Company>Tilburg University</Company>
  <LinksUpToDate>false</LinksUpToDate>
  <CharactersWithSpaces>15247</CharactersWithSpaces>
  <SharedDoc>false</SharedDoc>
  <HLinks>
    <vt:vector size="24" baseType="variant">
      <vt:variant>
        <vt:i4>7471210</vt:i4>
      </vt:variant>
      <vt:variant>
        <vt:i4>37</vt:i4>
      </vt:variant>
      <vt:variant>
        <vt:i4>0</vt:i4>
      </vt:variant>
      <vt:variant>
        <vt:i4>5</vt:i4>
      </vt:variant>
      <vt:variant>
        <vt:lpwstr>https://doi.org/10.1037/abn0000181</vt:lpwstr>
      </vt:variant>
      <vt:variant>
        <vt:lpwstr/>
      </vt:variant>
      <vt:variant>
        <vt:i4>131103</vt:i4>
      </vt:variant>
      <vt:variant>
        <vt:i4>34</vt:i4>
      </vt:variant>
      <vt:variant>
        <vt:i4>0</vt:i4>
      </vt:variant>
      <vt:variant>
        <vt:i4>5</vt:i4>
      </vt:variant>
      <vt:variant>
        <vt:lpwstr>https://doi.org/10.3758/s13428-017-0910-x</vt:lpwstr>
      </vt:variant>
      <vt:variant>
        <vt:lpwstr/>
      </vt:variant>
      <vt:variant>
        <vt:i4>1507350</vt:i4>
      </vt:variant>
      <vt:variant>
        <vt:i4>31</vt:i4>
      </vt:variant>
      <vt:variant>
        <vt:i4>0</vt:i4>
      </vt:variant>
      <vt:variant>
        <vt:i4>5</vt:i4>
      </vt:variant>
      <vt:variant>
        <vt:lpwstr>https://doi.org/10.1017/S0033291717001258</vt:lpwstr>
      </vt:variant>
      <vt:variant>
        <vt:lpwstr/>
      </vt:variant>
      <vt:variant>
        <vt:i4>327708</vt:i4>
      </vt:variant>
      <vt:variant>
        <vt:i4>28</vt:i4>
      </vt:variant>
      <vt:variant>
        <vt:i4>0</vt:i4>
      </vt:variant>
      <vt:variant>
        <vt:i4>5</vt:i4>
      </vt:variant>
      <vt:variant>
        <vt:lpwstr>https://doi.org/10.3758/s13428-017-0862-1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Vos</dc:creator>
  <cp:keywords/>
  <dc:description/>
  <cp:lastModifiedBy>Lisa Vos</cp:lastModifiedBy>
  <cp:revision>231</cp:revision>
  <dcterms:created xsi:type="dcterms:W3CDTF">2023-08-10T07:07:00Z</dcterms:created>
  <dcterms:modified xsi:type="dcterms:W3CDTF">2024-12-02T08:53:00Z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326f9081-4ee7-46ab-8d19-7d241dec7c46</vt:lpwstr>
  </property>
  <property fmtid="{D5CDD505-2E9C-101B-9397-08002B2CF9AE}" pid="3" name="MSIP_Label_b29f4804-9ab0-4527-a877-f7a87100f5fc_Enabled">
    <vt:lpwstr>true</vt:lpwstr>
  </property>
  <property fmtid="{D5CDD505-2E9C-101B-9397-08002B2CF9AE}" pid="4" name="MSIP_Label_b29f4804-9ab0-4527-a877-f7a87100f5fc_SetDate">
    <vt:lpwstr>2023-08-09T13:07:22Z</vt:lpwstr>
  </property>
  <property fmtid="{D5CDD505-2E9C-101B-9397-08002B2CF9AE}" pid="5" name="MSIP_Label_b29f4804-9ab0-4527-a877-f7a87100f5fc_Method">
    <vt:lpwstr>Standard</vt:lpwstr>
  </property>
  <property fmtid="{D5CDD505-2E9C-101B-9397-08002B2CF9AE}" pid="6" name="MSIP_Label_b29f4804-9ab0-4527-a877-f7a87100f5fc_Name">
    <vt:lpwstr>General</vt:lpwstr>
  </property>
  <property fmtid="{D5CDD505-2E9C-101B-9397-08002B2CF9AE}" pid="7" name="MSIP_Label_b29f4804-9ab0-4527-a877-f7a87100f5fc_SiteId">
    <vt:lpwstr>7a5561df-6599-4898-8a20-cce41db3b44f</vt:lpwstr>
  </property>
  <property fmtid="{D5CDD505-2E9C-101B-9397-08002B2CF9AE}" pid="8" name="MSIP_Label_b29f4804-9ab0-4527-a877-f7a87100f5fc_ActionId">
    <vt:lpwstr>670114a1-ce21-4636-9d8d-ed972ce7a0ed</vt:lpwstr>
  </property>
  <property fmtid="{D5CDD505-2E9C-101B-9397-08002B2CF9AE}" pid="9" name="MSIP_Label_b29f4804-9ab0-4527-a877-f7a87100f5fc_ContentBits">
    <vt:lpwstr>0</vt:lpwstr>
  </property>
</Properties>
</file>