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694ADD" w14:textId="5685A111" w:rsidR="00A75A4A" w:rsidRDefault="1C430162" w:rsidP="77EA2450">
      <w:pPr>
        <w:pStyle w:val="Heading1"/>
        <w:spacing w:after="0" w:line="48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77EA245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Supplement 4: Moderated Network Analysis</w:t>
      </w:r>
    </w:p>
    <w:p w14:paraId="032E4BA2" w14:textId="76EC9FE2" w:rsidR="00A75A4A" w:rsidRDefault="1C430162" w:rsidP="77EA2450">
      <w:pPr>
        <w:spacing w:after="0" w:line="480" w:lineRule="auto"/>
        <w:ind w:firstLine="720"/>
        <w:contextualSpacing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77EA2450">
        <w:rPr>
          <w:rFonts w:ascii="Times New Roman" w:eastAsia="Times New Roman" w:hAnsi="Times New Roman" w:cs="Times New Roman"/>
          <w:color w:val="000000" w:themeColor="text1"/>
        </w:rPr>
        <w:t xml:space="preserve">To further investigate the role of interpretative processes, we built a second network model that featured positive and negative interpretation bias, as well as interpretation inflexibility, as potential moderators of the relations between socio-affective functioning using the </w:t>
      </w:r>
      <w:proofErr w:type="spellStart"/>
      <w:r w:rsidRPr="77EA2450">
        <w:rPr>
          <w:rFonts w:ascii="Times New Roman" w:eastAsia="Times New Roman" w:hAnsi="Times New Roman" w:cs="Times New Roman"/>
          <w:i/>
          <w:iCs/>
          <w:color w:val="000000" w:themeColor="text1"/>
        </w:rPr>
        <w:t>mgm</w:t>
      </w:r>
      <w:proofErr w:type="spellEnd"/>
      <w:r w:rsidRPr="77EA2450">
        <w:rPr>
          <w:rFonts w:ascii="Times New Roman" w:eastAsia="Times New Roman" w:hAnsi="Times New Roman" w:cs="Times New Roman"/>
          <w:color w:val="000000" w:themeColor="text1"/>
        </w:rPr>
        <w:t xml:space="preserve"> R-package (Version 1.2-12). The hyperparameter (lambda) was set to 0.5, prioritizing avoidance of Type I errors</w:t>
      </w:r>
      <w:r w:rsidR="00C436F0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C436F0">
        <w:rPr>
          <w:rFonts w:ascii="Times New Roman" w:eastAsia="Times New Roman" w:hAnsi="Times New Roman" w:cs="Times New Roman"/>
          <w:color w:val="000000" w:themeColor="text1"/>
        </w:rPr>
        <w:fldChar w:fldCharType="begin"/>
      </w:r>
      <w:r w:rsidR="00AE4C37">
        <w:rPr>
          <w:rFonts w:ascii="Times New Roman" w:eastAsia="Times New Roman" w:hAnsi="Times New Roman" w:cs="Times New Roman"/>
          <w:color w:val="000000" w:themeColor="text1"/>
        </w:rPr>
        <w:instrText xml:space="preserve"> ADDIN EN.CITE &lt;EndNote&gt;&lt;Cite&gt;&lt;Author&gt;Foygel&lt;/Author&gt;&lt;Year&gt;2010&lt;/Year&gt;&lt;RecNum&gt;285&lt;/RecNum&gt;&lt;DisplayText&gt;(Foygel &amp;amp; Drton, 2010)&lt;/DisplayText&gt;&lt;record&gt;&lt;rec-number&gt;285&lt;/rec-number&gt;&lt;foreign-keys&gt;&lt;key app="EN" db-id="zaevd55a4w95dge0fpavfz9zf252azs2adfs" timestamp="1632225524"&gt;285&lt;/key&gt;&lt;/foreign-keys&gt;&lt;ref-type name="Journal Article"&gt;17&lt;/ref-type&gt;&lt;contributors&gt;&lt;authors&gt;&lt;author&gt;Foygel, Rina&lt;/author&gt;&lt;author&gt;Drton, Mathias&lt;/author&gt;&lt;/authors&gt;&lt;/contributors&gt;&lt;titles&gt;&lt;title&gt;Extended Bayesian information criteria for Gaussian graphical models&lt;/title&gt;&lt;secondary-title&gt;Advances in Neural Information Processing Systems&lt;/secondary-title&gt;&lt;/titles&gt;&lt;pages&gt;604-612&lt;/pages&gt;&lt;volume&gt;23&lt;/volume&gt;&lt;dates&gt;&lt;year&gt;2010&lt;/year&gt;&lt;/dates&gt;&lt;urls&gt;&lt;/urls&gt;&lt;/record&gt;&lt;/Cite&gt;&lt;/EndNote&gt;</w:instrText>
      </w:r>
      <w:r w:rsidR="00C436F0">
        <w:rPr>
          <w:rFonts w:ascii="Times New Roman" w:eastAsia="Times New Roman" w:hAnsi="Times New Roman" w:cs="Times New Roman"/>
          <w:color w:val="000000" w:themeColor="text1"/>
        </w:rPr>
        <w:fldChar w:fldCharType="separate"/>
      </w:r>
      <w:r w:rsidR="00C436F0">
        <w:rPr>
          <w:rFonts w:ascii="Times New Roman" w:eastAsia="Times New Roman" w:hAnsi="Times New Roman" w:cs="Times New Roman"/>
          <w:noProof/>
          <w:color w:val="000000" w:themeColor="text1"/>
        </w:rPr>
        <w:t>(Foygel &amp; Drton, 2010)</w:t>
      </w:r>
      <w:r w:rsidR="00C436F0">
        <w:rPr>
          <w:rFonts w:ascii="Times New Roman" w:eastAsia="Times New Roman" w:hAnsi="Times New Roman" w:cs="Times New Roman"/>
          <w:color w:val="000000" w:themeColor="text1"/>
        </w:rPr>
        <w:fldChar w:fldCharType="end"/>
      </w:r>
      <w:r w:rsidRPr="77EA2450">
        <w:rPr>
          <w:rFonts w:ascii="Times New Roman" w:eastAsia="Times New Roman" w:hAnsi="Times New Roman" w:cs="Times New Roman"/>
          <w:color w:val="000000" w:themeColor="text1"/>
        </w:rPr>
        <w:t xml:space="preserve"> (</w:t>
      </w:r>
      <w:proofErr w:type="spellStart"/>
      <w:r w:rsidRPr="77EA2450">
        <w:rPr>
          <w:rFonts w:ascii="Times New Roman" w:eastAsia="Times New Roman" w:hAnsi="Times New Roman" w:cs="Times New Roman"/>
          <w:color w:val="000000" w:themeColor="text1"/>
        </w:rPr>
        <w:t>Foygel</w:t>
      </w:r>
      <w:proofErr w:type="spellEnd"/>
      <w:r w:rsidRPr="77EA2450">
        <w:rPr>
          <w:rFonts w:ascii="Times New Roman" w:eastAsia="Times New Roman" w:hAnsi="Times New Roman" w:cs="Times New Roman"/>
          <w:color w:val="000000" w:themeColor="text1"/>
        </w:rPr>
        <w:t xml:space="preserve"> &amp; </w:t>
      </w:r>
      <w:proofErr w:type="spellStart"/>
      <w:r w:rsidRPr="77EA2450">
        <w:rPr>
          <w:rFonts w:ascii="Times New Roman" w:eastAsia="Times New Roman" w:hAnsi="Times New Roman" w:cs="Times New Roman"/>
          <w:color w:val="000000" w:themeColor="text1"/>
        </w:rPr>
        <w:t>Drton</w:t>
      </w:r>
      <w:proofErr w:type="spellEnd"/>
      <w:r w:rsidRPr="77EA2450">
        <w:rPr>
          <w:rFonts w:ascii="Times New Roman" w:eastAsia="Times New Roman" w:hAnsi="Times New Roman" w:cs="Times New Roman"/>
          <w:color w:val="000000" w:themeColor="text1"/>
        </w:rPr>
        <w:t>, 2010). Results revealed no significant moderation effects of interpretation bias or inflexibility on socio-affective functioning and psychopathology. This result suggests that interpretation bias and inflexibility do not modulate the strength of relations between markers of socio-affective functioning and depression or social anxiety.</w:t>
      </w:r>
    </w:p>
    <w:p w14:paraId="6BDE3A64" w14:textId="77777777" w:rsidR="00AE4C37" w:rsidRDefault="00AE4C37" w:rsidP="77EA2450">
      <w:pPr>
        <w:spacing w:after="0" w:line="480" w:lineRule="auto"/>
        <w:ind w:firstLine="720"/>
        <w:contextualSpacing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14:paraId="209490AD" w14:textId="77777777" w:rsidR="00AE4C37" w:rsidRDefault="00AE4C37" w:rsidP="77EA2450">
      <w:pPr>
        <w:spacing w:after="0" w:line="480" w:lineRule="auto"/>
        <w:ind w:firstLine="720"/>
        <w:contextualSpacing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14:paraId="67800A31" w14:textId="77777777" w:rsidR="00AE4C37" w:rsidRDefault="00AE4C37" w:rsidP="77EA2450">
      <w:pPr>
        <w:spacing w:after="0" w:line="480" w:lineRule="auto"/>
        <w:ind w:firstLine="720"/>
        <w:contextualSpacing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14:paraId="356B210E" w14:textId="77777777" w:rsidR="00AE4C37" w:rsidRDefault="00AE4C37" w:rsidP="77EA2450">
      <w:pPr>
        <w:spacing w:after="0" w:line="480" w:lineRule="auto"/>
        <w:ind w:firstLine="720"/>
        <w:contextualSpacing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14:paraId="4FA52187" w14:textId="77777777" w:rsidR="00AE4C37" w:rsidRDefault="00AE4C37" w:rsidP="77EA2450">
      <w:pPr>
        <w:spacing w:after="0" w:line="480" w:lineRule="auto"/>
        <w:ind w:firstLine="720"/>
        <w:contextualSpacing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14:paraId="70069E95" w14:textId="77777777" w:rsidR="00AE4C37" w:rsidRDefault="00AE4C37" w:rsidP="77EA2450">
      <w:pPr>
        <w:spacing w:after="0" w:line="480" w:lineRule="auto"/>
        <w:ind w:firstLine="720"/>
        <w:contextualSpacing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14:paraId="6C53C23F" w14:textId="77777777" w:rsidR="00AE4C37" w:rsidRDefault="00AE4C37" w:rsidP="77EA2450">
      <w:pPr>
        <w:spacing w:after="0" w:line="480" w:lineRule="auto"/>
        <w:ind w:firstLine="720"/>
        <w:contextualSpacing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14:paraId="698D3C94" w14:textId="77777777" w:rsidR="00AE4C37" w:rsidRDefault="00AE4C37" w:rsidP="77EA2450">
      <w:pPr>
        <w:spacing w:after="0" w:line="480" w:lineRule="auto"/>
        <w:ind w:firstLine="720"/>
        <w:contextualSpacing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14:paraId="181C992D" w14:textId="77777777" w:rsidR="00AE4C37" w:rsidRDefault="00AE4C37" w:rsidP="77EA2450">
      <w:pPr>
        <w:spacing w:after="0" w:line="480" w:lineRule="auto"/>
        <w:ind w:firstLine="720"/>
        <w:contextualSpacing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14:paraId="06408045" w14:textId="77777777" w:rsidR="00AE4C37" w:rsidRDefault="00AE4C37" w:rsidP="77EA2450">
      <w:pPr>
        <w:spacing w:after="0" w:line="480" w:lineRule="auto"/>
        <w:ind w:firstLine="720"/>
        <w:contextualSpacing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14:paraId="0BD03953" w14:textId="369B334D" w:rsidR="00C436F0" w:rsidRPr="00AE4C37" w:rsidRDefault="00AE4C37" w:rsidP="00AE4C37">
      <w:pPr>
        <w:pStyle w:val="Heading1"/>
        <w:spacing w:after="0" w:line="48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References</w:t>
      </w:r>
    </w:p>
    <w:p w14:paraId="225D47B6" w14:textId="77777777" w:rsidR="00AE4C37" w:rsidRPr="00AE4C37" w:rsidRDefault="00C436F0" w:rsidP="00AE4C37">
      <w:pPr>
        <w:pStyle w:val="EndNoteBibliography"/>
        <w:spacing w:line="480" w:lineRule="auto"/>
        <w:ind w:left="720" w:hanging="720"/>
        <w:rPr>
          <w:rFonts w:asciiTheme="majorBidi" w:hAnsiTheme="majorBidi" w:cstheme="majorBidi"/>
        </w:rPr>
      </w:pPr>
      <w:r w:rsidRPr="00AE4C37">
        <w:rPr>
          <w:rFonts w:asciiTheme="majorBidi" w:hAnsiTheme="majorBidi" w:cstheme="majorBidi"/>
        </w:rPr>
        <w:fldChar w:fldCharType="begin"/>
      </w:r>
      <w:r w:rsidRPr="00AE4C37">
        <w:rPr>
          <w:rFonts w:asciiTheme="majorBidi" w:hAnsiTheme="majorBidi" w:cstheme="majorBidi"/>
        </w:rPr>
        <w:instrText xml:space="preserve"> ADDIN EN.REFLIST </w:instrText>
      </w:r>
      <w:r w:rsidRPr="00AE4C37">
        <w:rPr>
          <w:rFonts w:asciiTheme="majorBidi" w:hAnsiTheme="majorBidi" w:cstheme="majorBidi"/>
        </w:rPr>
        <w:fldChar w:fldCharType="separate"/>
      </w:r>
      <w:r w:rsidR="00AE4C37" w:rsidRPr="00AE4C37">
        <w:rPr>
          <w:rFonts w:asciiTheme="majorBidi" w:hAnsiTheme="majorBidi" w:cstheme="majorBidi"/>
        </w:rPr>
        <w:t xml:space="preserve">Foygel, R., &amp; Drton, M. (2010). Extended Bayesian information criteria for Gaussian graphical models. </w:t>
      </w:r>
      <w:r w:rsidR="00AE4C37" w:rsidRPr="00AE4C37">
        <w:rPr>
          <w:rFonts w:asciiTheme="majorBidi" w:hAnsiTheme="majorBidi" w:cstheme="majorBidi"/>
          <w:i/>
        </w:rPr>
        <w:t>Advances in Neural Information Processing Systems</w:t>
      </w:r>
      <w:r w:rsidR="00AE4C37" w:rsidRPr="00AE4C37">
        <w:rPr>
          <w:rFonts w:asciiTheme="majorBidi" w:hAnsiTheme="majorBidi" w:cstheme="majorBidi"/>
        </w:rPr>
        <w:t>,</w:t>
      </w:r>
      <w:r w:rsidR="00AE4C37" w:rsidRPr="00AE4C37">
        <w:rPr>
          <w:rFonts w:asciiTheme="majorBidi" w:hAnsiTheme="majorBidi" w:cstheme="majorBidi"/>
          <w:i/>
        </w:rPr>
        <w:t xml:space="preserve"> 23</w:t>
      </w:r>
      <w:r w:rsidR="00AE4C37" w:rsidRPr="00AE4C37">
        <w:rPr>
          <w:rFonts w:asciiTheme="majorBidi" w:hAnsiTheme="majorBidi" w:cstheme="majorBidi"/>
        </w:rPr>
        <w:t xml:space="preserve">, 604-612. </w:t>
      </w:r>
    </w:p>
    <w:p w14:paraId="2C078E63" w14:textId="1A1B3F6F" w:rsidR="00A75A4A" w:rsidRDefault="00C436F0" w:rsidP="00AE4C37">
      <w:pPr>
        <w:spacing w:line="480" w:lineRule="auto"/>
      </w:pPr>
      <w:r w:rsidRPr="00AE4C37">
        <w:rPr>
          <w:rFonts w:asciiTheme="majorBidi" w:hAnsiTheme="majorBidi" w:cstheme="majorBidi"/>
        </w:rPr>
        <w:fldChar w:fldCharType="end"/>
      </w:r>
    </w:p>
    <w:sectPr w:rsidR="00A75A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PA 7th&lt;/Style&gt;&lt;LeftDelim&gt;{&lt;/LeftDelim&gt;&lt;RightDelim&gt;}&lt;/RightDelim&gt;&lt;FontName&gt;Aptos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zaevd55a4w95dge0fpavfz9zf252azs2adfs&quot;&gt;My EndNote Library (1)&lt;record-ids&gt;&lt;item&gt;285&lt;/item&gt;&lt;/record-ids&gt;&lt;/item&gt;&lt;/Libraries&gt;"/>
  </w:docVars>
  <w:rsids>
    <w:rsidRoot w:val="44B237CE"/>
    <w:rsid w:val="004D300C"/>
    <w:rsid w:val="00A75A4A"/>
    <w:rsid w:val="00AE4C37"/>
    <w:rsid w:val="00C436F0"/>
    <w:rsid w:val="00C87F7F"/>
    <w:rsid w:val="1C430162"/>
    <w:rsid w:val="44B237CE"/>
    <w:rsid w:val="77EA2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29F8A86"/>
  <w15:chartTrackingRefBased/>
  <w15:docId w15:val="{37F029CD-9795-441E-B9CF-CC1488340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customStyle="1" w:styleId="EndNoteBibliographyTitle">
    <w:name w:val="EndNote Bibliography Title"/>
    <w:basedOn w:val="Normal"/>
    <w:link w:val="EndNoteBibliographyTitleChar"/>
    <w:rsid w:val="00C436F0"/>
    <w:pPr>
      <w:spacing w:after="0"/>
      <w:jc w:val="center"/>
    </w:pPr>
    <w:rPr>
      <w:rFonts w:ascii="Aptos" w:hAnsi="Aptos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C436F0"/>
    <w:rPr>
      <w:rFonts w:ascii="Aptos" w:hAnsi="Aptos"/>
      <w:noProof/>
    </w:rPr>
  </w:style>
  <w:style w:type="paragraph" w:customStyle="1" w:styleId="EndNoteBibliography">
    <w:name w:val="EndNote Bibliography"/>
    <w:basedOn w:val="Normal"/>
    <w:link w:val="EndNoteBibliographyChar"/>
    <w:rsid w:val="00C436F0"/>
    <w:pPr>
      <w:spacing w:line="240" w:lineRule="auto"/>
    </w:pPr>
    <w:rPr>
      <w:rFonts w:ascii="Aptos" w:hAnsi="Aptos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C436F0"/>
    <w:rPr>
      <w:rFonts w:ascii="Aptos" w:hAnsi="Aptos"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131</Words>
  <Characters>1643</Characters>
  <Application>Microsoft Office Word</Application>
  <DocSecurity>0</DocSecurity>
  <Lines>31</Lines>
  <Paragraphs>6</Paragraphs>
  <ScaleCrop>false</ScaleCrop>
  <Company/>
  <LinksUpToDate>false</LinksUpToDate>
  <CharactersWithSpaces>1768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Vos</dc:creator>
  <cp:keywords/>
  <dc:description/>
  <cp:lastModifiedBy>Lisa Vos</cp:lastModifiedBy>
  <cp:revision>3</cp:revision>
  <dcterms:created xsi:type="dcterms:W3CDTF">2024-12-02T08:57:00Z</dcterms:created>
  <dcterms:modified xsi:type="dcterms:W3CDTF">2024-12-02T08:59:00Z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29f4804-9ab0-4527-a877-f7a87100f5fc_Enabled">
    <vt:lpwstr>true</vt:lpwstr>
  </property>
  <property fmtid="{D5CDD505-2E9C-101B-9397-08002B2CF9AE}" pid="3" name="MSIP_Label_b29f4804-9ab0-4527-a877-f7a87100f5fc_SetDate">
    <vt:lpwstr>2024-12-02T08:57:54Z</vt:lpwstr>
  </property>
  <property fmtid="{D5CDD505-2E9C-101B-9397-08002B2CF9AE}" pid="4" name="MSIP_Label_b29f4804-9ab0-4527-a877-f7a87100f5fc_Method">
    <vt:lpwstr>Standard</vt:lpwstr>
  </property>
  <property fmtid="{D5CDD505-2E9C-101B-9397-08002B2CF9AE}" pid="5" name="MSIP_Label_b29f4804-9ab0-4527-a877-f7a87100f5fc_Name">
    <vt:lpwstr>General</vt:lpwstr>
  </property>
  <property fmtid="{D5CDD505-2E9C-101B-9397-08002B2CF9AE}" pid="6" name="MSIP_Label_b29f4804-9ab0-4527-a877-f7a87100f5fc_SiteId">
    <vt:lpwstr>7a5561df-6599-4898-8a20-cce41db3b44f</vt:lpwstr>
  </property>
  <property fmtid="{D5CDD505-2E9C-101B-9397-08002B2CF9AE}" pid="7" name="MSIP_Label_b29f4804-9ab0-4527-a877-f7a87100f5fc_ActionId">
    <vt:lpwstr>cfe88b1c-270f-4690-8855-fb11155ae058</vt:lpwstr>
  </property>
  <property fmtid="{D5CDD505-2E9C-101B-9397-08002B2CF9AE}" pid="8" name="MSIP_Label_b29f4804-9ab0-4527-a877-f7a87100f5fc_ContentBits">
    <vt:lpwstr>0</vt:lpwstr>
  </property>
</Properties>
</file>