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3A8FF" w14:textId="50080356" w:rsidR="00B546AF" w:rsidRDefault="00B546AF" w:rsidP="00412E39">
      <w:pPr>
        <w:pStyle w:val="BodyText"/>
        <w:spacing w:line="480" w:lineRule="auto"/>
        <w:rPr>
          <w:rFonts w:eastAsiaTheme="minorEastAsia"/>
          <w:lang w:val="en-GB"/>
        </w:rPr>
      </w:pPr>
      <w:r w:rsidRPr="003205DE">
        <w:rPr>
          <w:rFonts w:eastAsiaTheme="minorEastAsia"/>
          <w:lang w:val="en-GB"/>
        </w:rPr>
        <w:t xml:space="preserve">Appendix </w:t>
      </w:r>
      <w:r w:rsidR="00DE4DC3">
        <w:rPr>
          <w:rFonts w:eastAsiaTheme="minorEastAsia"/>
          <w:lang w:val="en-GB"/>
        </w:rPr>
        <w:t>2</w:t>
      </w:r>
      <w:r w:rsidRPr="003205DE">
        <w:rPr>
          <w:rFonts w:eastAsiaTheme="minorEastAsia"/>
          <w:lang w:val="en-GB"/>
        </w:rPr>
        <w:t xml:space="preserve">. </w:t>
      </w:r>
      <w:r w:rsidR="00551260">
        <w:rPr>
          <w:rFonts w:eastAsiaTheme="minorEastAsia"/>
          <w:lang w:val="en-GB"/>
        </w:rPr>
        <w:t>Equations for RES</w:t>
      </w:r>
      <w:r w:rsidR="00412E39">
        <w:rPr>
          <w:rFonts w:eastAsiaTheme="minorEastAsia"/>
          <w:lang w:val="en-GB"/>
        </w:rPr>
        <w:t xml:space="preserve"> variance and adjusted variance</w:t>
      </w:r>
    </w:p>
    <w:p w14:paraId="0B567EF6" w14:textId="77777777" w:rsidR="00A2108B" w:rsidRDefault="00A2108B" w:rsidP="00B21D6F">
      <w:pPr>
        <w:pStyle w:val="BodyText"/>
        <w:spacing w:line="480" w:lineRule="auto"/>
        <w:rPr>
          <w:rFonts w:eastAsiaTheme="minorEastAsia"/>
          <w:lang w:val="en-GB"/>
        </w:rPr>
      </w:pPr>
    </w:p>
    <w:p w14:paraId="3AC80B0F" w14:textId="77777777" w:rsidR="00412E39" w:rsidRPr="00412E39" w:rsidRDefault="00551260" w:rsidP="00B21D6F">
      <w:pPr>
        <w:pStyle w:val="BodyText"/>
        <w:spacing w:line="480" w:lineRule="auto"/>
        <w:rPr>
          <w:rFonts w:eastAsiaTheme="minorEastAsia"/>
          <w:lang w:val="en-GB"/>
        </w:rPr>
      </w:pPr>
      <w:r w:rsidRPr="00551260">
        <w:rPr>
          <w:rFonts w:eastAsiaTheme="minorEastAsia"/>
          <w:lang w:val="en-GB"/>
        </w:rPr>
        <w:t>The variance of the natural logarithm of the Relative Effect Size (LRES) was calculated following Higginson and Mazerolle (2014), based on Farrington et al. (2007):</w:t>
      </w:r>
    </w:p>
    <w:p w14:paraId="6B7DF6FB" w14:textId="6A2C2659" w:rsidR="00B21D6F" w:rsidRDefault="00B21D6F" w:rsidP="00B21D6F">
      <w:pPr>
        <w:pStyle w:val="BodyText"/>
        <w:spacing w:line="480" w:lineRule="auto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VAR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LRES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</m:t>
          </m:r>
          <m:r>
            <m:rPr>
              <m:sty m:val="p"/>
            </m:rPr>
            <w:rPr>
              <w:rFonts w:ascii="Cambria Math" w:hAnsi="Cambria Math"/>
            </w:rPr>
            <m:t>/</m:t>
          </m:r>
          <m:r>
            <w:rPr>
              <w:rFonts w:ascii="Cambria Math" w:hAnsi="Cambria Math"/>
            </w:rPr>
            <m:t>a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1</m:t>
          </m:r>
          <m:r>
            <m:rPr>
              <m:sty m:val="p"/>
            </m:rPr>
            <w:rPr>
              <w:rFonts w:ascii="Cambria Math" w:hAnsi="Cambria Math"/>
            </w:rPr>
            <m:t>/</m:t>
          </m:r>
          <m:r>
            <w:rPr>
              <w:rFonts w:ascii="Cambria Math" w:hAnsi="Cambria Math"/>
            </w:rPr>
            <m:t>b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1</m:t>
          </m:r>
          <m:r>
            <m:rPr>
              <m:sty m:val="p"/>
            </m:rPr>
            <w:rPr>
              <w:rFonts w:ascii="Cambria Math" w:hAnsi="Cambria Math"/>
            </w:rPr>
            <m:t>/</m:t>
          </m:r>
          <m:r>
            <w:rPr>
              <w:rFonts w:ascii="Cambria Math" w:hAnsi="Cambria Math"/>
            </w:rPr>
            <m:t>c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1</m:t>
          </m:r>
          <m:r>
            <m:rPr>
              <m:sty m:val="p"/>
            </m:rPr>
            <w:rPr>
              <w:rFonts w:ascii="Cambria Math" w:hAnsi="Cambria Math"/>
            </w:rPr>
            <m:t>/</m:t>
          </m:r>
          <m:r>
            <w:rPr>
              <w:rFonts w:ascii="Cambria Math" w:hAnsi="Cambria Math"/>
            </w:rPr>
            <m:t>d</m:t>
          </m:r>
        </m:oMath>
      </m:oMathPara>
    </w:p>
    <w:p w14:paraId="1C30478E" w14:textId="77777777" w:rsidR="00382652" w:rsidRPr="00ED41B4" w:rsidRDefault="00382652">
      <w:pPr>
        <w:rPr>
          <w:rFonts w:eastAsiaTheme="minorEastAsia"/>
        </w:rPr>
      </w:pPr>
    </w:p>
    <w:p w14:paraId="1BE0268C" w14:textId="0E97B284" w:rsidR="00B546AF" w:rsidRDefault="00551260">
      <w:pPr>
        <w:rPr>
          <w:rFonts w:eastAsiaTheme="minorEastAsia"/>
        </w:rPr>
      </w:pPr>
      <w:r w:rsidRPr="00551260">
        <w:rPr>
          <w:rFonts w:eastAsiaTheme="minorEastAsia"/>
        </w:rPr>
        <w:t xml:space="preserve">An adjusted variance was also computed to account for overdispersion using the adjustment factor </w:t>
      </w:r>
      <w:r w:rsidRPr="00551260">
        <w:rPr>
          <w:rFonts w:eastAsiaTheme="minorEastAsia"/>
          <w:i/>
          <w:iCs/>
        </w:rPr>
        <w:t>D</w:t>
      </w:r>
      <w:r w:rsidRPr="00551260">
        <w:rPr>
          <w:rFonts w:eastAsiaTheme="minorEastAsia"/>
        </w:rPr>
        <w:t xml:space="preserve"> described by Farrington et al. (2007):</w:t>
      </w:r>
    </w:p>
    <w:p w14:paraId="53287845" w14:textId="77777777" w:rsidR="00B546AF" w:rsidRDefault="00B546AF" w:rsidP="00B546AF">
      <w:pPr>
        <w:pStyle w:val="BodyText"/>
        <w:spacing w:line="480" w:lineRule="auto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ADJVAR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LRES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0.0008a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r>
                    <w:rPr>
                      <w:rFonts w:ascii="Cambria Math" w:hAnsi="Cambria Math"/>
                    </w:rPr>
                    <m:t>1.2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r>
                <w:rPr>
                  <w:rFonts w:ascii="Cambria Math" w:hAnsi="Cambria Math"/>
                </w:rPr>
                <m:t>a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a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0.0008b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r>
                    <w:rPr>
                      <w:rFonts w:ascii="Cambria Math" w:hAnsi="Cambria Math"/>
                    </w:rPr>
                    <m:t>1.2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r>
                <w:rPr>
                  <w:rFonts w:ascii="Cambria Math" w:hAnsi="Cambria Math"/>
                </w:rPr>
                <m:t>b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b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0.0008c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r>
                    <w:rPr>
                      <w:rFonts w:ascii="Cambria Math" w:hAnsi="Cambria Math"/>
                    </w:rPr>
                    <m:t>1.2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r>
                <w:rPr>
                  <w:rFonts w:ascii="Cambria Math" w:hAnsi="Cambria Math"/>
                </w:rPr>
                <m:t>c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c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0.0008d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r>
                    <w:rPr>
                      <w:rFonts w:ascii="Cambria Math" w:hAnsi="Cambria Math"/>
                    </w:rPr>
                    <m:t>1.2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r>
                <w:rPr>
                  <w:rFonts w:ascii="Cambria Math" w:hAnsi="Cambria Math"/>
                </w:rPr>
                <m:t>d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/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d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27D47C6C" w14:textId="74D6202A" w:rsidR="00C05D8D" w:rsidRDefault="00C05D8D" w:rsidP="00C05D8D">
      <w:pPr>
        <w:rPr>
          <w:rFonts w:eastAsiaTheme="minorEastAsia"/>
        </w:rPr>
      </w:pPr>
      <w:r w:rsidRPr="00382652">
        <w:rPr>
          <w:rFonts w:eastAsiaTheme="minorEastAsia"/>
        </w:rPr>
        <w:t>Where</w:t>
      </w:r>
      <w:r>
        <w:rPr>
          <w:rFonts w:eastAsiaTheme="minorEastAsia"/>
        </w:rPr>
        <w:t>:</w:t>
      </w:r>
      <w:r>
        <w:rPr>
          <w:rFonts w:eastAsiaTheme="minorEastAsia"/>
        </w:rPr>
        <w:br/>
      </w:r>
      <w:r w:rsidRPr="00382652">
        <w:rPr>
          <w:rFonts w:eastAsiaTheme="minorEastAsia"/>
        </w:rPr>
        <w:t>a = pre‐treatment crime count (treatment),</w:t>
      </w:r>
      <w:r w:rsidRPr="00382652">
        <w:rPr>
          <w:rFonts w:eastAsiaTheme="minorEastAsia"/>
        </w:rPr>
        <w:br/>
        <w:t>b = post‐treatment crime count (treatment),</w:t>
      </w:r>
      <w:r w:rsidRPr="00382652">
        <w:rPr>
          <w:rFonts w:eastAsiaTheme="minorEastAsia"/>
        </w:rPr>
        <w:br/>
        <w:t>c = pre‐treatment crime count (control),</w:t>
      </w:r>
      <w:r w:rsidRPr="00382652">
        <w:rPr>
          <w:rFonts w:eastAsiaTheme="minorEastAsia"/>
        </w:rPr>
        <w:br/>
        <w:t>d = post‐treatment crime count (control)</w:t>
      </w:r>
    </w:p>
    <w:p w14:paraId="5E81778E" w14:textId="77777777" w:rsidR="00C05D8D" w:rsidRDefault="00C05D8D"/>
    <w:p w14:paraId="3354B174" w14:textId="4D695F7F" w:rsidR="00B546AF" w:rsidRDefault="003205DE">
      <w:r w:rsidRPr="003205DE">
        <w:t xml:space="preserve">The adjustment factor </w:t>
      </w:r>
      <w:r w:rsidRPr="003205DE">
        <w:rPr>
          <w:i/>
          <w:iCs/>
        </w:rPr>
        <w:t>D</w:t>
      </w:r>
      <w:r w:rsidRPr="003205DE">
        <w:t xml:space="preserve"> is used to correct for potential overdispersion when the variance of crime counts exceeds the mean.</w:t>
      </w:r>
    </w:p>
    <w:sectPr w:rsidR="00B546AF" w:rsidSect="00163C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AB6"/>
    <w:rsid w:val="00163C61"/>
    <w:rsid w:val="003205DE"/>
    <w:rsid w:val="00382652"/>
    <w:rsid w:val="00412E39"/>
    <w:rsid w:val="00551260"/>
    <w:rsid w:val="005F72B9"/>
    <w:rsid w:val="006F538C"/>
    <w:rsid w:val="00912BED"/>
    <w:rsid w:val="00A2108B"/>
    <w:rsid w:val="00AB297F"/>
    <w:rsid w:val="00AB3AB6"/>
    <w:rsid w:val="00B21D6F"/>
    <w:rsid w:val="00B546AF"/>
    <w:rsid w:val="00C05D8D"/>
    <w:rsid w:val="00C659C1"/>
    <w:rsid w:val="00DA0FEF"/>
    <w:rsid w:val="00DE4DC3"/>
    <w:rsid w:val="00DE678F"/>
    <w:rsid w:val="00ED41B4"/>
    <w:rsid w:val="00EE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C896"/>
  <w15:chartTrackingRefBased/>
  <w15:docId w15:val="{D434B8DC-3CBE-447F-914D-0BBACDF84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FE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A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3A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AB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AB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A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AB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AB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AB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AB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A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3A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A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AB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AB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A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A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A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A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3A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AB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3A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3A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AB6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3A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3A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A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AB6"/>
    <w:rPr>
      <w:rFonts w:ascii="Times New Roman" w:hAnsi="Times New Roman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3AB6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unhideWhenUsed/>
    <w:rsid w:val="00B21D6F"/>
    <w:pPr>
      <w:spacing w:after="120" w:line="259" w:lineRule="auto"/>
    </w:pPr>
    <w:rPr>
      <w:kern w:val="2"/>
      <w:szCs w:val="22"/>
      <w:lang w:val="sv-SE"/>
    </w:rPr>
  </w:style>
  <w:style w:type="character" w:customStyle="1" w:styleId="BodyTextChar">
    <w:name w:val="Body Text Char"/>
    <w:basedOn w:val="DefaultParagraphFont"/>
    <w:link w:val="BodyText"/>
    <w:uiPriority w:val="99"/>
    <w:rsid w:val="00B21D6F"/>
    <w:rPr>
      <w:rFonts w:ascii="Times New Roman" w:hAnsi="Times New Roman"/>
      <w:kern w:val="2"/>
      <w:szCs w:val="22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Widmark</dc:creator>
  <cp:keywords/>
  <dc:description/>
  <cp:lastModifiedBy>Jens Widmark</cp:lastModifiedBy>
  <cp:revision>14</cp:revision>
  <dcterms:created xsi:type="dcterms:W3CDTF">2025-12-11T03:56:00Z</dcterms:created>
  <dcterms:modified xsi:type="dcterms:W3CDTF">2026-01-13T10:20:00Z</dcterms:modified>
</cp:coreProperties>
</file>