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002" w:rsidRDefault="00CB7002" w:rsidP="00CB7002">
      <w:pPr>
        <w:pStyle w:val="Default"/>
        <w:spacing w:line="360" w:lineRule="auto"/>
        <w:jc w:val="center"/>
      </w:pPr>
      <w:bookmarkStart w:id="0" w:name="_GoBack"/>
      <w:bookmarkEnd w:id="0"/>
    </w:p>
    <w:p w:rsidR="00CB7002" w:rsidRDefault="00CB7002" w:rsidP="00CB7002">
      <w:pPr>
        <w:pStyle w:val="Default"/>
        <w:spacing w:line="360" w:lineRule="auto"/>
        <w:jc w:val="center"/>
        <w:rPr>
          <w:b/>
          <w:bCs/>
          <w:sz w:val="23"/>
          <w:szCs w:val="23"/>
          <w:lang w:val="en-US"/>
        </w:rPr>
      </w:pPr>
      <w:r w:rsidRPr="00CB7002">
        <w:rPr>
          <w:b/>
          <w:bCs/>
          <w:sz w:val="23"/>
          <w:szCs w:val="23"/>
          <w:lang w:val="en-US"/>
        </w:rPr>
        <w:t>SUPPLEMENTARY MATERIALS</w:t>
      </w:r>
    </w:p>
    <w:p w:rsidR="00CB7002" w:rsidRPr="00CB7002" w:rsidRDefault="00CB7002" w:rsidP="00CB7002">
      <w:pPr>
        <w:pStyle w:val="Default"/>
        <w:spacing w:line="360" w:lineRule="auto"/>
        <w:jc w:val="center"/>
        <w:rPr>
          <w:sz w:val="23"/>
          <w:szCs w:val="23"/>
          <w:lang w:val="en-US"/>
        </w:rPr>
      </w:pPr>
    </w:p>
    <w:p w:rsidR="00CB7002" w:rsidRDefault="00CB7002" w:rsidP="00CB7002">
      <w:pPr>
        <w:pStyle w:val="Default"/>
        <w:spacing w:line="360" w:lineRule="auto"/>
        <w:jc w:val="center"/>
        <w:rPr>
          <w:b/>
          <w:bCs/>
          <w:sz w:val="23"/>
          <w:szCs w:val="23"/>
          <w:lang w:val="en-US"/>
        </w:rPr>
      </w:pPr>
      <w:r w:rsidRPr="00CB7002">
        <w:rPr>
          <w:b/>
          <w:bCs/>
          <w:sz w:val="23"/>
          <w:szCs w:val="23"/>
          <w:lang w:val="en-US"/>
        </w:rPr>
        <w:t>Maturation of Human Pluripotent Stem Cell Derived Cardiomyocytes Is Improved in Cardiovascular Construct</w:t>
      </w:r>
    </w:p>
    <w:p w:rsidR="00CB7002" w:rsidRDefault="00CB7002" w:rsidP="00CB7002">
      <w:pPr>
        <w:pStyle w:val="Default"/>
        <w:spacing w:line="360" w:lineRule="auto"/>
        <w:jc w:val="center"/>
        <w:rPr>
          <w:b/>
          <w:bCs/>
          <w:sz w:val="23"/>
          <w:szCs w:val="23"/>
          <w:lang w:val="en-US"/>
        </w:rPr>
      </w:pPr>
    </w:p>
    <w:p w:rsidR="00CB7002" w:rsidRPr="00CB7002" w:rsidRDefault="00CB7002" w:rsidP="00CB7002">
      <w:pPr>
        <w:pStyle w:val="Default"/>
        <w:spacing w:line="360" w:lineRule="auto"/>
        <w:jc w:val="center"/>
        <w:rPr>
          <w:sz w:val="23"/>
          <w:szCs w:val="23"/>
          <w:lang w:val="en-US"/>
        </w:rPr>
      </w:pPr>
    </w:p>
    <w:p w:rsidR="00CB7002" w:rsidRDefault="00CB7002" w:rsidP="00CB7002">
      <w:pPr>
        <w:pStyle w:val="Default"/>
        <w:spacing w:line="360" w:lineRule="auto"/>
        <w:jc w:val="center"/>
        <w:rPr>
          <w:sz w:val="16"/>
          <w:szCs w:val="16"/>
        </w:rPr>
      </w:pPr>
      <w:r>
        <w:rPr>
          <w:sz w:val="23"/>
          <w:szCs w:val="23"/>
        </w:rPr>
        <w:t>Hanna Vuorenpää</w:t>
      </w:r>
      <w:r>
        <w:rPr>
          <w:sz w:val="16"/>
          <w:szCs w:val="16"/>
        </w:rPr>
        <w:t>1,3*</w:t>
      </w:r>
      <w:r>
        <w:rPr>
          <w:sz w:val="23"/>
          <w:szCs w:val="23"/>
        </w:rPr>
        <w:t>, Kirsi Penttinen</w:t>
      </w:r>
      <w:r>
        <w:rPr>
          <w:sz w:val="16"/>
          <w:szCs w:val="16"/>
        </w:rPr>
        <w:t>2,3*,#</w:t>
      </w:r>
      <w:r>
        <w:rPr>
          <w:sz w:val="23"/>
          <w:szCs w:val="23"/>
        </w:rPr>
        <w:t>, Tuula Heinonen</w:t>
      </w:r>
      <w:r>
        <w:rPr>
          <w:sz w:val="16"/>
          <w:szCs w:val="16"/>
        </w:rPr>
        <w:t>1,3</w:t>
      </w:r>
      <w:r>
        <w:rPr>
          <w:sz w:val="23"/>
          <w:szCs w:val="23"/>
        </w:rPr>
        <w:t>, Mari Pekkanen-Mattila</w:t>
      </w:r>
      <w:r>
        <w:rPr>
          <w:sz w:val="16"/>
          <w:szCs w:val="16"/>
        </w:rPr>
        <w:t>2,3</w:t>
      </w:r>
      <w:r>
        <w:rPr>
          <w:sz w:val="23"/>
          <w:szCs w:val="23"/>
        </w:rPr>
        <w:t xml:space="preserve">, </w:t>
      </w:r>
      <w:proofErr w:type="spellStart"/>
      <w:r>
        <w:rPr>
          <w:sz w:val="23"/>
          <w:szCs w:val="23"/>
        </w:rPr>
        <w:t>Jertta</w:t>
      </w:r>
      <w:proofErr w:type="spellEnd"/>
      <w:r>
        <w:rPr>
          <w:sz w:val="23"/>
          <w:szCs w:val="23"/>
        </w:rPr>
        <w:t>-Riina Sarkanen</w:t>
      </w:r>
      <w:r>
        <w:rPr>
          <w:sz w:val="16"/>
          <w:szCs w:val="16"/>
        </w:rPr>
        <w:t>3,4</w:t>
      </w:r>
      <w:r>
        <w:rPr>
          <w:sz w:val="23"/>
          <w:szCs w:val="23"/>
        </w:rPr>
        <w:t xml:space="preserve">, Timo Ylikomi </w:t>
      </w:r>
      <w:r>
        <w:rPr>
          <w:sz w:val="16"/>
          <w:szCs w:val="16"/>
        </w:rPr>
        <w:t xml:space="preserve">1,3,4 </w:t>
      </w:r>
      <w:r>
        <w:rPr>
          <w:sz w:val="23"/>
          <w:szCs w:val="23"/>
        </w:rPr>
        <w:t>and Katriina Aalto-Setälä</w:t>
      </w:r>
      <w:r>
        <w:rPr>
          <w:sz w:val="16"/>
          <w:szCs w:val="16"/>
        </w:rPr>
        <w:t>2,3,5</w:t>
      </w:r>
    </w:p>
    <w:p w:rsidR="00CB7002" w:rsidRDefault="00CB7002" w:rsidP="00CB7002">
      <w:pPr>
        <w:pStyle w:val="Default"/>
        <w:spacing w:line="360" w:lineRule="auto"/>
        <w:jc w:val="center"/>
        <w:rPr>
          <w:sz w:val="16"/>
          <w:szCs w:val="16"/>
        </w:rPr>
      </w:pPr>
    </w:p>
    <w:p w:rsidR="00CB7002" w:rsidRDefault="00CB7002" w:rsidP="00CB7002">
      <w:pPr>
        <w:pStyle w:val="Default"/>
        <w:spacing w:line="360" w:lineRule="auto"/>
        <w:jc w:val="center"/>
        <w:rPr>
          <w:sz w:val="16"/>
          <w:szCs w:val="16"/>
        </w:rPr>
      </w:pPr>
    </w:p>
    <w:p w:rsidR="00CB7002" w:rsidRPr="00CB7002" w:rsidRDefault="00CB7002" w:rsidP="00CB7002">
      <w:pPr>
        <w:pStyle w:val="Default"/>
        <w:spacing w:line="360" w:lineRule="auto"/>
        <w:jc w:val="center"/>
        <w:rPr>
          <w:sz w:val="23"/>
          <w:szCs w:val="23"/>
          <w:lang w:val="en-US"/>
        </w:rPr>
      </w:pPr>
      <w:r w:rsidRPr="00CB7002">
        <w:rPr>
          <w:sz w:val="16"/>
          <w:szCs w:val="16"/>
          <w:lang w:val="en-US"/>
        </w:rPr>
        <w:t>1</w:t>
      </w:r>
      <w:r w:rsidRPr="00CB7002">
        <w:rPr>
          <w:sz w:val="23"/>
          <w:szCs w:val="23"/>
          <w:lang w:val="en-US"/>
        </w:rPr>
        <w:t xml:space="preserve">FICAM, Finnish Centre for Alternative Methods, School of Medicine, University of Tampere, </w:t>
      </w:r>
      <w:proofErr w:type="gramStart"/>
      <w:r w:rsidRPr="00CB7002">
        <w:rPr>
          <w:sz w:val="23"/>
          <w:szCs w:val="23"/>
          <w:lang w:val="en-US"/>
        </w:rPr>
        <w:t>Tampere</w:t>
      </w:r>
      <w:proofErr w:type="gramEnd"/>
      <w:r w:rsidRPr="00CB7002">
        <w:rPr>
          <w:sz w:val="23"/>
          <w:szCs w:val="23"/>
          <w:lang w:val="en-US"/>
        </w:rPr>
        <w:t>, Finland.</w:t>
      </w:r>
    </w:p>
    <w:p w:rsidR="00CB7002" w:rsidRPr="00CB7002" w:rsidRDefault="00CB7002" w:rsidP="00CB7002">
      <w:pPr>
        <w:pStyle w:val="Default"/>
        <w:spacing w:line="360" w:lineRule="auto"/>
        <w:jc w:val="center"/>
        <w:rPr>
          <w:sz w:val="23"/>
          <w:szCs w:val="23"/>
          <w:lang w:val="en-US"/>
        </w:rPr>
      </w:pPr>
      <w:r w:rsidRPr="00CB7002">
        <w:rPr>
          <w:sz w:val="16"/>
          <w:szCs w:val="16"/>
          <w:lang w:val="en-US"/>
        </w:rPr>
        <w:t>2</w:t>
      </w:r>
      <w:r w:rsidRPr="00CB7002">
        <w:rPr>
          <w:sz w:val="23"/>
          <w:szCs w:val="23"/>
          <w:lang w:val="en-US"/>
        </w:rPr>
        <w:t>BioMediTech, University of Tampere, Tampere, Finland.</w:t>
      </w:r>
    </w:p>
    <w:p w:rsidR="00CB7002" w:rsidRPr="00CB7002" w:rsidRDefault="00CB7002" w:rsidP="00CB7002">
      <w:pPr>
        <w:pStyle w:val="Default"/>
        <w:spacing w:line="360" w:lineRule="auto"/>
        <w:jc w:val="center"/>
        <w:rPr>
          <w:sz w:val="23"/>
          <w:szCs w:val="23"/>
          <w:lang w:val="en-US"/>
        </w:rPr>
      </w:pPr>
      <w:r w:rsidRPr="00CB7002">
        <w:rPr>
          <w:sz w:val="16"/>
          <w:szCs w:val="16"/>
          <w:lang w:val="en-US"/>
        </w:rPr>
        <w:t>3</w:t>
      </w:r>
      <w:r w:rsidRPr="00CB7002">
        <w:rPr>
          <w:sz w:val="23"/>
          <w:szCs w:val="23"/>
          <w:lang w:val="en-US"/>
        </w:rPr>
        <w:t>School of Medicine, University of Tampere, Tampere, Finland.</w:t>
      </w:r>
    </w:p>
    <w:p w:rsidR="00CB7002" w:rsidRPr="00CB7002" w:rsidRDefault="00CB7002" w:rsidP="00CB7002">
      <w:pPr>
        <w:pStyle w:val="Default"/>
        <w:spacing w:line="360" w:lineRule="auto"/>
        <w:jc w:val="center"/>
        <w:rPr>
          <w:sz w:val="23"/>
          <w:szCs w:val="23"/>
          <w:lang w:val="en-US"/>
        </w:rPr>
      </w:pPr>
      <w:r w:rsidRPr="00CB7002">
        <w:rPr>
          <w:sz w:val="16"/>
          <w:szCs w:val="16"/>
          <w:lang w:val="en-US"/>
        </w:rPr>
        <w:t>4</w:t>
      </w:r>
      <w:r w:rsidRPr="00CB7002">
        <w:rPr>
          <w:sz w:val="23"/>
          <w:szCs w:val="23"/>
          <w:lang w:val="en-US"/>
        </w:rPr>
        <w:t>Department of Cell Biology, School of Medicine, University of Tampere, Tampere, Finland.</w:t>
      </w:r>
    </w:p>
    <w:p w:rsidR="00CB7002" w:rsidRPr="00CB7002" w:rsidRDefault="00CB7002" w:rsidP="00CB7002">
      <w:pPr>
        <w:pStyle w:val="Default"/>
        <w:spacing w:line="360" w:lineRule="auto"/>
        <w:jc w:val="center"/>
        <w:rPr>
          <w:sz w:val="23"/>
          <w:szCs w:val="23"/>
          <w:lang w:val="en-US"/>
        </w:rPr>
      </w:pPr>
      <w:r w:rsidRPr="00CB7002">
        <w:rPr>
          <w:sz w:val="16"/>
          <w:szCs w:val="16"/>
          <w:lang w:val="en-US"/>
        </w:rPr>
        <w:t>5</w:t>
      </w:r>
      <w:r w:rsidRPr="00CB7002">
        <w:rPr>
          <w:sz w:val="23"/>
          <w:szCs w:val="23"/>
          <w:lang w:val="en-US"/>
        </w:rPr>
        <w:t>Heart Hospital, Tampere University Hospital, Tampere, Finland.</w:t>
      </w:r>
    </w:p>
    <w:p w:rsidR="00CB7002" w:rsidRPr="00CB7002" w:rsidRDefault="00CB7002" w:rsidP="00CB7002">
      <w:pPr>
        <w:pStyle w:val="Default"/>
        <w:spacing w:line="360" w:lineRule="auto"/>
        <w:jc w:val="center"/>
        <w:rPr>
          <w:sz w:val="23"/>
          <w:szCs w:val="23"/>
          <w:lang w:val="en-US"/>
        </w:rPr>
      </w:pPr>
      <w:r w:rsidRPr="00CB7002">
        <w:rPr>
          <w:sz w:val="16"/>
          <w:szCs w:val="16"/>
          <w:lang w:val="en-US"/>
        </w:rPr>
        <w:t xml:space="preserve">* </w:t>
      </w:r>
      <w:r w:rsidRPr="00CB7002">
        <w:rPr>
          <w:sz w:val="23"/>
          <w:szCs w:val="23"/>
          <w:lang w:val="en-US"/>
        </w:rPr>
        <w:t>These two authors equally contributed to this work</w:t>
      </w:r>
    </w:p>
    <w:p w:rsidR="00CB7002" w:rsidRDefault="00CB7002" w:rsidP="00CB7002">
      <w:pPr>
        <w:pStyle w:val="Default"/>
        <w:spacing w:line="360" w:lineRule="auto"/>
        <w:jc w:val="center"/>
        <w:rPr>
          <w:sz w:val="23"/>
          <w:szCs w:val="23"/>
          <w:lang w:val="en-US"/>
        </w:rPr>
      </w:pPr>
      <w:r w:rsidRPr="00CB7002">
        <w:rPr>
          <w:sz w:val="16"/>
          <w:szCs w:val="16"/>
          <w:lang w:val="en-US"/>
        </w:rPr>
        <w:t xml:space="preserve"># </w:t>
      </w:r>
      <w:proofErr w:type="gramStart"/>
      <w:r w:rsidRPr="00CB7002">
        <w:rPr>
          <w:sz w:val="23"/>
          <w:szCs w:val="23"/>
          <w:lang w:val="en-US"/>
        </w:rPr>
        <w:t>Corresponding</w:t>
      </w:r>
      <w:proofErr w:type="gramEnd"/>
      <w:r w:rsidRPr="00CB7002">
        <w:rPr>
          <w:sz w:val="23"/>
          <w:szCs w:val="23"/>
          <w:lang w:val="en-US"/>
        </w:rPr>
        <w:t xml:space="preserve"> author</w:t>
      </w:r>
    </w:p>
    <w:p w:rsidR="00CB7002" w:rsidRDefault="00CB7002">
      <w:pPr>
        <w:rPr>
          <w:rFonts w:ascii="Times New Roman" w:hAnsi="Times New Roman" w:cs="Times New Roman"/>
          <w:color w:val="000000"/>
          <w:sz w:val="23"/>
          <w:szCs w:val="23"/>
          <w:lang w:val="en-US"/>
        </w:rPr>
      </w:pPr>
      <w:r>
        <w:rPr>
          <w:sz w:val="23"/>
          <w:szCs w:val="23"/>
          <w:lang w:val="en-US"/>
        </w:rPr>
        <w:br w:type="page"/>
      </w:r>
    </w:p>
    <w:p w:rsidR="004D6C6A" w:rsidRPr="00CB7002" w:rsidRDefault="004D6C6A" w:rsidP="004D6C6A">
      <w:pPr>
        <w:pStyle w:val="Default"/>
        <w:spacing w:line="360" w:lineRule="auto"/>
        <w:rPr>
          <w:sz w:val="23"/>
          <w:szCs w:val="23"/>
          <w:lang w:val="en-US"/>
        </w:rPr>
      </w:pPr>
      <w:r w:rsidRPr="00CB7002">
        <w:rPr>
          <w:b/>
          <w:sz w:val="23"/>
          <w:szCs w:val="23"/>
          <w:lang w:val="en-US"/>
        </w:rPr>
        <w:lastRenderedPageBreak/>
        <w:t>Table S1.</w:t>
      </w:r>
      <w:r>
        <w:rPr>
          <w:sz w:val="23"/>
          <w:szCs w:val="23"/>
          <w:lang w:val="en-US"/>
        </w:rPr>
        <w:t xml:space="preserve"> SYBR green primer sequences for PCR.</w:t>
      </w:r>
    </w:p>
    <w:tbl>
      <w:tblPr>
        <w:tblStyle w:val="TableGrid"/>
        <w:tblW w:w="0" w:type="auto"/>
        <w:tblLook w:val="04A0" w:firstRow="1" w:lastRow="0" w:firstColumn="1" w:lastColumn="0" w:noHBand="0" w:noVBand="1"/>
      </w:tblPr>
      <w:tblGrid>
        <w:gridCol w:w="3159"/>
        <w:gridCol w:w="3261"/>
        <w:gridCol w:w="3208"/>
      </w:tblGrid>
      <w:tr w:rsidR="004D6C6A" w:rsidTr="00693CC0">
        <w:tc>
          <w:tcPr>
            <w:tcW w:w="3159" w:type="dxa"/>
          </w:tcPr>
          <w:p w:rsidR="004D6C6A" w:rsidRPr="00782EAE" w:rsidRDefault="004D6C6A" w:rsidP="00693CC0">
            <w:pPr>
              <w:rPr>
                <w:rFonts w:ascii="Calibri" w:hAnsi="Calibri" w:cs="Calibri"/>
                <w:b/>
                <w:lang w:val="en-US"/>
              </w:rPr>
            </w:pPr>
            <w:r w:rsidRPr="00782EAE">
              <w:rPr>
                <w:rFonts w:ascii="Calibri" w:hAnsi="Calibri" w:cs="Calibri"/>
                <w:b/>
                <w:lang w:val="en-US"/>
              </w:rPr>
              <w:t>Target gene</w:t>
            </w:r>
          </w:p>
        </w:tc>
        <w:tc>
          <w:tcPr>
            <w:tcW w:w="3261" w:type="dxa"/>
          </w:tcPr>
          <w:p w:rsidR="004D6C6A" w:rsidRPr="00782EAE" w:rsidRDefault="004D6C6A" w:rsidP="00693CC0">
            <w:pPr>
              <w:rPr>
                <w:rFonts w:ascii="Calibri" w:hAnsi="Calibri" w:cs="Calibri"/>
                <w:b/>
                <w:lang w:val="en-US"/>
              </w:rPr>
            </w:pPr>
            <w:r w:rsidRPr="00782EAE">
              <w:rPr>
                <w:rFonts w:ascii="Calibri" w:hAnsi="Calibri" w:cs="Calibri"/>
                <w:b/>
                <w:lang w:val="en-US"/>
              </w:rPr>
              <w:t>Forward primer</w:t>
            </w:r>
          </w:p>
        </w:tc>
        <w:tc>
          <w:tcPr>
            <w:tcW w:w="3208" w:type="dxa"/>
          </w:tcPr>
          <w:p w:rsidR="004D6C6A" w:rsidRPr="00782EAE" w:rsidRDefault="004D6C6A" w:rsidP="00693CC0">
            <w:pPr>
              <w:rPr>
                <w:rFonts w:ascii="Calibri" w:hAnsi="Calibri" w:cs="Calibri"/>
                <w:b/>
                <w:lang w:val="en-US"/>
              </w:rPr>
            </w:pPr>
            <w:r w:rsidRPr="00782EAE">
              <w:rPr>
                <w:rFonts w:ascii="Calibri" w:hAnsi="Calibri" w:cs="Calibri"/>
                <w:b/>
                <w:lang w:val="en-US"/>
              </w:rPr>
              <w:t>Reverse Primer</w:t>
            </w:r>
          </w:p>
        </w:tc>
      </w:tr>
      <w:tr w:rsidR="004D6C6A" w:rsidTr="00693CC0">
        <w:tc>
          <w:tcPr>
            <w:tcW w:w="3159" w:type="dxa"/>
          </w:tcPr>
          <w:p w:rsidR="004D6C6A" w:rsidRPr="00782EAE" w:rsidRDefault="004D6C6A" w:rsidP="00693CC0">
            <w:pPr>
              <w:rPr>
                <w:rFonts w:ascii="Calibri" w:hAnsi="Calibri" w:cs="Calibri"/>
                <w:lang w:val="en-US"/>
              </w:rPr>
            </w:pPr>
            <w:r w:rsidRPr="00782EAE">
              <w:rPr>
                <w:rFonts w:ascii="Calibri" w:hAnsi="Calibri" w:cs="Calibri"/>
                <w:lang w:val="en-US"/>
              </w:rPr>
              <w:t>Platelet derived growth factor beta</w:t>
            </w:r>
          </w:p>
        </w:tc>
        <w:tc>
          <w:tcPr>
            <w:tcW w:w="3261" w:type="dxa"/>
          </w:tcPr>
          <w:p w:rsidR="004D6C6A" w:rsidRPr="00782EAE" w:rsidRDefault="004D6C6A" w:rsidP="00693CC0">
            <w:pPr>
              <w:rPr>
                <w:rFonts w:ascii="Calibri" w:hAnsi="Calibri" w:cs="Calibri"/>
                <w:lang w:val="en-US"/>
              </w:rPr>
            </w:pPr>
            <w:r w:rsidRPr="00782EAE">
              <w:rPr>
                <w:rFonts w:ascii="Calibri" w:hAnsi="Calibri" w:cs="Calibri"/>
                <w:color w:val="333333"/>
              </w:rPr>
              <w:t>CTCGATCCGCTCCTTTGATGA</w:t>
            </w:r>
          </w:p>
        </w:tc>
        <w:tc>
          <w:tcPr>
            <w:tcW w:w="3208" w:type="dxa"/>
          </w:tcPr>
          <w:p w:rsidR="004D6C6A" w:rsidRPr="00782EAE" w:rsidRDefault="004D6C6A" w:rsidP="00693CC0">
            <w:pPr>
              <w:rPr>
                <w:rFonts w:ascii="Calibri" w:hAnsi="Calibri" w:cs="Calibri"/>
                <w:lang w:val="en-US"/>
              </w:rPr>
            </w:pPr>
            <w:r w:rsidRPr="00782EAE">
              <w:rPr>
                <w:rFonts w:ascii="Calibri" w:hAnsi="Calibri" w:cs="Calibri"/>
                <w:color w:val="333333"/>
              </w:rPr>
              <w:t>CGTTGGTGCGGTCTATGAG</w:t>
            </w:r>
          </w:p>
        </w:tc>
      </w:tr>
      <w:tr w:rsidR="004D6C6A" w:rsidTr="00693CC0">
        <w:tc>
          <w:tcPr>
            <w:tcW w:w="3159" w:type="dxa"/>
          </w:tcPr>
          <w:p w:rsidR="004D6C6A" w:rsidRPr="00782EAE" w:rsidRDefault="004D6C6A" w:rsidP="00693CC0">
            <w:pPr>
              <w:rPr>
                <w:rFonts w:ascii="Calibri" w:hAnsi="Calibri" w:cs="Calibri"/>
                <w:lang w:val="en-US"/>
              </w:rPr>
            </w:pPr>
            <w:r w:rsidRPr="00782EAE">
              <w:rPr>
                <w:rFonts w:ascii="Calibri" w:hAnsi="Calibri" w:cs="Calibri"/>
                <w:lang w:val="en-US"/>
              </w:rPr>
              <w:t>Fibroblast growth factor 2</w:t>
            </w:r>
          </w:p>
        </w:tc>
        <w:tc>
          <w:tcPr>
            <w:tcW w:w="3261" w:type="dxa"/>
          </w:tcPr>
          <w:p w:rsidR="004D6C6A" w:rsidRPr="00782EAE" w:rsidRDefault="004D6C6A" w:rsidP="00693CC0">
            <w:pPr>
              <w:rPr>
                <w:rFonts w:ascii="Calibri" w:hAnsi="Calibri" w:cs="Calibri"/>
                <w:lang w:val="en-US"/>
              </w:rPr>
            </w:pPr>
            <w:r w:rsidRPr="00782EAE">
              <w:rPr>
                <w:rFonts w:ascii="Calibri" w:hAnsi="Calibri" w:cs="Calibri"/>
                <w:color w:val="333333"/>
              </w:rPr>
              <w:t>AGAAGAGCGACCCTCACATCA</w:t>
            </w:r>
          </w:p>
        </w:tc>
        <w:tc>
          <w:tcPr>
            <w:tcW w:w="3208" w:type="dxa"/>
          </w:tcPr>
          <w:p w:rsidR="004D6C6A" w:rsidRPr="00782EAE" w:rsidRDefault="004D6C6A" w:rsidP="00693CC0">
            <w:pPr>
              <w:rPr>
                <w:rFonts w:ascii="Calibri" w:hAnsi="Calibri" w:cs="Calibri"/>
                <w:lang w:val="en-US"/>
              </w:rPr>
            </w:pPr>
            <w:r w:rsidRPr="00782EAE">
              <w:rPr>
                <w:rFonts w:ascii="Calibri" w:hAnsi="Calibri" w:cs="Calibri"/>
                <w:color w:val="333333"/>
              </w:rPr>
              <w:t>CGGTTAGCACACACTCCTTTG</w:t>
            </w:r>
          </w:p>
        </w:tc>
      </w:tr>
      <w:tr w:rsidR="004D6C6A" w:rsidTr="00693CC0">
        <w:tc>
          <w:tcPr>
            <w:tcW w:w="3159" w:type="dxa"/>
          </w:tcPr>
          <w:p w:rsidR="004D6C6A" w:rsidRPr="00782EAE" w:rsidRDefault="004D6C6A" w:rsidP="00693CC0">
            <w:pPr>
              <w:rPr>
                <w:rFonts w:ascii="Calibri" w:hAnsi="Calibri" w:cs="Calibri"/>
                <w:lang w:val="en-US"/>
              </w:rPr>
            </w:pPr>
            <w:r w:rsidRPr="00782EAE">
              <w:rPr>
                <w:rFonts w:ascii="Calibri" w:hAnsi="Calibri" w:cs="Calibri"/>
                <w:lang w:val="en-US"/>
              </w:rPr>
              <w:t>Angiopoietin 1</w:t>
            </w:r>
          </w:p>
        </w:tc>
        <w:tc>
          <w:tcPr>
            <w:tcW w:w="3261" w:type="dxa"/>
          </w:tcPr>
          <w:p w:rsidR="004D6C6A" w:rsidRPr="00782EAE" w:rsidRDefault="004D6C6A" w:rsidP="00693CC0">
            <w:pPr>
              <w:rPr>
                <w:rFonts w:ascii="Calibri" w:hAnsi="Calibri" w:cs="Calibri"/>
                <w:lang w:val="en-US"/>
              </w:rPr>
            </w:pPr>
            <w:r w:rsidRPr="00782EAE">
              <w:rPr>
                <w:rFonts w:ascii="Calibri" w:hAnsi="Calibri" w:cs="Calibri"/>
                <w:color w:val="333333"/>
              </w:rPr>
              <w:t>AGCGCCGAAGTCCAGAAAAC</w:t>
            </w:r>
          </w:p>
        </w:tc>
        <w:tc>
          <w:tcPr>
            <w:tcW w:w="3208" w:type="dxa"/>
          </w:tcPr>
          <w:p w:rsidR="004D6C6A" w:rsidRPr="00782EAE" w:rsidRDefault="004D6C6A" w:rsidP="00693CC0">
            <w:pPr>
              <w:rPr>
                <w:rFonts w:ascii="Calibri" w:hAnsi="Calibri" w:cs="Calibri"/>
                <w:lang w:val="en-US"/>
              </w:rPr>
            </w:pPr>
            <w:r w:rsidRPr="00782EAE">
              <w:rPr>
                <w:rFonts w:ascii="Calibri" w:hAnsi="Calibri" w:cs="Calibri"/>
                <w:color w:val="333333"/>
              </w:rPr>
              <w:t>TACTCTCACGACAGTTGCCAT</w:t>
            </w:r>
          </w:p>
        </w:tc>
      </w:tr>
      <w:tr w:rsidR="004D6C6A" w:rsidTr="00693CC0">
        <w:tc>
          <w:tcPr>
            <w:tcW w:w="3159" w:type="dxa"/>
          </w:tcPr>
          <w:p w:rsidR="004D6C6A" w:rsidRPr="00782EAE" w:rsidRDefault="004D6C6A" w:rsidP="00693CC0">
            <w:pPr>
              <w:rPr>
                <w:rFonts w:ascii="Calibri" w:hAnsi="Calibri" w:cs="Calibri"/>
                <w:lang w:val="en-US"/>
              </w:rPr>
            </w:pPr>
            <w:r w:rsidRPr="00782EAE">
              <w:rPr>
                <w:rFonts w:ascii="Calibri" w:hAnsi="Calibri" w:cs="Calibri"/>
                <w:lang w:val="en-US"/>
              </w:rPr>
              <w:t>Angiopoietin 2</w:t>
            </w:r>
          </w:p>
        </w:tc>
        <w:tc>
          <w:tcPr>
            <w:tcW w:w="3261" w:type="dxa"/>
          </w:tcPr>
          <w:p w:rsidR="004D6C6A" w:rsidRPr="00782EAE" w:rsidRDefault="004D6C6A" w:rsidP="00693CC0">
            <w:pPr>
              <w:rPr>
                <w:rFonts w:ascii="Calibri" w:hAnsi="Calibri" w:cs="Calibri"/>
                <w:lang w:val="en-US"/>
              </w:rPr>
            </w:pPr>
            <w:r w:rsidRPr="00782EAE">
              <w:rPr>
                <w:rFonts w:ascii="Calibri" w:hAnsi="Calibri" w:cs="Calibri"/>
                <w:color w:val="333333"/>
              </w:rPr>
              <w:t>ACCCCACTGTTGCTAAAGAAGA</w:t>
            </w:r>
          </w:p>
        </w:tc>
        <w:tc>
          <w:tcPr>
            <w:tcW w:w="3208" w:type="dxa"/>
          </w:tcPr>
          <w:p w:rsidR="004D6C6A" w:rsidRPr="00782EAE" w:rsidRDefault="004D6C6A" w:rsidP="00693CC0">
            <w:pPr>
              <w:rPr>
                <w:rFonts w:ascii="Calibri" w:hAnsi="Calibri" w:cs="Calibri"/>
                <w:lang w:val="en-US"/>
              </w:rPr>
            </w:pPr>
            <w:r w:rsidRPr="00782EAE">
              <w:rPr>
                <w:rFonts w:ascii="Calibri" w:hAnsi="Calibri" w:cs="Calibri"/>
                <w:color w:val="333333"/>
              </w:rPr>
              <w:t>CCATCCTCACGTCGCTGAATA</w:t>
            </w:r>
          </w:p>
        </w:tc>
      </w:tr>
      <w:tr w:rsidR="004D6C6A" w:rsidTr="00693CC0">
        <w:tc>
          <w:tcPr>
            <w:tcW w:w="3159" w:type="dxa"/>
          </w:tcPr>
          <w:p w:rsidR="004D6C6A" w:rsidRPr="00782EAE" w:rsidRDefault="004D6C6A" w:rsidP="00693CC0">
            <w:pPr>
              <w:rPr>
                <w:rFonts w:ascii="Calibri" w:hAnsi="Calibri" w:cs="Calibri"/>
                <w:lang w:val="en-US"/>
              </w:rPr>
            </w:pPr>
            <w:r w:rsidRPr="00782EAE">
              <w:rPr>
                <w:rFonts w:ascii="Calibri" w:hAnsi="Calibri" w:cs="Calibri"/>
                <w:lang w:val="en-US"/>
              </w:rPr>
              <w:t>Vascular endothelial growth factor</w:t>
            </w:r>
          </w:p>
        </w:tc>
        <w:tc>
          <w:tcPr>
            <w:tcW w:w="3261" w:type="dxa"/>
          </w:tcPr>
          <w:p w:rsidR="004D6C6A" w:rsidRPr="00782EAE" w:rsidRDefault="004D6C6A" w:rsidP="00693CC0">
            <w:pPr>
              <w:rPr>
                <w:rFonts w:ascii="Calibri" w:hAnsi="Calibri" w:cs="Calibri"/>
                <w:lang w:val="en-US"/>
              </w:rPr>
            </w:pPr>
            <w:r w:rsidRPr="00782EAE">
              <w:rPr>
                <w:rFonts w:ascii="Calibri" w:hAnsi="Calibri" w:cs="Calibri"/>
                <w:color w:val="333333"/>
              </w:rPr>
              <w:t>AGGGCAGAATCATCACGAAGT</w:t>
            </w:r>
          </w:p>
        </w:tc>
        <w:tc>
          <w:tcPr>
            <w:tcW w:w="3208" w:type="dxa"/>
          </w:tcPr>
          <w:p w:rsidR="004D6C6A" w:rsidRPr="00782EAE" w:rsidRDefault="004D6C6A" w:rsidP="00693CC0">
            <w:pPr>
              <w:rPr>
                <w:rFonts w:ascii="Calibri" w:hAnsi="Calibri" w:cs="Calibri"/>
                <w:lang w:val="en-US"/>
              </w:rPr>
            </w:pPr>
            <w:r w:rsidRPr="00782EAE">
              <w:rPr>
                <w:rFonts w:ascii="Calibri" w:hAnsi="Calibri" w:cs="Calibri"/>
                <w:color w:val="333333"/>
              </w:rPr>
              <w:t>AGGGTCTCGATTGGATGGCA</w:t>
            </w:r>
          </w:p>
        </w:tc>
      </w:tr>
      <w:tr w:rsidR="004D6C6A" w:rsidTr="00693CC0">
        <w:tc>
          <w:tcPr>
            <w:tcW w:w="3159" w:type="dxa"/>
          </w:tcPr>
          <w:p w:rsidR="004D6C6A" w:rsidRPr="00782EAE" w:rsidRDefault="004D6C6A" w:rsidP="00693CC0">
            <w:pPr>
              <w:rPr>
                <w:rFonts w:ascii="Calibri" w:hAnsi="Calibri" w:cs="Calibri"/>
                <w:lang w:val="en-US"/>
              </w:rPr>
            </w:pPr>
            <w:r w:rsidRPr="00782EAE">
              <w:rPr>
                <w:rFonts w:ascii="Calibri" w:hAnsi="Calibri" w:cs="Calibri"/>
                <w:lang w:val="en-US"/>
              </w:rPr>
              <w:t>Transforming growth factor beta 1</w:t>
            </w:r>
          </w:p>
        </w:tc>
        <w:tc>
          <w:tcPr>
            <w:tcW w:w="3261" w:type="dxa"/>
          </w:tcPr>
          <w:p w:rsidR="004D6C6A" w:rsidRPr="00782EAE" w:rsidRDefault="004D6C6A" w:rsidP="00693CC0">
            <w:pPr>
              <w:rPr>
                <w:rFonts w:ascii="Calibri" w:hAnsi="Calibri" w:cs="Calibri"/>
                <w:lang w:val="en-US"/>
              </w:rPr>
            </w:pPr>
            <w:r w:rsidRPr="00782EAE">
              <w:rPr>
                <w:rFonts w:ascii="Calibri" w:hAnsi="Calibri" w:cs="Calibri"/>
                <w:color w:val="333333"/>
              </w:rPr>
              <w:t>CAATTCCTGGCGATACCTCAG</w:t>
            </w:r>
          </w:p>
        </w:tc>
        <w:tc>
          <w:tcPr>
            <w:tcW w:w="3208" w:type="dxa"/>
          </w:tcPr>
          <w:p w:rsidR="004D6C6A" w:rsidRPr="00782EAE" w:rsidRDefault="004D6C6A" w:rsidP="00693CC0">
            <w:pPr>
              <w:rPr>
                <w:rFonts w:ascii="Calibri" w:hAnsi="Calibri" w:cs="Calibri"/>
                <w:lang w:val="en-US"/>
              </w:rPr>
            </w:pPr>
            <w:r w:rsidRPr="00782EAE">
              <w:rPr>
                <w:rFonts w:ascii="Calibri" w:hAnsi="Calibri" w:cs="Calibri"/>
                <w:color w:val="333333"/>
              </w:rPr>
              <w:t>GCACAACTCCGGTGACATCAA</w:t>
            </w:r>
          </w:p>
        </w:tc>
      </w:tr>
    </w:tbl>
    <w:p w:rsidR="00CB7002" w:rsidRDefault="0032447F" w:rsidP="003A213E">
      <w:pPr>
        <w:pStyle w:val="Default"/>
        <w:pageBreakBefore/>
        <w:jc w:val="both"/>
        <w:rPr>
          <w:sz w:val="23"/>
          <w:szCs w:val="23"/>
          <w:lang w:val="en-US"/>
        </w:rPr>
      </w:pPr>
      <w:r>
        <w:rPr>
          <w:b/>
          <w:noProof/>
          <w:sz w:val="23"/>
          <w:szCs w:val="23"/>
          <w:lang w:eastAsia="fi-FI"/>
        </w:rPr>
        <w:lastRenderedPageBreak/>
        <w:drawing>
          <wp:inline distT="0" distB="0" distL="0" distR="0">
            <wp:extent cx="5837529" cy="3252709"/>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emental Figure 1 Vuorenpaa.tiff"/>
                    <pic:cNvPicPr/>
                  </pic:nvPicPr>
                  <pic:blipFill>
                    <a:blip r:embed="rId5" cstate="print">
                      <a:extLst>
                        <a:ext uri="{28A0092B-C50C-407E-A947-70E740481C1C}">
                          <a14:useLocalDpi xmlns:a14="http://schemas.microsoft.com/office/drawing/2010/main" val="0"/>
                        </a:ext>
                      </a:extLst>
                    </a:blip>
                    <a:stretch>
                      <a:fillRect/>
                    </a:stretch>
                  </pic:blipFill>
                  <pic:spPr>
                    <a:xfrm>
                      <a:off x="0" y="0"/>
                      <a:ext cx="5850751" cy="3260077"/>
                    </a:xfrm>
                    <a:prstGeom prst="rect">
                      <a:avLst/>
                    </a:prstGeom>
                  </pic:spPr>
                </pic:pic>
              </a:graphicData>
            </a:graphic>
          </wp:inline>
        </w:drawing>
      </w:r>
      <w:r>
        <w:rPr>
          <w:b/>
          <w:sz w:val="23"/>
          <w:szCs w:val="23"/>
          <w:lang w:val="en-US"/>
        </w:rPr>
        <w:br/>
      </w:r>
      <w:r>
        <w:rPr>
          <w:b/>
          <w:sz w:val="23"/>
          <w:szCs w:val="23"/>
          <w:lang w:val="en-US"/>
        </w:rPr>
        <w:br/>
      </w:r>
      <w:r w:rsidR="00CB7002" w:rsidRPr="00CB7002">
        <w:rPr>
          <w:b/>
          <w:sz w:val="23"/>
          <w:szCs w:val="23"/>
          <w:lang w:val="en-US"/>
        </w:rPr>
        <w:t>Figure S1.</w:t>
      </w:r>
      <w:r w:rsidR="00CB7002" w:rsidRPr="00CB7002">
        <w:rPr>
          <w:sz w:val="23"/>
          <w:szCs w:val="23"/>
          <w:lang w:val="en-US"/>
        </w:rPr>
        <w:t xml:space="preserve"> </w:t>
      </w:r>
      <w:r w:rsidR="004D6C6A" w:rsidRPr="004D6C6A">
        <w:rPr>
          <w:sz w:val="23"/>
          <w:szCs w:val="23"/>
          <w:lang w:val="en-US"/>
        </w:rPr>
        <w:t>The effect of fetal bovine serum (FBS) on cardiomyocytes morphology and growth in different concentrations. In the absence of serum, the size of the cardiomyocytes (troponin T, red) was exceptionally small. In the presence of 2 % FBS, the morphology of the cardiomyocytes was still small compared to the cardiomyocytes cultured in 5, 10 or 20 % FBS, in which the cells remained their physiological morphology. Due to our objective to create low-serum culture conditions, the serum concentration for the cardiovascular constructs was chosen to be 5 %. Scale bars 200 µm.</w:t>
      </w:r>
      <w:r w:rsidR="00CB7002">
        <w:rPr>
          <w:sz w:val="23"/>
          <w:szCs w:val="23"/>
          <w:lang w:val="en-US"/>
        </w:rPr>
        <w:br w:type="page"/>
      </w:r>
    </w:p>
    <w:p w:rsidR="00CB7002" w:rsidRPr="00CB7002" w:rsidRDefault="0032447F" w:rsidP="00CB7002">
      <w:pPr>
        <w:pStyle w:val="Default"/>
        <w:pageBreakBefore/>
        <w:jc w:val="both"/>
        <w:rPr>
          <w:b/>
          <w:sz w:val="23"/>
          <w:szCs w:val="23"/>
          <w:lang w:val="en-US"/>
        </w:rPr>
      </w:pPr>
      <w:r>
        <w:rPr>
          <w:b/>
          <w:noProof/>
          <w:sz w:val="23"/>
          <w:szCs w:val="23"/>
          <w:lang w:eastAsia="fi-FI"/>
        </w:rPr>
        <w:lastRenderedPageBreak/>
        <w:drawing>
          <wp:inline distT="0" distB="0" distL="0" distR="0" wp14:anchorId="4C99254F" wp14:editId="2A3922D0">
            <wp:extent cx="6234020" cy="156545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plemental Figure 2 Vuorenpaa.tiff"/>
                    <pic:cNvPicPr/>
                  </pic:nvPicPr>
                  <pic:blipFill>
                    <a:blip r:embed="rId6" cstate="print">
                      <a:extLst>
                        <a:ext uri="{28A0092B-C50C-407E-A947-70E740481C1C}">
                          <a14:useLocalDpi xmlns:a14="http://schemas.microsoft.com/office/drawing/2010/main" val="0"/>
                        </a:ext>
                      </a:extLst>
                    </a:blip>
                    <a:stretch>
                      <a:fillRect/>
                    </a:stretch>
                  </pic:blipFill>
                  <pic:spPr>
                    <a:xfrm>
                      <a:off x="0" y="0"/>
                      <a:ext cx="6270533" cy="1574621"/>
                    </a:xfrm>
                    <a:prstGeom prst="rect">
                      <a:avLst/>
                    </a:prstGeom>
                  </pic:spPr>
                </pic:pic>
              </a:graphicData>
            </a:graphic>
          </wp:inline>
        </w:drawing>
      </w:r>
    </w:p>
    <w:p w:rsidR="0032447F" w:rsidRDefault="0032447F" w:rsidP="00CB7002">
      <w:pPr>
        <w:jc w:val="both"/>
        <w:rPr>
          <w:rFonts w:ascii="Times New Roman" w:hAnsi="Times New Roman" w:cs="Times New Roman"/>
          <w:b/>
          <w:color w:val="000000"/>
          <w:sz w:val="23"/>
          <w:szCs w:val="23"/>
          <w:lang w:val="en-US"/>
        </w:rPr>
      </w:pPr>
    </w:p>
    <w:p w:rsidR="004D6C6A" w:rsidRPr="004D6C6A" w:rsidRDefault="00CB7002" w:rsidP="004D6C6A">
      <w:pPr>
        <w:jc w:val="both"/>
        <w:rPr>
          <w:lang w:val="en-US"/>
        </w:rPr>
      </w:pPr>
      <w:r w:rsidRPr="00CB7002">
        <w:rPr>
          <w:rFonts w:ascii="Times New Roman" w:hAnsi="Times New Roman" w:cs="Times New Roman"/>
          <w:b/>
          <w:color w:val="000000"/>
          <w:sz w:val="23"/>
          <w:szCs w:val="23"/>
          <w:lang w:val="en-US"/>
        </w:rPr>
        <w:t>Figure S2.</w:t>
      </w:r>
      <w:r w:rsidRPr="00CB7002">
        <w:rPr>
          <w:rFonts w:ascii="Times New Roman" w:hAnsi="Times New Roman" w:cs="Times New Roman"/>
          <w:color w:val="000000"/>
          <w:sz w:val="23"/>
          <w:szCs w:val="23"/>
          <w:lang w:val="en-US"/>
        </w:rPr>
        <w:t xml:space="preserve"> </w:t>
      </w:r>
      <w:r w:rsidR="004D6C6A" w:rsidRPr="004D6C6A">
        <w:rPr>
          <w:rFonts w:ascii="Times New Roman" w:hAnsi="Times New Roman" w:cs="Times New Roman"/>
          <w:color w:val="000000"/>
          <w:sz w:val="23"/>
          <w:szCs w:val="23"/>
          <w:lang w:val="en-US"/>
        </w:rPr>
        <w:t>Calcium cycling of cardiovascular construct and CM monoculture. (a) Representative calcium traces of adrenaline response of CM monoculture and cardiovascular construct. (b) Ratio of adrenalin and baseline measurements of CM monoculture (n=16) and cardiovascular construct (n=26). Values during adrenaline stimulation were divided by values during baseline separately for each cell. The value 1 represents no change between baseline and adrenaline. Error bars: SEM, * p&lt;0.05, a significant difference between cardiomyocyte monoculture and cardiovascular construct.</w:t>
      </w:r>
    </w:p>
    <w:p w:rsidR="00CB7002" w:rsidRPr="004D6C6A" w:rsidRDefault="00CB7002" w:rsidP="00CB7002">
      <w:pPr>
        <w:jc w:val="both"/>
        <w:rPr>
          <w:rFonts w:ascii="Times New Roman" w:hAnsi="Times New Roman" w:cs="Times New Roman"/>
          <w:color w:val="000000"/>
          <w:sz w:val="23"/>
          <w:szCs w:val="23"/>
          <w:lang w:val="en-US"/>
        </w:rPr>
      </w:pPr>
    </w:p>
    <w:p w:rsidR="00CB7002" w:rsidRDefault="00CB7002">
      <w:pPr>
        <w:rPr>
          <w:rFonts w:ascii="Times New Roman" w:hAnsi="Times New Roman" w:cs="Times New Roman"/>
          <w:color w:val="000000"/>
          <w:sz w:val="23"/>
          <w:szCs w:val="23"/>
          <w:lang w:val="en-US"/>
        </w:rPr>
      </w:pPr>
      <w:r>
        <w:rPr>
          <w:rFonts w:ascii="Times New Roman" w:hAnsi="Times New Roman" w:cs="Times New Roman"/>
          <w:color w:val="000000"/>
          <w:sz w:val="23"/>
          <w:szCs w:val="23"/>
          <w:lang w:val="en-US"/>
        </w:rPr>
        <w:br w:type="page"/>
      </w:r>
    </w:p>
    <w:p w:rsidR="004D6C6A" w:rsidRPr="00CB7002" w:rsidRDefault="004D6C6A" w:rsidP="004D6C6A">
      <w:pPr>
        <w:jc w:val="both"/>
        <w:rPr>
          <w:rFonts w:ascii="Times New Roman" w:hAnsi="Times New Roman" w:cs="Times New Roman"/>
          <w:color w:val="000000"/>
          <w:sz w:val="23"/>
          <w:szCs w:val="23"/>
          <w:lang w:val="en-US"/>
        </w:rPr>
      </w:pPr>
      <w:r w:rsidRPr="00CB7002">
        <w:rPr>
          <w:rFonts w:ascii="Times New Roman" w:hAnsi="Times New Roman" w:cs="Times New Roman"/>
          <w:b/>
          <w:color w:val="000000"/>
          <w:sz w:val="23"/>
          <w:szCs w:val="23"/>
          <w:lang w:val="en-US"/>
        </w:rPr>
        <w:lastRenderedPageBreak/>
        <w:t>Video S1.</w:t>
      </w:r>
      <w:r w:rsidRPr="00CB7002">
        <w:rPr>
          <w:rFonts w:ascii="Times New Roman" w:hAnsi="Times New Roman" w:cs="Times New Roman"/>
          <w:color w:val="000000"/>
          <w:sz w:val="23"/>
          <w:szCs w:val="23"/>
          <w:lang w:val="en-US"/>
        </w:rPr>
        <w:t xml:space="preserve"> An example of the contractility of cardiomyocyte monoculture with 20x magnification with moderately beating separate areas. </w:t>
      </w:r>
    </w:p>
    <w:p w:rsidR="004D6C6A" w:rsidRPr="00CB7002" w:rsidRDefault="004D6C6A" w:rsidP="004D6C6A">
      <w:pPr>
        <w:jc w:val="both"/>
        <w:rPr>
          <w:rFonts w:ascii="Times New Roman" w:hAnsi="Times New Roman" w:cs="Times New Roman"/>
          <w:color w:val="000000"/>
          <w:sz w:val="23"/>
          <w:szCs w:val="23"/>
          <w:lang w:val="en-US"/>
        </w:rPr>
      </w:pPr>
    </w:p>
    <w:p w:rsidR="004D6C6A" w:rsidRPr="00CB7002" w:rsidRDefault="004D6C6A" w:rsidP="004D6C6A">
      <w:pPr>
        <w:jc w:val="both"/>
        <w:rPr>
          <w:rFonts w:ascii="Times New Roman" w:hAnsi="Times New Roman" w:cs="Times New Roman"/>
          <w:color w:val="000000"/>
          <w:sz w:val="23"/>
          <w:szCs w:val="23"/>
          <w:lang w:val="en-US"/>
        </w:rPr>
      </w:pPr>
      <w:r w:rsidRPr="00CB7002">
        <w:rPr>
          <w:rFonts w:ascii="Times New Roman" w:hAnsi="Times New Roman" w:cs="Times New Roman"/>
          <w:b/>
          <w:color w:val="000000"/>
          <w:sz w:val="23"/>
          <w:szCs w:val="23"/>
          <w:lang w:val="en-US"/>
        </w:rPr>
        <w:t>Video S2.</w:t>
      </w:r>
      <w:r w:rsidRPr="00CB7002">
        <w:rPr>
          <w:rFonts w:ascii="Times New Roman" w:hAnsi="Times New Roman" w:cs="Times New Roman"/>
          <w:color w:val="000000"/>
          <w:sz w:val="23"/>
          <w:szCs w:val="23"/>
          <w:lang w:val="en-US"/>
        </w:rPr>
        <w:t xml:space="preserve"> An example of the contractility of cardiovascular model with 20x magnification with synchronous and strong beating.</w:t>
      </w:r>
    </w:p>
    <w:p w:rsidR="004D6C6A" w:rsidRPr="00CB7002" w:rsidRDefault="004D6C6A" w:rsidP="004D6C6A">
      <w:pPr>
        <w:jc w:val="both"/>
        <w:rPr>
          <w:rFonts w:ascii="Times New Roman" w:hAnsi="Times New Roman" w:cs="Times New Roman"/>
          <w:color w:val="000000"/>
          <w:sz w:val="23"/>
          <w:szCs w:val="23"/>
          <w:lang w:val="en-US"/>
        </w:rPr>
      </w:pPr>
    </w:p>
    <w:p w:rsidR="004D6C6A" w:rsidRPr="00CB7002" w:rsidRDefault="004D6C6A" w:rsidP="004D6C6A">
      <w:pPr>
        <w:jc w:val="both"/>
        <w:rPr>
          <w:rFonts w:ascii="Times New Roman" w:hAnsi="Times New Roman" w:cs="Times New Roman"/>
          <w:color w:val="000000"/>
          <w:sz w:val="23"/>
          <w:szCs w:val="23"/>
          <w:lang w:val="en-US"/>
        </w:rPr>
      </w:pPr>
      <w:r w:rsidRPr="00CB7002">
        <w:rPr>
          <w:rFonts w:ascii="Times New Roman" w:hAnsi="Times New Roman" w:cs="Times New Roman"/>
          <w:b/>
          <w:color w:val="000000"/>
          <w:sz w:val="23"/>
          <w:szCs w:val="23"/>
          <w:lang w:val="en-US"/>
        </w:rPr>
        <w:t>Video S3.</w:t>
      </w:r>
      <w:r w:rsidRPr="00CB7002">
        <w:rPr>
          <w:rFonts w:ascii="Times New Roman" w:hAnsi="Times New Roman" w:cs="Times New Roman"/>
          <w:color w:val="000000"/>
          <w:sz w:val="23"/>
          <w:szCs w:val="23"/>
          <w:lang w:val="en-US"/>
        </w:rPr>
        <w:t xml:space="preserve"> An example of the contractility of cardiovascular model with 10x magnification, demonstrating the large size of synchronously beating areas. </w:t>
      </w:r>
    </w:p>
    <w:p w:rsidR="001051E8" w:rsidRPr="00CB7002" w:rsidRDefault="001051E8" w:rsidP="00CB7002">
      <w:pPr>
        <w:jc w:val="both"/>
        <w:rPr>
          <w:rFonts w:ascii="Times New Roman" w:hAnsi="Times New Roman" w:cs="Times New Roman"/>
          <w:color w:val="000000"/>
          <w:sz w:val="23"/>
          <w:szCs w:val="23"/>
          <w:lang w:val="en-US"/>
        </w:rPr>
      </w:pPr>
    </w:p>
    <w:sectPr w:rsidR="001051E8" w:rsidRPr="00CB7002">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002"/>
    <w:rsid w:val="000240A7"/>
    <w:rsid w:val="00043F75"/>
    <w:rsid w:val="00047E2F"/>
    <w:rsid w:val="000A23EF"/>
    <w:rsid w:val="000B427F"/>
    <w:rsid w:val="001051E8"/>
    <w:rsid w:val="00112DC0"/>
    <w:rsid w:val="00134B94"/>
    <w:rsid w:val="001540CB"/>
    <w:rsid w:val="00161121"/>
    <w:rsid w:val="00180B6D"/>
    <w:rsid w:val="001D7FAE"/>
    <w:rsid w:val="001E0875"/>
    <w:rsid w:val="001E0C1F"/>
    <w:rsid w:val="0020538F"/>
    <w:rsid w:val="0024757B"/>
    <w:rsid w:val="002501D3"/>
    <w:rsid w:val="00275548"/>
    <w:rsid w:val="00315B90"/>
    <w:rsid w:val="00322FDA"/>
    <w:rsid w:val="0032447F"/>
    <w:rsid w:val="00352B8B"/>
    <w:rsid w:val="003A213E"/>
    <w:rsid w:val="003A5B03"/>
    <w:rsid w:val="003C7211"/>
    <w:rsid w:val="003C7821"/>
    <w:rsid w:val="003F241A"/>
    <w:rsid w:val="00423A6D"/>
    <w:rsid w:val="00463CAD"/>
    <w:rsid w:val="00483286"/>
    <w:rsid w:val="004D0A08"/>
    <w:rsid w:val="004D6C6A"/>
    <w:rsid w:val="00500AD3"/>
    <w:rsid w:val="00513D16"/>
    <w:rsid w:val="00521571"/>
    <w:rsid w:val="00570B7B"/>
    <w:rsid w:val="005A769D"/>
    <w:rsid w:val="005B59E0"/>
    <w:rsid w:val="005D4501"/>
    <w:rsid w:val="005F7B45"/>
    <w:rsid w:val="00621B24"/>
    <w:rsid w:val="00655308"/>
    <w:rsid w:val="00675C71"/>
    <w:rsid w:val="00695733"/>
    <w:rsid w:val="006F18F1"/>
    <w:rsid w:val="006F2E3C"/>
    <w:rsid w:val="007140CC"/>
    <w:rsid w:val="00740B93"/>
    <w:rsid w:val="00747786"/>
    <w:rsid w:val="00751C9D"/>
    <w:rsid w:val="007D5F71"/>
    <w:rsid w:val="007E642C"/>
    <w:rsid w:val="0082776A"/>
    <w:rsid w:val="00846F55"/>
    <w:rsid w:val="00883334"/>
    <w:rsid w:val="008B5D3F"/>
    <w:rsid w:val="009163F0"/>
    <w:rsid w:val="00926ACE"/>
    <w:rsid w:val="009D7D19"/>
    <w:rsid w:val="00A14F64"/>
    <w:rsid w:val="00A15623"/>
    <w:rsid w:val="00A30B7C"/>
    <w:rsid w:val="00A80495"/>
    <w:rsid w:val="00AB3688"/>
    <w:rsid w:val="00AC314D"/>
    <w:rsid w:val="00B159E7"/>
    <w:rsid w:val="00B20C35"/>
    <w:rsid w:val="00B7365D"/>
    <w:rsid w:val="00B91520"/>
    <w:rsid w:val="00BA1AC9"/>
    <w:rsid w:val="00BE5752"/>
    <w:rsid w:val="00BE5A6A"/>
    <w:rsid w:val="00C058FB"/>
    <w:rsid w:val="00C42005"/>
    <w:rsid w:val="00C830CB"/>
    <w:rsid w:val="00C92ADB"/>
    <w:rsid w:val="00CB2BE7"/>
    <w:rsid w:val="00CB7002"/>
    <w:rsid w:val="00CF5709"/>
    <w:rsid w:val="00D147FE"/>
    <w:rsid w:val="00D1780A"/>
    <w:rsid w:val="00DB7989"/>
    <w:rsid w:val="00DD65D9"/>
    <w:rsid w:val="00DE5109"/>
    <w:rsid w:val="00DE628E"/>
    <w:rsid w:val="00DE7740"/>
    <w:rsid w:val="00E057D5"/>
    <w:rsid w:val="00E10FBE"/>
    <w:rsid w:val="00E17C94"/>
    <w:rsid w:val="00E21124"/>
    <w:rsid w:val="00E514D5"/>
    <w:rsid w:val="00E667CD"/>
    <w:rsid w:val="00EA127C"/>
    <w:rsid w:val="00EE3D08"/>
    <w:rsid w:val="00FA014D"/>
    <w:rsid w:val="00FA2CBD"/>
    <w:rsid w:val="00FA733E"/>
    <w:rsid w:val="00FD3575"/>
    <w:rsid w:val="00FE5210"/>
    <w:rsid w:val="00FF3B6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FA535A-84F0-49C6-8993-F52F88BE8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B7002"/>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CB7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tiff"/><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4AAD2-D67F-4A04-85D6-1AA4599E3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314</Words>
  <Characters>2545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Tampereen yliopisto</Company>
  <LinksUpToDate>false</LinksUpToDate>
  <CharactersWithSpaces>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Kirsi Penttinen</dc:creator>
  <cp:keywords/>
  <dc:description/>
  <cp:lastModifiedBy>Kirsi Penttinen</cp:lastModifiedBy>
  <cp:revision>2</cp:revision>
  <dcterms:created xsi:type="dcterms:W3CDTF">2017-03-15T09:53:00Z</dcterms:created>
  <dcterms:modified xsi:type="dcterms:W3CDTF">2017-03-15T09:53:00Z</dcterms:modified>
</cp:coreProperties>
</file>