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BAE" w:rsidRPr="00510BAE" w:rsidRDefault="00510BAE" w:rsidP="00510BAE">
      <w:pPr>
        <w:pStyle w:val="Articletitle"/>
        <w:spacing w:line="480" w:lineRule="auto"/>
        <w:jc w:val="both"/>
        <w:rPr>
          <w:color w:val="000000" w:themeColor="text1"/>
          <w:sz w:val="24"/>
          <w:lang w:val="en-US"/>
        </w:rPr>
      </w:pPr>
      <w:r w:rsidRPr="00510BAE">
        <w:rPr>
          <w:sz w:val="24"/>
        </w:rPr>
        <w:t>CYTOTECHNOLOGY</w:t>
      </w:r>
    </w:p>
    <w:p w:rsidR="00510BAE" w:rsidRDefault="00510BAE" w:rsidP="00510BAE">
      <w:pPr>
        <w:pStyle w:val="Articletitle"/>
        <w:spacing w:line="480" w:lineRule="auto"/>
        <w:jc w:val="both"/>
        <w:rPr>
          <w:color w:val="000000" w:themeColor="text1"/>
          <w:sz w:val="24"/>
          <w:lang w:val="en-US"/>
        </w:rPr>
      </w:pPr>
      <w:r>
        <w:rPr>
          <w:color w:val="000000" w:themeColor="text1"/>
          <w:sz w:val="24"/>
          <w:lang w:val="en-US"/>
        </w:rPr>
        <w:t>“</w:t>
      </w:r>
      <w:r w:rsidRPr="00670FDF">
        <w:rPr>
          <w:color w:val="000000" w:themeColor="text1"/>
          <w:sz w:val="24"/>
          <w:lang w:val="en-US"/>
        </w:rPr>
        <w:t>Co-culture of JEG-3, BeWo and syncBeWo cell lines with adrenal H295R cell line: an alternative model for examining endocrine and metabolic properties of the fetoplacental unit.</w:t>
      </w:r>
      <w:r>
        <w:rPr>
          <w:color w:val="000000" w:themeColor="text1"/>
          <w:sz w:val="24"/>
          <w:lang w:val="en-US"/>
        </w:rPr>
        <w:t>”</w:t>
      </w:r>
    </w:p>
    <w:p w:rsidR="00510BAE" w:rsidRPr="00670FDF" w:rsidRDefault="00510BAE" w:rsidP="00510BAE">
      <w:pPr>
        <w:pStyle w:val="Authornames"/>
        <w:spacing w:line="480" w:lineRule="auto"/>
        <w:jc w:val="both"/>
        <w:rPr>
          <w:color w:val="000000" w:themeColor="text1"/>
          <w:sz w:val="24"/>
          <w:vertAlign w:val="superscript"/>
          <w:lang w:val="pl-PL"/>
        </w:rPr>
      </w:pPr>
      <w:r w:rsidRPr="00670FDF">
        <w:rPr>
          <w:color w:val="000000" w:themeColor="text1"/>
          <w:sz w:val="24"/>
          <w:lang w:val="pl-PL"/>
        </w:rPr>
        <w:t>Eliza Drwal</w:t>
      </w:r>
      <w:r w:rsidRPr="00670FDF">
        <w:rPr>
          <w:color w:val="000000" w:themeColor="text1"/>
          <w:sz w:val="24"/>
          <w:vertAlign w:val="superscript"/>
          <w:lang w:val="pl-PL"/>
        </w:rPr>
        <w:t>1</w:t>
      </w:r>
      <w:r w:rsidRPr="00670FDF">
        <w:rPr>
          <w:color w:val="000000" w:themeColor="text1"/>
          <w:sz w:val="24"/>
          <w:lang w:val="pl-PL"/>
        </w:rPr>
        <w:t>, Agnieszka Rak</w:t>
      </w:r>
      <w:r w:rsidRPr="00670FDF">
        <w:rPr>
          <w:color w:val="000000" w:themeColor="text1"/>
          <w:sz w:val="24"/>
          <w:vertAlign w:val="superscript"/>
          <w:lang w:val="pl-PL"/>
        </w:rPr>
        <w:t>1</w:t>
      </w:r>
      <w:r w:rsidRPr="00670FDF">
        <w:rPr>
          <w:color w:val="000000" w:themeColor="text1"/>
          <w:sz w:val="24"/>
          <w:lang w:val="pl-PL"/>
        </w:rPr>
        <w:t>, Ewa Gregoraszczuk</w:t>
      </w:r>
      <w:r w:rsidRPr="00670FDF">
        <w:rPr>
          <w:color w:val="000000" w:themeColor="text1"/>
          <w:sz w:val="24"/>
          <w:vertAlign w:val="superscript"/>
          <w:lang w:val="pl-PL"/>
        </w:rPr>
        <w:t>1,2</w:t>
      </w:r>
    </w:p>
    <w:p w:rsidR="00510BAE" w:rsidRPr="00670FDF" w:rsidRDefault="00510BAE" w:rsidP="00510BAE">
      <w:pPr>
        <w:jc w:val="both"/>
        <w:rPr>
          <w:color w:val="000000" w:themeColor="text1"/>
          <w:lang w:val="pl-PL"/>
        </w:rPr>
      </w:pPr>
    </w:p>
    <w:p w:rsidR="00510BAE" w:rsidRPr="00670FDF" w:rsidRDefault="00510BAE" w:rsidP="00510BAE">
      <w:pPr>
        <w:pStyle w:val="Affiliation"/>
        <w:spacing w:line="480" w:lineRule="auto"/>
        <w:jc w:val="both"/>
        <w:rPr>
          <w:color w:val="000000" w:themeColor="text1"/>
          <w:lang w:val="en-US"/>
        </w:rPr>
      </w:pPr>
      <w:r w:rsidRPr="00670FDF">
        <w:rPr>
          <w:color w:val="000000" w:themeColor="text1"/>
          <w:vertAlign w:val="superscript"/>
          <w:lang w:val="en-US"/>
        </w:rPr>
        <w:t>1</w:t>
      </w:r>
      <w:r w:rsidRPr="00670FDF">
        <w:rPr>
          <w:color w:val="000000" w:themeColor="text1"/>
          <w:lang w:val="en-US"/>
        </w:rPr>
        <w:t>Department of Physiology and Toxicology of Reproduction, Institute of Zoology and Biomedical Research, Jagiellonian University in Krakow, Krakow, Poland</w:t>
      </w:r>
    </w:p>
    <w:p w:rsidR="00510BAE" w:rsidRPr="00510BAE" w:rsidRDefault="00510BAE" w:rsidP="00510BAE">
      <w:pPr>
        <w:pStyle w:val="Correspondencedetails"/>
        <w:spacing w:line="480" w:lineRule="auto"/>
        <w:jc w:val="both"/>
        <w:rPr>
          <w:bCs/>
          <w:color w:val="000000" w:themeColor="text1"/>
          <w:lang w:val="en-US"/>
        </w:rPr>
      </w:pPr>
      <w:r w:rsidRPr="00670FDF">
        <w:rPr>
          <w:color w:val="000000" w:themeColor="text1"/>
          <w:vertAlign w:val="superscript"/>
          <w:lang w:val="en-US"/>
        </w:rPr>
        <w:t>2</w:t>
      </w:r>
      <w:r w:rsidRPr="00670FDF">
        <w:rPr>
          <w:color w:val="000000" w:themeColor="text1"/>
          <w:lang w:val="en-US"/>
        </w:rPr>
        <w:t xml:space="preserve">Correspondence to: </w:t>
      </w:r>
      <w:r w:rsidRPr="00510BAE">
        <w:rPr>
          <w:color w:val="000000" w:themeColor="text1"/>
          <w:lang w:val="en-US"/>
        </w:rPr>
        <w:t>ewa.gregoraszczuk@uj.edu.pl</w:t>
      </w: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510BAE">
      <w:pPr>
        <w:rPr>
          <w:rFonts w:ascii="Times New Roman" w:hAnsi="Times New Roman"/>
          <w:b/>
          <w:sz w:val="24"/>
          <w:szCs w:val="24"/>
        </w:rPr>
      </w:pPr>
    </w:p>
    <w:p w:rsidR="008450F6" w:rsidRDefault="008450F6">
      <w:r w:rsidRPr="008450F6">
        <w:rPr>
          <w:noProof/>
          <w:lang w:val="pl-PL" w:eastAsia="pl-PL"/>
        </w:rPr>
        <w:lastRenderedPageBreak/>
        <w:drawing>
          <wp:inline distT="0" distB="0" distL="0" distR="0">
            <wp:extent cx="3495676" cy="2133599"/>
            <wp:effectExtent l="0" t="0" r="0" b="0"/>
            <wp:docPr id="3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450F6" w:rsidRDefault="008450F6"/>
    <w:p w:rsidR="00D44C3E" w:rsidRPr="006C7A6C" w:rsidRDefault="001E0D4C">
      <w:pPr>
        <w:rPr>
          <w:color w:val="FF0000"/>
        </w:rPr>
      </w:pPr>
      <w:r w:rsidRPr="006C7A6C">
        <w:rPr>
          <w:rFonts w:ascii="Times New Roman" w:hAnsi="Times New Roman"/>
          <w:b/>
          <w:color w:val="FF0000"/>
          <w:sz w:val="24"/>
        </w:rPr>
        <w:t>Fig.1.</w:t>
      </w:r>
      <w:r w:rsidRPr="006C7A6C">
        <w:rPr>
          <w:rFonts w:ascii="Times New Roman" w:hAnsi="Times New Roman"/>
          <w:color w:val="FF0000"/>
          <w:sz w:val="24"/>
        </w:rPr>
        <w:t xml:space="preserve"> Alamar blue assay in</w:t>
      </w:r>
      <w:r w:rsidR="00175BDB" w:rsidRPr="006C7A6C">
        <w:rPr>
          <w:rFonts w:ascii="Times New Roman" w:hAnsi="Times New Roman"/>
          <w:color w:val="FF0000"/>
          <w:sz w:val="24"/>
        </w:rPr>
        <w:t xml:space="preserve"> monoculture of syncBeWo and </w:t>
      </w:r>
      <w:r w:rsidRPr="006C7A6C">
        <w:rPr>
          <w:rFonts w:ascii="Times New Roman" w:hAnsi="Times New Roman"/>
          <w:color w:val="FF0000"/>
          <w:sz w:val="24"/>
        </w:rPr>
        <w:t xml:space="preserve">co-culture of syncBeWo with H295R cells </w:t>
      </w:r>
      <w:r w:rsidR="006C7A6C" w:rsidRPr="006C7A6C">
        <w:rPr>
          <w:rFonts w:ascii="Times New Roman" w:hAnsi="Times New Roman"/>
          <w:color w:val="FF0000"/>
          <w:sz w:val="24"/>
        </w:rPr>
        <w:t>after trypsynization</w:t>
      </w:r>
      <w:r w:rsidR="006C7A6C" w:rsidRPr="006C7A6C">
        <w:rPr>
          <w:rFonts w:ascii="Times New Roman" w:hAnsi="Times New Roman"/>
          <w:color w:val="FF0000"/>
          <w:sz w:val="24"/>
        </w:rPr>
        <w:t xml:space="preserve"> </w:t>
      </w:r>
      <w:r w:rsidR="006C7A6C">
        <w:rPr>
          <w:rFonts w:ascii="Times New Roman" w:hAnsi="Times New Roman"/>
          <w:color w:val="FF0000"/>
          <w:sz w:val="24"/>
        </w:rPr>
        <w:t>at</w:t>
      </w:r>
      <w:r w:rsidRPr="006C7A6C">
        <w:rPr>
          <w:rFonts w:ascii="Times New Roman" w:hAnsi="Times New Roman"/>
          <w:color w:val="FF0000"/>
          <w:sz w:val="24"/>
        </w:rPr>
        <w:t xml:space="preserve"> 24 and 72 h</w:t>
      </w:r>
      <w:r w:rsidR="00175BDB" w:rsidRPr="006C7A6C">
        <w:rPr>
          <w:rFonts w:ascii="Times New Roman" w:hAnsi="Times New Roman"/>
          <w:color w:val="FF0000"/>
          <w:sz w:val="24"/>
        </w:rPr>
        <w:t xml:space="preserve"> </w:t>
      </w:r>
      <w:r w:rsidR="006C7A6C">
        <w:rPr>
          <w:rFonts w:ascii="Times New Roman" w:hAnsi="Times New Roman"/>
          <w:color w:val="FF0000"/>
          <w:sz w:val="24"/>
        </w:rPr>
        <w:t>of culture</w:t>
      </w:r>
      <w:r w:rsidRPr="006C7A6C">
        <w:rPr>
          <w:rFonts w:ascii="Times New Roman" w:hAnsi="Times New Roman"/>
          <w:color w:val="FF0000"/>
          <w:sz w:val="24"/>
        </w:rPr>
        <w:t xml:space="preserve">. </w:t>
      </w:r>
      <w:bookmarkStart w:id="0" w:name="_GoBack"/>
      <w:bookmarkEnd w:id="0"/>
    </w:p>
    <w:p w:rsidR="00D44C3E" w:rsidRDefault="00D44C3E"/>
    <w:sectPr w:rsidR="00D44C3E" w:rsidSect="00D44C3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8C6" w:rsidRDefault="003968C6" w:rsidP="00D44C3E">
      <w:pPr>
        <w:spacing w:after="0" w:line="240" w:lineRule="auto"/>
      </w:pPr>
      <w:r>
        <w:separator/>
      </w:r>
    </w:p>
  </w:endnote>
  <w:endnote w:type="continuationSeparator" w:id="0">
    <w:p w:rsidR="003968C6" w:rsidRDefault="003968C6" w:rsidP="00D4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8C6" w:rsidRDefault="003968C6" w:rsidP="00D44C3E">
      <w:pPr>
        <w:spacing w:after="0" w:line="240" w:lineRule="auto"/>
      </w:pPr>
      <w:r w:rsidRPr="00D44C3E">
        <w:rPr>
          <w:color w:val="000000"/>
        </w:rPr>
        <w:separator/>
      </w:r>
    </w:p>
  </w:footnote>
  <w:footnote w:type="continuationSeparator" w:id="0">
    <w:p w:rsidR="003968C6" w:rsidRDefault="003968C6" w:rsidP="00D4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3E"/>
    <w:rsid w:val="00175BDB"/>
    <w:rsid w:val="0018779C"/>
    <w:rsid w:val="001E0D4C"/>
    <w:rsid w:val="002919D0"/>
    <w:rsid w:val="002C18E4"/>
    <w:rsid w:val="003968C6"/>
    <w:rsid w:val="00510BAE"/>
    <w:rsid w:val="00586DF8"/>
    <w:rsid w:val="0069302F"/>
    <w:rsid w:val="006C7A6C"/>
    <w:rsid w:val="008450F6"/>
    <w:rsid w:val="00D44C3E"/>
    <w:rsid w:val="00DD7A2C"/>
    <w:rsid w:val="00E2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0B1FC"/>
  <w15:docId w15:val="{C0B1EE58-F7B5-4234-A09B-F5DBD45C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D44C3E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rsid w:val="00D4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D44C3E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  <w:rsid w:val="00175BDB"/>
  </w:style>
  <w:style w:type="character" w:styleId="Uwydatnienie">
    <w:name w:val="Emphasis"/>
    <w:basedOn w:val="Domylnaczcionkaakapitu"/>
    <w:uiPriority w:val="20"/>
    <w:qFormat/>
    <w:rsid w:val="00175BDB"/>
    <w:rPr>
      <w:i/>
      <w:iCs/>
    </w:rPr>
  </w:style>
  <w:style w:type="paragraph" w:customStyle="1" w:styleId="Articletitle">
    <w:name w:val="Article title"/>
    <w:basedOn w:val="Normalny"/>
    <w:next w:val="Normalny"/>
    <w:qFormat/>
    <w:rsid w:val="00510BAE"/>
    <w:pPr>
      <w:suppressAutoHyphens w:val="0"/>
      <w:autoSpaceDN/>
      <w:spacing w:after="120" w:line="360" w:lineRule="auto"/>
      <w:textAlignment w:val="auto"/>
    </w:pPr>
    <w:rPr>
      <w:rFonts w:ascii="Times New Roman" w:hAnsi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ny"/>
    <w:next w:val="Normalny"/>
    <w:qFormat/>
    <w:rsid w:val="00510BAE"/>
    <w:pPr>
      <w:suppressAutoHyphens w:val="0"/>
      <w:autoSpaceDN/>
      <w:spacing w:before="240" w:after="0" w:line="360" w:lineRule="auto"/>
      <w:textAlignment w:val="auto"/>
    </w:pPr>
    <w:rPr>
      <w:rFonts w:ascii="Times New Roman" w:hAnsi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ny"/>
    <w:qFormat/>
    <w:rsid w:val="00510BAE"/>
    <w:pPr>
      <w:suppressAutoHyphens w:val="0"/>
      <w:autoSpaceDN/>
      <w:spacing w:before="240" w:after="0" w:line="360" w:lineRule="auto"/>
      <w:textAlignment w:val="auto"/>
    </w:pPr>
    <w:rPr>
      <w:rFonts w:ascii="Times New Roman" w:hAnsi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ny"/>
    <w:qFormat/>
    <w:rsid w:val="00510BAE"/>
    <w:pPr>
      <w:suppressAutoHyphens w:val="0"/>
      <w:autoSpaceDN/>
      <w:spacing w:before="240" w:after="0" w:line="360" w:lineRule="auto"/>
      <w:textAlignment w:val="auto"/>
    </w:pPr>
    <w:rPr>
      <w:rFonts w:ascii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liza%20Drwal\Alamar%20blue%20PRELUDIUM%201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Arkusz1!$D$4</c:f>
              <c:strCache>
                <c:ptCount val="1"/>
                <c:pt idx="0">
                  <c:v>24 h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percentage"/>
            <c:noEndCap val="0"/>
            <c:val val="5"/>
          </c:errBars>
          <c:cat>
            <c:multiLvlStrRef>
              <c:f>Arkusz1!$E$2:$G$3</c:f>
              <c:multiLvlStrCache>
                <c:ptCount val="3"/>
                <c:lvl>
                  <c:pt idx="0">
                    <c:v>syncBeWo</c:v>
                  </c:pt>
                  <c:pt idx="1">
                    <c:v>syncBeWo</c:v>
                  </c:pt>
                  <c:pt idx="2">
                    <c:v>H295R</c:v>
                  </c:pt>
                </c:lvl>
                <c:lvl>
                  <c:pt idx="0">
                    <c:v>Monoculture</c:v>
                  </c:pt>
                  <c:pt idx="1">
                    <c:v>Co-culture</c:v>
                  </c:pt>
                </c:lvl>
              </c:multiLvlStrCache>
            </c:multiLvlStrRef>
          </c:cat>
          <c:val>
            <c:numRef>
              <c:f>Arkusz1!$E$4:$G$4</c:f>
              <c:numCache>
                <c:formatCode>General</c:formatCode>
                <c:ptCount val="3"/>
                <c:pt idx="0">
                  <c:v>48562.400000000001</c:v>
                </c:pt>
                <c:pt idx="1">
                  <c:v>49403.5</c:v>
                </c:pt>
                <c:pt idx="2">
                  <c:v>5438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9A-48A0-9AC6-4C427DB90E75}"/>
            </c:ext>
          </c:extLst>
        </c:ser>
        <c:ser>
          <c:idx val="1"/>
          <c:order val="1"/>
          <c:tx>
            <c:strRef>
              <c:f>Arkusz1!$D$5</c:f>
              <c:strCache>
                <c:ptCount val="1"/>
                <c:pt idx="0">
                  <c:v>72 h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solidFill>
                <a:prstClr val="black"/>
              </a:solidFill>
            </a:ln>
          </c:spPr>
          <c:invertIfNegative val="0"/>
          <c:errBars>
            <c:errBarType val="both"/>
            <c:errValType val="percentage"/>
            <c:noEndCap val="0"/>
            <c:val val="5"/>
          </c:errBars>
          <c:cat>
            <c:multiLvlStrRef>
              <c:f>Arkusz1!$E$2:$G$3</c:f>
              <c:multiLvlStrCache>
                <c:ptCount val="3"/>
                <c:lvl>
                  <c:pt idx="0">
                    <c:v>syncBeWo</c:v>
                  </c:pt>
                  <c:pt idx="1">
                    <c:v>syncBeWo</c:v>
                  </c:pt>
                  <c:pt idx="2">
                    <c:v>H295R</c:v>
                  </c:pt>
                </c:lvl>
                <c:lvl>
                  <c:pt idx="0">
                    <c:v>Monoculture</c:v>
                  </c:pt>
                  <c:pt idx="1">
                    <c:v>Co-culture</c:v>
                  </c:pt>
                </c:lvl>
              </c:multiLvlStrCache>
            </c:multiLvlStrRef>
          </c:cat>
          <c:val>
            <c:numRef>
              <c:f>Arkusz1!$E$5:$G$5</c:f>
              <c:numCache>
                <c:formatCode>General</c:formatCode>
                <c:ptCount val="3"/>
                <c:pt idx="0">
                  <c:v>51269.599999999999</c:v>
                </c:pt>
                <c:pt idx="1">
                  <c:v>44534.25</c:v>
                </c:pt>
                <c:pt idx="2">
                  <c:v>13029.5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9A-48A0-9AC6-4C427DB90E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7"/>
        <c:overlap val="-23"/>
        <c:axId val="55341824"/>
        <c:axId val="55343360"/>
      </c:barChart>
      <c:catAx>
        <c:axId val="553418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55343360"/>
        <c:crosses val="autoZero"/>
        <c:auto val="1"/>
        <c:lblAlgn val="ctr"/>
        <c:lblOffset val="100"/>
        <c:noMultiLvlLbl val="0"/>
      </c:catAx>
      <c:valAx>
        <c:axId val="5534336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pl-PL"/>
                  <a:t>RFU</a:t>
                </a:r>
              </a:p>
            </c:rich>
          </c:tx>
          <c:layout>
            <c:manualLayout>
              <c:xMode val="edge"/>
              <c:yMode val="edge"/>
              <c:x val="2.9064478515743456E-2"/>
              <c:y val="0.3359225421459239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55341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748008672828943"/>
          <c:y val="0.19525622403995618"/>
          <c:w val="0.12158935782378001"/>
          <c:h val="0.2019545378489585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Eliza</cp:lastModifiedBy>
  <cp:revision>2</cp:revision>
  <dcterms:created xsi:type="dcterms:W3CDTF">2017-08-17T11:55:00Z</dcterms:created>
  <dcterms:modified xsi:type="dcterms:W3CDTF">2017-08-17T11:55:00Z</dcterms:modified>
</cp:coreProperties>
</file>