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7A" w:rsidRPr="00271E7A" w:rsidRDefault="00271E7A" w:rsidP="00271E7A">
      <w:pPr>
        <w:keepNext/>
        <w:keepLines/>
        <w:spacing w:before="200" w:line="480" w:lineRule="auto"/>
        <w:jc w:val="center"/>
        <w:outlineLvl w:val="1"/>
        <w:rPr>
          <w:rFonts w:ascii="Arial" w:eastAsia="MS Gothic" w:hAnsi="Arial" w:cs="Arial"/>
          <w:b/>
          <w:bCs/>
          <w:sz w:val="24"/>
          <w:szCs w:val="24"/>
          <w:lang w:eastAsia="ja-JP"/>
        </w:rPr>
      </w:pPr>
      <w:r w:rsidRPr="00271E7A">
        <w:rPr>
          <w:rFonts w:ascii="Arial" w:eastAsia="MS Gothic" w:hAnsi="Arial" w:cs="Arial"/>
          <w:b/>
          <w:bCs/>
          <w:sz w:val="24"/>
          <w:szCs w:val="24"/>
          <w:lang w:eastAsia="ja-JP"/>
        </w:rPr>
        <w:t>Supplemental Table S1. Definition and severity of GERD symptoms assessed by the investigator</w:t>
      </w:r>
    </w:p>
    <w:tbl>
      <w:tblPr>
        <w:tblStyle w:val="TableGrid"/>
        <w:tblW w:w="0" w:type="auto"/>
        <w:tblLook w:val="04A0"/>
      </w:tblPr>
      <w:tblGrid>
        <w:gridCol w:w="2482"/>
        <w:gridCol w:w="7094"/>
      </w:tblGrid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Variable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Definition</w:t>
            </w: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Symptom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color w:val="000000" w:themeColor="text1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Heartburn 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A burning feeling in the mid-epigastric area and/or chest area</w:t>
            </w: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color w:val="000000" w:themeColor="text1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Acid regurgitation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Flow of sour or bitter fluid into the mouth</w:t>
            </w: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color w:val="000000" w:themeColor="text1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Dysphagia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Difficulty in swallowing</w:t>
            </w:r>
          </w:p>
        </w:tc>
      </w:tr>
      <w:tr w:rsidR="00271E7A" w:rsidRPr="00271E7A" w:rsidTr="00F16904">
        <w:trPr>
          <w:trHeight w:val="452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color w:val="000000" w:themeColor="text1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Belching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The voiding of gas from the stomach through the mouth, which may have been associated with acid regurgitation</w:t>
            </w: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color w:val="000000" w:themeColor="text1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Epigastric pain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color w:val="000000" w:themeColor="text1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Central upper abdominal pain</w:t>
            </w: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Severity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None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No symptoms</w:t>
            </w: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Mild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Symptom did not last long and was easily tolerated</w:t>
            </w:r>
          </w:p>
        </w:tc>
      </w:tr>
      <w:tr w:rsidR="00271E7A" w:rsidRPr="00271E7A" w:rsidTr="00F16904">
        <w:trPr>
          <w:trHeight w:val="463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Moderate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Symptom caused discomfort and/or interrupted usual activities (including sleep)</w:t>
            </w:r>
          </w:p>
        </w:tc>
      </w:tr>
      <w:tr w:rsidR="00271E7A" w:rsidRPr="00271E7A" w:rsidTr="00F16904">
        <w:trPr>
          <w:trHeight w:val="452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Severe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Symptom caused great interference with usual activities and may have been incapacitating (including sleep)</w:t>
            </w:r>
          </w:p>
        </w:tc>
      </w:tr>
      <w:tr w:rsidR="00271E7A" w:rsidRPr="00271E7A" w:rsidTr="00F16904">
        <w:trPr>
          <w:trHeight w:val="463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Very severe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Symptom caused intense and constant discomfort and/or marked interference with usual activities (including sleep)</w:t>
            </w:r>
          </w:p>
        </w:tc>
      </w:tr>
      <w:tr w:rsidR="00271E7A" w:rsidRPr="00271E7A" w:rsidTr="00F16904">
        <w:trPr>
          <w:trHeight w:val="261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Efficacy parameters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</w:tc>
      </w:tr>
      <w:tr w:rsidR="00271E7A" w:rsidRPr="00271E7A" w:rsidTr="00F16904">
        <w:trPr>
          <w:trHeight w:val="463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Healing rate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Percentage of patients who had healing of EE at week 8 among patients who had an endoscopy at week 8</w:t>
            </w:r>
          </w:p>
        </w:tc>
      </w:tr>
      <w:tr w:rsidR="00271E7A" w:rsidRPr="00271E7A" w:rsidTr="00F16904">
        <w:trPr>
          <w:trHeight w:val="452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Maintenance rate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Percentage of patients who maintained healed EE from week 8 to week 24 among patients who were healed at week 8 and had an endoscopy at week 24  </w:t>
            </w:r>
          </w:p>
          <w:p w:rsidR="00271E7A" w:rsidRPr="00271E7A" w:rsidRDefault="00271E7A" w:rsidP="00271E7A">
            <w:pPr>
              <w:spacing w:before="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If a patient’s final endoscopy was performed before the week 24 visit and indicated recurrence of EE, the patient was considered to have recurrence of EE at the week 24 visit</w:t>
            </w:r>
          </w:p>
        </w:tc>
      </w:tr>
      <w:tr w:rsidR="00271E7A" w:rsidRPr="00271E7A" w:rsidTr="00F16904">
        <w:trPr>
          <w:trHeight w:val="677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Percentage of days with neither daytime nor nighttime heartburn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Number of heartburn-free days divided by the total number of days with a daytime or nighttime heartburn marked by patient in eDiary during treatment period </w:t>
            </w:r>
          </w:p>
        </w:tc>
      </w:tr>
      <w:tr w:rsidR="00271E7A" w:rsidRPr="00271E7A" w:rsidTr="00F16904">
        <w:trPr>
          <w:trHeight w:val="114"/>
        </w:trPr>
        <w:tc>
          <w:tcPr>
            <w:tcW w:w="2482" w:type="dxa"/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Percentage of days without nighttime heartburn</w:t>
            </w:r>
          </w:p>
        </w:tc>
        <w:tc>
          <w:tcPr>
            <w:tcW w:w="7094" w:type="dxa"/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Number of days without nighttime heartburn divided by the total number of days with nighttime heartburn marked by patient in eDiary during treatment period</w:t>
            </w:r>
          </w:p>
        </w:tc>
      </w:tr>
      <w:tr w:rsidR="00271E7A" w:rsidRPr="00271E7A" w:rsidTr="00F16904">
        <w:trPr>
          <w:trHeight w:val="114"/>
        </w:trPr>
        <w:tc>
          <w:tcPr>
            <w:tcW w:w="2482" w:type="dxa"/>
            <w:tcBorders>
              <w:bottom w:val="single" w:sz="4" w:space="0" w:color="auto"/>
            </w:tcBorders>
            <w:vAlign w:val="center"/>
          </w:tcPr>
          <w:p w:rsidR="00271E7A" w:rsidRPr="00271E7A" w:rsidRDefault="00271E7A" w:rsidP="00271E7A">
            <w:pPr>
              <w:spacing w:before="80"/>
              <w:ind w:left="1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Percentage of days </w:t>
            </w: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lastRenderedPageBreak/>
              <w:t>without daytime heartburn</w:t>
            </w:r>
          </w:p>
        </w:tc>
        <w:tc>
          <w:tcPr>
            <w:tcW w:w="7094" w:type="dxa"/>
            <w:tcBorders>
              <w:bottom w:val="single" w:sz="4" w:space="0" w:color="auto"/>
            </w:tcBorders>
            <w:vAlign w:val="center"/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lastRenderedPageBreak/>
              <w:t xml:space="preserve">Number of days without daytime heartburn divided by the total </w:t>
            </w: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lastRenderedPageBreak/>
              <w:t>number of days with daytime heartburn marked by patient in eDiary during treatment period</w:t>
            </w:r>
          </w:p>
        </w:tc>
      </w:tr>
      <w:tr w:rsidR="00271E7A" w:rsidRPr="00271E7A" w:rsidTr="00F16904">
        <w:trPr>
          <w:trHeight w:val="114"/>
        </w:trPr>
        <w:tc>
          <w:tcPr>
            <w:tcW w:w="95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1E7A" w:rsidRPr="00271E7A" w:rsidRDefault="00271E7A" w:rsidP="00271E7A">
            <w:pPr>
              <w:spacing w:before="80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lastRenderedPageBreak/>
              <w:t>eDiary=electronic diary; EE=erosive esophagitis</w:t>
            </w:r>
            <w:r w:rsidR="0025098F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; GERD=</w:t>
            </w:r>
            <w:r w:rsidR="0025098F" w:rsidRPr="0025098F">
              <w:rPr>
                <w:rFonts w:ascii="Arial" w:eastAsia="STIX-Regular" w:hAnsi="Arial" w:cs="Arial"/>
                <w:sz w:val="24"/>
                <w:szCs w:val="24"/>
              </w:rPr>
              <w:t>gastroesophageal re</w:t>
            </w:r>
            <w:r w:rsidR="0025098F">
              <w:rPr>
                <w:rFonts w:ascii="Arial" w:eastAsia="STIX-Regular" w:hAnsi="Arial" w:cs="Arial"/>
                <w:sz w:val="24"/>
                <w:szCs w:val="24"/>
              </w:rPr>
              <w:t>f</w:t>
            </w:r>
            <w:r w:rsidR="0025098F" w:rsidRPr="0025098F">
              <w:rPr>
                <w:rFonts w:ascii="Arial" w:eastAsia="STIX-Regular" w:hAnsi="Arial" w:cs="Arial"/>
                <w:sz w:val="24"/>
                <w:szCs w:val="24"/>
              </w:rPr>
              <w:t>lux disease</w:t>
            </w:r>
            <w:r w:rsidRPr="00271E7A">
              <w:rPr>
                <w:rFonts w:ascii="Arial" w:eastAsia="MS Mincho" w:hAnsi="Arial" w:cs="Arial"/>
                <w:sz w:val="24"/>
                <w:szCs w:val="24"/>
                <w:lang w:eastAsia="ja-JP"/>
              </w:rPr>
              <w:t>.</w:t>
            </w:r>
          </w:p>
        </w:tc>
      </w:tr>
    </w:tbl>
    <w:p w:rsidR="00271E7A" w:rsidRPr="00271E7A" w:rsidRDefault="00271E7A" w:rsidP="00271E7A">
      <w:pPr>
        <w:keepNext/>
        <w:keepLines/>
        <w:spacing w:before="200" w:line="480" w:lineRule="auto"/>
        <w:outlineLvl w:val="1"/>
        <w:rPr>
          <w:rFonts w:ascii="Arial" w:eastAsia="MS Gothic" w:hAnsi="Arial" w:cs="Arial"/>
          <w:b/>
          <w:bCs/>
          <w:sz w:val="24"/>
          <w:szCs w:val="24"/>
          <w:lang w:eastAsia="ja-JP"/>
        </w:rPr>
      </w:pPr>
      <w:bookmarkStart w:id="0" w:name="_GoBack"/>
      <w:bookmarkEnd w:id="0"/>
    </w:p>
    <w:p w:rsidR="00271E7A" w:rsidRPr="00271E7A" w:rsidRDefault="00271E7A" w:rsidP="00271E7A">
      <w:pPr>
        <w:spacing w:before="80" w:line="480" w:lineRule="auto"/>
        <w:rPr>
          <w:rFonts w:ascii="Arial" w:eastAsia="MS Mincho" w:hAnsi="Arial" w:cs="Arial"/>
          <w:sz w:val="24"/>
          <w:szCs w:val="24"/>
          <w:lang w:eastAsia="ja-JP"/>
        </w:rPr>
      </w:pPr>
    </w:p>
    <w:p w:rsidR="00271E7A" w:rsidRPr="00271E7A" w:rsidRDefault="00271E7A" w:rsidP="00271E7A">
      <w:pPr>
        <w:spacing w:before="80" w:line="480" w:lineRule="auto"/>
        <w:rPr>
          <w:rFonts w:ascii="Arial" w:eastAsia="MS Mincho" w:hAnsi="Arial" w:cs="Arial"/>
          <w:sz w:val="24"/>
          <w:szCs w:val="24"/>
          <w:lang w:eastAsia="ja-JP"/>
        </w:rPr>
      </w:pPr>
    </w:p>
    <w:p w:rsidR="00CB0216" w:rsidRDefault="00CB0216"/>
    <w:sectPr w:rsidR="00CB0216" w:rsidSect="00112BBE">
      <w:footnotePr>
        <w:numFmt w:val="lowerRoman"/>
        <w:numRestart w:val="eachPage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IX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numFmt w:val="lowerRoman"/>
    <w:numRestart w:val="eachPage"/>
  </w:footnotePr>
  <w:compat/>
  <w:rsids>
    <w:rsidRoot w:val="00293B76"/>
    <w:rsid w:val="0025098F"/>
    <w:rsid w:val="00271E7A"/>
    <w:rsid w:val="00293B76"/>
    <w:rsid w:val="00A04466"/>
    <w:rsid w:val="00C500F2"/>
    <w:rsid w:val="00C7283D"/>
    <w:rsid w:val="00CB0216"/>
    <w:rsid w:val="00ED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E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50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9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E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0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9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inVentiv Health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 Lusk</dc:creator>
  <cp:lastModifiedBy>ac-ny</cp:lastModifiedBy>
  <cp:revision>6</cp:revision>
  <dcterms:created xsi:type="dcterms:W3CDTF">2018-07-02T14:10:00Z</dcterms:created>
  <dcterms:modified xsi:type="dcterms:W3CDTF">2018-10-20T12:47:00Z</dcterms:modified>
</cp:coreProperties>
</file>