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177A8" w14:textId="77777777" w:rsidR="007062BB" w:rsidRPr="00AB0D95" w:rsidRDefault="007062BB" w:rsidP="007062BB">
      <w:pPr>
        <w:spacing w:line="480" w:lineRule="auto"/>
        <w:rPr>
          <w:rFonts w:ascii="Arial" w:hAnsi="Arial" w:cs="Arial"/>
          <w:b/>
          <w:bCs/>
        </w:rPr>
      </w:pPr>
      <w:r w:rsidRPr="00AB0D95">
        <w:rPr>
          <w:rFonts w:ascii="Arial" w:hAnsi="Arial" w:cs="Arial"/>
          <w:b/>
          <w:bCs/>
        </w:rPr>
        <w:t>Supplemental Methods</w:t>
      </w:r>
    </w:p>
    <w:p w14:paraId="6FA83641" w14:textId="77777777" w:rsidR="007062BB" w:rsidRDefault="007062BB" w:rsidP="007062BB">
      <w:pPr>
        <w:spacing w:line="480" w:lineRule="auto"/>
        <w:rPr>
          <w:rFonts w:ascii="Arial" w:hAnsi="Arial" w:cs="Arial"/>
          <w:u w:val="single"/>
        </w:rPr>
      </w:pPr>
    </w:p>
    <w:p w14:paraId="7550CAFC" w14:textId="7955DB5E" w:rsidR="007062BB" w:rsidRDefault="007062BB" w:rsidP="007062BB">
      <w:pPr>
        <w:spacing w:line="48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Details of Collected Variables</w:t>
      </w:r>
    </w:p>
    <w:p w14:paraId="37880D66" w14:textId="77777777" w:rsidR="007062BB" w:rsidRPr="00AB0D95" w:rsidRDefault="007062BB" w:rsidP="007062BB">
      <w:pPr>
        <w:spacing w:line="480" w:lineRule="auto"/>
        <w:rPr>
          <w:rFonts w:ascii="Arial" w:eastAsia="Times New Roman" w:hAnsi="Arial" w:cs="Arial"/>
          <w:color w:val="000000"/>
          <w14:ligatures w14:val="none"/>
        </w:rPr>
      </w:pPr>
      <w:r w:rsidRPr="00AB0D95">
        <w:rPr>
          <w:rFonts w:ascii="Arial" w:hAnsi="Arial" w:cs="Arial"/>
          <w:u w:val="single"/>
        </w:rPr>
        <w:t>Baseline characteristic data</w:t>
      </w:r>
      <w:r w:rsidRPr="00AB0D95">
        <w:rPr>
          <w:rFonts w:ascii="Arial" w:hAnsi="Arial" w:cs="Arial"/>
        </w:rPr>
        <w:t xml:space="preserve"> included age at recruitment and sex (</w:t>
      </w:r>
      <w:r w:rsidRPr="00AB0D95">
        <w:rPr>
          <w:rFonts w:ascii="Arial" w:hAnsi="Arial" w:cs="Arial"/>
          <w:i/>
          <w:iCs/>
        </w:rPr>
        <w:t>male, female</w:t>
      </w:r>
      <w:r w:rsidRPr="00AB0D95">
        <w:rPr>
          <w:rFonts w:ascii="Arial" w:hAnsi="Arial" w:cs="Arial"/>
        </w:rPr>
        <w:t xml:space="preserve">). Data collected from verbal interviews for self-reported medical conditions including existing non-cancer illnesses and interpolated year when the non-cancer illness was first diagnosed. Data collected via touchscreen questionnaires at assessment centers included </w:t>
      </w:r>
      <w:r w:rsidRPr="00AB0D95">
        <w:rPr>
          <w:rFonts w:ascii="Arial" w:hAnsi="Arial" w:cs="Arial"/>
          <w:u w:val="single"/>
        </w:rPr>
        <w:t>Sociodemographic</w:t>
      </w:r>
      <w:r w:rsidRPr="00AB0D95">
        <w:rPr>
          <w:rFonts w:ascii="Arial" w:hAnsi="Arial" w:cs="Arial"/>
        </w:rPr>
        <w:t>: ethnic background (</w:t>
      </w:r>
      <w:r>
        <w:rPr>
          <w:rFonts w:ascii="Arial" w:eastAsia="Times New Roman" w:hAnsi="Arial" w:cs="Arial"/>
          <w:i/>
          <w:iCs/>
          <w:color w:val="000000"/>
          <w14:ligatures w14:val="none"/>
        </w:rPr>
        <w:t>UK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, Asian,</w:t>
      </w:r>
      <w:r>
        <w:rPr>
          <w:rFonts w:ascii="Arial" w:eastAsia="Times New Roman" w:hAnsi="Arial" w:cs="Arial"/>
          <w:i/>
          <w:iCs/>
          <w:color w:val="000000"/>
          <w14:ligatures w14:val="none"/>
        </w:rPr>
        <w:t xml:space="preserve"> 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Black</w:t>
      </w:r>
      <w:r>
        <w:rPr>
          <w:rFonts w:ascii="Arial" w:eastAsia="Times New Roman" w:hAnsi="Arial" w:cs="Arial"/>
          <w:i/>
          <w:iCs/>
          <w:color w:val="000000"/>
          <w14:ligatures w14:val="none"/>
        </w:rPr>
        <w:t>/African, Other/Missing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);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Lifestyle and environment</w:t>
      </w:r>
      <w:r w:rsidRPr="00AB0D95">
        <w:rPr>
          <w:rFonts w:ascii="Arial" w:eastAsia="Times New Roman" w:hAnsi="Arial" w:cs="Arial"/>
          <w:color w:val="000000"/>
          <w14:ligatures w14:val="none"/>
        </w:rPr>
        <w:t>: summed MET minutes/week for all activities, sleep duration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hours/day</w:t>
      </w:r>
      <w:r w:rsidRPr="00AB0D95">
        <w:rPr>
          <w:rFonts w:ascii="Arial" w:eastAsia="Times New Roman" w:hAnsi="Arial" w:cs="Arial"/>
          <w:color w:val="000000"/>
          <w14:ligatures w14:val="none"/>
        </w:rPr>
        <w:t>), smoking history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ever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: 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Yes, No</w:t>
      </w:r>
      <w:r w:rsidRPr="00AB0D95">
        <w:rPr>
          <w:rFonts w:ascii="Arial" w:eastAsia="Times New Roman" w:hAnsi="Arial" w:cs="Arial"/>
          <w:color w:val="000000"/>
          <w14:ligatures w14:val="none"/>
        </w:rPr>
        <w:t>), processed meat intake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never, less than once/week, once/week, 2-4 times/week, 5-6 times/week, once or more daily, do not know, prefer to not answer</w:t>
      </w:r>
      <w:r>
        <w:rPr>
          <w:rFonts w:ascii="Arial" w:eastAsia="Times New Roman" w:hAnsi="Arial" w:cs="Arial"/>
          <w:i/>
          <w:iCs/>
          <w:color w:val="000000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14:ligatures w14:val="none"/>
        </w:rPr>
        <w:t>– we classified this as never/once a week or less, multiple times a week to daily, and unknown/missing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 xml:space="preserve">), </w:t>
      </w:r>
      <w:r w:rsidRPr="00AB0D95">
        <w:rPr>
          <w:rFonts w:ascii="Arial" w:eastAsia="Times New Roman" w:hAnsi="Arial" w:cs="Arial"/>
          <w:color w:val="000000"/>
          <w14:ligatures w14:val="none"/>
        </w:rPr>
        <w:t>alcohol intake frequency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Daily or almost daily, 3-4 times/week, 1-2 times/week, 1-3 times/month, Special occasions only, Never, Prefer not to answer</w:t>
      </w:r>
      <w:r>
        <w:rPr>
          <w:rFonts w:ascii="Arial" w:eastAsia="Times New Roman" w:hAnsi="Arial" w:cs="Arial"/>
          <w:color w:val="000000"/>
          <w14:ligatures w14:val="none"/>
        </w:rPr>
        <w:t>– we classified this as never/less than once a week, more than once a week, and unknown/missing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);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Early life factors</w:t>
      </w:r>
      <w:r w:rsidRPr="00AB0D95">
        <w:rPr>
          <w:rFonts w:ascii="Arial" w:eastAsia="Times New Roman" w:hAnsi="Arial" w:cs="Arial"/>
          <w:color w:val="000000"/>
          <w14:ligatures w14:val="none"/>
        </w:rPr>
        <w:t>: country of birth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England, Wales, Scotland, Norther</w:t>
      </w:r>
      <w:r>
        <w:rPr>
          <w:rFonts w:ascii="Arial" w:eastAsia="Times New Roman" w:hAnsi="Arial" w:cs="Arial"/>
          <w:i/>
          <w:iCs/>
          <w:color w:val="000000"/>
          <w14:ligatures w14:val="none"/>
        </w:rPr>
        <w:t>n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 xml:space="preserve"> Ireland, Republic of Ireland, elsewhere, do not know, prefer to not answer</w:t>
      </w:r>
      <w:r>
        <w:rPr>
          <w:rFonts w:ascii="Arial" w:eastAsia="Times New Roman" w:hAnsi="Arial" w:cs="Arial"/>
          <w:i/>
          <w:iCs/>
          <w:color w:val="000000"/>
          <w14:ligatures w14:val="none"/>
        </w:rPr>
        <w:t xml:space="preserve"> – </w:t>
      </w:r>
      <w:r>
        <w:rPr>
          <w:rFonts w:ascii="Arial" w:eastAsia="Times New Roman" w:hAnsi="Arial" w:cs="Arial"/>
          <w:color w:val="000000"/>
          <w14:ligatures w14:val="none"/>
        </w:rPr>
        <w:t>we classified this as UK, non-UK, and unknown/missing</w:t>
      </w:r>
      <w:r w:rsidRPr="00AB0D95">
        <w:rPr>
          <w:rFonts w:ascii="Arial" w:eastAsia="Times New Roman" w:hAnsi="Arial" w:cs="Arial"/>
          <w:color w:val="000000"/>
          <w14:ligatures w14:val="none"/>
        </w:rPr>
        <w:t>), breastfed as a baby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Yes, No, Do not know, Prefer to not answer</w:t>
      </w:r>
      <w:r w:rsidRPr="00AB0D95">
        <w:rPr>
          <w:rFonts w:ascii="Arial" w:eastAsia="Times New Roman" w:hAnsi="Arial" w:cs="Arial"/>
          <w:color w:val="000000"/>
          <w14:ligatures w14:val="none"/>
        </w:rPr>
        <w:t>), comparative body size at age 10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Thinner, Plumper, About average, Do not know, Prefer to not answer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);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Family history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: </w:t>
      </w:r>
      <w:r>
        <w:rPr>
          <w:rFonts w:ascii="Arial" w:eastAsia="Times New Roman" w:hAnsi="Arial" w:cs="Arial"/>
          <w:color w:val="000000"/>
          <w14:ligatures w14:val="none"/>
        </w:rPr>
        <w:t>CRC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 of first-degree relatives;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Cancer screening</w:t>
      </w:r>
      <w:r w:rsidRPr="00AB0D95">
        <w:rPr>
          <w:rFonts w:ascii="Arial" w:eastAsia="Times New Roman" w:hAnsi="Arial" w:cs="Arial"/>
          <w:color w:val="000000"/>
          <w14:ligatures w14:val="none"/>
        </w:rPr>
        <w:t>: Ever had bowel cancer screening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Yes, No, Do not know, Prefer to not answer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);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Health and medical history</w:t>
      </w:r>
      <w:r w:rsidRPr="00AB0D95">
        <w:rPr>
          <w:rFonts w:ascii="Arial" w:eastAsia="Times New Roman" w:hAnsi="Arial" w:cs="Arial"/>
          <w:color w:val="000000"/>
          <w14:ligatures w14:val="none"/>
        </w:rPr>
        <w:t>: other serious medical condition/disability diagnosed by doctor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Yes-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lastRenderedPageBreak/>
        <w:t>asked later by an interviewer, No, Do not know, Prefer to not answer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), medication for cholesterol, blood pressure or diabetes. </w:t>
      </w:r>
    </w:p>
    <w:p w14:paraId="7976D273" w14:textId="77777777" w:rsidR="007062BB" w:rsidRPr="00AB0D95" w:rsidRDefault="007062BB" w:rsidP="007062BB">
      <w:pPr>
        <w:spacing w:line="480" w:lineRule="auto"/>
        <w:rPr>
          <w:rFonts w:ascii="Arial" w:eastAsia="Times New Roman" w:hAnsi="Arial" w:cs="Arial"/>
          <w:color w:val="000000"/>
          <w14:ligatures w14:val="none"/>
        </w:rPr>
      </w:pPr>
      <w:r w:rsidRPr="00AB0D95">
        <w:rPr>
          <w:rFonts w:ascii="Arial" w:eastAsia="Times New Roman" w:hAnsi="Arial" w:cs="Arial"/>
          <w:color w:val="000000"/>
          <w14:ligatures w14:val="none"/>
        </w:rPr>
        <w:t xml:space="preserve">Data were collected on physical measures via anthropometry at assessment centers included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Body size measures</w:t>
      </w:r>
      <w:r w:rsidRPr="00AB0D95">
        <w:rPr>
          <w:rFonts w:ascii="Arial" w:eastAsia="Times New Roman" w:hAnsi="Arial" w:cs="Arial"/>
          <w:color w:val="000000"/>
          <w14:ligatures w14:val="none"/>
        </w:rPr>
        <w:t>: waist circumference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cm</w:t>
      </w:r>
      <w:r w:rsidRPr="00AB0D95">
        <w:rPr>
          <w:rFonts w:ascii="Arial" w:eastAsia="Times New Roman" w:hAnsi="Arial" w:cs="Arial"/>
          <w:color w:val="000000"/>
          <w14:ligatures w14:val="none"/>
        </w:rPr>
        <w:t>), hip circumference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cm</w:t>
      </w:r>
      <w:r w:rsidRPr="00AB0D95">
        <w:rPr>
          <w:rFonts w:ascii="Arial" w:eastAsia="Times New Roman" w:hAnsi="Arial" w:cs="Arial"/>
          <w:color w:val="000000"/>
          <w14:ligatures w14:val="none"/>
        </w:rPr>
        <w:t>), BMI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Kg/m2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);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Body composition by impedance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: trunk fat percentage, body fat percentage. </w:t>
      </w:r>
    </w:p>
    <w:p w14:paraId="5E748228" w14:textId="77777777" w:rsidR="007062BB" w:rsidRPr="00AB0D95" w:rsidRDefault="007062BB" w:rsidP="007062BB">
      <w:pPr>
        <w:spacing w:line="480" w:lineRule="auto"/>
        <w:rPr>
          <w:rFonts w:ascii="Arial" w:eastAsia="Times New Roman" w:hAnsi="Arial" w:cs="Arial"/>
          <w:color w:val="000000"/>
          <w14:ligatures w14:val="none"/>
        </w:rPr>
      </w:pPr>
      <w:r w:rsidRPr="00AB0D95">
        <w:rPr>
          <w:rFonts w:ascii="Arial" w:eastAsia="Times New Roman" w:hAnsi="Arial" w:cs="Arial"/>
          <w:color w:val="000000"/>
          <w14:ligatures w14:val="none"/>
        </w:rPr>
        <w:t xml:space="preserve">Data were collected from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blood assays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 for C-reactive protein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mg/L</w:t>
      </w:r>
      <w:r w:rsidRPr="00AB0D95">
        <w:rPr>
          <w:rFonts w:ascii="Arial" w:eastAsia="Times New Roman" w:hAnsi="Arial" w:cs="Arial"/>
          <w:color w:val="000000"/>
          <w14:ligatures w14:val="none"/>
        </w:rPr>
        <w:t>), calcium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mmol/L</w:t>
      </w:r>
      <w:r w:rsidRPr="00AB0D95">
        <w:rPr>
          <w:rFonts w:ascii="Arial" w:eastAsia="Times New Roman" w:hAnsi="Arial" w:cs="Arial"/>
          <w:color w:val="000000"/>
          <w14:ligatures w14:val="none"/>
        </w:rPr>
        <w:t>), cholesterol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mmol/L</w:t>
      </w:r>
      <w:r w:rsidRPr="00AB0D95">
        <w:rPr>
          <w:rFonts w:ascii="Arial" w:eastAsia="Times New Roman" w:hAnsi="Arial" w:cs="Arial"/>
          <w:color w:val="000000"/>
          <w14:ligatures w14:val="none"/>
        </w:rPr>
        <w:t>), glycated hemoglobin (HbA1c [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mmol/mol</w:t>
      </w:r>
      <w:r w:rsidRPr="00AB0D95">
        <w:rPr>
          <w:rFonts w:ascii="Arial" w:eastAsia="Times New Roman" w:hAnsi="Arial" w:cs="Arial"/>
          <w:color w:val="000000"/>
          <w14:ligatures w14:val="none"/>
        </w:rPr>
        <w:t>]), HDL cholesterol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mmol/L</w:t>
      </w:r>
      <w:r w:rsidRPr="00AB0D95">
        <w:rPr>
          <w:rFonts w:ascii="Arial" w:eastAsia="Times New Roman" w:hAnsi="Arial" w:cs="Arial"/>
          <w:color w:val="000000"/>
          <w14:ligatures w14:val="none"/>
        </w:rPr>
        <w:t>), LDL direct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mmol/L</w:t>
      </w:r>
      <w:r w:rsidRPr="00AB0D95">
        <w:rPr>
          <w:rFonts w:ascii="Arial" w:eastAsia="Times New Roman" w:hAnsi="Arial" w:cs="Arial"/>
          <w:color w:val="000000"/>
          <w14:ligatures w14:val="none"/>
        </w:rPr>
        <w:t>), triglycerides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mmol/L</w:t>
      </w:r>
      <w:r w:rsidRPr="00AB0D95">
        <w:rPr>
          <w:rFonts w:ascii="Arial" w:eastAsia="Times New Roman" w:hAnsi="Arial" w:cs="Arial"/>
          <w:color w:val="000000"/>
          <w14:ligatures w14:val="none"/>
        </w:rPr>
        <w:t>), vitamin D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nmol/L</w:t>
      </w:r>
      <w:r w:rsidRPr="00AB0D95">
        <w:rPr>
          <w:rFonts w:ascii="Arial" w:eastAsia="Times New Roman" w:hAnsi="Arial" w:cs="Arial"/>
          <w:color w:val="000000"/>
          <w14:ligatures w14:val="none"/>
        </w:rPr>
        <w:t>), lymphocyte percentage, mean corpuscular volume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femtolitres</w:t>
      </w:r>
      <w:r w:rsidRPr="00AB0D95">
        <w:rPr>
          <w:rFonts w:ascii="Arial" w:eastAsia="Times New Roman" w:hAnsi="Arial" w:cs="Arial"/>
          <w:color w:val="000000"/>
          <w14:ligatures w14:val="none"/>
        </w:rPr>
        <w:t>), red blood cell distribution width, white blood cell count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10^9 cells/L</w:t>
      </w:r>
      <w:r w:rsidRPr="00AB0D95">
        <w:rPr>
          <w:rFonts w:ascii="Arial" w:eastAsia="Times New Roman" w:hAnsi="Arial" w:cs="Arial"/>
          <w:color w:val="000000"/>
          <w14:ligatures w14:val="none"/>
        </w:rPr>
        <w:t>), albumin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g/L</w:t>
      </w:r>
      <w:r w:rsidRPr="00AB0D95">
        <w:rPr>
          <w:rFonts w:ascii="Arial" w:eastAsia="Times New Roman" w:hAnsi="Arial" w:cs="Arial"/>
          <w:color w:val="000000"/>
          <w14:ligatures w14:val="none"/>
        </w:rPr>
        <w:t>), alkaline phosphatase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U/L</w:t>
      </w:r>
      <w:r w:rsidRPr="00AB0D95">
        <w:rPr>
          <w:rFonts w:ascii="Arial" w:eastAsia="Times New Roman" w:hAnsi="Arial" w:cs="Arial"/>
          <w:color w:val="000000"/>
          <w14:ligatures w14:val="none"/>
        </w:rPr>
        <w:t>), creatinine (</w:t>
      </w:r>
      <w:proofErr w:type="spellStart"/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umol</w:t>
      </w:r>
      <w:proofErr w:type="spellEnd"/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/L</w:t>
      </w:r>
      <w:r w:rsidRPr="00AB0D95">
        <w:rPr>
          <w:rFonts w:ascii="Arial" w:eastAsia="Times New Roman" w:hAnsi="Arial" w:cs="Arial"/>
          <w:color w:val="000000"/>
          <w14:ligatures w14:val="none"/>
        </w:rPr>
        <w:t>), serum glucose (</w:t>
      </w:r>
      <w:r w:rsidRPr="00AB0D95">
        <w:rPr>
          <w:rFonts w:ascii="Arial" w:eastAsia="Times New Roman" w:hAnsi="Arial" w:cs="Arial"/>
          <w:i/>
          <w:iCs/>
          <w:color w:val="000000"/>
          <w14:ligatures w14:val="none"/>
        </w:rPr>
        <w:t>mmol/L</w:t>
      </w:r>
      <w:r w:rsidRPr="00AB0D95">
        <w:rPr>
          <w:rFonts w:ascii="Arial" w:eastAsia="Times New Roman" w:hAnsi="Arial" w:cs="Arial"/>
          <w:color w:val="000000"/>
          <w14:ligatures w14:val="none"/>
        </w:rPr>
        <w:t>). These labs included known</w:t>
      </w:r>
      <w:r w:rsidRPr="00AB0D95">
        <w:rPr>
          <w:rFonts w:ascii="Arial" w:eastAsia="Times New Roman" w:hAnsi="Arial" w:cs="Arial"/>
          <w14:ligatures w14:val="none"/>
        </w:rPr>
        <w:t xml:space="preserve"> 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metabolic/inflammatory markers previously associated with EOCRC as well as the </w:t>
      </w:r>
      <w:r w:rsidRPr="00AB0D95">
        <w:rPr>
          <w:rFonts w:ascii="Arial" w:hAnsi="Arial" w:cs="Arial"/>
        </w:rPr>
        <w:t xml:space="preserve">nine blood chemistry markers needed to calculate respective </w:t>
      </w:r>
      <w:proofErr w:type="spellStart"/>
      <w:r w:rsidRPr="00AB0D95">
        <w:rPr>
          <w:rFonts w:ascii="Arial" w:hAnsi="Arial" w:cs="Arial"/>
        </w:rPr>
        <w:t>PhenoAge</w:t>
      </w:r>
      <w:proofErr w:type="spellEnd"/>
      <w:r w:rsidRPr="00AB0D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 homeostatic dysregulation </w:t>
      </w:r>
      <w:r w:rsidRPr="00AB0D95">
        <w:rPr>
          <w:rFonts w:ascii="Arial" w:hAnsi="Arial" w:cs="Arial"/>
        </w:rPr>
        <w:t xml:space="preserve">values for participants.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Genomics data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 collected from UK Biobank included standard polygenic risk score for CRC and telomere data (Z-adjusted T/S log). </w:t>
      </w:r>
      <w:r w:rsidRPr="00AB0D95">
        <w:rPr>
          <w:rFonts w:ascii="Arial" w:eastAsia="Times New Roman" w:hAnsi="Arial" w:cs="Arial"/>
          <w:color w:val="000000"/>
          <w:u w:val="single"/>
          <w14:ligatures w14:val="none"/>
        </w:rPr>
        <w:t>Cancer registry data</w:t>
      </w:r>
      <w:r w:rsidRPr="00AB0D95">
        <w:rPr>
          <w:rFonts w:ascii="Arial" w:eastAsia="Times New Roman" w:hAnsi="Arial" w:cs="Arial"/>
          <w:color w:val="000000"/>
          <w14:ligatures w14:val="none"/>
        </w:rPr>
        <w:t xml:space="preserve"> was utilized to obtain reported occurrences of cancer, age at cancer diagnosis, type of cancer (ICD9 and ICD10 code). </w:t>
      </w:r>
    </w:p>
    <w:p w14:paraId="64A5CC41" w14:textId="77777777" w:rsidR="00773E2D" w:rsidRDefault="00773E2D" w:rsidP="007062BB">
      <w:pPr>
        <w:spacing w:line="480" w:lineRule="auto"/>
      </w:pPr>
    </w:p>
    <w:sectPr w:rsidR="00773E2D" w:rsidSect="005B4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2BB"/>
    <w:rsid w:val="004514FE"/>
    <w:rsid w:val="005B441A"/>
    <w:rsid w:val="005D74D2"/>
    <w:rsid w:val="007062BB"/>
    <w:rsid w:val="00773E2D"/>
    <w:rsid w:val="00892DD8"/>
    <w:rsid w:val="00912F4C"/>
    <w:rsid w:val="00D05951"/>
    <w:rsid w:val="00D9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1901FE"/>
  <w15:chartTrackingRefBased/>
  <w15:docId w15:val="{68AE1BC6-025A-8A4D-9C0A-9E70C2CE0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2BB"/>
  </w:style>
  <w:style w:type="paragraph" w:styleId="Heading1">
    <w:name w:val="heading 1"/>
    <w:basedOn w:val="Normal"/>
    <w:next w:val="Normal"/>
    <w:link w:val="Heading1Char"/>
    <w:uiPriority w:val="9"/>
    <w:qFormat/>
    <w:rsid w:val="00706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6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62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62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62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62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62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62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62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62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62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2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62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62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62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62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62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62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62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6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62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62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62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62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62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62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62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Sandhu</dc:creator>
  <cp:keywords/>
  <dc:description/>
  <cp:lastModifiedBy>Sunny Sandhu</cp:lastModifiedBy>
  <cp:revision>1</cp:revision>
  <dcterms:created xsi:type="dcterms:W3CDTF">2024-10-12T19:02:00Z</dcterms:created>
  <dcterms:modified xsi:type="dcterms:W3CDTF">2024-10-12T19:02:00Z</dcterms:modified>
</cp:coreProperties>
</file>