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08C82" w14:textId="77777777" w:rsidR="005A4830" w:rsidRPr="00FD20BD" w:rsidRDefault="005A4830" w:rsidP="005A4830">
      <w:pPr>
        <w:pStyle w:val="Caption"/>
        <w:spacing w:line="480" w:lineRule="auto"/>
        <w:rPr>
          <w:color w:val="auto"/>
        </w:rPr>
      </w:pPr>
      <w:r w:rsidRPr="00FD20BD">
        <w:rPr>
          <w:noProof/>
          <w:color w:val="auto"/>
          <w:lang w:val="en-IN" w:eastAsia="en-IN"/>
        </w:rPr>
        <w:drawing>
          <wp:inline distT="0" distB="0" distL="0" distR="0" wp14:anchorId="6214C643" wp14:editId="5206EF66">
            <wp:extent cx="4572000" cy="2743200"/>
            <wp:effectExtent l="0" t="0" r="0" b="0"/>
            <wp:docPr id="19077979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1A5313E" w14:textId="5F11332C" w:rsidR="005A4830" w:rsidRPr="00FD20BD" w:rsidRDefault="005A4830" w:rsidP="005A4830">
      <w:pPr>
        <w:pStyle w:val="Caption"/>
        <w:spacing w:line="480" w:lineRule="auto"/>
        <w:jc w:val="both"/>
        <w:rPr>
          <w:color w:val="auto"/>
        </w:rPr>
      </w:pPr>
      <w:r w:rsidRPr="00FD20BD">
        <w:rPr>
          <w:color w:val="auto"/>
        </w:rPr>
        <w:t>Suppl. figure 1: Non-statistically significant correlation between Handgrip Strength (HGS) and Endoscopic Severity, r</w:t>
      </w:r>
      <w:r w:rsidRPr="00FD20BD">
        <w:rPr>
          <w:color w:val="auto"/>
          <w:vertAlign w:val="subscript"/>
        </w:rPr>
        <w:t>s</w:t>
      </w:r>
      <w:r w:rsidRPr="00FD20BD">
        <w:rPr>
          <w:color w:val="auto"/>
        </w:rPr>
        <w:t>=0.038, p=0.719</w:t>
      </w:r>
      <w:r w:rsidRPr="00FD20BD">
        <w:rPr>
          <w:color w:val="auto"/>
        </w:rPr>
        <w:br w:type="page"/>
      </w:r>
    </w:p>
    <w:p w14:paraId="48378DE2" w14:textId="77777777" w:rsidR="005A4830" w:rsidRPr="00FD20BD" w:rsidRDefault="005A4830" w:rsidP="005A4830">
      <w:pPr>
        <w:pStyle w:val="Caption"/>
        <w:spacing w:line="480" w:lineRule="auto"/>
        <w:rPr>
          <w:color w:val="auto"/>
        </w:rPr>
      </w:pPr>
      <w:r w:rsidRPr="00FD20BD">
        <w:rPr>
          <w:noProof/>
          <w:color w:val="auto"/>
          <w:lang w:val="en-IN" w:eastAsia="en-IN"/>
        </w:rPr>
        <w:lastRenderedPageBreak/>
        <w:drawing>
          <wp:inline distT="0" distB="0" distL="0" distR="0" wp14:anchorId="63FDEAFD" wp14:editId="1F2CCB39">
            <wp:extent cx="5486400" cy="3237865"/>
            <wp:effectExtent l="0" t="0" r="0" b="635"/>
            <wp:docPr id="775255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2553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EC519" w14:textId="1227A239" w:rsidR="005A4830" w:rsidRPr="00FD20BD" w:rsidRDefault="005A4830" w:rsidP="005A4830">
      <w:pPr>
        <w:pStyle w:val="Caption"/>
        <w:spacing w:line="480" w:lineRule="auto"/>
        <w:jc w:val="both"/>
        <w:rPr>
          <w:color w:val="auto"/>
        </w:rPr>
      </w:pPr>
      <w:r w:rsidRPr="00FD20BD">
        <w:rPr>
          <w:color w:val="auto"/>
        </w:rPr>
        <w:t>Suppl. figure2: Receiver operating characteristics curve of the diagnostic accuracy of HGS in detecting malnutrition in female patients with IBD</w:t>
      </w:r>
      <w:r w:rsidRPr="00FD20BD">
        <w:rPr>
          <w:color w:val="auto"/>
        </w:rPr>
        <w:br w:type="page"/>
      </w:r>
    </w:p>
    <w:p w14:paraId="26EC3503" w14:textId="77777777" w:rsidR="005A4830" w:rsidRPr="00FD20BD" w:rsidRDefault="005A4830" w:rsidP="005A4830">
      <w:pPr>
        <w:spacing w:line="480" w:lineRule="auto"/>
      </w:pPr>
      <w:r w:rsidRPr="00FD20BD">
        <w:rPr>
          <w:noProof/>
          <w:lang w:val="en-IN" w:eastAsia="en-IN"/>
        </w:rPr>
        <w:lastRenderedPageBreak/>
        <w:drawing>
          <wp:inline distT="0" distB="0" distL="0" distR="0" wp14:anchorId="147CFEFC" wp14:editId="1A4EC2A5">
            <wp:extent cx="5486400" cy="3237865"/>
            <wp:effectExtent l="0" t="0" r="0" b="635"/>
            <wp:docPr id="43505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0508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A7DBB" w14:textId="72A2D8BE" w:rsidR="002C7EFB" w:rsidRPr="00FD20BD" w:rsidRDefault="005A4830" w:rsidP="005A4830">
      <w:pPr>
        <w:pStyle w:val="Caption"/>
        <w:spacing w:line="480" w:lineRule="auto"/>
        <w:jc w:val="both"/>
        <w:rPr>
          <w:color w:val="auto"/>
        </w:rPr>
      </w:pPr>
      <w:r w:rsidRPr="00FD20BD">
        <w:rPr>
          <w:color w:val="auto"/>
        </w:rPr>
        <w:t>Suppl. figure 3: Receiver operating characteristics curve of the diagnostic accuracy of HGS in detecting malnutrition in male patients with IBD</w:t>
      </w:r>
      <w:bookmarkStart w:id="0" w:name="_GoBack"/>
      <w:bookmarkEnd w:id="0"/>
    </w:p>
    <w:sectPr w:rsidR="002C7EFB" w:rsidRPr="00FD20BD" w:rsidSect="00FD20B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830"/>
    <w:rsid w:val="00237FAA"/>
    <w:rsid w:val="002C7EFB"/>
    <w:rsid w:val="002D58DB"/>
    <w:rsid w:val="005A4830"/>
    <w:rsid w:val="005D66E3"/>
    <w:rsid w:val="00A41BAF"/>
    <w:rsid w:val="00AD78F4"/>
    <w:rsid w:val="00EC59F2"/>
    <w:rsid w:val="00FD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8B3BE"/>
  <w15:chartTrackingRefBased/>
  <w15:docId w15:val="{7FC7FE91-EE14-4406-8B63-43829AC7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48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48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48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48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48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48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48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48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48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48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48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48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483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483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48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48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48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48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48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48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48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48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48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48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48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483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48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48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4830"/>
    <w:rPr>
      <w:b/>
      <w:bCs/>
      <w:smallCaps/>
      <w:color w:val="2F5496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5A483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5A4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3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Lit>
              <c:formatCode>General</c:formatCode>
              <c:ptCount val="90"/>
              <c:pt idx="0">
                <c:v>4</c:v>
              </c:pt>
              <c:pt idx="1">
                <c:v>4</c:v>
              </c:pt>
              <c:pt idx="2">
                <c:v>7</c:v>
              </c:pt>
              <c:pt idx="3">
                <c:v>6</c:v>
              </c:pt>
              <c:pt idx="4">
                <c:v>3</c:v>
              </c:pt>
              <c:pt idx="5">
                <c:v>1</c:v>
              </c:pt>
              <c:pt idx="6">
                <c:v>20</c:v>
              </c:pt>
              <c:pt idx="7">
                <c:v>4</c:v>
              </c:pt>
              <c:pt idx="8">
                <c:v>7</c:v>
              </c:pt>
              <c:pt idx="9">
                <c:v>8</c:v>
              </c:pt>
              <c:pt idx="10">
                <c:v>7</c:v>
              </c:pt>
              <c:pt idx="11">
                <c:v>1</c:v>
              </c:pt>
              <c:pt idx="12">
                <c:v>3</c:v>
              </c:pt>
              <c:pt idx="13">
                <c:v>6</c:v>
              </c:pt>
              <c:pt idx="14">
                <c:v>9</c:v>
              </c:pt>
              <c:pt idx="15">
                <c:v>18</c:v>
              </c:pt>
              <c:pt idx="16">
                <c:v>8</c:v>
              </c:pt>
              <c:pt idx="17">
                <c:v>8</c:v>
              </c:pt>
              <c:pt idx="18">
                <c:v>7</c:v>
              </c:pt>
              <c:pt idx="19">
                <c:v>4</c:v>
              </c:pt>
              <c:pt idx="20">
                <c:v>8</c:v>
              </c:pt>
              <c:pt idx="21">
                <c:v>5</c:v>
              </c:pt>
              <c:pt idx="22">
                <c:v>1</c:v>
              </c:pt>
              <c:pt idx="23">
                <c:v>3</c:v>
              </c:pt>
              <c:pt idx="24">
                <c:v>8</c:v>
              </c:pt>
              <c:pt idx="25">
                <c:v>3</c:v>
              </c:pt>
              <c:pt idx="26">
                <c:v>17</c:v>
              </c:pt>
              <c:pt idx="27">
                <c:v>19</c:v>
              </c:pt>
              <c:pt idx="28">
                <c:v>10</c:v>
              </c:pt>
              <c:pt idx="29">
                <c:v>1</c:v>
              </c:pt>
              <c:pt idx="30">
                <c:v>5</c:v>
              </c:pt>
              <c:pt idx="31">
                <c:v>3</c:v>
              </c:pt>
              <c:pt idx="32">
                <c:v>3</c:v>
              </c:pt>
              <c:pt idx="33">
                <c:v>4</c:v>
              </c:pt>
              <c:pt idx="34">
                <c:v>4</c:v>
              </c:pt>
              <c:pt idx="35">
                <c:v>5</c:v>
              </c:pt>
              <c:pt idx="36">
                <c:v>4</c:v>
              </c:pt>
              <c:pt idx="37">
                <c:v>9</c:v>
              </c:pt>
              <c:pt idx="38">
                <c:v>10</c:v>
              </c:pt>
              <c:pt idx="39">
                <c:v>8</c:v>
              </c:pt>
              <c:pt idx="40">
                <c:v>1</c:v>
              </c:pt>
              <c:pt idx="41">
                <c:v>9</c:v>
              </c:pt>
              <c:pt idx="42">
                <c:v>14</c:v>
              </c:pt>
              <c:pt idx="43">
                <c:v>7</c:v>
              </c:pt>
              <c:pt idx="44">
                <c:v>5</c:v>
              </c:pt>
              <c:pt idx="45">
                <c:v>7</c:v>
              </c:pt>
              <c:pt idx="46">
                <c:v>6</c:v>
              </c:pt>
              <c:pt idx="47">
                <c:v>5</c:v>
              </c:pt>
              <c:pt idx="48">
                <c:v>8</c:v>
              </c:pt>
              <c:pt idx="49">
                <c:v>6</c:v>
              </c:pt>
              <c:pt idx="50">
                <c:v>7</c:v>
              </c:pt>
              <c:pt idx="51">
                <c:v>4</c:v>
              </c:pt>
              <c:pt idx="52">
                <c:v>1</c:v>
              </c:pt>
              <c:pt idx="53">
                <c:v>8</c:v>
              </c:pt>
              <c:pt idx="54">
                <c:v>1</c:v>
              </c:pt>
              <c:pt idx="55">
                <c:v>21</c:v>
              </c:pt>
              <c:pt idx="56">
                <c:v>14</c:v>
              </c:pt>
              <c:pt idx="57">
                <c:v>6</c:v>
              </c:pt>
              <c:pt idx="58">
                <c:v>1</c:v>
              </c:pt>
              <c:pt idx="59">
                <c:v>5</c:v>
              </c:pt>
              <c:pt idx="60">
                <c:v>8</c:v>
              </c:pt>
              <c:pt idx="61">
                <c:v>3</c:v>
              </c:pt>
              <c:pt idx="62">
                <c:v>1</c:v>
              </c:pt>
              <c:pt idx="63">
                <c:v>1</c:v>
              </c:pt>
              <c:pt idx="64">
                <c:v>5</c:v>
              </c:pt>
              <c:pt idx="65">
                <c:v>1</c:v>
              </c:pt>
              <c:pt idx="66">
                <c:v>2</c:v>
              </c:pt>
              <c:pt idx="67">
                <c:v>2</c:v>
              </c:pt>
              <c:pt idx="68">
                <c:v>3</c:v>
              </c:pt>
              <c:pt idx="69">
                <c:v>5</c:v>
              </c:pt>
              <c:pt idx="70">
                <c:v>4</c:v>
              </c:pt>
              <c:pt idx="71">
                <c:v>4</c:v>
              </c:pt>
              <c:pt idx="72">
                <c:v>5</c:v>
              </c:pt>
              <c:pt idx="73">
                <c:v>1</c:v>
              </c:pt>
              <c:pt idx="74">
                <c:v>7</c:v>
              </c:pt>
              <c:pt idx="75">
                <c:v>4</c:v>
              </c:pt>
              <c:pt idx="76">
                <c:v>4</c:v>
              </c:pt>
              <c:pt idx="77">
                <c:v>1</c:v>
              </c:pt>
              <c:pt idx="78">
                <c:v>5</c:v>
              </c:pt>
              <c:pt idx="79">
                <c:v>3</c:v>
              </c:pt>
              <c:pt idx="80">
                <c:v>1</c:v>
              </c:pt>
              <c:pt idx="81">
                <c:v>21</c:v>
              </c:pt>
              <c:pt idx="82">
                <c:v>4</c:v>
              </c:pt>
              <c:pt idx="83">
                <c:v>4</c:v>
              </c:pt>
              <c:pt idx="84">
                <c:v>6</c:v>
              </c:pt>
              <c:pt idx="85">
                <c:v>16</c:v>
              </c:pt>
              <c:pt idx="86">
                <c:v>3</c:v>
              </c:pt>
              <c:pt idx="87">
                <c:v>15</c:v>
              </c:pt>
              <c:pt idx="88">
                <c:v>7</c:v>
              </c:pt>
              <c:pt idx="89">
                <c:v>17</c:v>
              </c:pt>
            </c:numLit>
          </c:xVal>
          <c:yVal>
            <c:numLit>
              <c:formatCode>General</c:formatCode>
              <c:ptCount val="90"/>
              <c:pt idx="0">
                <c:v>58</c:v>
              </c:pt>
              <c:pt idx="1">
                <c:v>16</c:v>
              </c:pt>
              <c:pt idx="2">
                <c:v>14</c:v>
              </c:pt>
              <c:pt idx="3">
                <c:v>37</c:v>
              </c:pt>
              <c:pt idx="4">
                <c:v>37</c:v>
              </c:pt>
              <c:pt idx="5">
                <c:v>28</c:v>
              </c:pt>
              <c:pt idx="6">
                <c:v>31</c:v>
              </c:pt>
              <c:pt idx="7">
                <c:v>28</c:v>
              </c:pt>
              <c:pt idx="8">
                <c:v>28</c:v>
              </c:pt>
              <c:pt idx="9">
                <c:v>53</c:v>
              </c:pt>
              <c:pt idx="10">
                <c:v>51</c:v>
              </c:pt>
              <c:pt idx="11">
                <c:v>32</c:v>
              </c:pt>
              <c:pt idx="12">
                <c:v>39</c:v>
              </c:pt>
              <c:pt idx="13">
                <c:v>24</c:v>
              </c:pt>
              <c:pt idx="14">
                <c:v>58</c:v>
              </c:pt>
              <c:pt idx="15">
                <c:v>24</c:v>
              </c:pt>
              <c:pt idx="16">
                <c:v>21</c:v>
              </c:pt>
              <c:pt idx="17">
                <c:v>39</c:v>
              </c:pt>
              <c:pt idx="18">
                <c:v>40</c:v>
              </c:pt>
              <c:pt idx="19">
                <c:v>40</c:v>
              </c:pt>
              <c:pt idx="20">
                <c:v>27</c:v>
              </c:pt>
              <c:pt idx="21">
                <c:v>49</c:v>
              </c:pt>
              <c:pt idx="22">
                <c:v>30</c:v>
              </c:pt>
              <c:pt idx="23">
                <c:v>43</c:v>
              </c:pt>
              <c:pt idx="24">
                <c:v>49</c:v>
              </c:pt>
              <c:pt idx="25">
                <c:v>28</c:v>
              </c:pt>
              <c:pt idx="26">
                <c:v>32</c:v>
              </c:pt>
              <c:pt idx="27">
                <c:v>51</c:v>
              </c:pt>
              <c:pt idx="28">
                <c:v>46</c:v>
              </c:pt>
              <c:pt idx="29">
                <c:v>15</c:v>
              </c:pt>
              <c:pt idx="30">
                <c:v>41</c:v>
              </c:pt>
              <c:pt idx="31">
                <c:v>30</c:v>
              </c:pt>
              <c:pt idx="32">
                <c:v>42</c:v>
              </c:pt>
              <c:pt idx="33">
                <c:v>28</c:v>
              </c:pt>
              <c:pt idx="34">
                <c:v>27</c:v>
              </c:pt>
              <c:pt idx="35">
                <c:v>63</c:v>
              </c:pt>
              <c:pt idx="36">
                <c:v>41</c:v>
              </c:pt>
              <c:pt idx="37">
                <c:v>22</c:v>
              </c:pt>
              <c:pt idx="38">
                <c:v>50</c:v>
              </c:pt>
              <c:pt idx="39">
                <c:v>23</c:v>
              </c:pt>
              <c:pt idx="40">
                <c:v>67</c:v>
              </c:pt>
              <c:pt idx="41">
                <c:v>42</c:v>
              </c:pt>
              <c:pt idx="42">
                <c:v>36</c:v>
              </c:pt>
              <c:pt idx="43">
                <c:v>30</c:v>
              </c:pt>
              <c:pt idx="44">
                <c:v>54</c:v>
              </c:pt>
              <c:pt idx="45">
                <c:v>43</c:v>
              </c:pt>
              <c:pt idx="46">
                <c:v>28</c:v>
              </c:pt>
              <c:pt idx="47">
                <c:v>67</c:v>
              </c:pt>
              <c:pt idx="48">
                <c:v>57</c:v>
              </c:pt>
              <c:pt idx="49">
                <c:v>29</c:v>
              </c:pt>
              <c:pt idx="50">
                <c:v>24</c:v>
              </c:pt>
              <c:pt idx="51">
                <c:v>51</c:v>
              </c:pt>
              <c:pt idx="52">
                <c:v>75</c:v>
              </c:pt>
              <c:pt idx="53">
                <c:v>30</c:v>
              </c:pt>
              <c:pt idx="54">
                <c:v>23</c:v>
              </c:pt>
              <c:pt idx="55">
                <c:v>40</c:v>
              </c:pt>
              <c:pt idx="56">
                <c:v>61</c:v>
              </c:pt>
              <c:pt idx="57">
                <c:v>46</c:v>
              </c:pt>
              <c:pt idx="58">
                <c:v>42</c:v>
              </c:pt>
              <c:pt idx="59">
                <c:v>41</c:v>
              </c:pt>
              <c:pt idx="60">
                <c:v>32</c:v>
              </c:pt>
              <c:pt idx="61">
                <c:v>51</c:v>
              </c:pt>
              <c:pt idx="62">
                <c:v>40</c:v>
              </c:pt>
              <c:pt idx="63">
                <c:v>83</c:v>
              </c:pt>
              <c:pt idx="64">
                <c:v>21</c:v>
              </c:pt>
              <c:pt idx="65">
                <c:v>56</c:v>
              </c:pt>
              <c:pt idx="66">
                <c:v>27</c:v>
              </c:pt>
              <c:pt idx="67">
                <c:v>22</c:v>
              </c:pt>
              <c:pt idx="68">
                <c:v>32</c:v>
              </c:pt>
              <c:pt idx="69">
                <c:v>30</c:v>
              </c:pt>
              <c:pt idx="70">
                <c:v>48</c:v>
              </c:pt>
              <c:pt idx="71">
                <c:v>31</c:v>
              </c:pt>
              <c:pt idx="72">
                <c:v>55</c:v>
              </c:pt>
              <c:pt idx="73">
                <c:v>21</c:v>
              </c:pt>
              <c:pt idx="74">
                <c:v>14</c:v>
              </c:pt>
              <c:pt idx="75">
                <c:v>39</c:v>
              </c:pt>
              <c:pt idx="76">
                <c:v>39</c:v>
              </c:pt>
              <c:pt idx="77">
                <c:v>23</c:v>
              </c:pt>
              <c:pt idx="78">
                <c:v>25</c:v>
              </c:pt>
              <c:pt idx="79">
                <c:v>31</c:v>
              </c:pt>
              <c:pt idx="80">
                <c:v>22</c:v>
              </c:pt>
              <c:pt idx="81">
                <c:v>30</c:v>
              </c:pt>
              <c:pt idx="82">
                <c:v>50</c:v>
              </c:pt>
              <c:pt idx="83">
                <c:v>24</c:v>
              </c:pt>
              <c:pt idx="84">
                <c:v>27</c:v>
              </c:pt>
              <c:pt idx="85">
                <c:v>37</c:v>
              </c:pt>
              <c:pt idx="86">
                <c:v>42</c:v>
              </c:pt>
              <c:pt idx="87">
                <c:v>26</c:v>
              </c:pt>
              <c:pt idx="88">
                <c:v>34</c:v>
              </c:pt>
              <c:pt idx="89">
                <c:v>46</c:v>
              </c:pt>
            </c:numLit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89B2-42F9-A17E-F4202DFD58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4029288"/>
        <c:axId val="384029680"/>
      </c:scatterChart>
      <c:valAx>
        <c:axId val="3840292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baseline="0"/>
                  <a:t>Endoscopic Severity</a:t>
                </a:r>
                <a:endParaRPr lang="en-US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4029680"/>
        <c:crosses val="autoZero"/>
        <c:crossBetween val="midCat"/>
      </c:valAx>
      <c:valAx>
        <c:axId val="384029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baseline="0"/>
                  <a:t>HGS</a:t>
                </a:r>
                <a:endParaRPr lang="en-US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402928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2D18C-2FD1-429A-AD8F-98D4963C0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Ανδρέας Βαδαρλής</dc:creator>
  <cp:keywords/>
  <dc:description/>
  <cp:lastModifiedBy>Geetha S P Iyyanar</cp:lastModifiedBy>
  <cp:revision>2</cp:revision>
  <dcterms:created xsi:type="dcterms:W3CDTF">2025-05-03T11:00:00Z</dcterms:created>
  <dcterms:modified xsi:type="dcterms:W3CDTF">2026-03-28T07:32:00Z</dcterms:modified>
</cp:coreProperties>
</file>