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D92C" w14:textId="2811F35A" w:rsidR="00205BA2" w:rsidRPr="00205BA2" w:rsidRDefault="00205BA2" w:rsidP="00205BA2">
      <w:pPr>
        <w:rPr>
          <w:rFonts w:ascii="Arial" w:hAnsi="Arial" w:cs="Arial"/>
          <w:b/>
          <w:bCs/>
        </w:rPr>
      </w:pPr>
      <w:r w:rsidRPr="00205BA2">
        <w:rPr>
          <w:rFonts w:ascii="Arial" w:hAnsi="Arial" w:cs="Arial"/>
          <w:b/>
          <w:bCs/>
        </w:rPr>
        <w:t>Supplementary Table</w:t>
      </w:r>
      <w:r>
        <w:rPr>
          <w:rFonts w:ascii="Arial" w:hAnsi="Arial" w:cs="Arial"/>
          <w:b/>
          <w:bCs/>
        </w:rPr>
        <w:t xml:space="preserve"> 1</w:t>
      </w:r>
      <w:r w:rsidRPr="00205BA2">
        <w:rPr>
          <w:rFonts w:ascii="Arial" w:hAnsi="Arial" w:cs="Arial"/>
          <w:b/>
          <w:bCs/>
        </w:rPr>
        <w:t>. Full Coding Framework Used for Cohort Construction, Matching Variables, and Outcomes Analyses</w:t>
      </w:r>
    </w:p>
    <w:tbl>
      <w:tblPr>
        <w:tblStyle w:val="TableGrid"/>
        <w:tblW w:w="9586" w:type="dxa"/>
        <w:tblLook w:val="04A0" w:firstRow="1" w:lastRow="0" w:firstColumn="1" w:lastColumn="0" w:noHBand="0" w:noVBand="1"/>
      </w:tblPr>
      <w:tblGrid>
        <w:gridCol w:w="2323"/>
        <w:gridCol w:w="2258"/>
        <w:gridCol w:w="1324"/>
        <w:gridCol w:w="1297"/>
        <w:gridCol w:w="2431"/>
      </w:tblGrid>
      <w:tr w:rsidR="00205BA2" w:rsidRPr="00205BA2" w14:paraId="001FEA8B" w14:textId="77777777" w:rsidTr="00205BA2">
        <w:tc>
          <w:tcPr>
            <w:tcW w:w="2490" w:type="dxa"/>
            <w:hideMark/>
          </w:tcPr>
          <w:p w14:paraId="1D3C183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205BA2">
              <w:rPr>
                <w:rFonts w:ascii="Arial" w:hAnsi="Arial" w:cs="Arial"/>
                <w:b/>
                <w:bCs/>
              </w:rPr>
              <w:t>Domain</w:t>
            </w:r>
          </w:p>
        </w:tc>
        <w:tc>
          <w:tcPr>
            <w:tcW w:w="0" w:type="auto"/>
            <w:hideMark/>
          </w:tcPr>
          <w:p w14:paraId="2579EEC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205BA2">
              <w:rPr>
                <w:rFonts w:ascii="Arial" w:hAnsi="Arial" w:cs="Arial"/>
                <w:b/>
                <w:bCs/>
              </w:rPr>
              <w:t>Variable / Concept</w:t>
            </w:r>
          </w:p>
        </w:tc>
        <w:tc>
          <w:tcPr>
            <w:tcW w:w="0" w:type="auto"/>
            <w:hideMark/>
          </w:tcPr>
          <w:p w14:paraId="51C9A78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205BA2">
              <w:rPr>
                <w:rFonts w:ascii="Arial" w:hAnsi="Arial" w:cs="Arial"/>
                <w:b/>
                <w:bCs/>
              </w:rPr>
              <w:t>Coding System</w:t>
            </w:r>
          </w:p>
        </w:tc>
        <w:tc>
          <w:tcPr>
            <w:tcW w:w="0" w:type="auto"/>
            <w:hideMark/>
          </w:tcPr>
          <w:p w14:paraId="402D979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205BA2">
              <w:rPr>
                <w:rFonts w:ascii="Arial" w:hAnsi="Arial" w:cs="Arial"/>
                <w:b/>
                <w:bCs/>
              </w:rPr>
              <w:t>Code(s)</w:t>
            </w:r>
          </w:p>
        </w:tc>
        <w:tc>
          <w:tcPr>
            <w:tcW w:w="0" w:type="auto"/>
            <w:hideMark/>
          </w:tcPr>
          <w:p w14:paraId="301DBE7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205BA2">
              <w:rPr>
                <w:rFonts w:ascii="Arial" w:hAnsi="Arial" w:cs="Arial"/>
                <w:b/>
                <w:bCs/>
              </w:rPr>
              <w:t>Description / Included Terms</w:t>
            </w:r>
          </w:p>
        </w:tc>
      </w:tr>
      <w:tr w:rsidR="00205BA2" w:rsidRPr="00205BA2" w14:paraId="15A09C71" w14:textId="77777777" w:rsidTr="00205BA2">
        <w:tc>
          <w:tcPr>
            <w:tcW w:w="2490" w:type="dxa"/>
            <w:hideMark/>
          </w:tcPr>
          <w:p w14:paraId="637582C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Primary Diagnosis</w:t>
            </w:r>
          </w:p>
        </w:tc>
        <w:tc>
          <w:tcPr>
            <w:tcW w:w="0" w:type="auto"/>
            <w:hideMark/>
          </w:tcPr>
          <w:p w14:paraId="2E26F38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Eosinophilic esophagitis</w:t>
            </w:r>
          </w:p>
        </w:tc>
        <w:tc>
          <w:tcPr>
            <w:tcW w:w="0" w:type="auto"/>
            <w:hideMark/>
          </w:tcPr>
          <w:p w14:paraId="275A0F4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4508492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K20.0</w:t>
            </w:r>
          </w:p>
        </w:tc>
        <w:tc>
          <w:tcPr>
            <w:tcW w:w="0" w:type="auto"/>
            <w:hideMark/>
          </w:tcPr>
          <w:p w14:paraId="69EBC99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Required diagnosis for all study cohorts</w:t>
            </w:r>
          </w:p>
        </w:tc>
      </w:tr>
      <w:tr w:rsidR="00205BA2" w:rsidRPr="00205BA2" w14:paraId="77004BE6" w14:textId="77777777" w:rsidTr="00205BA2">
        <w:tc>
          <w:tcPr>
            <w:tcW w:w="2490" w:type="dxa"/>
            <w:hideMark/>
          </w:tcPr>
          <w:p w14:paraId="4D9E499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Demographics</w:t>
            </w:r>
          </w:p>
        </w:tc>
        <w:tc>
          <w:tcPr>
            <w:tcW w:w="0" w:type="auto"/>
            <w:hideMark/>
          </w:tcPr>
          <w:p w14:paraId="4C79AB4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Adult age</w:t>
            </w:r>
          </w:p>
        </w:tc>
        <w:tc>
          <w:tcPr>
            <w:tcW w:w="0" w:type="auto"/>
            <w:hideMark/>
          </w:tcPr>
          <w:p w14:paraId="72AB931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Structured EHR</w:t>
            </w:r>
          </w:p>
        </w:tc>
        <w:tc>
          <w:tcPr>
            <w:tcW w:w="0" w:type="auto"/>
            <w:hideMark/>
          </w:tcPr>
          <w:p w14:paraId="3B368ED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≥18 years</w:t>
            </w:r>
          </w:p>
        </w:tc>
        <w:tc>
          <w:tcPr>
            <w:tcW w:w="0" w:type="auto"/>
            <w:hideMark/>
          </w:tcPr>
          <w:p w14:paraId="371335B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Age at most recent occurrence</w:t>
            </w:r>
          </w:p>
        </w:tc>
      </w:tr>
      <w:tr w:rsidR="00205BA2" w:rsidRPr="00205BA2" w14:paraId="21C67C24" w14:textId="77777777" w:rsidTr="00205BA2">
        <w:tc>
          <w:tcPr>
            <w:tcW w:w="2490" w:type="dxa"/>
            <w:hideMark/>
          </w:tcPr>
          <w:p w14:paraId="616CAD0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Demographics</w:t>
            </w:r>
          </w:p>
        </w:tc>
        <w:tc>
          <w:tcPr>
            <w:tcW w:w="0" w:type="auto"/>
            <w:hideMark/>
          </w:tcPr>
          <w:p w14:paraId="2136530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Current age</w:t>
            </w:r>
          </w:p>
        </w:tc>
        <w:tc>
          <w:tcPr>
            <w:tcW w:w="0" w:type="auto"/>
            <w:hideMark/>
          </w:tcPr>
          <w:p w14:paraId="3C1C5F4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Structured EHR</w:t>
            </w:r>
          </w:p>
        </w:tc>
        <w:tc>
          <w:tcPr>
            <w:tcW w:w="0" w:type="auto"/>
            <w:hideMark/>
          </w:tcPr>
          <w:p w14:paraId="27800CE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hideMark/>
          </w:tcPr>
          <w:p w14:paraId="767C835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propensity matching</w:t>
            </w:r>
          </w:p>
        </w:tc>
      </w:tr>
      <w:tr w:rsidR="00205BA2" w:rsidRPr="00205BA2" w14:paraId="004F5410" w14:textId="77777777" w:rsidTr="00205BA2">
        <w:tc>
          <w:tcPr>
            <w:tcW w:w="2490" w:type="dxa"/>
            <w:hideMark/>
          </w:tcPr>
          <w:p w14:paraId="5695301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Demographics</w:t>
            </w:r>
          </w:p>
        </w:tc>
        <w:tc>
          <w:tcPr>
            <w:tcW w:w="0" w:type="auto"/>
            <w:hideMark/>
          </w:tcPr>
          <w:p w14:paraId="3462D95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Age at index</w:t>
            </w:r>
          </w:p>
        </w:tc>
        <w:tc>
          <w:tcPr>
            <w:tcW w:w="0" w:type="auto"/>
            <w:hideMark/>
          </w:tcPr>
          <w:p w14:paraId="4F38C98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Structured EHR</w:t>
            </w:r>
          </w:p>
        </w:tc>
        <w:tc>
          <w:tcPr>
            <w:tcW w:w="0" w:type="auto"/>
            <w:hideMark/>
          </w:tcPr>
          <w:p w14:paraId="5098219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—</w:t>
            </w:r>
          </w:p>
        </w:tc>
        <w:tc>
          <w:tcPr>
            <w:tcW w:w="0" w:type="auto"/>
            <w:hideMark/>
          </w:tcPr>
          <w:p w14:paraId="774DD77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propensity matching</w:t>
            </w:r>
          </w:p>
        </w:tc>
      </w:tr>
      <w:tr w:rsidR="00205BA2" w:rsidRPr="00205BA2" w14:paraId="17B857AB" w14:textId="77777777" w:rsidTr="00205BA2">
        <w:tc>
          <w:tcPr>
            <w:tcW w:w="2490" w:type="dxa"/>
            <w:hideMark/>
          </w:tcPr>
          <w:p w14:paraId="7E5891E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Sex</w:t>
            </w:r>
          </w:p>
        </w:tc>
        <w:tc>
          <w:tcPr>
            <w:tcW w:w="0" w:type="auto"/>
            <w:hideMark/>
          </w:tcPr>
          <w:p w14:paraId="26E2053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Female</w:t>
            </w:r>
          </w:p>
        </w:tc>
        <w:tc>
          <w:tcPr>
            <w:tcW w:w="0" w:type="auto"/>
            <w:hideMark/>
          </w:tcPr>
          <w:p w14:paraId="47EEDCF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Structured EHR</w:t>
            </w:r>
          </w:p>
        </w:tc>
        <w:tc>
          <w:tcPr>
            <w:tcW w:w="0" w:type="auto"/>
            <w:hideMark/>
          </w:tcPr>
          <w:p w14:paraId="31A0666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F</w:t>
            </w:r>
          </w:p>
        </w:tc>
        <w:tc>
          <w:tcPr>
            <w:tcW w:w="0" w:type="auto"/>
            <w:hideMark/>
          </w:tcPr>
          <w:p w14:paraId="7185090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77AD1CEA" w14:textId="77777777" w:rsidTr="00205BA2">
        <w:tc>
          <w:tcPr>
            <w:tcW w:w="2490" w:type="dxa"/>
            <w:hideMark/>
          </w:tcPr>
          <w:p w14:paraId="1607F3F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Sex</w:t>
            </w:r>
          </w:p>
        </w:tc>
        <w:tc>
          <w:tcPr>
            <w:tcW w:w="0" w:type="auto"/>
            <w:hideMark/>
          </w:tcPr>
          <w:p w14:paraId="4A282BF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Male</w:t>
            </w:r>
          </w:p>
        </w:tc>
        <w:tc>
          <w:tcPr>
            <w:tcW w:w="0" w:type="auto"/>
            <w:hideMark/>
          </w:tcPr>
          <w:p w14:paraId="022AA02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Structured EHR</w:t>
            </w:r>
          </w:p>
        </w:tc>
        <w:tc>
          <w:tcPr>
            <w:tcW w:w="0" w:type="auto"/>
            <w:hideMark/>
          </w:tcPr>
          <w:p w14:paraId="384DFB3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M</w:t>
            </w:r>
          </w:p>
        </w:tc>
        <w:tc>
          <w:tcPr>
            <w:tcW w:w="0" w:type="auto"/>
            <w:hideMark/>
          </w:tcPr>
          <w:p w14:paraId="22AA3B2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5B0168B9" w14:textId="77777777" w:rsidTr="00205BA2">
        <w:tc>
          <w:tcPr>
            <w:tcW w:w="2490" w:type="dxa"/>
            <w:hideMark/>
          </w:tcPr>
          <w:p w14:paraId="473B289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0" w:type="auto"/>
            <w:hideMark/>
          </w:tcPr>
          <w:p w14:paraId="439195D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White</w:t>
            </w:r>
          </w:p>
        </w:tc>
        <w:tc>
          <w:tcPr>
            <w:tcW w:w="0" w:type="auto"/>
            <w:hideMark/>
          </w:tcPr>
          <w:p w14:paraId="432EBA5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Structured EHR / LOINC mapping</w:t>
            </w:r>
          </w:p>
        </w:tc>
        <w:tc>
          <w:tcPr>
            <w:tcW w:w="0" w:type="auto"/>
            <w:hideMark/>
          </w:tcPr>
          <w:p w14:paraId="72AF75E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2106-3</w:t>
            </w:r>
          </w:p>
        </w:tc>
        <w:tc>
          <w:tcPr>
            <w:tcW w:w="0" w:type="auto"/>
            <w:hideMark/>
          </w:tcPr>
          <w:p w14:paraId="504AA74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4E4B33E8" w14:textId="77777777" w:rsidTr="00205BA2">
        <w:tc>
          <w:tcPr>
            <w:tcW w:w="2490" w:type="dxa"/>
            <w:hideMark/>
          </w:tcPr>
          <w:p w14:paraId="601B780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0" w:type="auto"/>
            <w:hideMark/>
          </w:tcPr>
          <w:p w14:paraId="18D91AF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Black or African American</w:t>
            </w:r>
          </w:p>
        </w:tc>
        <w:tc>
          <w:tcPr>
            <w:tcW w:w="0" w:type="auto"/>
            <w:hideMark/>
          </w:tcPr>
          <w:p w14:paraId="5BECF8F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Structured EHR / LOINC mapping</w:t>
            </w:r>
          </w:p>
        </w:tc>
        <w:tc>
          <w:tcPr>
            <w:tcW w:w="0" w:type="auto"/>
            <w:hideMark/>
          </w:tcPr>
          <w:p w14:paraId="2D18A14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2054-5</w:t>
            </w:r>
          </w:p>
        </w:tc>
        <w:tc>
          <w:tcPr>
            <w:tcW w:w="0" w:type="auto"/>
            <w:hideMark/>
          </w:tcPr>
          <w:p w14:paraId="24F10B4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2ECACDDF" w14:textId="77777777" w:rsidTr="00205BA2">
        <w:tc>
          <w:tcPr>
            <w:tcW w:w="2490" w:type="dxa"/>
            <w:hideMark/>
          </w:tcPr>
          <w:p w14:paraId="3613283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0" w:type="auto"/>
            <w:hideMark/>
          </w:tcPr>
          <w:p w14:paraId="17F9C2A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Asian</w:t>
            </w:r>
          </w:p>
        </w:tc>
        <w:tc>
          <w:tcPr>
            <w:tcW w:w="0" w:type="auto"/>
            <w:hideMark/>
          </w:tcPr>
          <w:p w14:paraId="63AC8AB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Structured EHR / LOINC mapping</w:t>
            </w:r>
          </w:p>
        </w:tc>
        <w:tc>
          <w:tcPr>
            <w:tcW w:w="0" w:type="auto"/>
            <w:hideMark/>
          </w:tcPr>
          <w:p w14:paraId="6D53058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2028-9</w:t>
            </w:r>
          </w:p>
        </w:tc>
        <w:tc>
          <w:tcPr>
            <w:tcW w:w="0" w:type="auto"/>
            <w:hideMark/>
          </w:tcPr>
          <w:p w14:paraId="2507942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12B8D3D8" w14:textId="77777777" w:rsidTr="00205BA2">
        <w:tc>
          <w:tcPr>
            <w:tcW w:w="2490" w:type="dxa"/>
            <w:hideMark/>
          </w:tcPr>
          <w:p w14:paraId="35489E9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Race</w:t>
            </w:r>
          </w:p>
        </w:tc>
        <w:tc>
          <w:tcPr>
            <w:tcW w:w="0" w:type="auto"/>
            <w:hideMark/>
          </w:tcPr>
          <w:p w14:paraId="3DF97BC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Other race</w:t>
            </w:r>
          </w:p>
        </w:tc>
        <w:tc>
          <w:tcPr>
            <w:tcW w:w="0" w:type="auto"/>
            <w:hideMark/>
          </w:tcPr>
          <w:p w14:paraId="270F12A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Structured EHR / LOINC mapping</w:t>
            </w:r>
          </w:p>
        </w:tc>
        <w:tc>
          <w:tcPr>
            <w:tcW w:w="0" w:type="auto"/>
            <w:hideMark/>
          </w:tcPr>
          <w:p w14:paraId="084A9C4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2131-1</w:t>
            </w:r>
          </w:p>
        </w:tc>
        <w:tc>
          <w:tcPr>
            <w:tcW w:w="0" w:type="auto"/>
            <w:hideMark/>
          </w:tcPr>
          <w:p w14:paraId="315B32C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25E21C8F" w14:textId="77777777" w:rsidTr="00205BA2">
        <w:tc>
          <w:tcPr>
            <w:tcW w:w="2490" w:type="dxa"/>
            <w:hideMark/>
          </w:tcPr>
          <w:p w14:paraId="57A3B22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lastRenderedPageBreak/>
              <w:t>Race</w:t>
            </w:r>
          </w:p>
        </w:tc>
        <w:tc>
          <w:tcPr>
            <w:tcW w:w="0" w:type="auto"/>
            <w:hideMark/>
          </w:tcPr>
          <w:p w14:paraId="3DF5595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Unknown race</w:t>
            </w:r>
          </w:p>
        </w:tc>
        <w:tc>
          <w:tcPr>
            <w:tcW w:w="0" w:type="auto"/>
            <w:hideMark/>
          </w:tcPr>
          <w:p w14:paraId="0871C8D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Structured EHR</w:t>
            </w:r>
          </w:p>
        </w:tc>
        <w:tc>
          <w:tcPr>
            <w:tcW w:w="0" w:type="auto"/>
            <w:hideMark/>
          </w:tcPr>
          <w:p w14:paraId="103265E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UNK</w:t>
            </w:r>
          </w:p>
        </w:tc>
        <w:tc>
          <w:tcPr>
            <w:tcW w:w="0" w:type="auto"/>
            <w:hideMark/>
          </w:tcPr>
          <w:p w14:paraId="787B1BB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65CF9FD7" w14:textId="77777777" w:rsidTr="00205BA2">
        <w:tc>
          <w:tcPr>
            <w:tcW w:w="2490" w:type="dxa"/>
            <w:hideMark/>
          </w:tcPr>
          <w:p w14:paraId="6E6E69E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Ethnicity</w:t>
            </w:r>
          </w:p>
        </w:tc>
        <w:tc>
          <w:tcPr>
            <w:tcW w:w="0" w:type="auto"/>
            <w:hideMark/>
          </w:tcPr>
          <w:p w14:paraId="1CE16F2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Not Hispanic or Latino</w:t>
            </w:r>
          </w:p>
        </w:tc>
        <w:tc>
          <w:tcPr>
            <w:tcW w:w="0" w:type="auto"/>
            <w:hideMark/>
          </w:tcPr>
          <w:p w14:paraId="0F70FF1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Structured EHR / LOINC mapping</w:t>
            </w:r>
          </w:p>
        </w:tc>
        <w:tc>
          <w:tcPr>
            <w:tcW w:w="0" w:type="auto"/>
            <w:hideMark/>
          </w:tcPr>
          <w:p w14:paraId="7CF5B38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2186-5</w:t>
            </w:r>
          </w:p>
        </w:tc>
        <w:tc>
          <w:tcPr>
            <w:tcW w:w="0" w:type="auto"/>
            <w:hideMark/>
          </w:tcPr>
          <w:p w14:paraId="78F4E3A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68349BAD" w14:textId="77777777" w:rsidTr="00205BA2">
        <w:tc>
          <w:tcPr>
            <w:tcW w:w="2490" w:type="dxa"/>
            <w:hideMark/>
          </w:tcPr>
          <w:p w14:paraId="6933F14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Ethnicity</w:t>
            </w:r>
          </w:p>
        </w:tc>
        <w:tc>
          <w:tcPr>
            <w:tcW w:w="0" w:type="auto"/>
            <w:hideMark/>
          </w:tcPr>
          <w:p w14:paraId="08BBA8B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Unknown ethnicity</w:t>
            </w:r>
          </w:p>
        </w:tc>
        <w:tc>
          <w:tcPr>
            <w:tcW w:w="0" w:type="auto"/>
            <w:hideMark/>
          </w:tcPr>
          <w:p w14:paraId="2243C38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Structured EHR</w:t>
            </w:r>
          </w:p>
        </w:tc>
        <w:tc>
          <w:tcPr>
            <w:tcW w:w="0" w:type="auto"/>
            <w:hideMark/>
          </w:tcPr>
          <w:p w14:paraId="1CB1E0F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UN</w:t>
            </w:r>
          </w:p>
        </w:tc>
        <w:tc>
          <w:tcPr>
            <w:tcW w:w="0" w:type="auto"/>
            <w:hideMark/>
          </w:tcPr>
          <w:p w14:paraId="6F1087B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6AE40241" w14:textId="77777777" w:rsidTr="00205BA2">
        <w:tc>
          <w:tcPr>
            <w:tcW w:w="2490" w:type="dxa"/>
            <w:hideMark/>
          </w:tcPr>
          <w:p w14:paraId="45452E4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Laboratory</w:t>
            </w:r>
          </w:p>
        </w:tc>
        <w:tc>
          <w:tcPr>
            <w:tcW w:w="0" w:type="auto"/>
            <w:hideMark/>
          </w:tcPr>
          <w:p w14:paraId="0A0CA83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Body mass index</w:t>
            </w:r>
          </w:p>
        </w:tc>
        <w:tc>
          <w:tcPr>
            <w:tcW w:w="0" w:type="auto"/>
            <w:hideMark/>
          </w:tcPr>
          <w:p w14:paraId="229D303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LOINC</w:t>
            </w:r>
          </w:p>
        </w:tc>
        <w:tc>
          <w:tcPr>
            <w:tcW w:w="0" w:type="auto"/>
            <w:hideMark/>
          </w:tcPr>
          <w:p w14:paraId="034EEA8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9083</w:t>
            </w:r>
          </w:p>
        </w:tc>
        <w:tc>
          <w:tcPr>
            <w:tcW w:w="0" w:type="auto"/>
            <w:hideMark/>
          </w:tcPr>
          <w:p w14:paraId="0588C46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BMI (kg/m²), included in matching</w:t>
            </w:r>
          </w:p>
        </w:tc>
      </w:tr>
      <w:tr w:rsidR="00205BA2" w:rsidRPr="00205BA2" w14:paraId="165507BE" w14:textId="77777777" w:rsidTr="00205BA2">
        <w:tc>
          <w:tcPr>
            <w:tcW w:w="2490" w:type="dxa"/>
            <w:hideMark/>
          </w:tcPr>
          <w:p w14:paraId="4837701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Comorbidity</w:t>
            </w:r>
          </w:p>
        </w:tc>
        <w:tc>
          <w:tcPr>
            <w:tcW w:w="0" w:type="auto"/>
            <w:hideMark/>
          </w:tcPr>
          <w:p w14:paraId="11D3F00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Type 2 diabetes mellitus</w:t>
            </w:r>
          </w:p>
        </w:tc>
        <w:tc>
          <w:tcPr>
            <w:tcW w:w="0" w:type="auto"/>
            <w:hideMark/>
          </w:tcPr>
          <w:p w14:paraId="0AAD30C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313577D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E11</w:t>
            </w:r>
          </w:p>
        </w:tc>
        <w:tc>
          <w:tcPr>
            <w:tcW w:w="0" w:type="auto"/>
            <w:hideMark/>
          </w:tcPr>
          <w:p w14:paraId="6B4377B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5A912141" w14:textId="77777777" w:rsidTr="00205BA2">
        <w:tc>
          <w:tcPr>
            <w:tcW w:w="2490" w:type="dxa"/>
            <w:hideMark/>
          </w:tcPr>
          <w:p w14:paraId="5716D08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Comorbidity</w:t>
            </w:r>
          </w:p>
        </w:tc>
        <w:tc>
          <w:tcPr>
            <w:tcW w:w="0" w:type="auto"/>
            <w:hideMark/>
          </w:tcPr>
          <w:p w14:paraId="214A8FF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Type 1 diabetes mellitus</w:t>
            </w:r>
          </w:p>
        </w:tc>
        <w:tc>
          <w:tcPr>
            <w:tcW w:w="0" w:type="auto"/>
            <w:hideMark/>
          </w:tcPr>
          <w:p w14:paraId="448247D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550B74D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E10</w:t>
            </w:r>
          </w:p>
        </w:tc>
        <w:tc>
          <w:tcPr>
            <w:tcW w:w="0" w:type="auto"/>
            <w:hideMark/>
          </w:tcPr>
          <w:p w14:paraId="338D9B7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19FD70E5" w14:textId="77777777" w:rsidTr="00205BA2">
        <w:tc>
          <w:tcPr>
            <w:tcW w:w="2490" w:type="dxa"/>
            <w:hideMark/>
          </w:tcPr>
          <w:p w14:paraId="0CB5A75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Comorbidity</w:t>
            </w:r>
          </w:p>
        </w:tc>
        <w:tc>
          <w:tcPr>
            <w:tcW w:w="0" w:type="auto"/>
            <w:hideMark/>
          </w:tcPr>
          <w:p w14:paraId="2FE1573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Asthma</w:t>
            </w:r>
          </w:p>
        </w:tc>
        <w:tc>
          <w:tcPr>
            <w:tcW w:w="0" w:type="auto"/>
            <w:hideMark/>
          </w:tcPr>
          <w:p w14:paraId="72DBFC6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7C6EB4F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J45</w:t>
            </w:r>
          </w:p>
        </w:tc>
        <w:tc>
          <w:tcPr>
            <w:tcW w:w="0" w:type="auto"/>
            <w:hideMark/>
          </w:tcPr>
          <w:p w14:paraId="3E212E6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4C4E7039" w14:textId="77777777" w:rsidTr="00205BA2">
        <w:tc>
          <w:tcPr>
            <w:tcW w:w="2490" w:type="dxa"/>
            <w:hideMark/>
          </w:tcPr>
          <w:p w14:paraId="2AE0CE5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Comorbidity</w:t>
            </w:r>
          </w:p>
        </w:tc>
        <w:tc>
          <w:tcPr>
            <w:tcW w:w="0" w:type="auto"/>
            <w:hideMark/>
          </w:tcPr>
          <w:p w14:paraId="0D59C97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Chronic lower respiratory disease</w:t>
            </w:r>
          </w:p>
        </w:tc>
        <w:tc>
          <w:tcPr>
            <w:tcW w:w="0" w:type="auto"/>
            <w:hideMark/>
          </w:tcPr>
          <w:p w14:paraId="489186A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11E6D07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J40–J4A</w:t>
            </w:r>
          </w:p>
        </w:tc>
        <w:tc>
          <w:tcPr>
            <w:tcW w:w="0" w:type="auto"/>
            <w:hideMark/>
          </w:tcPr>
          <w:p w14:paraId="5ED92AD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06DC315B" w14:textId="77777777" w:rsidTr="00205BA2">
        <w:tc>
          <w:tcPr>
            <w:tcW w:w="2490" w:type="dxa"/>
            <w:hideMark/>
          </w:tcPr>
          <w:p w14:paraId="783411E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Comorbidity</w:t>
            </w:r>
          </w:p>
        </w:tc>
        <w:tc>
          <w:tcPr>
            <w:tcW w:w="0" w:type="auto"/>
            <w:hideMark/>
          </w:tcPr>
          <w:p w14:paraId="00A0751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COPD</w:t>
            </w:r>
          </w:p>
        </w:tc>
        <w:tc>
          <w:tcPr>
            <w:tcW w:w="0" w:type="auto"/>
            <w:hideMark/>
          </w:tcPr>
          <w:p w14:paraId="26B790B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6B36EB1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J44</w:t>
            </w:r>
          </w:p>
        </w:tc>
        <w:tc>
          <w:tcPr>
            <w:tcW w:w="0" w:type="auto"/>
            <w:hideMark/>
          </w:tcPr>
          <w:p w14:paraId="34E66C7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matching</w:t>
            </w:r>
          </w:p>
        </w:tc>
      </w:tr>
      <w:tr w:rsidR="00205BA2" w:rsidRPr="00205BA2" w14:paraId="78B08DC0" w14:textId="77777777" w:rsidTr="00205BA2">
        <w:tc>
          <w:tcPr>
            <w:tcW w:w="2490" w:type="dxa"/>
            <w:hideMark/>
          </w:tcPr>
          <w:p w14:paraId="485E29E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Exposure Medication</w:t>
            </w:r>
          </w:p>
        </w:tc>
        <w:tc>
          <w:tcPr>
            <w:tcW w:w="0" w:type="auto"/>
            <w:hideMark/>
          </w:tcPr>
          <w:p w14:paraId="5F7A657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Dupilumab</w:t>
            </w:r>
          </w:p>
        </w:tc>
        <w:tc>
          <w:tcPr>
            <w:tcW w:w="0" w:type="auto"/>
            <w:hideMark/>
          </w:tcPr>
          <w:p w14:paraId="7592C12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1A08968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1876376</w:t>
            </w:r>
          </w:p>
        </w:tc>
        <w:tc>
          <w:tcPr>
            <w:tcW w:w="0" w:type="auto"/>
            <w:hideMark/>
          </w:tcPr>
          <w:p w14:paraId="5682F2F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Biologic exposure cohort</w:t>
            </w:r>
          </w:p>
        </w:tc>
      </w:tr>
      <w:tr w:rsidR="00205BA2" w:rsidRPr="00205BA2" w14:paraId="5E940910" w14:textId="77777777" w:rsidTr="00205BA2">
        <w:tc>
          <w:tcPr>
            <w:tcW w:w="2490" w:type="dxa"/>
            <w:hideMark/>
          </w:tcPr>
          <w:p w14:paraId="283B07A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PPI Comparator</w:t>
            </w:r>
          </w:p>
        </w:tc>
        <w:tc>
          <w:tcPr>
            <w:tcW w:w="0" w:type="auto"/>
            <w:hideMark/>
          </w:tcPr>
          <w:p w14:paraId="7BA1196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Lansoprazole</w:t>
            </w:r>
          </w:p>
        </w:tc>
        <w:tc>
          <w:tcPr>
            <w:tcW w:w="0" w:type="auto"/>
            <w:hideMark/>
          </w:tcPr>
          <w:p w14:paraId="6E57B9A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367997E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17128</w:t>
            </w:r>
          </w:p>
        </w:tc>
        <w:tc>
          <w:tcPr>
            <w:tcW w:w="0" w:type="auto"/>
            <w:hideMark/>
          </w:tcPr>
          <w:p w14:paraId="71C646B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PPI comparator</w:t>
            </w:r>
          </w:p>
        </w:tc>
      </w:tr>
      <w:tr w:rsidR="00205BA2" w:rsidRPr="00205BA2" w14:paraId="3BB7A300" w14:textId="77777777" w:rsidTr="00205BA2">
        <w:tc>
          <w:tcPr>
            <w:tcW w:w="2490" w:type="dxa"/>
            <w:hideMark/>
          </w:tcPr>
          <w:p w14:paraId="702C8D5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PPI Comparator</w:t>
            </w:r>
          </w:p>
        </w:tc>
        <w:tc>
          <w:tcPr>
            <w:tcW w:w="0" w:type="auto"/>
            <w:hideMark/>
          </w:tcPr>
          <w:p w14:paraId="78373D5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Omeprazole</w:t>
            </w:r>
          </w:p>
        </w:tc>
        <w:tc>
          <w:tcPr>
            <w:tcW w:w="0" w:type="auto"/>
            <w:hideMark/>
          </w:tcPr>
          <w:p w14:paraId="7A38FA7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76ED623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7646</w:t>
            </w:r>
          </w:p>
        </w:tc>
        <w:tc>
          <w:tcPr>
            <w:tcW w:w="0" w:type="auto"/>
            <w:hideMark/>
          </w:tcPr>
          <w:p w14:paraId="0BDD169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PPI comparator</w:t>
            </w:r>
          </w:p>
        </w:tc>
      </w:tr>
      <w:tr w:rsidR="00205BA2" w:rsidRPr="00205BA2" w14:paraId="3C34B91E" w14:textId="77777777" w:rsidTr="00205BA2">
        <w:tc>
          <w:tcPr>
            <w:tcW w:w="2490" w:type="dxa"/>
            <w:hideMark/>
          </w:tcPr>
          <w:p w14:paraId="0EF5072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PPI Comparator</w:t>
            </w:r>
          </w:p>
        </w:tc>
        <w:tc>
          <w:tcPr>
            <w:tcW w:w="0" w:type="auto"/>
            <w:hideMark/>
          </w:tcPr>
          <w:p w14:paraId="69210A7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Dexlansoprazole</w:t>
            </w:r>
          </w:p>
        </w:tc>
        <w:tc>
          <w:tcPr>
            <w:tcW w:w="0" w:type="auto"/>
            <w:hideMark/>
          </w:tcPr>
          <w:p w14:paraId="339B24C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61DF1DA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816346</w:t>
            </w:r>
          </w:p>
        </w:tc>
        <w:tc>
          <w:tcPr>
            <w:tcW w:w="0" w:type="auto"/>
            <w:hideMark/>
          </w:tcPr>
          <w:p w14:paraId="478108A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PPI comparator</w:t>
            </w:r>
          </w:p>
        </w:tc>
      </w:tr>
      <w:tr w:rsidR="00205BA2" w:rsidRPr="00205BA2" w14:paraId="1BF08D80" w14:textId="77777777" w:rsidTr="00205BA2">
        <w:tc>
          <w:tcPr>
            <w:tcW w:w="2490" w:type="dxa"/>
            <w:hideMark/>
          </w:tcPr>
          <w:p w14:paraId="4DAE895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PPI Comparator</w:t>
            </w:r>
          </w:p>
        </w:tc>
        <w:tc>
          <w:tcPr>
            <w:tcW w:w="0" w:type="auto"/>
            <w:hideMark/>
          </w:tcPr>
          <w:p w14:paraId="3BD6C4F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Pantoprazole</w:t>
            </w:r>
          </w:p>
        </w:tc>
        <w:tc>
          <w:tcPr>
            <w:tcW w:w="0" w:type="auto"/>
            <w:hideMark/>
          </w:tcPr>
          <w:p w14:paraId="394EF7B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25822C5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40790</w:t>
            </w:r>
          </w:p>
        </w:tc>
        <w:tc>
          <w:tcPr>
            <w:tcW w:w="0" w:type="auto"/>
            <w:hideMark/>
          </w:tcPr>
          <w:p w14:paraId="0DEB6E3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PPI comparator</w:t>
            </w:r>
          </w:p>
        </w:tc>
      </w:tr>
      <w:tr w:rsidR="00205BA2" w:rsidRPr="00205BA2" w14:paraId="2B4AC30B" w14:textId="77777777" w:rsidTr="00205BA2">
        <w:tc>
          <w:tcPr>
            <w:tcW w:w="2490" w:type="dxa"/>
            <w:hideMark/>
          </w:tcPr>
          <w:p w14:paraId="7671269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PPI Comparator</w:t>
            </w:r>
          </w:p>
        </w:tc>
        <w:tc>
          <w:tcPr>
            <w:tcW w:w="0" w:type="auto"/>
            <w:hideMark/>
          </w:tcPr>
          <w:p w14:paraId="6DE2467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Rabeprazole</w:t>
            </w:r>
          </w:p>
        </w:tc>
        <w:tc>
          <w:tcPr>
            <w:tcW w:w="0" w:type="auto"/>
            <w:hideMark/>
          </w:tcPr>
          <w:p w14:paraId="1CB56A4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76BB81D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114979</w:t>
            </w:r>
          </w:p>
        </w:tc>
        <w:tc>
          <w:tcPr>
            <w:tcW w:w="0" w:type="auto"/>
            <w:hideMark/>
          </w:tcPr>
          <w:p w14:paraId="12719AC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PPI comparator</w:t>
            </w:r>
          </w:p>
        </w:tc>
      </w:tr>
      <w:tr w:rsidR="00205BA2" w:rsidRPr="00205BA2" w14:paraId="48A4A623" w14:textId="77777777" w:rsidTr="00205BA2">
        <w:tc>
          <w:tcPr>
            <w:tcW w:w="2490" w:type="dxa"/>
            <w:hideMark/>
          </w:tcPr>
          <w:p w14:paraId="6E294A2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PPI Comparator</w:t>
            </w:r>
          </w:p>
        </w:tc>
        <w:tc>
          <w:tcPr>
            <w:tcW w:w="0" w:type="auto"/>
            <w:hideMark/>
          </w:tcPr>
          <w:p w14:paraId="410F574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Esomeprazole</w:t>
            </w:r>
          </w:p>
        </w:tc>
        <w:tc>
          <w:tcPr>
            <w:tcW w:w="0" w:type="auto"/>
            <w:hideMark/>
          </w:tcPr>
          <w:p w14:paraId="0493D17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35D70B6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283742</w:t>
            </w:r>
          </w:p>
        </w:tc>
        <w:tc>
          <w:tcPr>
            <w:tcW w:w="0" w:type="auto"/>
            <w:hideMark/>
          </w:tcPr>
          <w:p w14:paraId="15DC89F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PPI comparator</w:t>
            </w:r>
          </w:p>
        </w:tc>
      </w:tr>
      <w:tr w:rsidR="00205BA2" w:rsidRPr="00205BA2" w14:paraId="61DBC023" w14:textId="77777777" w:rsidTr="00205BA2">
        <w:tc>
          <w:tcPr>
            <w:tcW w:w="2490" w:type="dxa"/>
            <w:hideMark/>
          </w:tcPr>
          <w:p w14:paraId="6F86606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Topical Steroid Comparator</w:t>
            </w:r>
          </w:p>
        </w:tc>
        <w:tc>
          <w:tcPr>
            <w:tcW w:w="0" w:type="auto"/>
            <w:hideMark/>
          </w:tcPr>
          <w:p w14:paraId="112D71D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Budesonide</w:t>
            </w:r>
          </w:p>
        </w:tc>
        <w:tc>
          <w:tcPr>
            <w:tcW w:w="0" w:type="auto"/>
            <w:hideMark/>
          </w:tcPr>
          <w:p w14:paraId="1775FD5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24847BC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19831</w:t>
            </w:r>
          </w:p>
        </w:tc>
        <w:tc>
          <w:tcPr>
            <w:tcW w:w="0" w:type="auto"/>
            <w:hideMark/>
          </w:tcPr>
          <w:p w14:paraId="098C2E6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Swallowed topical steroid comparator</w:t>
            </w:r>
          </w:p>
        </w:tc>
      </w:tr>
      <w:tr w:rsidR="00205BA2" w:rsidRPr="00205BA2" w14:paraId="43252DC0" w14:textId="77777777" w:rsidTr="00205BA2">
        <w:tc>
          <w:tcPr>
            <w:tcW w:w="2490" w:type="dxa"/>
            <w:hideMark/>
          </w:tcPr>
          <w:p w14:paraId="4666DF7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lastRenderedPageBreak/>
              <w:t>Topical Steroid Comparator</w:t>
            </w:r>
          </w:p>
        </w:tc>
        <w:tc>
          <w:tcPr>
            <w:tcW w:w="0" w:type="auto"/>
            <w:hideMark/>
          </w:tcPr>
          <w:p w14:paraId="7397055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Fluticasone</w:t>
            </w:r>
          </w:p>
        </w:tc>
        <w:tc>
          <w:tcPr>
            <w:tcW w:w="0" w:type="auto"/>
            <w:hideMark/>
          </w:tcPr>
          <w:p w14:paraId="03B5785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63D5391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41126</w:t>
            </w:r>
          </w:p>
        </w:tc>
        <w:tc>
          <w:tcPr>
            <w:tcW w:w="0" w:type="auto"/>
            <w:hideMark/>
          </w:tcPr>
          <w:p w14:paraId="05FC827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Swallowed topical steroid comparator</w:t>
            </w:r>
          </w:p>
        </w:tc>
      </w:tr>
      <w:tr w:rsidR="00205BA2" w:rsidRPr="00205BA2" w14:paraId="7F9AF452" w14:textId="77777777" w:rsidTr="00205BA2">
        <w:tc>
          <w:tcPr>
            <w:tcW w:w="2490" w:type="dxa"/>
            <w:hideMark/>
          </w:tcPr>
          <w:p w14:paraId="0458EC8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Topical Steroid Comparator</w:t>
            </w:r>
          </w:p>
        </w:tc>
        <w:tc>
          <w:tcPr>
            <w:tcW w:w="0" w:type="auto"/>
            <w:hideMark/>
          </w:tcPr>
          <w:p w14:paraId="6276BF5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Mometasone</w:t>
            </w:r>
          </w:p>
        </w:tc>
        <w:tc>
          <w:tcPr>
            <w:tcW w:w="0" w:type="auto"/>
            <w:hideMark/>
          </w:tcPr>
          <w:p w14:paraId="00979E0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53969DE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108118</w:t>
            </w:r>
          </w:p>
        </w:tc>
        <w:tc>
          <w:tcPr>
            <w:tcW w:w="0" w:type="auto"/>
            <w:hideMark/>
          </w:tcPr>
          <w:p w14:paraId="5434909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Swallowed topical steroid comparator</w:t>
            </w:r>
          </w:p>
        </w:tc>
      </w:tr>
      <w:tr w:rsidR="00205BA2" w:rsidRPr="00205BA2" w14:paraId="603A214C" w14:textId="77777777" w:rsidTr="00205BA2">
        <w:tc>
          <w:tcPr>
            <w:tcW w:w="2490" w:type="dxa"/>
            <w:hideMark/>
          </w:tcPr>
          <w:p w14:paraId="769BF25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57ACB38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Golimumab</w:t>
            </w:r>
          </w:p>
        </w:tc>
        <w:tc>
          <w:tcPr>
            <w:tcW w:w="0" w:type="auto"/>
            <w:hideMark/>
          </w:tcPr>
          <w:p w14:paraId="176FCCE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3714C71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819300</w:t>
            </w:r>
          </w:p>
        </w:tc>
        <w:tc>
          <w:tcPr>
            <w:tcW w:w="0" w:type="auto"/>
            <w:hideMark/>
          </w:tcPr>
          <w:p w14:paraId="3326529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7BAC4504" w14:textId="77777777" w:rsidTr="00205BA2">
        <w:tc>
          <w:tcPr>
            <w:tcW w:w="2490" w:type="dxa"/>
            <w:hideMark/>
          </w:tcPr>
          <w:p w14:paraId="311C494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253445D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Methotrexate</w:t>
            </w:r>
          </w:p>
        </w:tc>
        <w:tc>
          <w:tcPr>
            <w:tcW w:w="0" w:type="auto"/>
            <w:hideMark/>
          </w:tcPr>
          <w:p w14:paraId="61683E8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77333FF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6851</w:t>
            </w:r>
          </w:p>
        </w:tc>
        <w:tc>
          <w:tcPr>
            <w:tcW w:w="0" w:type="auto"/>
            <w:hideMark/>
          </w:tcPr>
          <w:p w14:paraId="042ADEA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31A7C3F2" w14:textId="77777777" w:rsidTr="00205BA2">
        <w:tc>
          <w:tcPr>
            <w:tcW w:w="2490" w:type="dxa"/>
            <w:hideMark/>
          </w:tcPr>
          <w:p w14:paraId="1AE0ABE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38309E8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Tacrolimus</w:t>
            </w:r>
          </w:p>
        </w:tc>
        <w:tc>
          <w:tcPr>
            <w:tcW w:w="0" w:type="auto"/>
            <w:hideMark/>
          </w:tcPr>
          <w:p w14:paraId="3C3D9AE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226D245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42316</w:t>
            </w:r>
          </w:p>
        </w:tc>
        <w:tc>
          <w:tcPr>
            <w:tcW w:w="0" w:type="auto"/>
            <w:hideMark/>
          </w:tcPr>
          <w:p w14:paraId="5017872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477A1C06" w14:textId="77777777" w:rsidTr="00205BA2">
        <w:tc>
          <w:tcPr>
            <w:tcW w:w="2490" w:type="dxa"/>
            <w:hideMark/>
          </w:tcPr>
          <w:p w14:paraId="0C14F54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1B1280E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Cyclosporine</w:t>
            </w:r>
          </w:p>
        </w:tc>
        <w:tc>
          <w:tcPr>
            <w:tcW w:w="0" w:type="auto"/>
            <w:hideMark/>
          </w:tcPr>
          <w:p w14:paraId="2FE71AA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4FF5FCC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3008</w:t>
            </w:r>
          </w:p>
        </w:tc>
        <w:tc>
          <w:tcPr>
            <w:tcW w:w="0" w:type="auto"/>
            <w:hideMark/>
          </w:tcPr>
          <w:p w14:paraId="2AEFAAD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1BA16F78" w14:textId="77777777" w:rsidTr="00205BA2">
        <w:tc>
          <w:tcPr>
            <w:tcW w:w="2490" w:type="dxa"/>
            <w:hideMark/>
          </w:tcPr>
          <w:p w14:paraId="3292002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261D8AB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Mycophenolic acid</w:t>
            </w:r>
          </w:p>
        </w:tc>
        <w:tc>
          <w:tcPr>
            <w:tcW w:w="0" w:type="auto"/>
            <w:hideMark/>
          </w:tcPr>
          <w:p w14:paraId="565ED26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0EBA063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7145</w:t>
            </w:r>
          </w:p>
        </w:tc>
        <w:tc>
          <w:tcPr>
            <w:tcW w:w="0" w:type="auto"/>
            <w:hideMark/>
          </w:tcPr>
          <w:p w14:paraId="118E500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32A1B192" w14:textId="77777777" w:rsidTr="00205BA2">
        <w:tc>
          <w:tcPr>
            <w:tcW w:w="2490" w:type="dxa"/>
            <w:hideMark/>
          </w:tcPr>
          <w:p w14:paraId="1B3E0E4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36B6C92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Everolimus</w:t>
            </w:r>
          </w:p>
        </w:tc>
        <w:tc>
          <w:tcPr>
            <w:tcW w:w="0" w:type="auto"/>
            <w:hideMark/>
          </w:tcPr>
          <w:p w14:paraId="1D4EE33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766E670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141704</w:t>
            </w:r>
          </w:p>
        </w:tc>
        <w:tc>
          <w:tcPr>
            <w:tcW w:w="0" w:type="auto"/>
            <w:hideMark/>
          </w:tcPr>
          <w:p w14:paraId="04725E8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1207C7FD" w14:textId="77777777" w:rsidTr="00205BA2">
        <w:tc>
          <w:tcPr>
            <w:tcW w:w="2490" w:type="dxa"/>
            <w:hideMark/>
          </w:tcPr>
          <w:p w14:paraId="0025F4E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4B31D52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Sirolimus</w:t>
            </w:r>
          </w:p>
        </w:tc>
        <w:tc>
          <w:tcPr>
            <w:tcW w:w="0" w:type="auto"/>
            <w:hideMark/>
          </w:tcPr>
          <w:p w14:paraId="51CA333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551AF61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35302</w:t>
            </w:r>
          </w:p>
        </w:tc>
        <w:tc>
          <w:tcPr>
            <w:tcW w:w="0" w:type="auto"/>
            <w:hideMark/>
          </w:tcPr>
          <w:p w14:paraId="065F533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163755CA" w14:textId="77777777" w:rsidTr="00205BA2">
        <w:tc>
          <w:tcPr>
            <w:tcW w:w="2490" w:type="dxa"/>
            <w:hideMark/>
          </w:tcPr>
          <w:p w14:paraId="4F8FDD1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5D20E32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Infliximab</w:t>
            </w:r>
          </w:p>
        </w:tc>
        <w:tc>
          <w:tcPr>
            <w:tcW w:w="0" w:type="auto"/>
            <w:hideMark/>
          </w:tcPr>
          <w:p w14:paraId="51B7A41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0D1FCEE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191831</w:t>
            </w:r>
          </w:p>
        </w:tc>
        <w:tc>
          <w:tcPr>
            <w:tcW w:w="0" w:type="auto"/>
            <w:hideMark/>
          </w:tcPr>
          <w:p w14:paraId="1851D3C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6F25DBC0" w14:textId="77777777" w:rsidTr="00205BA2">
        <w:tc>
          <w:tcPr>
            <w:tcW w:w="2490" w:type="dxa"/>
            <w:hideMark/>
          </w:tcPr>
          <w:p w14:paraId="63E2D29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0FB5CB2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Azathioprine</w:t>
            </w:r>
          </w:p>
        </w:tc>
        <w:tc>
          <w:tcPr>
            <w:tcW w:w="0" w:type="auto"/>
            <w:hideMark/>
          </w:tcPr>
          <w:p w14:paraId="4C3EE73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2438F93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1256</w:t>
            </w:r>
          </w:p>
        </w:tc>
        <w:tc>
          <w:tcPr>
            <w:tcW w:w="0" w:type="auto"/>
            <w:hideMark/>
          </w:tcPr>
          <w:p w14:paraId="38BE148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0AD5D460" w14:textId="77777777" w:rsidTr="00205BA2">
        <w:tc>
          <w:tcPr>
            <w:tcW w:w="2490" w:type="dxa"/>
            <w:hideMark/>
          </w:tcPr>
          <w:p w14:paraId="1A6C3FC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45D66AE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Leflunomide</w:t>
            </w:r>
          </w:p>
        </w:tc>
        <w:tc>
          <w:tcPr>
            <w:tcW w:w="0" w:type="auto"/>
            <w:hideMark/>
          </w:tcPr>
          <w:p w14:paraId="4DD0556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4C68DAF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27169</w:t>
            </w:r>
          </w:p>
        </w:tc>
        <w:tc>
          <w:tcPr>
            <w:tcW w:w="0" w:type="auto"/>
            <w:hideMark/>
          </w:tcPr>
          <w:p w14:paraId="6DA5C07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7F4094CF" w14:textId="77777777" w:rsidTr="00205BA2">
        <w:tc>
          <w:tcPr>
            <w:tcW w:w="2490" w:type="dxa"/>
            <w:hideMark/>
          </w:tcPr>
          <w:p w14:paraId="4841287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06B9280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Adalimumab</w:t>
            </w:r>
          </w:p>
        </w:tc>
        <w:tc>
          <w:tcPr>
            <w:tcW w:w="0" w:type="auto"/>
            <w:hideMark/>
          </w:tcPr>
          <w:p w14:paraId="084272F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7841F57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327361</w:t>
            </w:r>
          </w:p>
        </w:tc>
        <w:tc>
          <w:tcPr>
            <w:tcW w:w="0" w:type="auto"/>
            <w:hideMark/>
          </w:tcPr>
          <w:p w14:paraId="1573318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24929F66" w14:textId="77777777" w:rsidTr="00205BA2">
        <w:tc>
          <w:tcPr>
            <w:tcW w:w="2490" w:type="dxa"/>
            <w:hideMark/>
          </w:tcPr>
          <w:p w14:paraId="6B99B7F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0332846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Abatacept</w:t>
            </w:r>
          </w:p>
        </w:tc>
        <w:tc>
          <w:tcPr>
            <w:tcW w:w="0" w:type="auto"/>
            <w:hideMark/>
          </w:tcPr>
          <w:p w14:paraId="440D190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4586570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614391</w:t>
            </w:r>
          </w:p>
        </w:tc>
        <w:tc>
          <w:tcPr>
            <w:tcW w:w="0" w:type="auto"/>
            <w:hideMark/>
          </w:tcPr>
          <w:p w14:paraId="4DC5491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5E14BF31" w14:textId="77777777" w:rsidTr="00205BA2">
        <w:tc>
          <w:tcPr>
            <w:tcW w:w="2490" w:type="dxa"/>
            <w:hideMark/>
          </w:tcPr>
          <w:p w14:paraId="27F9D8E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37040A3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Etanercept</w:t>
            </w:r>
          </w:p>
        </w:tc>
        <w:tc>
          <w:tcPr>
            <w:tcW w:w="0" w:type="auto"/>
            <w:hideMark/>
          </w:tcPr>
          <w:p w14:paraId="31098F9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56D66DF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214555</w:t>
            </w:r>
          </w:p>
        </w:tc>
        <w:tc>
          <w:tcPr>
            <w:tcW w:w="0" w:type="auto"/>
            <w:hideMark/>
          </w:tcPr>
          <w:p w14:paraId="7B4696D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522FCB77" w14:textId="77777777" w:rsidTr="00205BA2">
        <w:tc>
          <w:tcPr>
            <w:tcW w:w="2490" w:type="dxa"/>
            <w:hideMark/>
          </w:tcPr>
          <w:p w14:paraId="5CF7B0F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254CB85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Ustekinumab</w:t>
            </w:r>
          </w:p>
        </w:tc>
        <w:tc>
          <w:tcPr>
            <w:tcW w:w="0" w:type="auto"/>
            <w:hideMark/>
          </w:tcPr>
          <w:p w14:paraId="0B49B05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24FDAF7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847083</w:t>
            </w:r>
          </w:p>
        </w:tc>
        <w:tc>
          <w:tcPr>
            <w:tcW w:w="0" w:type="auto"/>
            <w:hideMark/>
          </w:tcPr>
          <w:p w14:paraId="3340A61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2731CCFC" w14:textId="77777777" w:rsidTr="00205BA2">
        <w:tc>
          <w:tcPr>
            <w:tcW w:w="2490" w:type="dxa"/>
            <w:hideMark/>
          </w:tcPr>
          <w:p w14:paraId="0E9D86A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lastRenderedPageBreak/>
              <w:t>Excluded Immunomodulator</w:t>
            </w:r>
          </w:p>
        </w:tc>
        <w:tc>
          <w:tcPr>
            <w:tcW w:w="0" w:type="auto"/>
            <w:hideMark/>
          </w:tcPr>
          <w:p w14:paraId="4C434FC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Secukinumab</w:t>
            </w:r>
          </w:p>
        </w:tc>
        <w:tc>
          <w:tcPr>
            <w:tcW w:w="0" w:type="auto"/>
            <w:hideMark/>
          </w:tcPr>
          <w:p w14:paraId="4D58EF2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67DB347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1599788</w:t>
            </w:r>
          </w:p>
        </w:tc>
        <w:tc>
          <w:tcPr>
            <w:tcW w:w="0" w:type="auto"/>
            <w:hideMark/>
          </w:tcPr>
          <w:p w14:paraId="5F785A6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24EC2205" w14:textId="77777777" w:rsidTr="00205BA2">
        <w:tc>
          <w:tcPr>
            <w:tcW w:w="2490" w:type="dxa"/>
            <w:hideMark/>
          </w:tcPr>
          <w:p w14:paraId="3C919AA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38E751A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Certolizumab pegol</w:t>
            </w:r>
          </w:p>
        </w:tc>
        <w:tc>
          <w:tcPr>
            <w:tcW w:w="0" w:type="auto"/>
            <w:hideMark/>
          </w:tcPr>
          <w:p w14:paraId="1D349B6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063BBF6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709271</w:t>
            </w:r>
          </w:p>
        </w:tc>
        <w:tc>
          <w:tcPr>
            <w:tcW w:w="0" w:type="auto"/>
            <w:hideMark/>
          </w:tcPr>
          <w:p w14:paraId="3D2A903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13B20B95" w14:textId="77777777" w:rsidTr="00205BA2">
        <w:tc>
          <w:tcPr>
            <w:tcW w:w="2490" w:type="dxa"/>
            <w:hideMark/>
          </w:tcPr>
          <w:p w14:paraId="11E1D39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1F7EFD0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Tocilizumab</w:t>
            </w:r>
          </w:p>
        </w:tc>
        <w:tc>
          <w:tcPr>
            <w:tcW w:w="0" w:type="auto"/>
            <w:hideMark/>
          </w:tcPr>
          <w:p w14:paraId="65BEDA9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65D4271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612865</w:t>
            </w:r>
          </w:p>
        </w:tc>
        <w:tc>
          <w:tcPr>
            <w:tcW w:w="0" w:type="auto"/>
            <w:hideMark/>
          </w:tcPr>
          <w:p w14:paraId="16ECC0E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535F0ED7" w14:textId="77777777" w:rsidTr="00205BA2">
        <w:tc>
          <w:tcPr>
            <w:tcW w:w="2490" w:type="dxa"/>
            <w:hideMark/>
          </w:tcPr>
          <w:p w14:paraId="3073118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4974E71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Guselkumab</w:t>
            </w:r>
          </w:p>
        </w:tc>
        <w:tc>
          <w:tcPr>
            <w:tcW w:w="0" w:type="auto"/>
            <w:hideMark/>
          </w:tcPr>
          <w:p w14:paraId="24D28F9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3CDC323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1928588</w:t>
            </w:r>
          </w:p>
        </w:tc>
        <w:tc>
          <w:tcPr>
            <w:tcW w:w="0" w:type="auto"/>
            <w:hideMark/>
          </w:tcPr>
          <w:p w14:paraId="667FE41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1166C259" w14:textId="77777777" w:rsidTr="00205BA2">
        <w:tc>
          <w:tcPr>
            <w:tcW w:w="2490" w:type="dxa"/>
            <w:hideMark/>
          </w:tcPr>
          <w:p w14:paraId="00C933F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41DA2BE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Belimumab</w:t>
            </w:r>
          </w:p>
        </w:tc>
        <w:tc>
          <w:tcPr>
            <w:tcW w:w="0" w:type="auto"/>
            <w:hideMark/>
          </w:tcPr>
          <w:p w14:paraId="69D2C26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55783F3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1092437</w:t>
            </w:r>
          </w:p>
        </w:tc>
        <w:tc>
          <w:tcPr>
            <w:tcW w:w="0" w:type="auto"/>
            <w:hideMark/>
          </w:tcPr>
          <w:p w14:paraId="011EB08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3DBC2C3C" w14:textId="77777777" w:rsidTr="00205BA2">
        <w:tc>
          <w:tcPr>
            <w:tcW w:w="2490" w:type="dxa"/>
            <w:hideMark/>
          </w:tcPr>
          <w:p w14:paraId="2E3A969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18B0F8E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Rituximab</w:t>
            </w:r>
          </w:p>
        </w:tc>
        <w:tc>
          <w:tcPr>
            <w:tcW w:w="0" w:type="auto"/>
            <w:hideMark/>
          </w:tcPr>
          <w:p w14:paraId="5849EC1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26F3A7C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121191</w:t>
            </w:r>
          </w:p>
        </w:tc>
        <w:tc>
          <w:tcPr>
            <w:tcW w:w="0" w:type="auto"/>
            <w:hideMark/>
          </w:tcPr>
          <w:p w14:paraId="6C77747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39DEBFB7" w14:textId="77777777" w:rsidTr="00205BA2">
        <w:tc>
          <w:tcPr>
            <w:tcW w:w="2490" w:type="dxa"/>
            <w:hideMark/>
          </w:tcPr>
          <w:p w14:paraId="76F9D16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68E2A9C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Tofacitinib</w:t>
            </w:r>
          </w:p>
        </w:tc>
        <w:tc>
          <w:tcPr>
            <w:tcW w:w="0" w:type="auto"/>
            <w:hideMark/>
          </w:tcPr>
          <w:p w14:paraId="5A97A62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06CD4FB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1357536</w:t>
            </w:r>
          </w:p>
        </w:tc>
        <w:tc>
          <w:tcPr>
            <w:tcW w:w="0" w:type="auto"/>
            <w:hideMark/>
          </w:tcPr>
          <w:p w14:paraId="0D776EB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567056E3" w14:textId="77777777" w:rsidTr="00205BA2">
        <w:tc>
          <w:tcPr>
            <w:tcW w:w="2490" w:type="dxa"/>
            <w:hideMark/>
          </w:tcPr>
          <w:p w14:paraId="316D9E8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5567931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Baricitinib</w:t>
            </w:r>
          </w:p>
        </w:tc>
        <w:tc>
          <w:tcPr>
            <w:tcW w:w="0" w:type="auto"/>
            <w:hideMark/>
          </w:tcPr>
          <w:p w14:paraId="0182780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05427D0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2047232</w:t>
            </w:r>
          </w:p>
        </w:tc>
        <w:tc>
          <w:tcPr>
            <w:tcW w:w="0" w:type="auto"/>
            <w:hideMark/>
          </w:tcPr>
          <w:p w14:paraId="62C2638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6392651F" w14:textId="77777777" w:rsidTr="00205BA2">
        <w:tc>
          <w:tcPr>
            <w:tcW w:w="2490" w:type="dxa"/>
            <w:hideMark/>
          </w:tcPr>
          <w:p w14:paraId="2EC2293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69B317C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Upadacitinib</w:t>
            </w:r>
          </w:p>
        </w:tc>
        <w:tc>
          <w:tcPr>
            <w:tcW w:w="0" w:type="auto"/>
            <w:hideMark/>
          </w:tcPr>
          <w:p w14:paraId="16A3815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19A49C0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2196092</w:t>
            </w:r>
          </w:p>
        </w:tc>
        <w:tc>
          <w:tcPr>
            <w:tcW w:w="0" w:type="auto"/>
            <w:hideMark/>
          </w:tcPr>
          <w:p w14:paraId="5B017FD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6D6873A0" w14:textId="77777777" w:rsidTr="00205BA2">
        <w:tc>
          <w:tcPr>
            <w:tcW w:w="2490" w:type="dxa"/>
            <w:hideMark/>
          </w:tcPr>
          <w:p w14:paraId="023E466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2A20C09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Ruxolitinib</w:t>
            </w:r>
          </w:p>
        </w:tc>
        <w:tc>
          <w:tcPr>
            <w:tcW w:w="0" w:type="auto"/>
            <w:hideMark/>
          </w:tcPr>
          <w:p w14:paraId="4588C6B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2B3BEF8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1193326</w:t>
            </w:r>
          </w:p>
        </w:tc>
        <w:tc>
          <w:tcPr>
            <w:tcW w:w="0" w:type="auto"/>
            <w:hideMark/>
          </w:tcPr>
          <w:p w14:paraId="3561362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39B08054" w14:textId="77777777" w:rsidTr="00205BA2">
        <w:tc>
          <w:tcPr>
            <w:tcW w:w="2490" w:type="dxa"/>
            <w:hideMark/>
          </w:tcPr>
          <w:p w14:paraId="5B28B71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4403B70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Cyclophosphamide</w:t>
            </w:r>
          </w:p>
        </w:tc>
        <w:tc>
          <w:tcPr>
            <w:tcW w:w="0" w:type="auto"/>
            <w:hideMark/>
          </w:tcPr>
          <w:p w14:paraId="5D92708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55F48A3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3002</w:t>
            </w:r>
          </w:p>
        </w:tc>
        <w:tc>
          <w:tcPr>
            <w:tcW w:w="0" w:type="auto"/>
            <w:hideMark/>
          </w:tcPr>
          <w:p w14:paraId="21684F2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26DEAE0A" w14:textId="77777777" w:rsidTr="00205BA2">
        <w:tc>
          <w:tcPr>
            <w:tcW w:w="2490" w:type="dxa"/>
            <w:hideMark/>
          </w:tcPr>
          <w:p w14:paraId="4337DA1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50B6EB2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Fingolimod</w:t>
            </w:r>
          </w:p>
        </w:tc>
        <w:tc>
          <w:tcPr>
            <w:tcW w:w="0" w:type="auto"/>
            <w:hideMark/>
          </w:tcPr>
          <w:p w14:paraId="146799C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6583F92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1012892</w:t>
            </w:r>
          </w:p>
        </w:tc>
        <w:tc>
          <w:tcPr>
            <w:tcW w:w="0" w:type="auto"/>
            <w:hideMark/>
          </w:tcPr>
          <w:p w14:paraId="12FA4967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029A0A47" w14:textId="77777777" w:rsidTr="00205BA2">
        <w:tc>
          <w:tcPr>
            <w:tcW w:w="2490" w:type="dxa"/>
            <w:hideMark/>
          </w:tcPr>
          <w:p w14:paraId="47C7834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4C035BB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Natalizumab</w:t>
            </w:r>
          </w:p>
        </w:tc>
        <w:tc>
          <w:tcPr>
            <w:tcW w:w="0" w:type="auto"/>
            <w:hideMark/>
          </w:tcPr>
          <w:p w14:paraId="37E21BB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784D7FE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354770</w:t>
            </w:r>
          </w:p>
        </w:tc>
        <w:tc>
          <w:tcPr>
            <w:tcW w:w="0" w:type="auto"/>
            <w:hideMark/>
          </w:tcPr>
          <w:p w14:paraId="5030FE5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0199621E" w14:textId="77777777" w:rsidTr="00205BA2">
        <w:tc>
          <w:tcPr>
            <w:tcW w:w="2490" w:type="dxa"/>
            <w:hideMark/>
          </w:tcPr>
          <w:p w14:paraId="6A8901E2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Excluded Immunomodulator</w:t>
            </w:r>
          </w:p>
        </w:tc>
        <w:tc>
          <w:tcPr>
            <w:tcW w:w="0" w:type="auto"/>
            <w:hideMark/>
          </w:tcPr>
          <w:p w14:paraId="251A2EDF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Alemtuzumab</w:t>
            </w:r>
          </w:p>
        </w:tc>
        <w:tc>
          <w:tcPr>
            <w:tcW w:w="0" w:type="auto"/>
            <w:hideMark/>
          </w:tcPr>
          <w:p w14:paraId="7884DD7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RxNorm</w:t>
            </w:r>
          </w:p>
        </w:tc>
        <w:tc>
          <w:tcPr>
            <w:tcW w:w="0" w:type="auto"/>
            <w:hideMark/>
          </w:tcPr>
          <w:p w14:paraId="1C31819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117055</w:t>
            </w:r>
          </w:p>
        </w:tc>
        <w:tc>
          <w:tcPr>
            <w:tcW w:w="0" w:type="auto"/>
            <w:hideMark/>
          </w:tcPr>
          <w:p w14:paraId="32444F0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Excluded</w:t>
            </w:r>
          </w:p>
        </w:tc>
      </w:tr>
      <w:tr w:rsidR="00205BA2" w:rsidRPr="00205BA2" w14:paraId="1A52BFD6" w14:textId="77777777" w:rsidTr="00205BA2">
        <w:tc>
          <w:tcPr>
            <w:tcW w:w="2490" w:type="dxa"/>
            <w:hideMark/>
          </w:tcPr>
          <w:p w14:paraId="7455DBC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0" w:type="auto"/>
            <w:hideMark/>
          </w:tcPr>
          <w:p w14:paraId="1CDE75E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COVID-19</w:t>
            </w:r>
          </w:p>
        </w:tc>
        <w:tc>
          <w:tcPr>
            <w:tcW w:w="0" w:type="auto"/>
            <w:hideMark/>
          </w:tcPr>
          <w:p w14:paraId="1D5E254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TriNetX Lab</w:t>
            </w:r>
          </w:p>
        </w:tc>
        <w:tc>
          <w:tcPr>
            <w:tcW w:w="0" w:type="auto"/>
            <w:hideMark/>
          </w:tcPr>
          <w:p w14:paraId="3FC86F5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TNX:9088</w:t>
            </w:r>
          </w:p>
        </w:tc>
        <w:tc>
          <w:tcPr>
            <w:tcW w:w="0" w:type="auto"/>
            <w:hideMark/>
          </w:tcPr>
          <w:p w14:paraId="0763CA4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SARS-CoV-2 RNA positive</w:t>
            </w:r>
          </w:p>
        </w:tc>
      </w:tr>
      <w:tr w:rsidR="00205BA2" w:rsidRPr="00205BA2" w14:paraId="788A6DCB" w14:textId="77777777" w:rsidTr="00205BA2">
        <w:tc>
          <w:tcPr>
            <w:tcW w:w="2490" w:type="dxa"/>
            <w:hideMark/>
          </w:tcPr>
          <w:p w14:paraId="73962C4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0" w:type="auto"/>
            <w:hideMark/>
          </w:tcPr>
          <w:p w14:paraId="632CF70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Cellulitis</w:t>
            </w:r>
          </w:p>
        </w:tc>
        <w:tc>
          <w:tcPr>
            <w:tcW w:w="0" w:type="auto"/>
            <w:hideMark/>
          </w:tcPr>
          <w:p w14:paraId="4F0DCEF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5FC8AFA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L03</w:t>
            </w:r>
          </w:p>
        </w:tc>
        <w:tc>
          <w:tcPr>
            <w:tcW w:w="0" w:type="auto"/>
            <w:hideMark/>
          </w:tcPr>
          <w:p w14:paraId="31071A5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Cellulitis and acute lymphangitis</w:t>
            </w:r>
          </w:p>
        </w:tc>
      </w:tr>
      <w:tr w:rsidR="00205BA2" w:rsidRPr="00205BA2" w14:paraId="5E411A26" w14:textId="77777777" w:rsidTr="00205BA2">
        <w:tc>
          <w:tcPr>
            <w:tcW w:w="2490" w:type="dxa"/>
            <w:hideMark/>
          </w:tcPr>
          <w:p w14:paraId="71A2FE0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lastRenderedPageBreak/>
              <w:t>Outcome</w:t>
            </w:r>
          </w:p>
        </w:tc>
        <w:tc>
          <w:tcPr>
            <w:tcW w:w="0" w:type="auto"/>
            <w:hideMark/>
          </w:tcPr>
          <w:p w14:paraId="14F93BED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Urinary tract infection</w:t>
            </w:r>
          </w:p>
        </w:tc>
        <w:tc>
          <w:tcPr>
            <w:tcW w:w="0" w:type="auto"/>
            <w:hideMark/>
          </w:tcPr>
          <w:p w14:paraId="387CA8A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215FA37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N39.0</w:t>
            </w:r>
          </w:p>
        </w:tc>
        <w:tc>
          <w:tcPr>
            <w:tcW w:w="0" w:type="auto"/>
            <w:hideMark/>
          </w:tcPr>
          <w:p w14:paraId="6D0E723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UTI, site unspecified</w:t>
            </w:r>
          </w:p>
        </w:tc>
      </w:tr>
      <w:tr w:rsidR="00205BA2" w:rsidRPr="00205BA2" w14:paraId="41EF4C59" w14:textId="77777777" w:rsidTr="00205BA2">
        <w:tc>
          <w:tcPr>
            <w:tcW w:w="2490" w:type="dxa"/>
            <w:hideMark/>
          </w:tcPr>
          <w:p w14:paraId="0295000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0" w:type="auto"/>
            <w:hideMark/>
          </w:tcPr>
          <w:p w14:paraId="292F707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C. difficile colitis</w:t>
            </w:r>
          </w:p>
        </w:tc>
        <w:tc>
          <w:tcPr>
            <w:tcW w:w="0" w:type="auto"/>
            <w:hideMark/>
          </w:tcPr>
          <w:p w14:paraId="1BFAC0EE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7DC83550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A04.7</w:t>
            </w:r>
          </w:p>
        </w:tc>
        <w:tc>
          <w:tcPr>
            <w:tcW w:w="0" w:type="auto"/>
            <w:hideMark/>
          </w:tcPr>
          <w:p w14:paraId="04B2298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Included in UTI composite in export</w:t>
            </w:r>
          </w:p>
        </w:tc>
      </w:tr>
      <w:tr w:rsidR="00205BA2" w:rsidRPr="00205BA2" w14:paraId="01F9A999" w14:textId="77777777" w:rsidTr="00205BA2">
        <w:tc>
          <w:tcPr>
            <w:tcW w:w="2490" w:type="dxa"/>
            <w:hideMark/>
          </w:tcPr>
          <w:p w14:paraId="1450D04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0" w:type="auto"/>
            <w:hideMark/>
          </w:tcPr>
          <w:p w14:paraId="7B539E8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Pneumonia</w:t>
            </w:r>
          </w:p>
        </w:tc>
        <w:tc>
          <w:tcPr>
            <w:tcW w:w="0" w:type="auto"/>
            <w:hideMark/>
          </w:tcPr>
          <w:p w14:paraId="51F6176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68ECD39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J13–J18</w:t>
            </w:r>
          </w:p>
        </w:tc>
        <w:tc>
          <w:tcPr>
            <w:tcW w:w="0" w:type="auto"/>
            <w:hideMark/>
          </w:tcPr>
          <w:p w14:paraId="607EF7E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Bacterial/unspecified pneumonia</w:t>
            </w:r>
          </w:p>
        </w:tc>
      </w:tr>
      <w:tr w:rsidR="00205BA2" w:rsidRPr="00205BA2" w14:paraId="4843407C" w14:textId="77777777" w:rsidTr="00205BA2">
        <w:tc>
          <w:tcPr>
            <w:tcW w:w="2490" w:type="dxa"/>
            <w:hideMark/>
          </w:tcPr>
          <w:p w14:paraId="61EC0109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0" w:type="auto"/>
            <w:hideMark/>
          </w:tcPr>
          <w:p w14:paraId="35F0A7C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Influenza</w:t>
            </w:r>
          </w:p>
        </w:tc>
        <w:tc>
          <w:tcPr>
            <w:tcW w:w="0" w:type="auto"/>
            <w:hideMark/>
          </w:tcPr>
          <w:p w14:paraId="6C61C1F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7D5B8C9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J09–J11</w:t>
            </w:r>
          </w:p>
        </w:tc>
        <w:tc>
          <w:tcPr>
            <w:tcW w:w="0" w:type="auto"/>
            <w:hideMark/>
          </w:tcPr>
          <w:p w14:paraId="3C2DE8A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Influenza</w:t>
            </w:r>
          </w:p>
        </w:tc>
      </w:tr>
      <w:tr w:rsidR="00205BA2" w:rsidRPr="00205BA2" w14:paraId="48C5CE84" w14:textId="77777777" w:rsidTr="00205BA2">
        <w:tc>
          <w:tcPr>
            <w:tcW w:w="2490" w:type="dxa"/>
            <w:hideMark/>
          </w:tcPr>
          <w:p w14:paraId="570DAB83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0" w:type="auto"/>
            <w:hideMark/>
          </w:tcPr>
          <w:p w14:paraId="4279B1F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Vulvovaginal candidiasis</w:t>
            </w:r>
          </w:p>
        </w:tc>
        <w:tc>
          <w:tcPr>
            <w:tcW w:w="0" w:type="auto"/>
            <w:hideMark/>
          </w:tcPr>
          <w:p w14:paraId="51ACD706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6EC1E4E8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B37.3</w:t>
            </w:r>
          </w:p>
        </w:tc>
        <w:tc>
          <w:tcPr>
            <w:tcW w:w="0" w:type="auto"/>
            <w:hideMark/>
          </w:tcPr>
          <w:p w14:paraId="1F778F6B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Candidiasis of vulva/vagina</w:t>
            </w:r>
          </w:p>
        </w:tc>
      </w:tr>
      <w:tr w:rsidR="00205BA2" w:rsidRPr="00205BA2" w14:paraId="6C8EB830" w14:textId="77777777" w:rsidTr="00205BA2">
        <w:tc>
          <w:tcPr>
            <w:tcW w:w="2490" w:type="dxa"/>
            <w:hideMark/>
          </w:tcPr>
          <w:p w14:paraId="67908534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  <w:b/>
                <w:bCs/>
              </w:rPr>
              <w:t>Exploratory Parasitic Outcome</w:t>
            </w:r>
          </w:p>
        </w:tc>
        <w:tc>
          <w:tcPr>
            <w:tcW w:w="0" w:type="auto"/>
            <w:hideMark/>
          </w:tcPr>
          <w:p w14:paraId="2E530145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Schistosomiasis to helminths</w:t>
            </w:r>
          </w:p>
        </w:tc>
        <w:tc>
          <w:tcPr>
            <w:tcW w:w="0" w:type="auto"/>
            <w:hideMark/>
          </w:tcPr>
          <w:p w14:paraId="416484B1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ICD-10-CM</w:t>
            </w:r>
          </w:p>
        </w:tc>
        <w:tc>
          <w:tcPr>
            <w:tcW w:w="0" w:type="auto"/>
            <w:hideMark/>
          </w:tcPr>
          <w:p w14:paraId="48433EDC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B65–B83</w:t>
            </w:r>
          </w:p>
        </w:tc>
        <w:tc>
          <w:tcPr>
            <w:tcW w:w="0" w:type="auto"/>
            <w:hideMark/>
          </w:tcPr>
          <w:p w14:paraId="56CF5F7A" w14:textId="77777777" w:rsidR="00205BA2" w:rsidRPr="00205BA2" w:rsidRDefault="00205BA2" w:rsidP="00063A2C">
            <w:pPr>
              <w:spacing w:after="160" w:line="278" w:lineRule="auto"/>
              <w:rPr>
                <w:rFonts w:ascii="Arial" w:hAnsi="Arial" w:cs="Arial"/>
              </w:rPr>
            </w:pPr>
            <w:r w:rsidRPr="00205BA2">
              <w:rPr>
                <w:rFonts w:ascii="Arial" w:hAnsi="Arial" w:cs="Arial"/>
              </w:rPr>
              <w:t>Giardiasis, cryptosporidiosis, helminths, parasitic infections</w:t>
            </w:r>
          </w:p>
        </w:tc>
      </w:tr>
    </w:tbl>
    <w:p w14:paraId="3A3D06B8" w14:textId="77777777" w:rsidR="00205BA2" w:rsidRPr="00205BA2" w:rsidRDefault="00205BA2" w:rsidP="00205BA2">
      <w:pPr>
        <w:rPr>
          <w:rFonts w:ascii="Arial" w:hAnsi="Arial" w:cs="Arial"/>
          <w:b/>
          <w:bCs/>
        </w:rPr>
      </w:pPr>
    </w:p>
    <w:p w14:paraId="52378F4B" w14:textId="77777777" w:rsidR="00205BA2" w:rsidRPr="00205BA2" w:rsidRDefault="00205BA2" w:rsidP="00205BA2">
      <w:pPr>
        <w:rPr>
          <w:rFonts w:ascii="Arial" w:hAnsi="Arial" w:cs="Arial"/>
        </w:rPr>
      </w:pPr>
      <w:r w:rsidRPr="00205BA2">
        <w:rPr>
          <w:rFonts w:ascii="Arial" w:hAnsi="Arial" w:cs="Arial"/>
          <w:b/>
          <w:bCs/>
        </w:rPr>
        <w:t>Notes:</w:t>
      </w:r>
    </w:p>
    <w:p w14:paraId="388110E8" w14:textId="77777777" w:rsidR="00205BA2" w:rsidRPr="00205BA2" w:rsidRDefault="00205BA2" w:rsidP="00205BA2">
      <w:pPr>
        <w:numPr>
          <w:ilvl w:val="0"/>
          <w:numId w:val="1"/>
        </w:numPr>
        <w:rPr>
          <w:rFonts w:ascii="Arial" w:hAnsi="Arial" w:cs="Arial"/>
        </w:rPr>
      </w:pPr>
      <w:r w:rsidRPr="00205BA2">
        <w:rPr>
          <w:rFonts w:ascii="Arial" w:hAnsi="Arial" w:cs="Arial"/>
        </w:rPr>
        <w:t>All cohorts required documented eosinophilic esophagitis (K20.0).</w:t>
      </w:r>
    </w:p>
    <w:p w14:paraId="4A7253E5" w14:textId="77777777" w:rsidR="00205BA2" w:rsidRPr="00205BA2" w:rsidRDefault="00205BA2" w:rsidP="00205BA2">
      <w:pPr>
        <w:numPr>
          <w:ilvl w:val="0"/>
          <w:numId w:val="1"/>
        </w:numPr>
        <w:rPr>
          <w:rFonts w:ascii="Arial" w:hAnsi="Arial" w:cs="Arial"/>
        </w:rPr>
      </w:pPr>
      <w:r w:rsidRPr="00205BA2">
        <w:rPr>
          <w:rFonts w:ascii="Arial" w:hAnsi="Arial" w:cs="Arial"/>
        </w:rPr>
        <w:t>Time windows were defined as 30-day and 90-day landmark analyses after cohort index date.</w:t>
      </w:r>
    </w:p>
    <w:p w14:paraId="1F095A33" w14:textId="77777777" w:rsidR="00205BA2" w:rsidRPr="00205BA2" w:rsidRDefault="00205BA2" w:rsidP="00205BA2">
      <w:pPr>
        <w:numPr>
          <w:ilvl w:val="0"/>
          <w:numId w:val="1"/>
        </w:numPr>
        <w:rPr>
          <w:rFonts w:ascii="Arial" w:hAnsi="Arial" w:cs="Arial"/>
        </w:rPr>
      </w:pPr>
      <w:r w:rsidRPr="00205BA2">
        <w:rPr>
          <w:rFonts w:ascii="Arial" w:hAnsi="Arial" w:cs="Arial"/>
        </w:rPr>
        <w:t>Propensity score matching used available demographic, respiratory, metabolic, and BMI variables.</w:t>
      </w:r>
    </w:p>
    <w:p w14:paraId="44D6207B" w14:textId="77777777" w:rsidR="00205BA2" w:rsidRPr="00205BA2" w:rsidRDefault="00205BA2" w:rsidP="00205BA2">
      <w:pPr>
        <w:numPr>
          <w:ilvl w:val="0"/>
          <w:numId w:val="1"/>
        </w:numPr>
        <w:rPr>
          <w:rFonts w:ascii="Arial" w:hAnsi="Arial" w:cs="Arial"/>
        </w:rPr>
      </w:pPr>
      <w:r w:rsidRPr="00205BA2">
        <w:rPr>
          <w:rFonts w:ascii="Arial" w:hAnsi="Arial" w:cs="Arial"/>
        </w:rPr>
        <w:t>Comparator cohorts were mutually exclusive by medication exposure definitions.</w:t>
      </w:r>
    </w:p>
    <w:p w14:paraId="20E2742F" w14:textId="77777777" w:rsidR="00205BA2" w:rsidRDefault="00205BA2">
      <w:pPr>
        <w:rPr>
          <w:rFonts w:ascii="Arial" w:hAnsi="Arial" w:cs="Arial"/>
        </w:rPr>
      </w:pPr>
    </w:p>
    <w:p w14:paraId="5AFBFBBB" w14:textId="77777777" w:rsidR="00205BA2" w:rsidRDefault="00205BA2">
      <w:pPr>
        <w:rPr>
          <w:rFonts w:ascii="Arial" w:hAnsi="Arial" w:cs="Arial"/>
        </w:rPr>
      </w:pPr>
    </w:p>
    <w:p w14:paraId="4A948D73" w14:textId="77777777" w:rsidR="00205BA2" w:rsidRDefault="00205BA2">
      <w:pPr>
        <w:rPr>
          <w:rFonts w:ascii="Arial" w:hAnsi="Arial" w:cs="Arial"/>
        </w:rPr>
      </w:pPr>
    </w:p>
    <w:p w14:paraId="5BA3A148" w14:textId="77777777" w:rsidR="00205BA2" w:rsidRDefault="00205BA2">
      <w:pPr>
        <w:rPr>
          <w:rFonts w:ascii="Arial" w:hAnsi="Arial" w:cs="Arial"/>
        </w:rPr>
      </w:pPr>
    </w:p>
    <w:p w14:paraId="587F23B5" w14:textId="77777777" w:rsidR="00205BA2" w:rsidRDefault="00205BA2">
      <w:pPr>
        <w:rPr>
          <w:rFonts w:ascii="Arial" w:hAnsi="Arial" w:cs="Arial"/>
        </w:rPr>
      </w:pPr>
    </w:p>
    <w:p w14:paraId="60A9C1F6" w14:textId="77777777" w:rsidR="00205BA2" w:rsidRDefault="00205BA2">
      <w:pPr>
        <w:rPr>
          <w:rFonts w:ascii="Arial" w:hAnsi="Arial" w:cs="Arial"/>
        </w:rPr>
      </w:pPr>
    </w:p>
    <w:p w14:paraId="18D6BB9B" w14:textId="77777777" w:rsidR="00205BA2" w:rsidRDefault="00205BA2">
      <w:pPr>
        <w:rPr>
          <w:rFonts w:ascii="Arial" w:hAnsi="Arial" w:cs="Arial"/>
        </w:rPr>
      </w:pPr>
    </w:p>
    <w:p w14:paraId="5A139C6E" w14:textId="77777777" w:rsidR="00205BA2" w:rsidRDefault="00205BA2">
      <w:pPr>
        <w:rPr>
          <w:rFonts w:ascii="Arial" w:hAnsi="Arial" w:cs="Arial"/>
        </w:rPr>
      </w:pPr>
    </w:p>
    <w:p w14:paraId="166D9320" w14:textId="7CBECB1B" w:rsidR="00205BA2" w:rsidRPr="00063A2C" w:rsidRDefault="00205BA2" w:rsidP="00205BA2">
      <w:pPr>
        <w:jc w:val="both"/>
        <w:rPr>
          <w:rFonts w:ascii="Arial" w:hAnsi="Arial" w:cs="Arial"/>
        </w:rPr>
      </w:pPr>
      <w:r w:rsidRPr="00063A2C">
        <w:rPr>
          <w:rFonts w:ascii="Arial" w:hAnsi="Arial" w:cs="Arial"/>
          <w:b/>
          <w:bCs/>
        </w:rPr>
        <w:lastRenderedPageBreak/>
        <w:t xml:space="preserve">Supplementary Table </w:t>
      </w:r>
      <w:r>
        <w:rPr>
          <w:rFonts w:ascii="Arial" w:hAnsi="Arial" w:cs="Arial"/>
          <w:b/>
          <w:bCs/>
        </w:rPr>
        <w:t>2</w:t>
      </w:r>
      <w:r w:rsidRPr="00063A2C">
        <w:rPr>
          <w:rFonts w:ascii="Arial" w:hAnsi="Arial" w:cs="Arial"/>
          <w:b/>
          <w:bCs/>
        </w:rPr>
        <w:t>. Infectious Outcomes Across All Four Matched Cohorts (90-Day Analysis)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9"/>
        <w:gridCol w:w="1759"/>
        <w:gridCol w:w="1899"/>
        <w:gridCol w:w="2134"/>
        <w:gridCol w:w="1869"/>
      </w:tblGrid>
      <w:tr w:rsidR="00205BA2" w:rsidRPr="00063A2C" w14:paraId="53DCC44F" w14:textId="77777777" w:rsidTr="00063A2C">
        <w:tc>
          <w:tcPr>
            <w:tcW w:w="0" w:type="auto"/>
            <w:hideMark/>
          </w:tcPr>
          <w:p w14:paraId="04B1EC53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  <w:b/>
                <w:bCs/>
              </w:rPr>
            </w:pPr>
            <w:r w:rsidRPr="00063A2C"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0" w:type="auto"/>
            <w:hideMark/>
          </w:tcPr>
          <w:p w14:paraId="38C3DA62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  <w:b/>
                <w:bCs/>
              </w:rPr>
            </w:pPr>
            <w:r w:rsidRPr="00063A2C">
              <w:rPr>
                <w:rFonts w:ascii="Arial" w:hAnsi="Arial" w:cs="Arial"/>
                <w:b/>
                <w:bCs/>
              </w:rPr>
              <w:t>Dupilumab vs PPI RR (95% CI) n=2,854</w:t>
            </w:r>
          </w:p>
        </w:tc>
        <w:tc>
          <w:tcPr>
            <w:tcW w:w="0" w:type="auto"/>
            <w:hideMark/>
          </w:tcPr>
          <w:p w14:paraId="4C9DBE36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  <w:b/>
                <w:bCs/>
              </w:rPr>
            </w:pPr>
            <w:r w:rsidRPr="00063A2C">
              <w:rPr>
                <w:rFonts w:ascii="Arial" w:hAnsi="Arial" w:cs="Arial"/>
                <w:b/>
                <w:bCs/>
              </w:rPr>
              <w:t>Dupilumab vs Topical Steroids RR (95% CI) n=1,857</w:t>
            </w:r>
          </w:p>
        </w:tc>
        <w:tc>
          <w:tcPr>
            <w:tcW w:w="0" w:type="auto"/>
            <w:hideMark/>
          </w:tcPr>
          <w:p w14:paraId="5A970AF0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  <w:b/>
                <w:bCs/>
              </w:rPr>
            </w:pPr>
            <w:r w:rsidRPr="00063A2C">
              <w:rPr>
                <w:rFonts w:ascii="Arial" w:hAnsi="Arial" w:cs="Arial"/>
                <w:b/>
                <w:bCs/>
              </w:rPr>
              <w:t>Dupilumab vs Combined PPI/Steroids RR (95% CI) n=3,029</w:t>
            </w:r>
          </w:p>
        </w:tc>
        <w:tc>
          <w:tcPr>
            <w:tcW w:w="0" w:type="auto"/>
            <w:hideMark/>
          </w:tcPr>
          <w:p w14:paraId="6F8B738C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  <w:b/>
                <w:bCs/>
              </w:rPr>
            </w:pPr>
            <w:r w:rsidRPr="00063A2C">
              <w:rPr>
                <w:rFonts w:ascii="Arial" w:hAnsi="Arial" w:cs="Arial"/>
                <w:b/>
                <w:bCs/>
              </w:rPr>
              <w:t>Dupilumab vs No Treatment RR (95% CI) n=2,326</w:t>
            </w:r>
          </w:p>
        </w:tc>
      </w:tr>
      <w:tr w:rsidR="00205BA2" w:rsidRPr="00063A2C" w14:paraId="0139832B" w14:textId="77777777" w:rsidTr="00063A2C">
        <w:tc>
          <w:tcPr>
            <w:tcW w:w="0" w:type="auto"/>
            <w:hideMark/>
          </w:tcPr>
          <w:p w14:paraId="5763EDAE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Shingles</w:t>
            </w:r>
          </w:p>
        </w:tc>
        <w:tc>
          <w:tcPr>
            <w:tcW w:w="0" w:type="auto"/>
            <w:hideMark/>
          </w:tcPr>
          <w:p w14:paraId="2FA20407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1.00 (0.45–2.22)</w:t>
            </w:r>
          </w:p>
        </w:tc>
        <w:tc>
          <w:tcPr>
            <w:tcW w:w="0" w:type="auto"/>
            <w:hideMark/>
          </w:tcPr>
          <w:p w14:paraId="758155E2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  <w:vertAlign w:val="superscript"/>
              </w:rPr>
            </w:pPr>
            <w:r w:rsidRPr="00063A2C">
              <w:rPr>
                <w:rFonts w:ascii="Arial" w:hAnsi="Arial" w:cs="Arial"/>
              </w:rPr>
              <w:t>—</w:t>
            </w:r>
            <w:r>
              <w:rPr>
                <w:rFonts w:ascii="Arial" w:hAnsi="Arial" w:cs="Arial"/>
                <w:vertAlign w:val="superscript"/>
              </w:rPr>
              <w:t>#</w:t>
            </w:r>
          </w:p>
        </w:tc>
        <w:tc>
          <w:tcPr>
            <w:tcW w:w="0" w:type="auto"/>
            <w:hideMark/>
          </w:tcPr>
          <w:p w14:paraId="7DC8BB08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1.08 (0.50–2.37)</w:t>
            </w:r>
          </w:p>
        </w:tc>
        <w:tc>
          <w:tcPr>
            <w:tcW w:w="0" w:type="auto"/>
            <w:hideMark/>
          </w:tcPr>
          <w:p w14:paraId="18BC0C88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  <w:vertAlign w:val="superscript"/>
              </w:rPr>
            </w:pPr>
            <w:r w:rsidRPr="00063A2C">
              <w:rPr>
                <w:rFonts w:ascii="Arial" w:hAnsi="Arial" w:cs="Arial"/>
              </w:rPr>
              <w:t>—</w:t>
            </w:r>
            <w:r>
              <w:rPr>
                <w:rFonts w:ascii="Arial" w:hAnsi="Arial" w:cs="Arial"/>
                <w:vertAlign w:val="superscript"/>
              </w:rPr>
              <w:t>#</w:t>
            </w:r>
          </w:p>
        </w:tc>
      </w:tr>
      <w:tr w:rsidR="00205BA2" w:rsidRPr="00063A2C" w14:paraId="74BD2012" w14:textId="77777777" w:rsidTr="00063A2C">
        <w:tc>
          <w:tcPr>
            <w:tcW w:w="0" w:type="auto"/>
            <w:hideMark/>
          </w:tcPr>
          <w:p w14:paraId="1669C039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COVID-19</w:t>
            </w:r>
          </w:p>
        </w:tc>
        <w:tc>
          <w:tcPr>
            <w:tcW w:w="0" w:type="auto"/>
            <w:hideMark/>
          </w:tcPr>
          <w:p w14:paraId="71FFF5A4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0.95 (0.82–1.10)</w:t>
            </w:r>
          </w:p>
        </w:tc>
        <w:tc>
          <w:tcPr>
            <w:tcW w:w="0" w:type="auto"/>
            <w:hideMark/>
          </w:tcPr>
          <w:p w14:paraId="037F7CFF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1.00 (0.85–1.18)</w:t>
            </w:r>
          </w:p>
        </w:tc>
        <w:tc>
          <w:tcPr>
            <w:tcW w:w="0" w:type="auto"/>
            <w:hideMark/>
          </w:tcPr>
          <w:p w14:paraId="4CEAE76D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  <w:b/>
                <w:bCs/>
              </w:rPr>
            </w:pPr>
            <w:r w:rsidRPr="00063A2C">
              <w:rPr>
                <w:rFonts w:ascii="Arial" w:hAnsi="Arial" w:cs="Arial"/>
                <w:b/>
                <w:bCs/>
              </w:rPr>
              <w:t>0.83 (0.72–0.95)</w:t>
            </w:r>
          </w:p>
        </w:tc>
        <w:tc>
          <w:tcPr>
            <w:tcW w:w="0" w:type="auto"/>
            <w:hideMark/>
          </w:tcPr>
          <w:p w14:paraId="6ABD218D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  <w:b/>
                <w:bCs/>
              </w:rPr>
            </w:pPr>
            <w:r w:rsidRPr="00063A2C">
              <w:rPr>
                <w:rFonts w:ascii="Arial" w:hAnsi="Arial" w:cs="Arial"/>
                <w:b/>
                <w:bCs/>
              </w:rPr>
              <w:t>1.49 (1.24–1.78)</w:t>
            </w:r>
          </w:p>
        </w:tc>
      </w:tr>
      <w:tr w:rsidR="00205BA2" w:rsidRPr="00063A2C" w14:paraId="55F9E812" w14:textId="77777777" w:rsidTr="00063A2C">
        <w:tc>
          <w:tcPr>
            <w:tcW w:w="0" w:type="auto"/>
            <w:hideMark/>
          </w:tcPr>
          <w:p w14:paraId="16844A6D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Cellulitis</w:t>
            </w:r>
          </w:p>
        </w:tc>
        <w:tc>
          <w:tcPr>
            <w:tcW w:w="0" w:type="auto"/>
            <w:hideMark/>
          </w:tcPr>
          <w:p w14:paraId="6C28030C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0.93 (0.67–1.29)</w:t>
            </w:r>
          </w:p>
        </w:tc>
        <w:tc>
          <w:tcPr>
            <w:tcW w:w="0" w:type="auto"/>
            <w:hideMark/>
          </w:tcPr>
          <w:p w14:paraId="5609E030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1.30 (0.89–1.91)</w:t>
            </w:r>
          </w:p>
        </w:tc>
        <w:tc>
          <w:tcPr>
            <w:tcW w:w="0" w:type="auto"/>
            <w:hideMark/>
          </w:tcPr>
          <w:p w14:paraId="53EA82F4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0.75 (0.55–1.02)</w:t>
            </w:r>
          </w:p>
        </w:tc>
        <w:tc>
          <w:tcPr>
            <w:tcW w:w="0" w:type="auto"/>
            <w:hideMark/>
          </w:tcPr>
          <w:p w14:paraId="66AEAB99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1.28 (0.88–1.86)</w:t>
            </w:r>
          </w:p>
        </w:tc>
      </w:tr>
      <w:tr w:rsidR="00205BA2" w:rsidRPr="00063A2C" w14:paraId="79A31C64" w14:textId="77777777" w:rsidTr="00063A2C">
        <w:tc>
          <w:tcPr>
            <w:tcW w:w="0" w:type="auto"/>
            <w:hideMark/>
          </w:tcPr>
          <w:p w14:paraId="6F48CC0F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UTI</w:t>
            </w:r>
          </w:p>
        </w:tc>
        <w:tc>
          <w:tcPr>
            <w:tcW w:w="0" w:type="auto"/>
            <w:hideMark/>
          </w:tcPr>
          <w:p w14:paraId="56C94D44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0.91 (0.66–1.25)</w:t>
            </w:r>
          </w:p>
        </w:tc>
        <w:tc>
          <w:tcPr>
            <w:tcW w:w="0" w:type="auto"/>
            <w:hideMark/>
          </w:tcPr>
          <w:p w14:paraId="03A60040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0.93 (0.65–1.34)</w:t>
            </w:r>
          </w:p>
        </w:tc>
        <w:tc>
          <w:tcPr>
            <w:tcW w:w="0" w:type="auto"/>
            <w:hideMark/>
          </w:tcPr>
          <w:p w14:paraId="126442DD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0.71 (0.53–0.95)</w:t>
            </w:r>
          </w:p>
        </w:tc>
        <w:tc>
          <w:tcPr>
            <w:tcW w:w="0" w:type="auto"/>
            <w:hideMark/>
          </w:tcPr>
          <w:p w14:paraId="2B65C0D3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1.30 (0.88–1.91)</w:t>
            </w:r>
          </w:p>
        </w:tc>
      </w:tr>
      <w:tr w:rsidR="00205BA2" w:rsidRPr="00063A2C" w14:paraId="0F709359" w14:textId="77777777" w:rsidTr="00063A2C">
        <w:tc>
          <w:tcPr>
            <w:tcW w:w="0" w:type="auto"/>
            <w:hideMark/>
          </w:tcPr>
          <w:p w14:paraId="01851BF2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Pneumonia</w:t>
            </w:r>
          </w:p>
        </w:tc>
        <w:tc>
          <w:tcPr>
            <w:tcW w:w="0" w:type="auto"/>
            <w:hideMark/>
          </w:tcPr>
          <w:p w14:paraId="6A8DD0E1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0.82 (0.57–1.17)</w:t>
            </w:r>
          </w:p>
        </w:tc>
        <w:tc>
          <w:tcPr>
            <w:tcW w:w="0" w:type="auto"/>
            <w:hideMark/>
          </w:tcPr>
          <w:p w14:paraId="5D9329E5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0.83 (0.51–1.35)</w:t>
            </w:r>
          </w:p>
        </w:tc>
        <w:tc>
          <w:tcPr>
            <w:tcW w:w="0" w:type="auto"/>
            <w:hideMark/>
          </w:tcPr>
          <w:p w14:paraId="71BB198B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0.73 (0.52–1.02)</w:t>
            </w:r>
          </w:p>
        </w:tc>
        <w:tc>
          <w:tcPr>
            <w:tcW w:w="0" w:type="auto"/>
            <w:hideMark/>
          </w:tcPr>
          <w:p w14:paraId="31CFE428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1.54 (0.94–2.51)</w:t>
            </w:r>
          </w:p>
        </w:tc>
      </w:tr>
      <w:tr w:rsidR="00205BA2" w:rsidRPr="00063A2C" w14:paraId="6975AA23" w14:textId="77777777" w:rsidTr="00063A2C">
        <w:tc>
          <w:tcPr>
            <w:tcW w:w="0" w:type="auto"/>
            <w:hideMark/>
          </w:tcPr>
          <w:p w14:paraId="6CD17560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Influenza</w:t>
            </w:r>
          </w:p>
        </w:tc>
        <w:tc>
          <w:tcPr>
            <w:tcW w:w="0" w:type="auto"/>
            <w:hideMark/>
          </w:tcPr>
          <w:p w14:paraId="3A90DEFC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0.77 (0.53–1.11)</w:t>
            </w:r>
          </w:p>
        </w:tc>
        <w:tc>
          <w:tcPr>
            <w:tcW w:w="0" w:type="auto"/>
            <w:hideMark/>
          </w:tcPr>
          <w:p w14:paraId="62C72DCE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0.87 (0.58–1.32)</w:t>
            </w:r>
          </w:p>
        </w:tc>
        <w:tc>
          <w:tcPr>
            <w:tcW w:w="0" w:type="auto"/>
            <w:hideMark/>
          </w:tcPr>
          <w:p w14:paraId="0E3523E3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0.61 (0.43–0.85)</w:t>
            </w:r>
          </w:p>
        </w:tc>
        <w:tc>
          <w:tcPr>
            <w:tcW w:w="0" w:type="auto"/>
            <w:hideMark/>
          </w:tcPr>
          <w:p w14:paraId="27AE6C18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1.05 (0.69–1.59)</w:t>
            </w:r>
          </w:p>
        </w:tc>
      </w:tr>
      <w:tr w:rsidR="00205BA2" w:rsidRPr="00063A2C" w14:paraId="5CA7FB19" w14:textId="77777777" w:rsidTr="00063A2C">
        <w:tc>
          <w:tcPr>
            <w:tcW w:w="0" w:type="auto"/>
            <w:hideMark/>
          </w:tcPr>
          <w:p w14:paraId="620CDD40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Oral candidiasis</w:t>
            </w:r>
          </w:p>
        </w:tc>
        <w:tc>
          <w:tcPr>
            <w:tcW w:w="0" w:type="auto"/>
            <w:hideMark/>
          </w:tcPr>
          <w:p w14:paraId="2290C69B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1.28 (0.69–2.36)</w:t>
            </w:r>
          </w:p>
        </w:tc>
        <w:tc>
          <w:tcPr>
            <w:tcW w:w="0" w:type="auto"/>
            <w:hideMark/>
          </w:tcPr>
          <w:p w14:paraId="271FE06F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1.18 (0.62–2.24)</w:t>
            </w:r>
          </w:p>
        </w:tc>
        <w:tc>
          <w:tcPr>
            <w:tcW w:w="0" w:type="auto"/>
            <w:hideMark/>
          </w:tcPr>
          <w:p w14:paraId="0CF1B7AD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0.68 (0.40–1.15)</w:t>
            </w:r>
          </w:p>
        </w:tc>
        <w:tc>
          <w:tcPr>
            <w:tcW w:w="0" w:type="auto"/>
            <w:hideMark/>
          </w:tcPr>
          <w:p w14:paraId="302027EA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—</w:t>
            </w:r>
            <w:r>
              <w:rPr>
                <w:rFonts w:ascii="Arial" w:hAnsi="Arial" w:cs="Arial"/>
                <w:vertAlign w:val="superscript"/>
              </w:rPr>
              <w:t>#</w:t>
            </w:r>
          </w:p>
        </w:tc>
      </w:tr>
      <w:tr w:rsidR="00205BA2" w:rsidRPr="00063A2C" w14:paraId="5A10ED2F" w14:textId="77777777" w:rsidTr="00063A2C">
        <w:tc>
          <w:tcPr>
            <w:tcW w:w="0" w:type="auto"/>
            <w:hideMark/>
          </w:tcPr>
          <w:p w14:paraId="3358C5AD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Vulvovaginal candidiasis</w:t>
            </w:r>
          </w:p>
        </w:tc>
        <w:tc>
          <w:tcPr>
            <w:tcW w:w="0" w:type="auto"/>
            <w:hideMark/>
          </w:tcPr>
          <w:p w14:paraId="6FA43E49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0.79 (0.46–1.37)</w:t>
            </w:r>
          </w:p>
        </w:tc>
        <w:tc>
          <w:tcPr>
            <w:tcW w:w="0" w:type="auto"/>
            <w:hideMark/>
          </w:tcPr>
          <w:p w14:paraId="0AF65874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0.82 (0.44–1.52)</w:t>
            </w:r>
          </w:p>
        </w:tc>
        <w:tc>
          <w:tcPr>
            <w:tcW w:w="0" w:type="auto"/>
            <w:hideMark/>
          </w:tcPr>
          <w:p w14:paraId="27AC1D34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0.64 (0.39–1.06)</w:t>
            </w:r>
          </w:p>
        </w:tc>
        <w:tc>
          <w:tcPr>
            <w:tcW w:w="0" w:type="auto"/>
            <w:hideMark/>
          </w:tcPr>
          <w:p w14:paraId="10E91D2C" w14:textId="77777777" w:rsidR="00205BA2" w:rsidRPr="00063A2C" w:rsidRDefault="00205BA2" w:rsidP="00063A2C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063A2C">
              <w:rPr>
                <w:rFonts w:ascii="Arial" w:hAnsi="Arial" w:cs="Arial"/>
              </w:rPr>
              <w:t>0.91 (0.49–1.68)</w:t>
            </w:r>
          </w:p>
        </w:tc>
      </w:tr>
    </w:tbl>
    <w:p w14:paraId="566819DC" w14:textId="77777777" w:rsidR="00205BA2" w:rsidRPr="00063A2C" w:rsidRDefault="00205BA2" w:rsidP="00205BA2">
      <w:pPr>
        <w:jc w:val="both"/>
        <w:rPr>
          <w:rFonts w:ascii="Arial" w:hAnsi="Arial" w:cs="Arial"/>
        </w:rPr>
      </w:pPr>
      <w:r w:rsidRPr="00063A2C">
        <w:rPr>
          <w:rFonts w:ascii="Arial" w:hAnsi="Arial" w:cs="Arial"/>
          <w:b/>
          <w:bCs/>
        </w:rPr>
        <w:t>Abbreviations:</w:t>
      </w:r>
      <w:r w:rsidRPr="00063A2C">
        <w:rPr>
          <w:rFonts w:ascii="Arial" w:hAnsi="Arial" w:cs="Arial"/>
        </w:rPr>
        <w:t xml:space="preserve"> RR, relative risk; CI, confidence interval; PPI, proton pump inhibitor. Relative risks derived from one-to-one propensity score–matched cohorts. Matched cohort sizes in the 90-day analyses were 2,854 for Dupilumab vs PPI, 1,857 for Dupilumab vs topical steroids, 3,029 for Dupilumab vs combined PPI/steroids, and 2,326 for Dupilumab vs no treatment. </w:t>
      </w:r>
      <w:r>
        <w:rPr>
          <w:rFonts w:ascii="Arial" w:hAnsi="Arial" w:cs="Arial"/>
          <w:vertAlign w:val="superscript"/>
        </w:rPr>
        <w:t>#</w:t>
      </w:r>
      <w:r w:rsidRPr="00063A2C">
        <w:rPr>
          <w:rFonts w:ascii="Arial" w:hAnsi="Arial" w:cs="Arial"/>
        </w:rPr>
        <w:t xml:space="preserve">All values not listed had 10 or less outcomes and cannot be listed by TriNetX policy. </w:t>
      </w:r>
    </w:p>
    <w:p w14:paraId="0CA6C653" w14:textId="77777777" w:rsidR="00205BA2" w:rsidRPr="00205BA2" w:rsidRDefault="00205BA2">
      <w:pPr>
        <w:rPr>
          <w:rFonts w:ascii="Arial" w:hAnsi="Arial" w:cs="Arial"/>
        </w:rPr>
      </w:pPr>
    </w:p>
    <w:sectPr w:rsidR="00205BA2" w:rsidRPr="00205B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71CDF"/>
    <w:multiLevelType w:val="multilevel"/>
    <w:tmpl w:val="BBAEB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262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BA2"/>
    <w:rsid w:val="00205BA2"/>
    <w:rsid w:val="00A3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4D080"/>
  <w15:chartTrackingRefBased/>
  <w15:docId w15:val="{D2A56B94-469C-4791-9A31-ED75710A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BA2"/>
  </w:style>
  <w:style w:type="paragraph" w:styleId="Heading1">
    <w:name w:val="heading 1"/>
    <w:basedOn w:val="Normal"/>
    <w:next w:val="Normal"/>
    <w:link w:val="Heading1Char"/>
    <w:uiPriority w:val="9"/>
    <w:qFormat/>
    <w:rsid w:val="00205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5B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5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5B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5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5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5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B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B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5B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5B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5B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B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5B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5B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5B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5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5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5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5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5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5B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5B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5B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B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B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5BA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05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936</Words>
  <Characters>5338</Characters>
  <Application>Microsoft Office Word</Application>
  <DocSecurity>0</DocSecurity>
  <Lines>44</Lines>
  <Paragraphs>12</Paragraphs>
  <ScaleCrop>false</ScaleCrop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Arjun Chatterjee</dc:creator>
  <cp:keywords/>
  <dc:description/>
  <cp:lastModifiedBy>Arjun Chatterjee</cp:lastModifiedBy>
  <cp:revision>1</cp:revision>
  <dcterms:created xsi:type="dcterms:W3CDTF">2026-04-21T01:37:00Z</dcterms:created>
  <dcterms:modified xsi:type="dcterms:W3CDTF">2026-04-21T01:39:00Z</dcterms:modified>
</cp:coreProperties>
</file>