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DB7" w:rsidRPr="007C6674" w:rsidRDefault="00BF0DB7" w:rsidP="00BF0DB7">
      <w:pPr>
        <w:rPr>
          <w:rFonts w:ascii="Arial" w:hAnsi="Arial" w:cs="Arial"/>
          <w:b/>
        </w:rPr>
      </w:pPr>
      <w:r w:rsidRPr="007C6674">
        <w:rPr>
          <w:rFonts w:ascii="Arial" w:hAnsi="Arial" w:cs="Arial"/>
          <w:b/>
        </w:rPr>
        <w:t xml:space="preserve">Supplemental Figure 1: </w:t>
      </w:r>
    </w:p>
    <w:p w:rsidR="00BF0DB7" w:rsidRDefault="00E34842" w:rsidP="00BF0DB7">
      <w:pPr>
        <w:spacing w:before="240" w:line="240" w:lineRule="auto"/>
        <w:rPr>
          <w:rFonts w:ascii="Arial" w:hAnsi="Arial" w:cs="Arial"/>
        </w:rPr>
      </w:pPr>
      <w:r w:rsidRPr="005348FA">
        <w:rPr>
          <w:rFonts w:ascii="Arial" w:hAnsi="Arial" w:cs="Arial"/>
          <w:noProof/>
        </w:rPr>
        <w:drawing>
          <wp:inline distT="0" distB="0" distL="0" distR="0">
            <wp:extent cx="5943600" cy="20516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Material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842" w:rsidRPr="005348FA" w:rsidRDefault="00E34842" w:rsidP="00BF0DB7">
      <w:pPr>
        <w:spacing w:before="240" w:line="240" w:lineRule="auto"/>
        <w:rPr>
          <w:rFonts w:ascii="Arial" w:hAnsi="Arial" w:cs="Arial"/>
        </w:rPr>
      </w:pPr>
      <w:r w:rsidRPr="005348FA">
        <w:rPr>
          <w:rFonts w:ascii="Arial" w:hAnsi="Arial" w:cs="Arial"/>
        </w:rPr>
        <w:t xml:space="preserve">The supplemental figure shows the ratio of </w:t>
      </w:r>
      <w:proofErr w:type="spellStart"/>
      <w:r w:rsidRPr="005348FA">
        <w:rPr>
          <w:rFonts w:ascii="Arial" w:hAnsi="Arial" w:cs="Arial"/>
        </w:rPr>
        <w:t>MeNR</w:t>
      </w:r>
      <w:proofErr w:type="spellEnd"/>
      <w:r w:rsidRPr="005348FA">
        <w:rPr>
          <w:rFonts w:ascii="Arial" w:hAnsi="Arial" w:cs="Arial"/>
        </w:rPr>
        <w:t xml:space="preserve">/P for the control (black circles) and glaucoma (green squares) subjects (A). As noted in the Results, the glaucoma group had a significant reduction in the </w:t>
      </w:r>
      <w:proofErr w:type="spellStart"/>
      <w:r w:rsidRPr="005348FA">
        <w:rPr>
          <w:rFonts w:ascii="Arial" w:hAnsi="Arial" w:cs="Arial"/>
        </w:rPr>
        <w:t>MeNR</w:t>
      </w:r>
      <w:proofErr w:type="spellEnd"/>
      <w:r w:rsidRPr="005348FA">
        <w:rPr>
          <w:rFonts w:ascii="Arial" w:hAnsi="Arial" w:cs="Arial"/>
        </w:rPr>
        <w:t>/P ratio</w:t>
      </w:r>
      <w:r w:rsidR="005348FA" w:rsidRPr="005348FA">
        <w:rPr>
          <w:rFonts w:ascii="Arial" w:hAnsi="Arial" w:cs="Arial"/>
        </w:rPr>
        <w:t xml:space="preserve"> (t = 2.69, p = 0.01)</w:t>
      </w:r>
      <w:r w:rsidRPr="005348FA">
        <w:rPr>
          <w:rFonts w:ascii="Arial" w:hAnsi="Arial" w:cs="Arial"/>
        </w:rPr>
        <w:t xml:space="preserve">. Panel B show the results of an ROC analysis for the </w:t>
      </w:r>
      <w:proofErr w:type="spellStart"/>
      <w:r w:rsidRPr="005348FA">
        <w:rPr>
          <w:rFonts w:ascii="Arial" w:hAnsi="Arial" w:cs="Arial"/>
        </w:rPr>
        <w:t>MeNR</w:t>
      </w:r>
      <w:proofErr w:type="spellEnd"/>
      <w:r w:rsidRPr="005348FA">
        <w:rPr>
          <w:rFonts w:ascii="Arial" w:hAnsi="Arial" w:cs="Arial"/>
        </w:rPr>
        <w:t xml:space="preserve"> amplitude (red) and </w:t>
      </w:r>
      <w:proofErr w:type="spellStart"/>
      <w:r w:rsidRPr="005348FA">
        <w:rPr>
          <w:rFonts w:ascii="Arial" w:hAnsi="Arial" w:cs="Arial"/>
        </w:rPr>
        <w:t>MeNR</w:t>
      </w:r>
      <w:proofErr w:type="spellEnd"/>
      <w:r w:rsidRPr="005348FA">
        <w:rPr>
          <w:rFonts w:ascii="Arial" w:hAnsi="Arial" w:cs="Arial"/>
        </w:rPr>
        <w:t>/P ratio</w:t>
      </w:r>
      <w:r w:rsidR="00FC7D15">
        <w:rPr>
          <w:rFonts w:ascii="Arial" w:hAnsi="Arial" w:cs="Arial"/>
        </w:rPr>
        <w:t xml:space="preserve"> (blue)</w:t>
      </w:r>
      <w:r w:rsidRPr="005348FA">
        <w:rPr>
          <w:rFonts w:ascii="Arial" w:hAnsi="Arial" w:cs="Arial"/>
        </w:rPr>
        <w:t>. Both metrics were able to separate the control and glaucoma groups with high sensitivity and specificity (see supplemental table). Panel C show the results of an ROC analysis for the PhNR amplitude (red) and PhNR/b-wave ratio</w:t>
      </w:r>
      <w:r w:rsidR="00FC7D15">
        <w:rPr>
          <w:rFonts w:ascii="Arial" w:hAnsi="Arial" w:cs="Arial"/>
        </w:rPr>
        <w:t xml:space="preserve"> </w:t>
      </w:r>
      <w:r w:rsidR="00FC7D15">
        <w:rPr>
          <w:rFonts w:ascii="Arial" w:hAnsi="Arial" w:cs="Arial"/>
        </w:rPr>
        <w:t>(blue)</w:t>
      </w:r>
      <w:r w:rsidRPr="005348FA">
        <w:rPr>
          <w:rFonts w:ascii="Arial" w:hAnsi="Arial" w:cs="Arial"/>
        </w:rPr>
        <w:t>. Both metrics were able to separate the control and glaucoma groups with high sensitivity and specificity (see supplemental table).</w:t>
      </w:r>
    </w:p>
    <w:p w:rsidR="00E34842" w:rsidRPr="007C6674" w:rsidRDefault="00E34842">
      <w:pPr>
        <w:rPr>
          <w:rFonts w:ascii="Arial" w:hAnsi="Arial" w:cs="Arial"/>
          <w:b/>
        </w:rPr>
      </w:pPr>
      <w:r w:rsidRPr="007C6674">
        <w:rPr>
          <w:rFonts w:ascii="Arial" w:hAnsi="Arial" w:cs="Arial"/>
          <w:b/>
        </w:rPr>
        <w:t>Supplemental Table: ROC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070"/>
        <w:gridCol w:w="1530"/>
        <w:gridCol w:w="2070"/>
        <w:gridCol w:w="1980"/>
      </w:tblGrid>
      <w:tr w:rsidR="00E34842" w:rsidRPr="005348FA" w:rsidTr="00E34842">
        <w:tc>
          <w:tcPr>
            <w:tcW w:w="1255" w:type="dxa"/>
          </w:tcPr>
          <w:p w:rsidR="00E34842" w:rsidRPr="005348FA" w:rsidRDefault="00E34842" w:rsidP="00E34842">
            <w:pPr>
              <w:rPr>
                <w:rFonts w:ascii="Arial" w:hAnsi="Arial" w:cs="Arial"/>
              </w:rPr>
            </w:pPr>
          </w:p>
        </w:tc>
        <w:tc>
          <w:tcPr>
            <w:tcW w:w="2070" w:type="dxa"/>
          </w:tcPr>
          <w:p w:rsidR="00E34842" w:rsidRPr="005348FA" w:rsidRDefault="00E34842" w:rsidP="00EA4299">
            <w:pPr>
              <w:jc w:val="center"/>
              <w:rPr>
                <w:rFonts w:ascii="Arial" w:hAnsi="Arial" w:cs="Arial"/>
              </w:rPr>
            </w:pPr>
            <w:proofErr w:type="spellStart"/>
            <w:r w:rsidRPr="005348FA">
              <w:rPr>
                <w:rFonts w:ascii="Arial" w:hAnsi="Arial" w:cs="Arial"/>
              </w:rPr>
              <w:t>MeNR</w:t>
            </w:r>
            <w:proofErr w:type="spellEnd"/>
            <w:r w:rsidRPr="005348FA">
              <w:rPr>
                <w:rFonts w:ascii="Arial" w:hAnsi="Arial" w:cs="Arial"/>
              </w:rPr>
              <w:t xml:space="preserve"> log</w:t>
            </w:r>
            <w:r w:rsidR="00EA4299">
              <w:rPr>
                <w:rFonts w:ascii="Arial" w:hAnsi="Arial" w:cs="Arial"/>
              </w:rPr>
              <w:t> </w:t>
            </w:r>
            <w:r w:rsidRPr="005348FA">
              <w:rPr>
                <w:rFonts w:ascii="Arial" w:hAnsi="Arial" w:cs="Arial"/>
              </w:rPr>
              <w:t>amplitude</w:t>
            </w:r>
          </w:p>
        </w:tc>
        <w:tc>
          <w:tcPr>
            <w:tcW w:w="1530" w:type="dxa"/>
          </w:tcPr>
          <w:p w:rsidR="00E34842" w:rsidRPr="005348FA" w:rsidRDefault="00E34842" w:rsidP="00EA4299">
            <w:pPr>
              <w:jc w:val="center"/>
              <w:rPr>
                <w:rFonts w:ascii="Arial" w:hAnsi="Arial" w:cs="Arial"/>
              </w:rPr>
            </w:pPr>
            <w:proofErr w:type="spellStart"/>
            <w:r w:rsidRPr="005348FA">
              <w:rPr>
                <w:rFonts w:ascii="Arial" w:hAnsi="Arial" w:cs="Arial"/>
              </w:rPr>
              <w:t>MeNR</w:t>
            </w:r>
            <w:proofErr w:type="spellEnd"/>
            <w:r w:rsidRPr="005348FA">
              <w:rPr>
                <w:rFonts w:ascii="Arial" w:hAnsi="Arial" w:cs="Arial"/>
              </w:rPr>
              <w:t>/P ratio</w:t>
            </w:r>
          </w:p>
        </w:tc>
        <w:tc>
          <w:tcPr>
            <w:tcW w:w="2070" w:type="dxa"/>
          </w:tcPr>
          <w:p w:rsidR="00E34842" w:rsidRPr="005348FA" w:rsidRDefault="00E34842" w:rsidP="00EA4299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PhNR log</w:t>
            </w:r>
            <w:r w:rsidR="00EA4299">
              <w:rPr>
                <w:rFonts w:ascii="Arial" w:hAnsi="Arial" w:cs="Arial"/>
              </w:rPr>
              <w:t> </w:t>
            </w:r>
            <w:r w:rsidRPr="005348FA">
              <w:rPr>
                <w:rFonts w:ascii="Arial" w:hAnsi="Arial" w:cs="Arial"/>
              </w:rPr>
              <w:t>amplitude</w:t>
            </w:r>
          </w:p>
        </w:tc>
        <w:tc>
          <w:tcPr>
            <w:tcW w:w="1980" w:type="dxa"/>
          </w:tcPr>
          <w:p w:rsidR="00E34842" w:rsidRPr="005348FA" w:rsidRDefault="00E34842" w:rsidP="00EA4299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PhNR/b-</w:t>
            </w:r>
            <w:bookmarkStart w:id="0" w:name="_GoBack"/>
            <w:bookmarkEnd w:id="0"/>
            <w:r w:rsidRPr="005348FA">
              <w:rPr>
                <w:rFonts w:ascii="Arial" w:hAnsi="Arial" w:cs="Arial"/>
              </w:rPr>
              <w:t>wave ratio</w:t>
            </w:r>
          </w:p>
        </w:tc>
      </w:tr>
      <w:tr w:rsidR="00E34842" w:rsidRPr="005348FA" w:rsidTr="00E34842">
        <w:tc>
          <w:tcPr>
            <w:tcW w:w="1255" w:type="dxa"/>
          </w:tcPr>
          <w:p w:rsidR="00E34842" w:rsidRPr="005348FA" w:rsidRDefault="00E34842" w:rsidP="00E34842">
            <w:pPr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Sensitivity</w:t>
            </w:r>
          </w:p>
        </w:tc>
        <w:tc>
          <w:tcPr>
            <w:tcW w:w="207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0.90</w:t>
            </w:r>
          </w:p>
        </w:tc>
        <w:tc>
          <w:tcPr>
            <w:tcW w:w="153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0.70</w:t>
            </w:r>
          </w:p>
        </w:tc>
        <w:tc>
          <w:tcPr>
            <w:tcW w:w="207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1.00</w:t>
            </w:r>
          </w:p>
        </w:tc>
        <w:tc>
          <w:tcPr>
            <w:tcW w:w="198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0.90</w:t>
            </w:r>
          </w:p>
        </w:tc>
      </w:tr>
      <w:tr w:rsidR="00E34842" w:rsidRPr="005348FA" w:rsidTr="00E34842">
        <w:tc>
          <w:tcPr>
            <w:tcW w:w="1255" w:type="dxa"/>
          </w:tcPr>
          <w:p w:rsidR="00E34842" w:rsidRPr="005348FA" w:rsidRDefault="00E34842" w:rsidP="00E34842">
            <w:pPr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Specificity</w:t>
            </w:r>
          </w:p>
        </w:tc>
        <w:tc>
          <w:tcPr>
            <w:tcW w:w="207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0.83</w:t>
            </w:r>
          </w:p>
        </w:tc>
        <w:tc>
          <w:tcPr>
            <w:tcW w:w="153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0.83</w:t>
            </w:r>
          </w:p>
        </w:tc>
        <w:tc>
          <w:tcPr>
            <w:tcW w:w="207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0.92</w:t>
            </w:r>
          </w:p>
        </w:tc>
        <w:tc>
          <w:tcPr>
            <w:tcW w:w="198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0.75</w:t>
            </w:r>
          </w:p>
        </w:tc>
      </w:tr>
      <w:tr w:rsidR="00E34842" w:rsidRPr="005348FA" w:rsidTr="00E34842">
        <w:tc>
          <w:tcPr>
            <w:tcW w:w="1255" w:type="dxa"/>
          </w:tcPr>
          <w:p w:rsidR="00E34842" w:rsidRPr="005348FA" w:rsidRDefault="00E34842" w:rsidP="00E34842">
            <w:pPr>
              <w:rPr>
                <w:rFonts w:ascii="Arial" w:hAnsi="Arial" w:cs="Arial"/>
              </w:rPr>
            </w:pPr>
            <w:proofErr w:type="spellStart"/>
            <w:r w:rsidRPr="005348FA">
              <w:rPr>
                <w:rFonts w:ascii="Arial" w:hAnsi="Arial" w:cs="Arial"/>
              </w:rPr>
              <w:t>AUC</w:t>
            </w:r>
            <w:proofErr w:type="spellEnd"/>
          </w:p>
        </w:tc>
        <w:tc>
          <w:tcPr>
            <w:tcW w:w="207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0.90</w:t>
            </w:r>
          </w:p>
        </w:tc>
        <w:tc>
          <w:tcPr>
            <w:tcW w:w="153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0.78</w:t>
            </w:r>
          </w:p>
        </w:tc>
        <w:tc>
          <w:tcPr>
            <w:tcW w:w="207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0.99</w:t>
            </w:r>
          </w:p>
        </w:tc>
        <w:tc>
          <w:tcPr>
            <w:tcW w:w="1980" w:type="dxa"/>
          </w:tcPr>
          <w:p w:rsidR="00E34842" w:rsidRPr="005348FA" w:rsidRDefault="00E34842" w:rsidP="00E34842">
            <w:pPr>
              <w:jc w:val="center"/>
              <w:rPr>
                <w:rFonts w:ascii="Arial" w:hAnsi="Arial" w:cs="Arial"/>
              </w:rPr>
            </w:pPr>
            <w:r w:rsidRPr="005348FA">
              <w:rPr>
                <w:rFonts w:ascii="Arial" w:hAnsi="Arial" w:cs="Arial"/>
              </w:rPr>
              <w:t>0.84</w:t>
            </w:r>
          </w:p>
        </w:tc>
      </w:tr>
    </w:tbl>
    <w:p w:rsidR="00E34842" w:rsidRPr="005348FA" w:rsidRDefault="00E34842">
      <w:pPr>
        <w:rPr>
          <w:rFonts w:ascii="Arial" w:hAnsi="Arial" w:cs="Arial"/>
        </w:rPr>
      </w:pPr>
    </w:p>
    <w:sectPr w:rsidR="00E34842" w:rsidRPr="0053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842"/>
    <w:rsid w:val="005348FA"/>
    <w:rsid w:val="007C6674"/>
    <w:rsid w:val="009B5224"/>
    <w:rsid w:val="00BF0DB7"/>
    <w:rsid w:val="00E104FE"/>
    <w:rsid w:val="00E34842"/>
    <w:rsid w:val="00EA4299"/>
    <w:rsid w:val="00FC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0DC21"/>
  <w15:chartTrackingRefBased/>
  <w15:docId w15:val="{4F26D50C-882C-465D-A13C-16E33557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McAnany</dc:creator>
  <cp:keywords/>
  <dc:description/>
  <cp:lastModifiedBy>Jason McAnany</cp:lastModifiedBy>
  <cp:revision>7</cp:revision>
  <dcterms:created xsi:type="dcterms:W3CDTF">2025-05-21T17:45:00Z</dcterms:created>
  <dcterms:modified xsi:type="dcterms:W3CDTF">2025-05-22T18:34:00Z</dcterms:modified>
</cp:coreProperties>
</file>