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FBD5" w14:textId="29542238" w:rsidR="00CE1FC1" w:rsidRPr="007B1EE4" w:rsidRDefault="002479F2" w:rsidP="00CE1FC1">
      <w:pPr>
        <w:spacing w:beforeLines="50" w:before="156" w:afterLines="50" w:after="156" w:line="480" w:lineRule="auto"/>
        <w:ind w:left="360" w:hanging="360"/>
        <w:rPr>
          <w:rFonts w:ascii="Times New Roman" w:hAnsi="Times New Roman" w:cs="Times New Roman"/>
          <w:b/>
          <w:bCs/>
          <w:sz w:val="20"/>
          <w:szCs w:val="20"/>
        </w:rPr>
      </w:pPr>
      <w:r w:rsidRPr="007B1EE4">
        <w:rPr>
          <w:rFonts w:ascii="Times New Roman" w:hAnsi="Times New Roman" w:cs="Times New Roman"/>
          <w:b/>
          <w:bCs/>
          <w:sz w:val="20"/>
          <w:szCs w:val="20"/>
        </w:rPr>
        <w:t>SUPPLEMENTARY METHODS</w:t>
      </w:r>
    </w:p>
    <w:p w14:paraId="691CF434" w14:textId="7F39A2BF" w:rsidR="00CE1FC1" w:rsidRPr="00CE1FC1" w:rsidRDefault="00CE1FC1" w:rsidP="00CE1FC1">
      <w:pPr>
        <w:pStyle w:val="aa"/>
        <w:numPr>
          <w:ilvl w:val="0"/>
          <w:numId w:val="1"/>
        </w:numPr>
        <w:spacing w:beforeLines="50" w:before="156" w:afterLines="50" w:after="156" w:line="480" w:lineRule="auto"/>
        <w:ind w:firstLineChars="0"/>
        <w:rPr>
          <w:rFonts w:ascii="Times New Roman" w:hAnsi="Times New Roman" w:cs="Times New Roman"/>
          <w:b/>
          <w:bCs/>
          <w:color w:val="131413"/>
          <w:kern w:val="0"/>
          <w:sz w:val="20"/>
          <w:szCs w:val="20"/>
        </w:rPr>
      </w:pPr>
      <w:r w:rsidRPr="00CE1FC1">
        <w:rPr>
          <w:rFonts w:ascii="Times New Roman" w:hAnsi="Times New Roman" w:cs="Times New Roman"/>
          <w:b/>
          <w:bCs/>
          <w:kern w:val="0"/>
          <w:sz w:val="20"/>
          <w:szCs w:val="20"/>
        </w:rPr>
        <w:t xml:space="preserve">Pharmacokinetics </w:t>
      </w:r>
      <w:r w:rsidR="00A4367A">
        <w:rPr>
          <w:rFonts w:ascii="Times New Roman" w:hAnsi="Times New Roman" w:cs="Times New Roman"/>
          <w:b/>
          <w:bCs/>
          <w:kern w:val="0"/>
          <w:sz w:val="20"/>
          <w:szCs w:val="20"/>
        </w:rPr>
        <w:t>measurement</w:t>
      </w:r>
    </w:p>
    <w:p w14:paraId="2C385E10" w14:textId="5D8B82CA" w:rsidR="00E94BEF" w:rsidRDefault="00E94BEF" w:rsidP="00CE1FC1">
      <w:pPr>
        <w:pStyle w:val="aa"/>
        <w:spacing w:beforeLines="50" w:before="156" w:afterLines="50" w:after="156" w:line="480" w:lineRule="auto"/>
        <w:ind w:left="360" w:firstLineChars="0" w:firstLine="0"/>
        <w:rPr>
          <w:rFonts w:ascii="Times New Roman" w:hAnsi="Times New Roman" w:cs="Times New Roman"/>
          <w:color w:val="131413"/>
          <w:kern w:val="0"/>
          <w:sz w:val="20"/>
          <w:szCs w:val="20"/>
        </w:rPr>
      </w:pPr>
      <w:r w:rsidRPr="00CE1FC1">
        <w:rPr>
          <w:rFonts w:ascii="Times New Roman" w:hAnsi="Times New Roman" w:cs="Times New Roman"/>
          <w:kern w:val="0"/>
          <w:sz w:val="20"/>
          <w:szCs w:val="20"/>
        </w:rPr>
        <w:t xml:space="preserve">Plasma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kern w:val="0"/>
          <w:sz w:val="20"/>
          <w:szCs w:val="20"/>
        </w:rPr>
        <w:t xml:space="preserve"> concentrations were measured using the liquid chromatography-tandem mass spectrometry method. Pharmacokinetics method was developed and validated for the detection and quantitation of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kern w:val="0"/>
          <w:sz w:val="20"/>
          <w:szCs w:val="20"/>
        </w:rPr>
        <w:t xml:space="preserve"> in human serum, LC-MS/MS analysis for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kern w:val="0"/>
          <w:sz w:val="20"/>
          <w:szCs w:val="20"/>
        </w:rPr>
        <w:t xml:space="preserve"> was carried out with a </w:t>
      </w:r>
      <w:proofErr w:type="spellStart"/>
      <w:r w:rsidRPr="00CE1FC1">
        <w:rPr>
          <w:rFonts w:ascii="Times New Roman" w:hAnsi="Times New Roman" w:cs="Times New Roman"/>
          <w:kern w:val="0"/>
          <w:sz w:val="20"/>
          <w:szCs w:val="20"/>
        </w:rPr>
        <w:t>Sciex</w:t>
      </w:r>
      <w:proofErr w:type="spellEnd"/>
      <w:r w:rsidRPr="00CE1FC1">
        <w:rPr>
          <w:rFonts w:ascii="Times New Roman" w:hAnsi="Times New Roman" w:cs="Times New Roman"/>
          <w:kern w:val="0"/>
          <w:sz w:val="20"/>
          <w:szCs w:val="20"/>
        </w:rPr>
        <w:t xml:space="preserve"> API 4000 mass spectrometer</w:t>
      </w:r>
      <w:r w:rsidRPr="00CE1FC1">
        <w:rPr>
          <w:rFonts w:ascii="Times New Roman" w:hAnsi="Times New Roman" w:cs="Times New Roman"/>
          <w:color w:val="131413"/>
          <w:kern w:val="0"/>
          <w:sz w:val="20"/>
          <w:szCs w:val="20"/>
        </w:rPr>
        <w:t xml:space="preserve">, coupled with an HPLC pump and an autosampler. The chromatographic separation was achieved for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color w:val="131413"/>
          <w:kern w:val="0"/>
          <w:sz w:val="20"/>
          <w:szCs w:val="20"/>
        </w:rPr>
        <w:t xml:space="preserve"> on an ACE 5 C18-PFP, 50 x 2.1 mm, 5 </w:t>
      </w:r>
      <w:proofErr w:type="spellStart"/>
      <w:r w:rsidRPr="00CE1FC1">
        <w:rPr>
          <w:rFonts w:ascii="Times New Roman" w:hAnsi="Times New Roman" w:cs="Times New Roman"/>
          <w:color w:val="131413"/>
          <w:kern w:val="0"/>
          <w:sz w:val="20"/>
          <w:szCs w:val="20"/>
        </w:rPr>
        <w:t>μm</w:t>
      </w:r>
      <w:proofErr w:type="spellEnd"/>
      <w:r w:rsidRPr="00CE1FC1">
        <w:rPr>
          <w:rFonts w:ascii="Times New Roman" w:hAnsi="Times New Roman" w:cs="Times New Roman"/>
          <w:color w:val="131413"/>
          <w:kern w:val="0"/>
          <w:sz w:val="20"/>
          <w:szCs w:val="20"/>
        </w:rPr>
        <w:t xml:space="preserve"> particle size, with gradient elution. The mass spectrometer was operated in positive ESI mode, and the resolution setting used was unit for both Q1 and Q3. The multiple reaction monitoring (MRM) transition was m/z 488.1—401.2 for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color w:val="131413"/>
          <w:kern w:val="0"/>
          <w:sz w:val="20"/>
          <w:szCs w:val="20"/>
        </w:rPr>
        <w:t xml:space="preserve">, and the MRM transition was m/z 501.5—414.3 for the internal standard, INCB055074. Peak-area integrations were performed using Analyst software (version 1.7.0) from Applied Biosystems, and regressions were carried out in Watson Bioanalytical LIMS (version 7.5) from </w:t>
      </w:r>
      <w:proofErr w:type="spellStart"/>
      <w:r w:rsidRPr="00CE1FC1">
        <w:rPr>
          <w:rFonts w:ascii="Times New Roman" w:hAnsi="Times New Roman" w:cs="Times New Roman"/>
          <w:color w:val="131413"/>
          <w:kern w:val="0"/>
          <w:sz w:val="20"/>
          <w:szCs w:val="20"/>
        </w:rPr>
        <w:t>Thermo</w:t>
      </w:r>
      <w:proofErr w:type="spellEnd"/>
      <w:r w:rsidRPr="00CE1FC1">
        <w:rPr>
          <w:rFonts w:ascii="Times New Roman" w:hAnsi="Times New Roman" w:cs="Times New Roman"/>
          <w:color w:val="131413"/>
          <w:kern w:val="0"/>
          <w:sz w:val="20"/>
          <w:szCs w:val="20"/>
        </w:rPr>
        <w:t xml:space="preserve"> Scientific. Concentrations were calculated using 10 concentration level curves ranging from 1 </w:t>
      </w:r>
      <w:proofErr w:type="spellStart"/>
      <w:r w:rsidRPr="00CE1FC1">
        <w:rPr>
          <w:rFonts w:ascii="Times New Roman" w:hAnsi="Times New Roman" w:cs="Times New Roman"/>
          <w:color w:val="131413"/>
          <w:kern w:val="0"/>
          <w:sz w:val="20"/>
          <w:szCs w:val="20"/>
        </w:rPr>
        <w:t>nM</w:t>
      </w:r>
      <w:proofErr w:type="spellEnd"/>
      <w:r w:rsidRPr="00CE1FC1">
        <w:rPr>
          <w:rFonts w:ascii="Times New Roman" w:hAnsi="Times New Roman" w:cs="Times New Roman"/>
          <w:color w:val="131413"/>
          <w:kern w:val="0"/>
          <w:sz w:val="20"/>
          <w:szCs w:val="20"/>
        </w:rPr>
        <w:t xml:space="preserve"> to 1000 </w:t>
      </w:r>
      <w:proofErr w:type="spellStart"/>
      <w:r w:rsidRPr="00CE1FC1">
        <w:rPr>
          <w:rFonts w:ascii="Times New Roman" w:hAnsi="Times New Roman" w:cs="Times New Roman"/>
          <w:color w:val="131413"/>
          <w:kern w:val="0"/>
          <w:sz w:val="20"/>
          <w:szCs w:val="20"/>
        </w:rPr>
        <w:t>nM</w:t>
      </w:r>
      <w:proofErr w:type="spellEnd"/>
      <w:r w:rsidRPr="00CE1FC1">
        <w:rPr>
          <w:rFonts w:ascii="Times New Roman" w:hAnsi="Times New Roman" w:cs="Times New Roman"/>
          <w:color w:val="131413"/>
          <w:kern w:val="0"/>
          <w:sz w:val="20"/>
          <w:szCs w:val="20"/>
        </w:rPr>
        <w:t xml:space="preserve"> with weighted linear regression for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color w:val="131413"/>
          <w:kern w:val="0"/>
          <w:sz w:val="20"/>
          <w:szCs w:val="20"/>
        </w:rPr>
        <w:t xml:space="preserve">, according to the following formula: y = mx + b (weighting factor = 1/x2), where x =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color w:val="131413"/>
          <w:kern w:val="0"/>
          <w:sz w:val="20"/>
          <w:szCs w:val="20"/>
        </w:rPr>
        <w:t xml:space="preserve"> concentration in </w:t>
      </w:r>
      <w:proofErr w:type="spellStart"/>
      <w:r w:rsidRPr="00CE1FC1">
        <w:rPr>
          <w:rFonts w:ascii="Times New Roman" w:hAnsi="Times New Roman" w:cs="Times New Roman"/>
          <w:color w:val="131413"/>
          <w:kern w:val="0"/>
          <w:sz w:val="20"/>
          <w:szCs w:val="20"/>
        </w:rPr>
        <w:t>nM</w:t>
      </w:r>
      <w:proofErr w:type="spellEnd"/>
      <w:r w:rsidRPr="00CE1FC1">
        <w:rPr>
          <w:rFonts w:ascii="Times New Roman" w:hAnsi="Times New Roman" w:cs="Times New Roman"/>
          <w:color w:val="131413"/>
          <w:kern w:val="0"/>
          <w:sz w:val="20"/>
          <w:szCs w:val="20"/>
        </w:rPr>
        <w:t xml:space="preserve">, y = Peak-area ratio, m = Slope, and b = Intercept. The lower limit of quantitation was 1 </w:t>
      </w:r>
      <w:proofErr w:type="spellStart"/>
      <w:r w:rsidRPr="00CE1FC1">
        <w:rPr>
          <w:rFonts w:ascii="Times New Roman" w:hAnsi="Times New Roman" w:cs="Times New Roman"/>
          <w:color w:val="131413"/>
          <w:kern w:val="0"/>
          <w:sz w:val="20"/>
          <w:szCs w:val="20"/>
        </w:rPr>
        <w:t>nM</w:t>
      </w:r>
      <w:proofErr w:type="spellEnd"/>
      <w:r w:rsidRPr="00CE1FC1">
        <w:rPr>
          <w:rFonts w:ascii="Times New Roman" w:hAnsi="Times New Roman" w:cs="Times New Roman"/>
          <w:color w:val="131413"/>
          <w:kern w:val="0"/>
          <w:sz w:val="20"/>
          <w:szCs w:val="20"/>
        </w:rPr>
        <w:t xml:space="preserve">, and the calibration curve ranged from 1 to 1000 </w:t>
      </w:r>
      <w:proofErr w:type="spellStart"/>
      <w:r w:rsidRPr="00CE1FC1">
        <w:rPr>
          <w:rFonts w:ascii="Times New Roman" w:hAnsi="Times New Roman" w:cs="Times New Roman"/>
          <w:color w:val="131413"/>
          <w:kern w:val="0"/>
          <w:sz w:val="20"/>
          <w:szCs w:val="20"/>
        </w:rPr>
        <w:t>nM</w:t>
      </w:r>
      <w:proofErr w:type="spellEnd"/>
      <w:r w:rsidRPr="00CE1FC1">
        <w:rPr>
          <w:rFonts w:ascii="Times New Roman" w:hAnsi="Times New Roman" w:cs="Times New Roman"/>
          <w:color w:val="131413"/>
          <w:kern w:val="0"/>
          <w:sz w:val="20"/>
          <w:szCs w:val="20"/>
        </w:rPr>
        <w:t xml:space="preserve"> for </w:t>
      </w:r>
      <w:proofErr w:type="spellStart"/>
      <w:r w:rsidRPr="00CE1FC1">
        <w:rPr>
          <w:rFonts w:ascii="Times New Roman" w:hAnsi="Times New Roman" w:cs="Times New Roman"/>
          <w:kern w:val="0"/>
          <w:sz w:val="20"/>
          <w:szCs w:val="20"/>
        </w:rPr>
        <w:t>pemigatinib</w:t>
      </w:r>
      <w:proofErr w:type="spellEnd"/>
      <w:r w:rsidRPr="00CE1FC1">
        <w:rPr>
          <w:rFonts w:ascii="Times New Roman" w:hAnsi="Times New Roman" w:cs="Times New Roman"/>
          <w:color w:val="131413"/>
          <w:kern w:val="0"/>
          <w:sz w:val="20"/>
          <w:szCs w:val="20"/>
        </w:rPr>
        <w:t xml:space="preserve">. </w:t>
      </w:r>
    </w:p>
    <w:p w14:paraId="0083FA10" w14:textId="4C281C8C" w:rsidR="00CE1FC1" w:rsidRPr="00CE1FC1" w:rsidRDefault="00CE1FC1" w:rsidP="00CE1FC1">
      <w:pPr>
        <w:pStyle w:val="aa"/>
        <w:numPr>
          <w:ilvl w:val="0"/>
          <w:numId w:val="1"/>
        </w:numPr>
        <w:spacing w:beforeLines="50" w:before="156" w:afterLines="50" w:after="156" w:line="480" w:lineRule="auto"/>
        <w:ind w:firstLineChars="0"/>
        <w:rPr>
          <w:rFonts w:ascii="Times New Roman" w:hAnsi="Times New Roman" w:cs="Times New Roman"/>
          <w:b/>
          <w:bCs/>
          <w:color w:val="131413"/>
          <w:kern w:val="0"/>
          <w:sz w:val="20"/>
          <w:szCs w:val="20"/>
        </w:rPr>
      </w:pPr>
      <w:r w:rsidRPr="00CE1FC1">
        <w:rPr>
          <w:rFonts w:ascii="Times New Roman" w:hAnsi="Times New Roman" w:cs="Times New Roman"/>
          <w:b/>
          <w:bCs/>
          <w:kern w:val="0"/>
          <w:sz w:val="20"/>
          <w:szCs w:val="20"/>
        </w:rPr>
        <w:t>Pharmaco</w:t>
      </w:r>
      <w:r>
        <w:rPr>
          <w:rFonts w:ascii="Times New Roman" w:hAnsi="Times New Roman" w:cs="Times New Roman"/>
          <w:b/>
          <w:bCs/>
          <w:kern w:val="0"/>
          <w:sz w:val="20"/>
          <w:szCs w:val="20"/>
        </w:rPr>
        <w:t>dynami</w:t>
      </w:r>
      <w:r w:rsidRPr="00CE1FC1">
        <w:rPr>
          <w:rFonts w:ascii="Times New Roman" w:hAnsi="Times New Roman" w:cs="Times New Roman"/>
          <w:b/>
          <w:bCs/>
          <w:kern w:val="0"/>
          <w:sz w:val="20"/>
          <w:szCs w:val="20"/>
        </w:rPr>
        <w:t xml:space="preserve">cs </w:t>
      </w:r>
      <w:r w:rsidR="00A4367A">
        <w:rPr>
          <w:rFonts w:ascii="Times New Roman" w:hAnsi="Times New Roman" w:cs="Times New Roman"/>
          <w:b/>
          <w:bCs/>
          <w:kern w:val="0"/>
          <w:sz w:val="20"/>
          <w:szCs w:val="20"/>
        </w:rPr>
        <w:t>measurement</w:t>
      </w:r>
    </w:p>
    <w:p w14:paraId="27C9B396" w14:textId="0C664CA5" w:rsidR="00FA6547" w:rsidRPr="00E94BEF" w:rsidRDefault="00E94BEF" w:rsidP="00A4367A">
      <w:pPr>
        <w:pStyle w:val="aa"/>
        <w:spacing w:beforeLines="50" w:before="156" w:afterLines="50" w:after="156" w:line="480" w:lineRule="auto"/>
        <w:ind w:left="360" w:firstLineChars="0" w:firstLine="0"/>
        <w:rPr>
          <w:rFonts w:ascii="Times New Roman" w:hAnsi="Times New Roman" w:cs="Times New Roman"/>
          <w:sz w:val="20"/>
          <w:szCs w:val="20"/>
        </w:rPr>
      </w:pPr>
      <w:r w:rsidRPr="00CE1FC1">
        <w:rPr>
          <w:rFonts w:ascii="Times New Roman" w:hAnsi="Times New Roman" w:cs="Times New Roman"/>
          <w:kern w:val="0"/>
          <w:sz w:val="20"/>
          <w:szCs w:val="20"/>
        </w:rPr>
        <w:t>Serum samples were analyzed for the concentration of serum phosphate using phosphomolybdate UV method by the central laboratory (Q2 Solutions (Beijing) Co., Ltd.).</w:t>
      </w:r>
      <w:r w:rsidRPr="00CE1FC1">
        <w:rPr>
          <w:rFonts w:ascii="Times New Roman" w:hAnsi="Times New Roman" w:cs="Times New Roman"/>
          <w:sz w:val="20"/>
          <w:szCs w:val="20"/>
        </w:rPr>
        <w:t xml:space="preserve"> </w:t>
      </w:r>
      <w:r w:rsidRPr="00CE1FC1">
        <w:rPr>
          <w:rFonts w:ascii="Times New Roman" w:hAnsi="Times New Roman" w:cs="Times New Roman"/>
          <w:color w:val="000000"/>
          <w:sz w:val="20"/>
          <w:szCs w:val="20"/>
        </w:rPr>
        <w:t xml:space="preserve">The concentration of phosphomolybdate formed is directly proportional to the inorganic phosphate concentration and is </w:t>
      </w:r>
      <w:r w:rsidRPr="00CE1FC1">
        <w:rPr>
          <w:rFonts w:ascii="Times New Roman" w:hAnsi="Times New Roman" w:cs="Times New Roman"/>
          <w:color w:val="000000"/>
          <w:sz w:val="20"/>
          <w:szCs w:val="20"/>
        </w:rPr>
        <w:lastRenderedPageBreak/>
        <w:t>measured photometrically.</w:t>
      </w:r>
      <w:r w:rsidRPr="00CE1FC1">
        <w:rPr>
          <w:rFonts w:ascii="Times New Roman" w:hAnsi="Times New Roman" w:cs="Times New Roman"/>
          <w:sz w:val="20"/>
          <w:szCs w:val="20"/>
        </w:rPr>
        <w:t xml:space="preserve"> </w:t>
      </w:r>
      <w:r w:rsidR="00A4367A">
        <w:rPr>
          <w:rFonts w:ascii="Times New Roman" w:hAnsi="Times New Roman" w:cs="Times New Roman"/>
          <w:color w:val="000000"/>
          <w:sz w:val="20"/>
          <w:szCs w:val="20"/>
        </w:rPr>
        <w:t>P</w:t>
      </w:r>
      <w:r w:rsidRPr="00CE1FC1">
        <w:rPr>
          <w:rFonts w:ascii="Times New Roman" w:hAnsi="Times New Roman" w:cs="Times New Roman"/>
          <w:color w:val="000000"/>
          <w:sz w:val="20"/>
          <w:szCs w:val="20"/>
        </w:rPr>
        <w:t xml:space="preserve">hosphorus </w:t>
      </w:r>
      <w:r w:rsidR="00A4367A">
        <w:rPr>
          <w:rFonts w:ascii="Times New Roman" w:hAnsi="Times New Roman" w:cs="Times New Roman"/>
          <w:color w:val="000000"/>
          <w:sz w:val="20"/>
          <w:szCs w:val="20"/>
        </w:rPr>
        <w:t xml:space="preserve">quantification was determined </w:t>
      </w:r>
      <w:r w:rsidRPr="00CE1FC1">
        <w:rPr>
          <w:rFonts w:ascii="Times New Roman" w:hAnsi="Times New Roman" w:cs="Times New Roman"/>
          <w:color w:val="000000"/>
          <w:sz w:val="20"/>
          <w:szCs w:val="20"/>
        </w:rPr>
        <w:t xml:space="preserve">in human </w:t>
      </w:r>
      <w:r w:rsidRPr="00CE1FC1">
        <w:rPr>
          <w:rFonts w:ascii="Times New Roman" w:hAnsi="Times New Roman" w:cs="Times New Roman"/>
          <w:sz w:val="20"/>
          <w:szCs w:val="20"/>
        </w:rPr>
        <w:t xml:space="preserve">plasma on Roche/Hitachi </w:t>
      </w:r>
      <w:proofErr w:type="spellStart"/>
      <w:r w:rsidRPr="00CE1FC1">
        <w:rPr>
          <w:rFonts w:ascii="Times New Roman" w:hAnsi="Times New Roman" w:cs="Times New Roman"/>
          <w:sz w:val="20"/>
          <w:szCs w:val="20"/>
        </w:rPr>
        <w:t>cobas</w:t>
      </w:r>
      <w:proofErr w:type="spellEnd"/>
      <w:r w:rsidR="00A4367A">
        <w:rPr>
          <w:rFonts w:ascii="Times New Roman" w:hAnsi="Times New Roman" w:cs="Times New Roman"/>
          <w:sz w:val="20"/>
          <w:szCs w:val="20"/>
        </w:rPr>
        <w:t xml:space="preserve"> </w:t>
      </w:r>
      <w:r w:rsidRPr="00CE1FC1">
        <w:rPr>
          <w:rFonts w:ascii="Times New Roman" w:hAnsi="Times New Roman" w:cs="Times New Roman"/>
          <w:sz w:val="20"/>
          <w:szCs w:val="20"/>
        </w:rPr>
        <w:t>c systems.</w:t>
      </w:r>
      <w:r w:rsidRPr="00CE1FC1">
        <w:rPr>
          <w:rFonts w:ascii="Times New Roman" w:hAnsi="Times New Roman" w:cs="Times New Roman"/>
          <w:kern w:val="0"/>
          <w:sz w:val="20"/>
          <w:szCs w:val="20"/>
        </w:rPr>
        <w:t xml:space="preserve"> Measuring range </w:t>
      </w:r>
      <w:r w:rsidR="00A4367A">
        <w:rPr>
          <w:rFonts w:ascii="Times New Roman" w:hAnsi="Times New Roman" w:cs="Times New Roman"/>
          <w:kern w:val="0"/>
          <w:sz w:val="20"/>
          <w:szCs w:val="20"/>
        </w:rPr>
        <w:t>wa</w:t>
      </w:r>
      <w:r w:rsidRPr="00CE1FC1">
        <w:rPr>
          <w:rFonts w:ascii="Times New Roman" w:hAnsi="Times New Roman" w:cs="Times New Roman"/>
          <w:kern w:val="0"/>
          <w:sz w:val="20"/>
          <w:szCs w:val="20"/>
        </w:rPr>
        <w:t>s 0.10‑6.46 mmol/L (0.31‑20.0 mg/dL).</w:t>
      </w:r>
      <w:r w:rsidRPr="00CE1FC1">
        <w:rPr>
          <w:rFonts w:ascii="Times New Roman" w:hAnsi="Times New Roman" w:cs="Times New Roman"/>
          <w:sz w:val="20"/>
          <w:szCs w:val="20"/>
        </w:rPr>
        <w:t xml:space="preserve"> </w:t>
      </w:r>
      <w:r w:rsidRPr="00CE1FC1">
        <w:rPr>
          <w:rFonts w:ascii="Times New Roman" w:hAnsi="Times New Roman" w:cs="Times New Roman"/>
          <w:kern w:val="0"/>
          <w:sz w:val="20"/>
          <w:szCs w:val="20"/>
        </w:rPr>
        <w:t>Reagents</w:t>
      </w:r>
      <w:r w:rsidR="00A4367A">
        <w:rPr>
          <w:rFonts w:ascii="Times New Roman" w:hAnsi="Times New Roman" w:cs="Times New Roman"/>
          <w:kern w:val="0"/>
          <w:sz w:val="20"/>
          <w:szCs w:val="20"/>
        </w:rPr>
        <w:t>:</w:t>
      </w:r>
      <w:r w:rsidRPr="00CE1FC1">
        <w:rPr>
          <w:rFonts w:ascii="Times New Roman" w:hAnsi="Times New Roman" w:cs="Times New Roman"/>
          <w:sz w:val="20"/>
          <w:szCs w:val="20"/>
        </w:rPr>
        <w:t xml:space="preserve"> </w:t>
      </w:r>
      <w:r w:rsidRPr="00CE1FC1">
        <w:rPr>
          <w:rFonts w:ascii="Times New Roman" w:hAnsi="Times New Roman" w:cs="Times New Roman"/>
          <w:kern w:val="0"/>
          <w:sz w:val="20"/>
          <w:szCs w:val="20"/>
        </w:rPr>
        <w:t>Phosphate (Inorganic) ver.2 (250 tests) Catalouge:03183793</w:t>
      </w:r>
      <w:r w:rsidR="00A4367A">
        <w:rPr>
          <w:rFonts w:ascii="Times New Roman" w:hAnsi="Times New Roman" w:cs="Times New Roman"/>
          <w:kern w:val="0"/>
          <w:sz w:val="20"/>
          <w:szCs w:val="20"/>
        </w:rPr>
        <w:t xml:space="preserve"> </w:t>
      </w:r>
      <w:r w:rsidRPr="00CE1FC1">
        <w:rPr>
          <w:rFonts w:ascii="Times New Roman" w:hAnsi="Times New Roman" w:cs="Times New Roman"/>
          <w:kern w:val="0"/>
          <w:sz w:val="20"/>
          <w:szCs w:val="20"/>
        </w:rPr>
        <w:t xml:space="preserve">122. </w:t>
      </w:r>
    </w:p>
    <w:sectPr w:rsidR="00FA6547" w:rsidRPr="00E94B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E4E0" w14:textId="77777777" w:rsidR="009527AE" w:rsidRDefault="009527AE" w:rsidP="00E94BEF">
      <w:r>
        <w:separator/>
      </w:r>
    </w:p>
  </w:endnote>
  <w:endnote w:type="continuationSeparator" w:id="0">
    <w:p w14:paraId="2EA22EF6" w14:textId="77777777" w:rsidR="009527AE" w:rsidRDefault="009527AE" w:rsidP="00E9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B501D" w14:textId="77777777" w:rsidR="009527AE" w:rsidRDefault="009527AE" w:rsidP="00E94BEF">
      <w:r>
        <w:separator/>
      </w:r>
    </w:p>
  </w:footnote>
  <w:footnote w:type="continuationSeparator" w:id="0">
    <w:p w14:paraId="763F5D45" w14:textId="77777777" w:rsidR="009527AE" w:rsidRDefault="009527AE" w:rsidP="00E94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E2054"/>
    <w:multiLevelType w:val="hybridMultilevel"/>
    <w:tmpl w:val="DE3405CC"/>
    <w:lvl w:ilvl="0" w:tplc="098C8B48">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7489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47"/>
    <w:rsid w:val="002479F2"/>
    <w:rsid w:val="007B1EE4"/>
    <w:rsid w:val="009527AE"/>
    <w:rsid w:val="00A4367A"/>
    <w:rsid w:val="00A644E2"/>
    <w:rsid w:val="00CE1FC1"/>
    <w:rsid w:val="00E94BEF"/>
    <w:rsid w:val="00FA6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299C"/>
  <w15:chartTrackingRefBased/>
  <w15:docId w15:val="{A6FDC429-B27D-48F0-B5BE-1B3C4D0E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B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4BE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4BEF"/>
    <w:rPr>
      <w:sz w:val="18"/>
      <w:szCs w:val="18"/>
    </w:rPr>
  </w:style>
  <w:style w:type="paragraph" w:styleId="a5">
    <w:name w:val="footer"/>
    <w:basedOn w:val="a"/>
    <w:link w:val="a6"/>
    <w:uiPriority w:val="99"/>
    <w:unhideWhenUsed/>
    <w:rsid w:val="00E94BEF"/>
    <w:pPr>
      <w:tabs>
        <w:tab w:val="center" w:pos="4153"/>
        <w:tab w:val="right" w:pos="8306"/>
      </w:tabs>
      <w:snapToGrid w:val="0"/>
      <w:jc w:val="left"/>
    </w:pPr>
    <w:rPr>
      <w:sz w:val="18"/>
      <w:szCs w:val="18"/>
    </w:rPr>
  </w:style>
  <w:style w:type="character" w:customStyle="1" w:styleId="a6">
    <w:name w:val="页脚 字符"/>
    <w:basedOn w:val="a0"/>
    <w:link w:val="a5"/>
    <w:uiPriority w:val="99"/>
    <w:rsid w:val="00E94BEF"/>
    <w:rPr>
      <w:sz w:val="18"/>
      <w:szCs w:val="18"/>
    </w:rPr>
  </w:style>
  <w:style w:type="character" w:styleId="a7">
    <w:name w:val="annotation reference"/>
    <w:basedOn w:val="a0"/>
    <w:uiPriority w:val="99"/>
    <w:semiHidden/>
    <w:unhideWhenUsed/>
    <w:rsid w:val="00E94BEF"/>
    <w:rPr>
      <w:sz w:val="21"/>
      <w:szCs w:val="21"/>
    </w:rPr>
  </w:style>
  <w:style w:type="paragraph" w:styleId="a8">
    <w:name w:val="annotation text"/>
    <w:basedOn w:val="a"/>
    <w:link w:val="a9"/>
    <w:uiPriority w:val="99"/>
    <w:unhideWhenUsed/>
    <w:rsid w:val="00E94BEF"/>
    <w:pPr>
      <w:widowControl/>
      <w:spacing w:after="160" w:line="259" w:lineRule="auto"/>
      <w:jc w:val="left"/>
    </w:pPr>
    <w:rPr>
      <w:kern w:val="0"/>
      <w:sz w:val="22"/>
      <w:lang w:eastAsia="en-US"/>
    </w:rPr>
  </w:style>
  <w:style w:type="character" w:customStyle="1" w:styleId="a9">
    <w:name w:val="批注文字 字符"/>
    <w:basedOn w:val="a0"/>
    <w:link w:val="a8"/>
    <w:uiPriority w:val="99"/>
    <w:rsid w:val="00E94BEF"/>
    <w:rPr>
      <w:kern w:val="0"/>
      <w:sz w:val="22"/>
      <w:lang w:eastAsia="en-US"/>
    </w:rPr>
  </w:style>
  <w:style w:type="paragraph" w:styleId="aa">
    <w:name w:val="List Paragraph"/>
    <w:basedOn w:val="a"/>
    <w:uiPriority w:val="34"/>
    <w:qFormat/>
    <w:rsid w:val="00CE1FC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王晓云(Xiaoyun Wang)</dc:creator>
  <cp:keywords/>
  <dc:description/>
  <cp:lastModifiedBy>王晓云(Xiaoyun Wang)</cp:lastModifiedBy>
  <cp:revision>7</cp:revision>
  <dcterms:created xsi:type="dcterms:W3CDTF">2022-05-10T10:23:00Z</dcterms:created>
  <dcterms:modified xsi:type="dcterms:W3CDTF">2022-05-10T10:45:00Z</dcterms:modified>
</cp:coreProperties>
</file>