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mbeddings/oleObject1.bin" ContentType="application/vnd.openxmlformats-officedocument.oleObject"/>
  <Override PartName="/word/embeddings/oleObject9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media/image1.wmf" ContentType="image/x-wmf"/>
  <Override PartName="/word/media/image9.wmf" ContentType="image/x-wmf"/>
  <Override PartName="/word/media/image2.wmf" ContentType="image/x-wmf"/>
  <Override PartName="/word/media/image3.wmf" ContentType="image/x-wmf"/>
  <Override PartName="/word/media/image4.wmf" ContentType="image/x-wmf"/>
  <Override PartName="/word/media/image5.wmf" ContentType="image/x-wmf"/>
  <Override PartName="/word/media/image6.wmf" ContentType="image/x-wmf"/>
  <Override PartName="/word/media/image7.wmf" ContentType="image/x-wmf"/>
  <Override PartName="/word/media/image8.wmf" ContentType="image/x-wmf"/>
  <Override PartName="/word/media/image10.wmf" ContentType="image/x-wmf"/>
  <Override PartName="/word/media/image11.wmf" ContentType="image/x-wmf"/>
  <Override PartName="/word/media/image12.jpeg" ContentType="image/jpeg"/>
  <Override PartName="/word/media/image13.jpeg" ContentType="image/jpeg"/>
  <Override PartName="/word/media/image14.jpeg" ContentType="image/jpeg"/>
  <Override PartName="/word/media/image15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/>
        <w:jc w:val="center"/>
        <w:rPr/>
      </w:pPr>
      <w:r>
        <w:rPr>
          <w:rFonts w:ascii="Times New Roman" w:hAnsi="Times New Roman"/>
          <w:b/>
          <w:bCs/>
          <w:sz w:val="28"/>
          <w:szCs w:val="28"/>
        </w:rPr>
        <w:t xml:space="preserve">Supplementary </w:t>
      </w:r>
      <w:r>
        <w:rPr>
          <w:rFonts w:eastAsia="NSimSun" w:cs="Lucida Sans" w:ascii="Times New Roman" w:hAnsi="Times New Roman"/>
          <w:b/>
          <w:bCs/>
          <w:color w:val="auto"/>
          <w:kern w:val="2"/>
          <w:sz w:val="28"/>
          <w:szCs w:val="28"/>
          <w:lang w:val="en-GB" w:eastAsia="zh-CN" w:bidi="hi-IN"/>
        </w:rPr>
        <w:t>Information</w:t>
      </w:r>
      <w:r>
        <w:rPr>
          <w:rFonts w:ascii="Times New Roman" w:hAnsi="Times New Roman"/>
          <w:b/>
          <w:bCs/>
          <w:sz w:val="28"/>
          <w:szCs w:val="28"/>
        </w:rPr>
        <w:t xml:space="preserve"> for “Result-based vs. action-based payments: </w:t>
      </w:r>
      <w:r>
        <w:rPr>
          <w:rFonts w:eastAsia="NSimSun" w:cs="Lucida Sans" w:ascii="Times New Roman" w:hAnsi="Times New Roman"/>
          <w:b/>
          <w:bCs/>
          <w:color w:val="auto"/>
          <w:kern w:val="2"/>
          <w:sz w:val="28"/>
          <w:szCs w:val="28"/>
          <w:lang w:val="en-GB" w:eastAsia="zh-CN" w:bidi="hi-IN"/>
        </w:rPr>
        <w:t>a systematic comparison</w:t>
      </w:r>
      <w:r>
        <w:rPr>
          <w:rFonts w:ascii="Times New Roman" w:hAnsi="Times New Roman"/>
          <w:b/>
          <w:bCs/>
          <w:sz w:val="28"/>
          <w:szCs w:val="28"/>
        </w:rPr>
        <w:t>”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bidi w:val="0"/>
        <w:spacing w:lineRule="auto" w:line="360"/>
        <w:jc w:val="left"/>
        <w:rPr/>
      </w:pPr>
      <w:r>
        <w:rPr>
          <w:rFonts w:ascii="Times New Roman" w:hAnsi="Times New Roman"/>
          <w:b/>
          <w:bCs/>
        </w:rPr>
        <w:t xml:space="preserve">Appendix A: Comparison of result-based and action based payments for </w:t>
      </w:r>
      <w:r>
        <w:rPr>
          <w:rFonts w:ascii="Symbol" w:hAnsi="Symbol"/>
          <w:b/>
          <w:bCs/>
          <w:i/>
          <w:iCs/>
        </w:rPr>
        <w:t>a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en-GB" w:eastAsia="zh-CN" w:bidi="hi-IN"/>
        </w:rPr>
        <w:t>&lt;</w:t>
      </w:r>
      <w:r>
        <w:rPr>
          <w:rFonts w:eastAsia="NSimSun" w:cs="Lucida Sans" w:ascii="Times New Roman" w:hAnsi="Times New Roman"/>
          <w:b/>
          <w:bCs/>
        </w:rPr>
        <w:t xml:space="preserve"> </w:t>
      </w:r>
      <w:r>
        <w:rPr>
          <w:rFonts w:eastAsia="NSimSun" w:cs="Lucida Sans" w:ascii="Times New Roman" w:hAnsi="Times New Roman"/>
          <w:b/>
          <w:bCs/>
          <w:i/>
          <w:iCs/>
        </w:rPr>
        <w:t>a</w:t>
      </w:r>
    </w:p>
    <w:p>
      <w:pPr>
        <w:pStyle w:val="Normal"/>
        <w:bidi w:val="0"/>
        <w:spacing w:lineRule="auto" w:line="360"/>
        <w:jc w:val="left"/>
        <w:rPr/>
      </w:pPr>
      <w:r>
        <w:rPr>
          <w:rFonts w:eastAsia="NSimSun" w:cs="Lucida Sans" w:ascii="Times New Roman" w:hAnsi="Times New Roman"/>
        </w:rPr>
        <w:t xml:space="preserve">Since the </w:t>
      </w:r>
      <w:r>
        <w:rPr>
          <w:rFonts w:eastAsia="NSimSun" w:cs="Lucida Sans" w:ascii="Times New Roman" w:hAnsi="Times New Roman"/>
          <w:color w:val="auto"/>
          <w:kern w:val="2"/>
          <w:sz w:val="24"/>
          <w:szCs w:val="24"/>
          <w:lang w:val="en-GB" w:eastAsia="zh-CN" w:bidi="hi-IN"/>
        </w:rPr>
        <w:t>scheme</w:t>
      </w:r>
      <w:r>
        <w:rPr>
          <w:rFonts w:eastAsia="NSimSun" w:cs="Lucida Sans" w:ascii="Times New Roman" w:hAnsi="Times New Roman"/>
        </w:rPr>
        <w:t xml:space="preserve"> benefit strictly monotonously increases with increasing proportion </w:t>
      </w:r>
      <w:r>
        <w:rPr>
          <w:rFonts w:eastAsia="NSimSun" w:cs="Lucida Sans" w:ascii="Times New Roman" w:hAnsi="Times New Roman"/>
          <w:i/>
          <w:iCs/>
        </w:rPr>
        <w:t>x</w:t>
      </w:r>
      <w:r>
        <w:rPr>
          <w:rFonts w:eastAsia="NSimSun" w:cs="Lucida Sans" w:ascii="Times New Roman" w:hAnsi="Times New Roman"/>
          <w:vertAlign w:val="subscript"/>
        </w:rPr>
        <w:t>max</w:t>
      </w:r>
      <w:r>
        <w:rPr>
          <w:rFonts w:eastAsia="NSimSun" w:cs="Lucida Sans" w:ascii="Times New Roman" w:hAnsi="Times New Roman"/>
        </w:rPr>
        <w:t xml:space="preserve"> of conserved land, it is sufficient to compare </w:t>
      </w:r>
      <w:r>
        <w:rPr>
          <w:rFonts w:eastAsia="NSimSun" w:cs="Lucida Sans" w:ascii="Times New Roman" w:hAnsi="Times New Roman"/>
          <w:i/>
          <w:iCs/>
        </w:rPr>
        <w:t>x</w:t>
      </w:r>
      <w:r>
        <w:rPr>
          <w:rFonts w:eastAsia="NSimSun" w:cs="Lucida Sans" w:ascii="Times New Roman" w:hAnsi="Times New Roman"/>
          <w:vertAlign w:val="subscript"/>
        </w:rPr>
        <w:t>max</w:t>
      </w:r>
      <w:r>
        <w:rPr>
          <w:rFonts w:eastAsia="NSimSun" w:cs="Lucida Sans" w:ascii="Times New Roman" w:hAnsi="Times New Roman"/>
          <w:vertAlign w:val="superscript"/>
        </w:rPr>
        <w:t>(r)</w:t>
      </w:r>
      <w:r>
        <w:rPr>
          <w:rFonts w:eastAsia="NSimSun" w:cs="Lucida Sans" w:ascii="Times New Roman" w:hAnsi="Times New Roman"/>
        </w:rPr>
        <w:t xml:space="preserve"> and </w:t>
      </w:r>
      <w:r>
        <w:rPr>
          <w:rFonts w:eastAsia="NSimSun" w:cs="Lucida Sans" w:ascii="Times New Roman" w:hAnsi="Times New Roman"/>
          <w:i/>
          <w:iCs/>
        </w:rPr>
        <w:t>x</w:t>
      </w:r>
      <w:r>
        <w:rPr>
          <w:rFonts w:eastAsia="NSimSun" w:cs="Lucida Sans" w:ascii="Times New Roman" w:hAnsi="Times New Roman"/>
          <w:vertAlign w:val="subscript"/>
        </w:rPr>
        <w:t>max</w:t>
      </w:r>
      <w:r>
        <w:rPr>
          <w:rFonts w:eastAsia="NSimSun" w:cs="Lucida Sans" w:ascii="Times New Roman" w:hAnsi="Times New Roman"/>
          <w:vertAlign w:val="superscript"/>
        </w:rPr>
        <w:t>(a)</w:t>
      </w:r>
      <w:r>
        <w:rPr>
          <w:rFonts w:eastAsia="NSimSun" w:cs="Lucida Sans" w:ascii="Times New Roman" w:hAnsi="Times New Roman"/>
        </w:rPr>
        <w:t xml:space="preserve">, so that if one of the two is larger than the other, the cost-effectiveness and budget efficiency, respectively, exceeds that of the other. To start with the cost-effectiveness, </w:t>
      </w:r>
      <w:r>
        <w:rPr>
          <w:rFonts w:eastAsia="NSimSun" w:cs="Lucida Sans" w:ascii="Times New Roman" w:hAnsi="Times New Roman"/>
          <w:color w:val="auto"/>
          <w:kern w:val="2"/>
          <w:sz w:val="24"/>
          <w:szCs w:val="24"/>
          <w:lang w:val="en-GB" w:eastAsia="zh-CN" w:bidi="hi-IN"/>
        </w:rPr>
        <w:t>I reformulate eq. (9) to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eastAsia="NSimSun" w:cs="Lucida Sans"/>
          <w:color w:val="auto"/>
          <w:kern w:val="2"/>
          <w:sz w:val="24"/>
          <w:szCs w:val="24"/>
          <w:lang w:val="en-GB" w:eastAsia="zh-CN" w:bidi="hi-IN"/>
        </w:rPr>
      </w:pPr>
      <w:r>
        <w:rPr>
          <w:rFonts w:eastAsia="NSimSun" w:cs="Lucida Sans" w:ascii="Times New Roman" w:hAnsi="Times New Roman"/>
          <w:color w:val="auto"/>
          <w:kern w:val="2"/>
          <w:sz w:val="24"/>
          <w:szCs w:val="24"/>
          <w:lang w:val="en-GB" w:eastAsia="zh-CN" w:bidi="hi-IN"/>
        </w:rPr>
      </w:r>
    </w:p>
    <w:p>
      <w:pPr>
        <w:pStyle w:val="Normal"/>
        <w:bidi w:val="0"/>
        <w:spacing w:lineRule="auto" w:line="360"/>
        <w:jc w:val="left"/>
        <w:rPr/>
      </w:pPr>
      <w:r>
        <w:rPr/>
        <w:object w:dxaOrig="2659" w:dyaOrig="1920">
          <v:shape id="ole_rId2" style="width:132.95pt;height:96pt" o:ole="">
            <v:imagedata r:id="rId3" o:title=""/>
          </v:shape>
          <o:OLEObject Type="Embed" ProgID="" ShapeID="ole_rId2" DrawAspect="Content" ObjectID="_82332489" r:id="rId2"/>
        </w:object>
      </w:r>
      <w:r>
        <w:rPr>
          <w:rFonts w:eastAsia="NSimSun" w:cs="Lucida Sans" w:ascii="Times New Roman" w:hAnsi="Times New Roman"/>
          <w:color w:val="auto"/>
          <w:kern w:val="2"/>
          <w:sz w:val="24"/>
          <w:szCs w:val="24"/>
          <w:lang w:val="en-GB" w:eastAsia="zh-CN" w:bidi="hi-IN"/>
        </w:rPr>
        <w:tab/>
        <w:tab/>
        <w:tab/>
        <w:tab/>
        <w:tab/>
        <w:tab/>
        <w:tab/>
        <w:tab/>
        <w:t>(A1)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eastAsia="NSimSun" w:cs="Lucida Sans"/>
          <w:color w:val="auto"/>
          <w:kern w:val="2"/>
          <w:sz w:val="24"/>
          <w:szCs w:val="24"/>
          <w:lang w:val="en-GB" w:eastAsia="zh-CN" w:bidi="hi-IN"/>
        </w:rPr>
      </w:pPr>
      <w:r>
        <w:rPr>
          <w:rFonts w:eastAsia="NSimSun" w:cs="Lucida Sans" w:ascii="Times New Roman" w:hAnsi="Times New Roman"/>
          <w:color w:val="auto"/>
          <w:kern w:val="2"/>
          <w:sz w:val="24"/>
          <w:szCs w:val="24"/>
          <w:lang w:val="en-GB" w:eastAsia="zh-CN" w:bidi="hi-IN"/>
        </w:rPr>
      </w:r>
    </w:p>
    <w:p>
      <w:pPr>
        <w:pStyle w:val="Normal"/>
        <w:bidi w:val="0"/>
        <w:spacing w:lineRule="auto" w:line="360"/>
        <w:jc w:val="left"/>
        <w:rPr/>
      </w:pPr>
      <w:r>
        <w:rPr>
          <w:rFonts w:eastAsia="NSimSun" w:cs="Lucida Sans" w:ascii="Times New Roman" w:hAnsi="Times New Roman"/>
          <w:color w:val="auto"/>
          <w:kern w:val="2"/>
          <w:sz w:val="24"/>
          <w:szCs w:val="24"/>
          <w:lang w:val="en-GB" w:eastAsia="zh-CN" w:bidi="hi-IN"/>
        </w:rPr>
        <w:t>with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eastAsia="NSimSun" w:cs="Lucida Sans"/>
          <w:color w:val="auto"/>
          <w:kern w:val="2"/>
          <w:sz w:val="24"/>
          <w:szCs w:val="24"/>
          <w:lang w:val="en-GB" w:eastAsia="zh-CN" w:bidi="hi-IN"/>
        </w:rPr>
      </w:pPr>
      <w:r>
        <w:rPr>
          <w:rFonts w:eastAsia="NSimSun" w:cs="Lucida Sans" w:ascii="Times New Roman" w:hAnsi="Times New Roman"/>
          <w:color w:val="auto"/>
          <w:kern w:val="2"/>
          <w:sz w:val="24"/>
          <w:szCs w:val="24"/>
          <w:lang w:val="en-GB" w:eastAsia="zh-CN" w:bidi="hi-IN"/>
        </w:rPr>
      </w:r>
    </w:p>
    <w:p>
      <w:pPr>
        <w:pStyle w:val="Normal"/>
        <w:bidi w:val="0"/>
        <w:spacing w:lineRule="auto" w:line="360"/>
        <w:jc w:val="left"/>
        <w:rPr/>
      </w:pPr>
      <w:r>
        <w:rPr/>
        <w:object w:dxaOrig="1200" w:dyaOrig="680">
          <v:shape id="ole_rId4" style="width:60pt;height:34pt" o:ole="">
            <v:imagedata r:id="rId5" o:title=""/>
          </v:shape>
          <o:OLEObject Type="Embed" ProgID="" ShapeID="ole_rId4" DrawAspect="Content" ObjectID="_1014624414" r:id="rId4"/>
        </w:object>
      </w:r>
      <w:r>
        <w:rPr/>
        <w:t>.</w:t>
      </w:r>
      <w:r>
        <w:rPr>
          <w:rFonts w:eastAsia="NSimSun" w:cs="Lucida Sans" w:ascii="Times New Roman" w:hAnsi="Times New Roman"/>
        </w:rPr>
        <w:tab/>
        <w:tab/>
        <w:tab/>
        <w:tab/>
        <w:tab/>
        <w:tab/>
        <w:tab/>
        <w:tab/>
        <w:tab/>
        <w:tab/>
        <w:t>(A2)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eastAsia="NSimSun" w:cs="Lucida Sans"/>
        </w:rPr>
      </w:pPr>
      <w:r>
        <w:rPr>
          <w:rFonts w:eastAsia="NSimSun" w:cs="Lucida Sans" w:ascii="Times New Roman" w:hAnsi="Times New Roman"/>
        </w:rPr>
      </w:r>
    </w:p>
    <w:p>
      <w:pPr>
        <w:pStyle w:val="Normal"/>
        <w:bidi w:val="0"/>
        <w:spacing w:lineRule="auto" w:line="360"/>
        <w:jc w:val="left"/>
        <w:rPr/>
      </w:pPr>
      <w:r>
        <w:rPr>
          <w:rFonts w:eastAsia="NSimSun" w:cs="Lucida Sans" w:ascii="Times New Roman" w:hAnsi="Times New Roman"/>
        </w:rPr>
        <w:t>The associated scheme cost equals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eastAsia="NSimSun" w:cs="Lucida Sans"/>
        </w:rPr>
      </w:pPr>
      <w:r>
        <w:rPr>
          <w:rFonts w:eastAsia="NSimSun" w:cs="Lucida Sans" w:ascii="Times New Roman" w:hAnsi="Times New Roman"/>
        </w:rPr>
      </w:r>
    </w:p>
    <w:p>
      <w:pPr>
        <w:pStyle w:val="Normal"/>
        <w:bidi w:val="0"/>
        <w:spacing w:lineRule="auto" w:line="360"/>
        <w:jc w:val="left"/>
        <w:rPr/>
      </w:pPr>
      <w:r>
        <w:rPr/>
        <w:object w:dxaOrig="3200" w:dyaOrig="2000">
          <v:shape id="ole_rId6" style="width:160pt;height:100pt" o:ole="">
            <v:imagedata r:id="rId7" o:title=""/>
          </v:shape>
          <o:OLEObject Type="Embed" ProgID="" ShapeID="ole_rId6" DrawAspect="Content" ObjectID="_2016422208" r:id="rId6"/>
        </w:object>
      </w:r>
      <w:r>
        <w:rPr>
          <w:rFonts w:eastAsia="NSimSun" w:cs="Lucida Sans" w:ascii="Times New Roman" w:hAnsi="Times New Roman"/>
        </w:rPr>
        <w:t>.</w:t>
        <w:tab/>
        <w:tab/>
        <w:tab/>
        <w:tab/>
        <w:tab/>
        <w:tab/>
        <w:tab/>
        <w:t>(A3)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eastAsia="NSimSun" w:cs="Lucida Sans"/>
        </w:rPr>
      </w:pPr>
      <w:r>
        <w:rPr>
          <w:rFonts w:eastAsia="NSimSun" w:cs="Lucida Sans" w:ascii="Times New Roman" w:hAnsi="Times New Roman"/>
        </w:rPr>
      </w:r>
    </w:p>
    <w:p>
      <w:pPr>
        <w:pStyle w:val="Normal"/>
        <w:bidi w:val="0"/>
        <w:spacing w:lineRule="auto" w:line="360"/>
        <w:jc w:val="left"/>
        <w:rPr/>
      </w:pPr>
      <w:r>
        <w:rPr>
          <w:rFonts w:eastAsia="NSimSun" w:cs="Lucida Sans" w:ascii="Times New Roman" w:hAnsi="Times New Roman"/>
          <w:color w:val="auto"/>
          <w:kern w:val="2"/>
          <w:sz w:val="24"/>
          <w:szCs w:val="24"/>
          <w:lang w:val="en-GB" w:eastAsia="zh-CN" w:bidi="hi-IN"/>
        </w:rPr>
        <w:t>Equating</w:t>
      </w:r>
      <w:r>
        <w:rPr>
          <w:rFonts w:eastAsia="NSimSun" w:cs="Lucida Sans" w:ascii="Times New Roman" w:hAnsi="Times New Roman"/>
        </w:rPr>
        <w:t xml:space="preserve"> </w:t>
      </w:r>
      <w:r>
        <w:rPr>
          <w:rFonts w:eastAsia="NSimSun" w:cs="Lucida Sans" w:ascii="Times New Roman" w:hAnsi="Times New Roman"/>
          <w:i/>
          <w:iCs/>
        </w:rPr>
        <w:t>C</w:t>
      </w:r>
      <w:r>
        <w:rPr>
          <w:rFonts w:eastAsia="NSimSun" w:cs="Lucida Sans" w:ascii="Times New Roman" w:hAnsi="Times New Roman"/>
          <w:vertAlign w:val="subscript"/>
        </w:rPr>
        <w:t>r</w:t>
      </w:r>
      <w:r>
        <w:rPr>
          <w:rFonts w:eastAsia="NSimSun" w:cs="Lucida Sans" w:ascii="Times New Roman" w:hAnsi="Times New Roman"/>
        </w:rPr>
        <w:t xml:space="preserve"> = </w:t>
      </w:r>
      <w:r>
        <w:rPr>
          <w:rFonts w:eastAsia="NSimSun" w:cs="Lucida Sans" w:ascii="Times New Roman" w:hAnsi="Times New Roman"/>
          <w:i/>
          <w:iCs/>
        </w:rPr>
        <w:t>C</w:t>
      </w:r>
      <w:r>
        <w:rPr>
          <w:rFonts w:eastAsia="NSimSun" w:cs="Lucida Sans" w:ascii="Times New Roman" w:hAnsi="Times New Roman"/>
          <w:vertAlign w:val="subscript"/>
        </w:rPr>
        <w:t>a</w:t>
      </w:r>
      <w:r>
        <w:rPr>
          <w:rFonts w:eastAsia="NSimSun" w:cs="Lucida Sans" w:ascii="Times New Roman" w:hAnsi="Times New Roman"/>
        </w:rPr>
        <w:t xml:space="preserve"> as described in section 2.3, eqs. (</w:t>
      </w:r>
      <w:r>
        <w:rPr>
          <w:rFonts w:eastAsia="NSimSun" w:cs="Lucida Sans" w:ascii="Times New Roman" w:hAnsi="Times New Roman"/>
          <w:color w:val="auto"/>
          <w:kern w:val="2"/>
          <w:sz w:val="24"/>
          <w:szCs w:val="24"/>
          <w:lang w:val="en-GB" w:eastAsia="zh-CN" w:bidi="hi-IN"/>
        </w:rPr>
        <w:t>15</w:t>
      </w:r>
      <w:r>
        <w:rPr>
          <w:rFonts w:eastAsia="NSimSun" w:cs="Lucida Sans" w:ascii="Times New Roman" w:hAnsi="Times New Roman"/>
        </w:rPr>
        <w:t>) and (</w:t>
      </w:r>
      <w:r>
        <w:rPr>
          <w:rFonts w:eastAsia="NSimSun" w:cs="Lucida Sans" w:ascii="Times New Roman" w:hAnsi="Times New Roman"/>
          <w:color w:val="auto"/>
          <w:kern w:val="2"/>
          <w:sz w:val="24"/>
          <w:szCs w:val="24"/>
          <w:lang w:val="en-GB" w:eastAsia="zh-CN" w:bidi="hi-IN"/>
        </w:rPr>
        <w:t>4</w:t>
      </w:r>
      <w:r>
        <w:rPr>
          <w:rFonts w:eastAsia="NSimSun" w:cs="Lucida Sans" w:ascii="Times New Roman" w:hAnsi="Times New Roman"/>
        </w:rPr>
        <w:t>) yield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eastAsia="NSimSun" w:cs="Lucida Sans"/>
        </w:rPr>
      </w:pPr>
      <w:r>
        <w:rPr>
          <w:rFonts w:eastAsia="NSimSun" w:cs="Lucida Sans" w:ascii="Times New Roman" w:hAnsi="Times New Roman"/>
        </w:rPr>
      </w:r>
    </w:p>
    <w:p>
      <w:pPr>
        <w:pStyle w:val="Normal"/>
        <w:bidi w:val="0"/>
        <w:spacing w:lineRule="auto" w:line="360"/>
        <w:jc w:val="left"/>
        <w:rPr/>
      </w:pPr>
      <w:r>
        <w:rPr/>
        <w:object w:dxaOrig="3739" w:dyaOrig="2000">
          <v:shape id="ole_rId8" style="width:186.95pt;height:100pt" o:ole="">
            <v:imagedata r:id="rId9" o:title=""/>
          </v:shape>
          <o:OLEObject Type="Embed" ProgID="" ShapeID="ole_rId8" DrawAspect="Content" ObjectID="_1715521665" r:id="rId8"/>
        </w:object>
      </w:r>
      <w:r>
        <w:rPr>
          <w:rFonts w:eastAsia="NSimSun" w:cs="Lucida Sans" w:ascii="Times New Roman" w:hAnsi="Times New Roman"/>
        </w:rPr>
        <w:tab/>
        <w:tab/>
        <w:tab/>
        <w:tab/>
        <w:tab/>
        <w:tab/>
        <w:t>(A4)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eastAsia="NSimSun" w:cs="Lucida Sans"/>
        </w:rPr>
      </w:pPr>
      <w:r>
        <w:rPr>
          <w:rFonts w:eastAsia="NSimSun" w:cs="Lucida Sans" w:ascii="Times New Roman" w:hAnsi="Times New Roman"/>
        </w:rPr>
      </w:r>
    </w:p>
    <w:p>
      <w:pPr>
        <w:pStyle w:val="Normal"/>
        <w:bidi w:val="0"/>
        <w:spacing w:lineRule="auto" w:line="360"/>
        <w:jc w:val="left"/>
        <w:rPr/>
      </w:pPr>
      <w:r>
        <w:rPr>
          <w:rFonts w:eastAsia="NSimSun" w:cs="Lucida Sans" w:ascii="Times New Roman" w:hAnsi="Times New Roman"/>
        </w:rPr>
        <w:t>and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eastAsia="NSimSun" w:cs="Lucida Sans"/>
        </w:rPr>
      </w:pPr>
      <w:r>
        <w:rPr>
          <w:rFonts w:eastAsia="NSimSun" w:cs="Lucida Sans" w:ascii="Times New Roman" w:hAnsi="Times New Roman"/>
        </w:rPr>
      </w:r>
    </w:p>
    <w:p>
      <w:pPr>
        <w:pStyle w:val="Normal"/>
        <w:bidi w:val="0"/>
        <w:spacing w:lineRule="auto" w:line="360"/>
        <w:jc w:val="left"/>
        <w:rPr/>
      </w:pPr>
      <w:r>
        <w:rPr/>
        <w:object w:dxaOrig="5260" w:dyaOrig="1920">
          <v:shape id="ole_rId10" style="width:263pt;height:96pt" o:ole="">
            <v:imagedata r:id="rId11" o:title=""/>
          </v:shape>
          <o:OLEObject Type="Embed" ProgID="" ShapeID="ole_rId10" DrawAspect="Content" ObjectID="_424031484" r:id="rId10"/>
        </w:object>
      </w:r>
      <w:r>
        <w:rPr>
          <w:rFonts w:ascii="Times New Roman" w:hAnsi="Times New Roman"/>
        </w:rPr>
        <w:t>.</w:t>
        <w:tab/>
        <w:tab/>
        <w:tab/>
        <w:tab/>
        <w:t>(A5)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/>
        <w:jc w:val="left"/>
        <w:rPr/>
      </w:pPr>
      <w:r>
        <w:rPr>
          <w:rFonts w:eastAsia="NSimSun" w:cs="Lucida Sans" w:ascii="Times New Roman" w:hAnsi="Times New Roman"/>
          <w:color w:val="auto"/>
          <w:kern w:val="2"/>
          <w:sz w:val="24"/>
          <w:szCs w:val="24"/>
          <w:lang w:val="en-GB" w:eastAsia="zh-CN" w:bidi="hi-IN"/>
        </w:rPr>
        <w:t>T</w:t>
      </w:r>
      <w:r>
        <w:rPr>
          <w:rFonts w:ascii="Times New Roman" w:hAnsi="Times New Roman"/>
        </w:rPr>
        <w:t xml:space="preserve">he trivial first and third cases in eqs. (A1) and (A5) yield </w:t>
      </w:r>
      <w:r>
        <w:rPr>
          <w:rFonts w:ascii="Times New Roman" w:hAnsi="Times New Roman"/>
          <w:i/>
          <w:iCs/>
        </w:rPr>
        <w:t>x</w:t>
      </w:r>
      <w:r>
        <w:rPr>
          <w:rFonts w:ascii="Times New Roman" w:hAnsi="Times New Roman"/>
          <w:vertAlign w:val="subscript"/>
        </w:rPr>
        <w:t>a</w:t>
      </w:r>
      <w:r>
        <w:rPr>
          <w:rFonts w:ascii="Times New Roman" w:hAnsi="Times New Roman"/>
          <w:vertAlign w:val="superscript"/>
        </w:rPr>
        <w:t>(max)</w:t>
      </w:r>
      <w:r>
        <w:rPr>
          <w:rFonts w:ascii="Times New Roman" w:hAnsi="Times New Roman"/>
        </w:rPr>
        <w:t xml:space="preserve"> = </w:t>
      </w:r>
      <w:r>
        <w:rPr>
          <w:rFonts w:ascii="Times New Roman" w:hAnsi="Times New Roman"/>
          <w:i/>
          <w:iCs/>
        </w:rPr>
        <w:t>x</w:t>
      </w:r>
      <w:r>
        <w:rPr>
          <w:rFonts w:ascii="Times New Roman" w:hAnsi="Times New Roman"/>
          <w:vertAlign w:val="subscript"/>
        </w:rPr>
        <w:t>r</w:t>
      </w:r>
      <w:r>
        <w:rPr>
          <w:rFonts w:ascii="Times New Roman" w:hAnsi="Times New Roman"/>
          <w:vertAlign w:val="superscript"/>
        </w:rPr>
        <w:t>(max)</w:t>
      </w:r>
      <w:r>
        <w:rPr>
          <w:rFonts w:ascii="Times New Roman" w:hAnsi="Times New Roman"/>
        </w:rPr>
        <w:t>. For the second case, eq. (A5) can be evaluated to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/>
        <w:jc w:val="left"/>
        <w:rPr/>
      </w:pPr>
      <w:r>
        <w:rPr/>
        <w:object w:dxaOrig="2400" w:dyaOrig="620">
          <v:shape id="ole_rId12" style="width:120pt;height:31pt" o:ole="">
            <v:imagedata r:id="rId13" o:title=""/>
          </v:shape>
          <o:OLEObject Type="Embed" ProgID="" ShapeID="ole_rId12" DrawAspect="Content" ObjectID="_62886537" r:id="rId12"/>
        </w:object>
      </w:r>
      <w:r>
        <w:rPr/>
        <w:t>,</w:t>
      </w:r>
      <w:r>
        <w:rPr>
          <w:rFonts w:ascii="Times New Roman" w:hAnsi="Times New Roman"/>
        </w:rPr>
        <w:tab/>
        <w:tab/>
        <w:tab/>
        <w:tab/>
        <w:tab/>
        <w:tab/>
        <w:tab/>
        <w:tab/>
        <w:t>(A6)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/>
        <w:jc w:val="left"/>
        <w:rPr/>
      </w:pPr>
      <w:r>
        <w:rPr>
          <w:rFonts w:ascii="Times New Roman" w:hAnsi="Times New Roman"/>
        </w:rPr>
        <w:t xml:space="preserve">which equals </w:t>
      </w:r>
      <w:r>
        <w:rPr>
          <w:rFonts w:ascii="Times New Roman" w:hAnsi="Times New Roman"/>
          <w:i/>
          <w:iCs/>
        </w:rPr>
        <w:t>x</w:t>
      </w:r>
      <w:r>
        <w:rPr>
          <w:rFonts w:ascii="Times New Roman" w:hAnsi="Times New Roman"/>
          <w:vertAlign w:val="subscript"/>
        </w:rPr>
        <w:t>r</w:t>
      </w:r>
      <w:r>
        <w:rPr>
          <w:rFonts w:ascii="Times New Roman" w:hAnsi="Times New Roman"/>
          <w:vertAlign w:val="superscript"/>
        </w:rPr>
        <w:t>(max)</w:t>
      </w:r>
      <w:r>
        <w:rPr>
          <w:rFonts w:ascii="Times New Roman" w:hAnsi="Times New Roman"/>
        </w:rPr>
        <w:t xml:space="preserve"> of eq. (A1). Altogether </w:t>
      </w:r>
      <w:r>
        <w:rPr>
          <w:rFonts w:ascii="Times New Roman" w:hAnsi="Times New Roman"/>
          <w:i/>
          <w:iCs/>
        </w:rPr>
        <w:t>x</w:t>
      </w:r>
      <w:r>
        <w:rPr>
          <w:rFonts w:ascii="Times New Roman" w:hAnsi="Times New Roman"/>
          <w:vertAlign w:val="subscript"/>
        </w:rPr>
        <w:t>a</w:t>
      </w:r>
      <w:r>
        <w:rPr>
          <w:rFonts w:ascii="Times New Roman" w:hAnsi="Times New Roman"/>
          <w:vertAlign w:val="superscript"/>
        </w:rPr>
        <w:t>(max)</w:t>
      </w:r>
      <w:r>
        <w:rPr>
          <w:rFonts w:ascii="Times New Roman" w:hAnsi="Times New Roman"/>
        </w:rPr>
        <w:t xml:space="preserve"> = </w:t>
      </w:r>
      <w:r>
        <w:rPr>
          <w:rFonts w:ascii="Times New Roman" w:hAnsi="Times New Roman"/>
          <w:i/>
          <w:iCs/>
        </w:rPr>
        <w:t>x</w:t>
      </w:r>
      <w:r>
        <w:rPr>
          <w:rFonts w:ascii="Times New Roman" w:hAnsi="Times New Roman"/>
          <w:vertAlign w:val="subscript"/>
        </w:rPr>
        <w:t>r</w:t>
      </w:r>
      <w:r>
        <w:rPr>
          <w:rFonts w:ascii="Times New Roman" w:hAnsi="Times New Roman"/>
          <w:vertAlign w:val="superscript"/>
        </w:rPr>
        <w:t>(max)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 for all levels of </w:t>
      </w:r>
      <w:r>
        <w:rPr>
          <w:rFonts w:ascii="Times New Roman" w:hAnsi="Times New Roman"/>
          <w:i/>
          <w:iCs/>
          <w:position w:val="0"/>
          <w:sz w:val="24"/>
          <w:sz w:val="24"/>
          <w:vertAlign w:val="baseline"/>
        </w:rPr>
        <w:t>p</w:t>
      </w:r>
      <w:r>
        <w:rPr>
          <w:rFonts w:ascii="Times New Roman" w:hAnsi="Times New Roman"/>
          <w:vertAlign w:val="subscript"/>
        </w:rPr>
        <w:t>r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>, so the two schemes are equally cost-effective. For the comparison of the budget</w:t>
      </w:r>
      <w:r>
        <w:rPr>
          <w:rFonts w:eastAsia="NSimSun" w:cs="Lucida Sans" w:ascii="Times New Roman" w:hAnsi="Times New Roman"/>
          <w:position w:val="0"/>
          <w:sz w:val="24"/>
          <w:sz w:val="24"/>
          <w:vertAlign w:val="baseline"/>
        </w:rPr>
        <w:t xml:space="preserve"> 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>efficiency, I obtain from eqs. (9) and (14)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/>
        <w:jc w:val="left"/>
        <w:rPr/>
      </w:pPr>
      <w:r>
        <w:rPr/>
        <w:object w:dxaOrig="3440" w:dyaOrig="2120">
          <v:shape id="ole_rId14" style="width:172pt;height:106pt" o:ole="">
            <v:imagedata r:id="rId15" o:title=""/>
          </v:shape>
          <o:OLEObject Type="Embed" ProgID="" ShapeID="ole_rId14" DrawAspect="Content" ObjectID="_1755571083" r:id="rId14"/>
        </w:object>
      </w:r>
      <w:r>
        <w:rPr/>
        <w:t>.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ab/>
        <w:tab/>
        <w:tab/>
        <w:tab/>
        <w:tab/>
        <w:tab/>
        <w:tab/>
        <w:t>(A7)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/>
        <w:jc w:val="left"/>
        <w:rPr/>
      </w:pP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Equating</w:t>
      </w:r>
      <w:r>
        <w:rPr>
          <w:rFonts w:eastAsia="NSimSun" w:cs="Lucida Sans" w:ascii="Times New Roman" w:hAnsi="Times New Roman"/>
          <w:position w:val="0"/>
          <w:sz w:val="24"/>
          <w:sz w:val="24"/>
          <w:vertAlign w:val="baseline"/>
        </w:rPr>
        <w:t xml:space="preserve"> </w:t>
      </w:r>
      <w:r>
        <w:rPr>
          <w:rFonts w:eastAsia="NSimSun" w:cs="Lucida Sans" w:ascii="Times New Roman" w:hAnsi="Times New Roman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B</w:t>
      </w:r>
      <w:r>
        <w:rPr>
          <w:rFonts w:eastAsia="NSimSun" w:cs="Lucida Sans" w:ascii="Times New Roman" w:hAnsi="Times New Roman"/>
          <w:vertAlign w:val="subscript"/>
        </w:rPr>
        <w:t>r</w:t>
      </w:r>
      <w:r>
        <w:rPr>
          <w:rFonts w:eastAsia="NSimSun" w:cs="Lucida Sans" w:ascii="Times New Roman" w:hAnsi="Times New Roman"/>
          <w:position w:val="0"/>
          <w:sz w:val="24"/>
          <w:sz w:val="24"/>
          <w:vertAlign w:val="baseline"/>
        </w:rPr>
        <w:t xml:space="preserve"> = </w:t>
      </w:r>
      <w:r>
        <w:rPr>
          <w:rFonts w:eastAsia="NSimSun" w:cs="Lucida Sans" w:ascii="Times New Roman" w:hAnsi="Times New Roman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B</w:t>
      </w:r>
      <w:r>
        <w:rPr>
          <w:rFonts w:eastAsia="NSimSun" w:cs="Lucida Sans" w:ascii="Times New Roman" w:hAnsi="Times New Roman"/>
          <w:vertAlign w:val="subscript"/>
        </w:rPr>
        <w:t>a</w:t>
      </w:r>
      <w:r>
        <w:rPr>
          <w:rFonts w:eastAsia="NSimSun" w:cs="Lucida Sans" w:ascii="Times New Roman" w:hAnsi="Times New Roman"/>
          <w:position w:val="0"/>
          <w:sz w:val="24"/>
          <w:sz w:val="24"/>
          <w:vertAlign w:val="baseline"/>
        </w:rPr>
        <w:t xml:space="preserve"> analogously to above, eqs. (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16</w:t>
      </w:r>
      <w:r>
        <w:rPr>
          <w:rFonts w:eastAsia="NSimSun" w:cs="Lucida Sans" w:ascii="Times New Roman" w:hAnsi="Times New Roman"/>
          <w:position w:val="0"/>
          <w:sz w:val="24"/>
          <w:sz w:val="24"/>
          <w:vertAlign w:val="baseline"/>
        </w:rPr>
        <w:t>) and (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4</w:t>
      </w:r>
      <w:r>
        <w:rPr>
          <w:rFonts w:eastAsia="NSimSun" w:cs="Lucida Sans" w:ascii="Times New Roman" w:hAnsi="Times New Roman"/>
          <w:position w:val="0"/>
          <w:sz w:val="24"/>
          <w:sz w:val="24"/>
          <w:vertAlign w:val="baseline"/>
        </w:rPr>
        <w:t>) yield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/>
        <w:jc w:val="left"/>
        <w:rPr/>
      </w:pPr>
      <w:r>
        <w:rPr/>
        <w:object w:dxaOrig="4720" w:dyaOrig="2360">
          <v:shape id="ole_rId16" style="width:236pt;height:118pt" o:ole="">
            <v:imagedata r:id="rId17" o:title=""/>
          </v:shape>
          <o:OLEObject Type="Embed" ProgID="" ShapeID="ole_rId16" DrawAspect="Content" ObjectID="_428683327" r:id="rId16"/>
        </w:object>
      </w:r>
      <w:r>
        <w:rPr>
          <w:rFonts w:eastAsia="NSimSun" w:cs="Lucida Sans" w:ascii="Times New Roman" w:hAnsi="Times New Roman"/>
          <w:position w:val="0"/>
          <w:sz w:val="24"/>
          <w:sz w:val="24"/>
          <w:vertAlign w:val="baseline"/>
        </w:rPr>
        <w:tab/>
        <w:tab/>
        <w:tab/>
        <w:tab/>
        <w:tab/>
        <w:t>(A8)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/>
        <w:jc w:val="left"/>
        <w:rPr/>
      </w:pPr>
      <w:r>
        <w:rPr>
          <w:rFonts w:eastAsia="NSimSun" w:cs="Lucida Sans" w:ascii="Times New Roman" w:hAnsi="Times New Roman"/>
          <w:position w:val="0"/>
          <w:sz w:val="24"/>
          <w:sz w:val="24"/>
          <w:vertAlign w:val="baseline"/>
        </w:rPr>
        <w:t>and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/>
        <w:jc w:val="left"/>
        <w:rPr/>
      </w:pPr>
      <w:r>
        <w:rPr/>
        <w:object w:dxaOrig="5539" w:dyaOrig="2160">
          <v:shape id="ole_rId18" style="width:276.95pt;height:108pt" o:ole="">
            <v:imagedata r:id="rId19" o:title=""/>
          </v:shape>
          <o:OLEObject Type="Embed" ProgID="" ShapeID="ole_rId18" DrawAspect="Content" ObjectID="_526022721" r:id="rId18"/>
        </w:object>
      </w:r>
      <w:r>
        <w:rPr>
          <w:rFonts w:eastAsia="NSimSun" w:cs="Lucida Sans" w:ascii="Times New Roman" w:hAnsi="Times New Roman"/>
          <w:position w:val="0"/>
          <w:sz w:val="24"/>
          <w:sz w:val="24"/>
          <w:vertAlign w:val="baseline"/>
        </w:rPr>
        <w:t>.</w:t>
        <w:tab/>
        <w:tab/>
        <w:tab/>
        <w:tab/>
        <w:t>(A9)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eastAsia="NSimSun" w:cs="Lucida Sans"/>
          <w:position w:val="0"/>
          <w:sz w:val="24"/>
          <w:sz w:val="24"/>
          <w:vertAlign w:val="baseline"/>
        </w:rPr>
      </w:pPr>
      <w:r>
        <w:rPr>
          <w:rFonts w:eastAsia="NSimSun" w:cs="Lucida Sans"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/>
      </w:pPr>
      <w:r>
        <w:rPr>
          <w:rFonts w:ascii="Times New Roman" w:hAnsi="Times New Roman"/>
        </w:rPr>
        <w:t xml:space="preserve">Similar to above, the trivial first and third cases of eqs. (A1) and (A9) yield </w:t>
      </w:r>
      <w:r>
        <w:rPr>
          <w:rFonts w:ascii="Times New Roman" w:hAnsi="Times New Roman"/>
          <w:i/>
          <w:iCs/>
        </w:rPr>
        <w:t>x</w:t>
      </w:r>
      <w:r>
        <w:rPr>
          <w:rFonts w:ascii="Times New Roman" w:hAnsi="Times New Roman"/>
          <w:vertAlign w:val="subscript"/>
        </w:rPr>
        <w:t>a</w:t>
      </w:r>
      <w:r>
        <w:rPr>
          <w:rFonts w:ascii="Times New Roman" w:hAnsi="Times New Roman"/>
          <w:vertAlign w:val="superscript"/>
        </w:rPr>
        <w:t>(max)</w:t>
      </w:r>
      <w:r>
        <w:rPr>
          <w:rFonts w:ascii="Times New Roman" w:hAnsi="Times New Roman"/>
        </w:rPr>
        <w:t xml:space="preserve"> = </w:t>
      </w:r>
      <w:r>
        <w:rPr>
          <w:rFonts w:ascii="Times New Roman" w:hAnsi="Times New Roman"/>
          <w:i/>
          <w:iCs/>
        </w:rPr>
        <w:t>x</w:t>
      </w:r>
      <w:r>
        <w:rPr>
          <w:rFonts w:ascii="Times New Roman" w:hAnsi="Times New Roman"/>
          <w:vertAlign w:val="subscript"/>
        </w:rPr>
        <w:t>r</w:t>
      </w:r>
      <w:r>
        <w:rPr>
          <w:rFonts w:ascii="Times New Roman" w:hAnsi="Times New Roman"/>
          <w:vertAlign w:val="superscript"/>
        </w:rPr>
        <w:t>(max)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. 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T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he second case requires 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comparing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 w:eastAsia="NSimSun" w:cs="Lucida Sans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</w:pP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</w:r>
    </w:p>
    <w:p>
      <w:pPr>
        <w:pStyle w:val="Normal"/>
        <w:bidi w:val="0"/>
        <w:spacing w:lineRule="auto" w:line="360"/>
        <w:jc w:val="left"/>
        <w:rPr/>
      </w:pPr>
      <w:r>
        <w:rPr/>
        <w:object w:dxaOrig="3739" w:dyaOrig="2079">
          <v:shape id="ole_rId20" style="width:186.95pt;height:103.95pt" o:ole="">
            <v:imagedata r:id="rId21" o:title=""/>
          </v:shape>
          <o:OLEObject Type="Embed" ProgID="" ShapeID="ole_rId20" DrawAspect="Content" ObjectID="_97204665" r:id="rId20"/>
        </w:object>
      </w:r>
      <w:r>
        <w:rPr/>
        <w:t>,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ab/>
        <w:tab/>
        <w:tab/>
        <w:tab/>
        <w:tab/>
        <w:tab/>
        <w:t>(A10)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/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where the left hand side of eq. (A10) represents </w:t>
      </w:r>
      <w:r>
        <w:rPr>
          <w:rFonts w:ascii="Times New Roman" w:hAnsi="Times New Roman"/>
          <w:i/>
          <w:iCs/>
          <w:position w:val="0"/>
          <w:sz w:val="24"/>
          <w:sz w:val="24"/>
          <w:vertAlign w:val="baseline"/>
        </w:rPr>
        <w:t>x</w:t>
      </w:r>
      <w:r>
        <w:rPr>
          <w:rFonts w:ascii="Times New Roman" w:hAnsi="Times New Roman"/>
          <w:vertAlign w:val="subscript"/>
        </w:rPr>
        <w:t>a</w:t>
      </w:r>
      <w:r>
        <w:rPr>
          <w:rFonts w:ascii="Times New Roman" w:hAnsi="Times New Roman"/>
          <w:vertAlign w:val="superscript"/>
        </w:rPr>
        <w:t>(max)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 and the right hand side represents </w:t>
      </w:r>
      <w:r>
        <w:rPr>
          <w:rFonts w:ascii="Times New Roman" w:hAnsi="Times New Roman"/>
          <w:i/>
          <w:iCs/>
          <w:position w:val="0"/>
          <w:sz w:val="24"/>
          <w:sz w:val="24"/>
          <w:vertAlign w:val="baseline"/>
        </w:rPr>
        <w:t>x</w:t>
      </w:r>
      <w:r>
        <w:rPr>
          <w:rFonts w:ascii="Times New Roman" w:hAnsi="Times New Roman"/>
          <w:vertAlign w:val="subscript"/>
        </w:rPr>
        <w:t>r</w:t>
      </w:r>
      <w:r>
        <w:rPr>
          <w:rFonts w:ascii="Times New Roman" w:hAnsi="Times New Roman"/>
          <w:vertAlign w:val="superscript"/>
        </w:rPr>
        <w:t>(max)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. If and only if the left hand side of eq. (10) is smaller (larger) than the right hand side, </w:t>
      </w:r>
      <w:r>
        <w:rPr>
          <w:rFonts w:ascii="Times New Roman" w:hAnsi="Times New Roman"/>
          <w:i/>
          <w:iCs/>
          <w:position w:val="0"/>
          <w:sz w:val="24"/>
          <w:sz w:val="24"/>
          <w:vertAlign w:val="baseline"/>
        </w:rPr>
        <w:t>x</w:t>
      </w:r>
      <w:r>
        <w:rPr>
          <w:rFonts w:ascii="Times New Roman" w:hAnsi="Times New Roman"/>
          <w:vertAlign w:val="subscript"/>
        </w:rPr>
        <w:t>a</w:t>
      </w:r>
      <w:r>
        <w:rPr>
          <w:rFonts w:ascii="Times New Roman" w:hAnsi="Times New Roman"/>
          <w:vertAlign w:val="superscript"/>
        </w:rPr>
        <w:t>(max)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 is smaller (larger) than </w:t>
      </w:r>
      <w:r>
        <w:rPr>
          <w:rFonts w:ascii="Times New Roman" w:hAnsi="Times New Roman"/>
          <w:i/>
          <w:iCs/>
          <w:position w:val="0"/>
          <w:sz w:val="24"/>
          <w:sz w:val="24"/>
          <w:vertAlign w:val="baseline"/>
        </w:rPr>
        <w:t>x</w:t>
      </w:r>
      <w:r>
        <w:rPr>
          <w:rFonts w:ascii="Times New Roman" w:hAnsi="Times New Roman"/>
          <w:vertAlign w:val="subscript"/>
        </w:rPr>
        <w:t>r</w:t>
      </w:r>
      <w:r>
        <w:rPr>
          <w:rFonts w:ascii="Times New Roman" w:hAnsi="Times New Roman"/>
          <w:vertAlign w:val="superscript"/>
        </w:rPr>
        <w:t>(max)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>. Insertion of eq. (A2) into eq. (A10) and some slight rearrangement yields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/>
      </w:pPr>
      <w:r>
        <w:rPr/>
        <w:object w:dxaOrig="1820" w:dyaOrig="660">
          <v:shape id="ole_rId22" style="width:91pt;height:33pt" o:ole="">
            <v:imagedata r:id="rId23" o:title=""/>
          </v:shape>
          <o:OLEObject Type="Embed" ProgID="" ShapeID="ole_rId22" DrawAspect="Content" ObjectID="_62736247" r:id="rId22"/>
        </w:object>
      </w:r>
      <w:r>
        <w:rPr/>
        <w:t>.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ab/>
        <w:tab/>
        <w:tab/>
        <w:tab/>
        <w:tab/>
        <w:tab/>
        <w:tab/>
        <w:tab/>
        <w:tab/>
        <w:t>(A11)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/>
        <w:jc w:val="left"/>
        <w:rPr/>
      </w:pPr>
      <w:r>
        <w:rPr>
          <w:rFonts w:ascii="Times New Roman" w:hAnsi="Times New Roman"/>
        </w:rPr>
        <w:t xml:space="preserve">For </w:t>
      </w:r>
      <w:r>
        <w:rPr>
          <w:rFonts w:ascii="Symbol" w:hAnsi="Symbol"/>
          <w:i/>
          <w:iCs/>
        </w:rPr>
        <w:t>a</w:t>
      </w:r>
      <w:r>
        <w:rPr>
          <w:rFonts w:ascii="Times New Roman" w:hAnsi="Times New Roman"/>
        </w:rPr>
        <w:t xml:space="preserve"> &gt; 0 the left hand side of eq. (A11) is smaller than the right hand side, so </w:t>
      </w:r>
      <w:r>
        <w:rPr>
          <w:rFonts w:ascii="Times New Roman" w:hAnsi="Times New Roman"/>
          <w:i/>
          <w:iCs/>
          <w:position w:val="0"/>
          <w:sz w:val="24"/>
          <w:sz w:val="24"/>
          <w:vertAlign w:val="baseline"/>
        </w:rPr>
        <w:t>x</w:t>
      </w:r>
      <w:r>
        <w:rPr>
          <w:rFonts w:ascii="Times New Roman" w:hAnsi="Times New Roman"/>
          <w:vertAlign w:val="subscript"/>
        </w:rPr>
        <w:t>a</w:t>
      </w:r>
      <w:r>
        <w:rPr>
          <w:rFonts w:ascii="Times New Roman" w:hAnsi="Times New Roman"/>
          <w:vertAlign w:val="superscript"/>
        </w:rPr>
        <w:t>(max)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 &lt; </w:t>
      </w:r>
      <w:r>
        <w:rPr>
          <w:rFonts w:ascii="Times New Roman" w:hAnsi="Times New Roman"/>
          <w:i/>
          <w:iCs/>
          <w:position w:val="0"/>
          <w:sz w:val="24"/>
          <w:sz w:val="24"/>
          <w:vertAlign w:val="baseline"/>
        </w:rPr>
        <w:t>x</w:t>
      </w:r>
      <w:r>
        <w:rPr>
          <w:rFonts w:ascii="Times New Roman" w:hAnsi="Times New Roman"/>
          <w:vertAlign w:val="subscript"/>
        </w:rPr>
        <w:t>r</w:t>
      </w:r>
      <w:r>
        <w:rPr>
          <w:rFonts w:ascii="Times New Roman" w:hAnsi="Times New Roman"/>
          <w:vertAlign w:val="superscript"/>
        </w:rPr>
        <w:t>(max)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 and the action-based payment is less budget-efficient than the result-based payment. In contrast, for </w:t>
      </w:r>
      <w:r>
        <w:rPr>
          <w:rFonts w:ascii="Symbol" w:hAnsi="Symbol"/>
          <w:i/>
          <w:iCs/>
          <w:position w:val="0"/>
          <w:sz w:val="24"/>
          <w:sz w:val="24"/>
          <w:vertAlign w:val="baseline"/>
        </w:rPr>
        <w:t>a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 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&lt;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 0 the left hand side of eq. (A11) is 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larger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 than the right hand side, so </w:t>
      </w:r>
      <w:r>
        <w:rPr>
          <w:rFonts w:ascii="Times New Roman" w:hAnsi="Times New Roman"/>
          <w:i/>
          <w:iCs/>
          <w:position w:val="0"/>
          <w:sz w:val="24"/>
          <w:sz w:val="24"/>
          <w:vertAlign w:val="baseline"/>
        </w:rPr>
        <w:t>x</w:t>
      </w:r>
      <w:r>
        <w:rPr>
          <w:rFonts w:ascii="Times New Roman" w:hAnsi="Times New Roman"/>
          <w:vertAlign w:val="subscript"/>
        </w:rPr>
        <w:t>a</w:t>
      </w:r>
      <w:r>
        <w:rPr>
          <w:rFonts w:ascii="Times New Roman" w:hAnsi="Times New Roman"/>
          <w:vertAlign w:val="superscript"/>
        </w:rPr>
        <w:t>(max)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 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&gt;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 </w:t>
      </w:r>
      <w:r>
        <w:rPr>
          <w:rFonts w:ascii="Times New Roman" w:hAnsi="Times New Roman"/>
          <w:i/>
          <w:iCs/>
          <w:position w:val="0"/>
          <w:sz w:val="24"/>
          <w:sz w:val="24"/>
          <w:vertAlign w:val="baseline"/>
        </w:rPr>
        <w:t>x</w:t>
      </w:r>
      <w:r>
        <w:rPr>
          <w:rFonts w:ascii="Times New Roman" w:hAnsi="Times New Roman"/>
          <w:vertAlign w:val="subscript"/>
        </w:rPr>
        <w:t>r</w:t>
      </w:r>
      <w:r>
        <w:rPr>
          <w:rFonts w:ascii="Times New Roman" w:hAnsi="Times New Roman"/>
          <w:vertAlign w:val="superscript"/>
        </w:rPr>
        <w:t>(max)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 and the action-based payment is 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more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 budget-efficient than the result-based payment.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  <w:r>
        <w:br w:type="page"/>
      </w:r>
    </w:p>
    <w:p>
      <w:pPr>
        <w:pStyle w:val="Normal"/>
        <w:bidi w:val="0"/>
        <w:spacing w:lineRule="auto" w:line="360"/>
        <w:jc w:val="left"/>
        <w:rPr/>
      </w:pPr>
      <w:r>
        <w:rPr>
          <w:rFonts w:ascii="Times New Roman" w:hAnsi="Times New Roman"/>
          <w:b/>
          <w:bCs/>
          <w:position w:val="0"/>
          <w:sz w:val="24"/>
          <w:sz w:val="24"/>
          <w:vertAlign w:val="baseline"/>
        </w:rPr>
        <w:t>Appendix B: Additional result figures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63500</wp:posOffset>
            </wp:positionH>
            <wp:positionV relativeFrom="paragraph">
              <wp:posOffset>157480</wp:posOffset>
            </wp:positionV>
            <wp:extent cx="6120130" cy="5153660"/>
            <wp:effectExtent l="0" t="0" r="0" b="0"/>
            <wp:wrapSquare wrapText="largest"/>
            <wp:docPr id="1" name="Bild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9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153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spacing w:lineRule="auto" w:line="360"/>
        <w:jc w:val="left"/>
        <w:rPr/>
      </w:pP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Figure B1: Cost-effectiveness (CE) and budget-efficiency (BE) gains (</w:t>
      </w:r>
      <w:r>
        <w:rPr>
          <w:rFonts w:eastAsia="NSimSun" w:cs="Lucida Sans" w:ascii="Times New Roman" w:hAnsi="Times New Roman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G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, by colour) as functions of the marginal cost </w:t>
      </w:r>
      <w:r>
        <w:rPr>
          <w:rFonts w:eastAsia="NSimSun" w:cs="Lucida Sans" w:ascii="Times New Roman" w:hAnsi="Times New Roman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a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(in log scale) and the marginal benefit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a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. Result-based payments may be paid for observed results or for modelled results. The vertical axis in each panel is defined as follows. Negative values represent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a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&lt; 0; while positive values represent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a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/</w:t>
      </w:r>
      <w:r>
        <w:rPr>
          <w:rFonts w:eastAsia="NSimSun" w:cs="Lucida Sans" w:ascii="Times New Roman" w:hAnsi="Times New Roman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a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, i.e. show </w:t>
      </w:r>
      <w:r>
        <w:rPr>
          <w:rFonts w:eastAsia="NSimSun" w:cs="Lucida Sans" w:ascii="Times New Roman" w:hAnsi="Times New Roman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a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in units of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a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. Ecological uncertainty is absent: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s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0. The four rows of panels represent scenarios S2–S5, i.e. correlated ecological uncertainty with magnitude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s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1.2, and different farmers’ and regulator’s risk attitudes: first row: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r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l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0; second row: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r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0.5,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l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0; third row: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r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0,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l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1; fourth row: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r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0.5,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l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1.  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/>
      </w:pPr>
      <w:r>
        <w:rPr/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-86995</wp:posOffset>
            </wp:positionH>
            <wp:positionV relativeFrom="paragraph">
              <wp:posOffset>145415</wp:posOffset>
            </wp:positionV>
            <wp:extent cx="6120130" cy="5139055"/>
            <wp:effectExtent l="0" t="0" r="0" b="0"/>
            <wp:wrapSquare wrapText="largest"/>
            <wp:docPr id="2" name="Bild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8" descr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139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spacing w:lineRule="auto" w:line="360"/>
        <w:jc w:val="left"/>
        <w:rPr/>
      </w:pP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Figure B2: Cost-effectiveness (CE) and budget-efficiency (BE) gains (</w:t>
      </w:r>
      <w:r>
        <w:rPr>
          <w:rFonts w:eastAsia="NSimSun" w:cs="Lucida Sans" w:ascii="Times New Roman" w:hAnsi="Times New Roman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G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, by colour) as functions of the marginal cost </w:t>
      </w:r>
      <w:r>
        <w:rPr>
          <w:rFonts w:eastAsia="NSimSun" w:cs="Lucida Sans" w:ascii="Times New Roman" w:hAnsi="Times New Roman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a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(in log scale) and the marginal benefit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a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. Result-based payments may be paid for observed results or for modelled results. The vertical axis in each panel is defined as follows. Negative values represent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a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&lt; 0; while positive values represent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a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/</w:t>
      </w:r>
      <w:r>
        <w:rPr>
          <w:rFonts w:eastAsia="NSimSun" w:cs="Lucida Sans" w:ascii="Times New Roman" w:hAnsi="Times New Roman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a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, i.e. show </w:t>
      </w:r>
      <w:r>
        <w:rPr>
          <w:rFonts w:eastAsia="NSimSun" w:cs="Lucida Sans" w:ascii="Times New Roman" w:hAnsi="Times New Roman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a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in units of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a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. Ecological uncertainty is absent: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s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0. The four rows of panels represent scenarios S6–S9, i.e. uncorrelated ecological uncertainty with magnitude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s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1.2, and different farmers’ and regulator’s risk attitudes: first row: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r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l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0; second row: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r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0.5,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l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0; third row: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r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0,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l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1; fourth row: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r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0.5,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l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1.  </w:t>
      </w:r>
      <w:r>
        <w:br w:type="page"/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285105" cy="5681980"/>
            <wp:effectExtent l="0" t="0" r="0" b="0"/>
            <wp:wrapSquare wrapText="largest"/>
            <wp:docPr id="3" name="Bild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6" descr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105" cy="568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/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Figure B3: 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Cost-effectiveness (CE) and budget-efficiency (BE) gains </w:t>
      </w:r>
      <w:r>
        <w:rPr>
          <w:rFonts w:eastAsia="NSimSun" w:cs="Lucida Sans" w:ascii="Times New Roman" w:hAnsi="Times New Roman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G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, by colour, as functions of the farmers’ risk attitude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r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and the regulator’s risk attitude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l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. Result-based payments may be paid for observed results or for modelled results. The marginal cost equals </w:t>
      </w:r>
      <w:r>
        <w:rPr>
          <w:rFonts w:eastAsia="NSimSun" w:cs="Lucida Sans" w:ascii="Times New Roman" w:hAnsi="Times New Roman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a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2. Ecological uncertainty is correlated and has a magnitude of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s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1.2.</w:t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  <w:r>
        <w:br w:type="page"/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349875" cy="5748655"/>
            <wp:effectExtent l="0" t="0" r="0" b="0"/>
            <wp:wrapSquare wrapText="largest"/>
            <wp:docPr id="4" name="Bild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7" descr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875" cy="574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</w:r>
    </w:p>
    <w:p>
      <w:pPr>
        <w:pStyle w:val="Normal"/>
        <w:bidi w:val="0"/>
        <w:spacing w:lineRule="auto" w:line="360"/>
        <w:jc w:val="left"/>
        <w:rPr/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t>Figure B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4</w:t>
      </w:r>
      <w:r>
        <w:rPr>
          <w:rFonts w:ascii="Times New Roman" w:hAnsi="Times New Roman"/>
          <w:position w:val="0"/>
          <w:sz w:val="24"/>
          <w:sz w:val="24"/>
          <w:vertAlign w:val="baseline"/>
        </w:rPr>
        <w:t xml:space="preserve">: 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Cost-effectiveness (CE) and budget-efficiency (BE) gains </w:t>
      </w:r>
      <w:r>
        <w:rPr>
          <w:rFonts w:eastAsia="NSimSun" w:cs="Lucida Sans" w:ascii="Times New Roman" w:hAnsi="Times New Roman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G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, by colour, as functions of the farmers’ risk attitude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r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and the regulator’s risk attitude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l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. Result-based payments may be paid for observed results or for modelled results. The marginal cost equals </w:t>
      </w:r>
      <w:r>
        <w:rPr>
          <w:rFonts w:eastAsia="NSimSun" w:cs="Lucida Sans" w:ascii="Times New Roman" w:hAnsi="Times New Roman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a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2. Ecological uncertainty is uncorrelated and has a magnitude of </w:t>
      </w:r>
      <w:r>
        <w:rPr>
          <w:rFonts w:eastAsia="NSimSun" w:cs="Lucida Sans" w:ascii="Symbol" w:hAnsi="Symbol"/>
          <w:i/>
          <w:iCs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>s</w:t>
      </w:r>
      <w:r>
        <w:rPr>
          <w:rFonts w:eastAsia="NSimSun" w:cs="Lucida Sans" w:ascii="Times New Roman" w:hAnsi="Times New Roman"/>
          <w:color w:val="auto"/>
          <w:kern w:val="2"/>
          <w:position w:val="0"/>
          <w:sz w:val="24"/>
          <w:sz w:val="24"/>
          <w:szCs w:val="24"/>
          <w:vertAlign w:val="baseline"/>
          <w:lang w:val="en-GB" w:eastAsia="zh-CN" w:bidi="hi-IN"/>
        </w:rPr>
        <w:t xml:space="preserve"> = 1.2.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ymbo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0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GB" w:eastAsia="zh-CN" w:bidi="hi-IN"/>
    </w:rPr>
  </w:style>
  <w:style w:type="character" w:styleId="Aufzhlungszeichen">
    <w:name w:val="Aufzählungszeichen"/>
    <w:qFormat/>
    <w:rPr>
      <w:rFonts w:ascii="OpenSymbol" w:hAnsi="OpenSymbol" w:eastAsia="OpenSymbol" w:cs="OpenSymbol"/>
    </w:rPr>
  </w:style>
  <w:style w:type="character" w:styleId="Zeilennummerierung">
    <w:name w:val="Zeilennummerierung"/>
    <w:rPr/>
  </w:style>
  <w:style w:type="paragraph" w:styleId="Berschrift">
    <w:name w:val="Überschrift"/>
    <w:basedOn w:val="Normal"/>
    <w:next w:val="Textkrper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krper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Textkrper"/>
    <w:pPr/>
    <w:rPr>
      <w:rFonts w:cs="Lucida Sans"/>
    </w:rPr>
  </w:style>
  <w:style w:type="paragraph" w:styleId="Beschriftung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  <w:style w:type="paragraph" w:styleId="KopfundFuzeile">
    <w:name w:val="Kopf- und Fußzeile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uzeile">
    <w:name w:val="Footer"/>
    <w:basedOn w:val="KopfundFuzeile"/>
    <w:pPr>
      <w:suppressLineNumbers/>
    </w:pPr>
    <w:rPr/>
  </w:style>
  <w:style w:type="paragraph" w:styleId="Kopfzeile">
    <w:name w:val="Header"/>
    <w:basedOn w:val="KopfundFuzeile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wmf"/><Relationship Id="rId4" Type="http://schemas.openxmlformats.org/officeDocument/2006/relationships/oleObject" Target="embeddings/oleObject2.bin"/><Relationship Id="rId5" Type="http://schemas.openxmlformats.org/officeDocument/2006/relationships/image" Target="media/image2.wmf"/><Relationship Id="rId6" Type="http://schemas.openxmlformats.org/officeDocument/2006/relationships/oleObject" Target="embeddings/oleObject3.bin"/><Relationship Id="rId7" Type="http://schemas.openxmlformats.org/officeDocument/2006/relationships/image" Target="media/image3.wmf"/><Relationship Id="rId8" Type="http://schemas.openxmlformats.org/officeDocument/2006/relationships/oleObject" Target="embeddings/oleObject4.bin"/><Relationship Id="rId9" Type="http://schemas.openxmlformats.org/officeDocument/2006/relationships/image" Target="media/image4.wmf"/><Relationship Id="rId10" Type="http://schemas.openxmlformats.org/officeDocument/2006/relationships/oleObject" Target="embeddings/oleObject5.bin"/><Relationship Id="rId11" Type="http://schemas.openxmlformats.org/officeDocument/2006/relationships/image" Target="media/image5.wmf"/><Relationship Id="rId12" Type="http://schemas.openxmlformats.org/officeDocument/2006/relationships/oleObject" Target="embeddings/oleObject6.bin"/><Relationship Id="rId13" Type="http://schemas.openxmlformats.org/officeDocument/2006/relationships/image" Target="media/image6.wmf"/><Relationship Id="rId14" Type="http://schemas.openxmlformats.org/officeDocument/2006/relationships/oleObject" Target="embeddings/oleObject7.bin"/><Relationship Id="rId15" Type="http://schemas.openxmlformats.org/officeDocument/2006/relationships/image" Target="media/image7.wmf"/><Relationship Id="rId16" Type="http://schemas.openxmlformats.org/officeDocument/2006/relationships/oleObject" Target="embeddings/oleObject8.bin"/><Relationship Id="rId17" Type="http://schemas.openxmlformats.org/officeDocument/2006/relationships/image" Target="media/image8.wmf"/><Relationship Id="rId18" Type="http://schemas.openxmlformats.org/officeDocument/2006/relationships/oleObject" Target="embeddings/oleObject9.bin"/><Relationship Id="rId19" Type="http://schemas.openxmlformats.org/officeDocument/2006/relationships/image" Target="media/image9.wmf"/><Relationship Id="rId20" Type="http://schemas.openxmlformats.org/officeDocument/2006/relationships/oleObject" Target="embeddings/oleObject10.bin"/><Relationship Id="rId21" Type="http://schemas.openxmlformats.org/officeDocument/2006/relationships/image" Target="media/image10.wmf"/><Relationship Id="rId22" Type="http://schemas.openxmlformats.org/officeDocument/2006/relationships/oleObject" Target="embeddings/oleObject11.bin"/><Relationship Id="rId23" Type="http://schemas.openxmlformats.org/officeDocument/2006/relationships/image" Target="media/image11.wmf"/><Relationship Id="rId24" Type="http://schemas.openxmlformats.org/officeDocument/2006/relationships/image" Target="media/image12.jpeg"/><Relationship Id="rId25" Type="http://schemas.openxmlformats.org/officeDocument/2006/relationships/image" Target="media/image13.jpeg"/><Relationship Id="rId26" Type="http://schemas.openxmlformats.org/officeDocument/2006/relationships/image" Target="media/image14.jpeg"/><Relationship Id="rId27" Type="http://schemas.openxmlformats.org/officeDocument/2006/relationships/image" Target="media/image15.jpeg"/><Relationship Id="rId28" Type="http://schemas.openxmlformats.org/officeDocument/2006/relationships/fontTable" Target="fontTable.xml"/><Relationship Id="rId2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1206</TotalTime>
  <Application>LibreOffice/6.4.5.2$Windows_X86_64 LibreOffice_project/a726b36747cf2001e06b58ad5db1aa3a9a1872d6</Application>
  <Pages>8</Pages>
  <Words>712</Words>
  <Characters>3384</Characters>
  <CharactersWithSpaces>4134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2024-06-21T08:34:13Z</dcterms:created>
  <dc:creator/>
  <dc:description/>
  <dc:language>en-GB</dc:language>
  <cp:lastModifiedBy/>
  <dcterms:modified xsi:type="dcterms:W3CDTF">2025-06-16T18:48:01Z</dcterms:modified>
  <cp:revision>175</cp:revision>
  <dc:subject/>
  <dc:title/>
</cp:coreProperties>
</file>