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84F9" w14:textId="4AD33F94" w:rsidR="00310CAC" w:rsidRPr="00F67850" w:rsidRDefault="6F39CCAA" w:rsidP="120913F3">
      <w:pPr>
        <w:spacing w:after="120" w:line="360" w:lineRule="auto"/>
        <w:rPr>
          <w:rFonts w:asciiTheme="minorHAnsi" w:eastAsiaTheme="minorEastAsia" w:hAnsiTheme="minorHAnsi" w:cstheme="minorHAnsi"/>
          <w:b/>
          <w:bCs/>
          <w:color w:val="auto"/>
        </w:rPr>
      </w:pPr>
      <w:r w:rsidRPr="00F67850">
        <w:rPr>
          <w:rFonts w:asciiTheme="minorHAnsi" w:eastAsiaTheme="minorEastAsia" w:hAnsiTheme="minorHAnsi" w:cstheme="minorHAnsi"/>
          <w:b/>
          <w:bCs/>
          <w:color w:val="auto"/>
          <w:sz w:val="32"/>
          <w:szCs w:val="32"/>
        </w:rPr>
        <w:t xml:space="preserve">Visual Arts Self-Efficacy – Impacts and Supports for Early Childhood Teachers. </w:t>
      </w:r>
    </w:p>
    <w:p w14:paraId="6063F498" w14:textId="77777777" w:rsidR="00187545" w:rsidRPr="00F67850" w:rsidRDefault="3757E81D" w:rsidP="120913F3">
      <w:pPr>
        <w:pStyle w:val="Heading2"/>
        <w:spacing w:after="120" w:line="360" w:lineRule="auto"/>
        <w:jc w:val="left"/>
        <w:rPr>
          <w:rFonts w:asciiTheme="minorHAnsi" w:eastAsiaTheme="minorEastAsia" w:hAnsiTheme="minorHAnsi" w:cstheme="minorHAnsi"/>
          <w:color w:val="auto"/>
        </w:rPr>
      </w:pPr>
      <w:bookmarkStart w:id="0" w:name="_Abstract"/>
      <w:bookmarkStart w:id="1" w:name="_Toc85893253"/>
      <w:bookmarkStart w:id="2" w:name="_Toc85894085"/>
      <w:bookmarkStart w:id="3" w:name="_Toc85894628"/>
      <w:bookmarkEnd w:id="0"/>
      <w:r w:rsidRPr="00F67850">
        <w:rPr>
          <w:rFonts w:asciiTheme="minorHAnsi" w:eastAsiaTheme="minorEastAsia" w:hAnsiTheme="minorHAnsi" w:cstheme="minorHAnsi"/>
          <w:color w:val="auto"/>
        </w:rPr>
        <w:t>Abstract</w:t>
      </w:r>
      <w:bookmarkEnd w:id="1"/>
      <w:bookmarkEnd w:id="2"/>
      <w:bookmarkEnd w:id="3"/>
    </w:p>
    <w:p w14:paraId="77CA375F" w14:textId="41782DCC" w:rsidR="004236A8" w:rsidRPr="00F67850" w:rsidRDefault="2BB33DB7" w:rsidP="120913F3">
      <w:pPr>
        <w:spacing w:after="120" w:line="360" w:lineRule="auto"/>
        <w:rPr>
          <w:rFonts w:asciiTheme="minorHAnsi" w:eastAsiaTheme="minorEastAsia" w:hAnsiTheme="minorHAnsi" w:cstheme="minorHAnsi"/>
        </w:rPr>
      </w:pPr>
      <w:r w:rsidRPr="00F67850">
        <w:rPr>
          <w:rFonts w:asciiTheme="minorHAnsi" w:eastAsiaTheme="minorEastAsia" w:hAnsiTheme="minorHAnsi" w:cstheme="minorHAnsi"/>
          <w:color w:val="333333"/>
        </w:rPr>
        <w:t xml:space="preserve">Although visual arts pedagogies are considered central within early childhood education programs, teacher self-efficacy has a direct impact on the quality and delivery of visual arts curricula. </w:t>
      </w:r>
      <w:r w:rsidRPr="00F67850">
        <w:rPr>
          <w:rFonts w:asciiTheme="minorHAnsi" w:eastAsiaTheme="minorEastAsia" w:hAnsiTheme="minorHAnsi" w:cstheme="minorHAnsi"/>
        </w:rPr>
        <w:t>U</w:t>
      </w:r>
      <w:r w:rsidRPr="00F67850">
        <w:rPr>
          <w:rFonts w:asciiTheme="minorHAnsi" w:eastAsiaTheme="minorEastAsia" w:hAnsiTheme="minorHAnsi" w:cstheme="minorHAnsi"/>
          <w:color w:val="333333"/>
        </w:rPr>
        <w:t>ntil recently, the visual arts self-efficacy</w:t>
      </w:r>
      <w:r w:rsidRPr="00F67850">
        <w:rPr>
          <w:rFonts w:asciiTheme="minorHAnsi" w:eastAsiaTheme="minorEastAsia" w:hAnsiTheme="minorHAnsi" w:cstheme="minorHAnsi"/>
        </w:rPr>
        <w:t xml:space="preserve">, pedagogical knowledge and practice of in-service early childhood teachers have remained largely unexplored. The authors of this paper present a qualitative, iterative re-analysis of their three PhD studies which broadly focussed on early childhood visual arts praxis and specifically examined the visual arts beliefs and pedagogy of early childhood teachers in Australia and New Zealand. A thematic analysis of the intersecting self-efficacy findings raised in the three studies identifies the powerful influence of self-efficacy on teaching practice in the visual arts domain and offers new understandings about visual arts self-efficacy amongst early childhood teachers. </w:t>
      </w:r>
      <w:r w:rsidRPr="00F67850">
        <w:rPr>
          <w:rFonts w:asciiTheme="minorHAnsi" w:eastAsiaTheme="minorEastAsia" w:hAnsiTheme="minorHAnsi" w:cstheme="minorHAnsi"/>
          <w:lang w:val="en-NZ"/>
        </w:rPr>
        <w:t xml:space="preserve">The combined findings reveal several factors that </w:t>
      </w:r>
      <w:r w:rsidRPr="00F67850">
        <w:rPr>
          <w:rStyle w:val="eop"/>
          <w:rFonts w:asciiTheme="minorHAnsi" w:eastAsiaTheme="minorEastAsia" w:hAnsiTheme="minorHAnsi" w:cstheme="minorHAnsi"/>
        </w:rPr>
        <w:t xml:space="preserve">restrain or enhance teachers’ visual arts self-efficacy across time, including the impact of childhood experiences, pre-service </w:t>
      </w:r>
      <w:proofErr w:type="gramStart"/>
      <w:r w:rsidRPr="00F67850">
        <w:rPr>
          <w:rStyle w:val="eop"/>
          <w:rFonts w:asciiTheme="minorHAnsi" w:eastAsiaTheme="minorEastAsia" w:hAnsiTheme="minorHAnsi" w:cstheme="minorHAnsi"/>
        </w:rPr>
        <w:t>training</w:t>
      </w:r>
      <w:proofErr w:type="gramEnd"/>
      <w:r w:rsidRPr="00F67850">
        <w:rPr>
          <w:rStyle w:val="eop"/>
          <w:rFonts w:asciiTheme="minorHAnsi" w:eastAsiaTheme="minorEastAsia" w:hAnsiTheme="minorHAnsi" w:cstheme="minorHAnsi"/>
        </w:rPr>
        <w:t xml:space="preserve"> and epistemological beliefs. The paper also identifies several enabling conditions that appear to support teachers to develop and maintain positive visual arts self-efficacy beliefs, including practical engagement with materials, </w:t>
      </w:r>
      <w:r w:rsidRPr="00F67850">
        <w:rPr>
          <w:rFonts w:asciiTheme="minorHAnsi" w:eastAsiaTheme="minorEastAsia" w:hAnsiTheme="minorHAnsi" w:cstheme="minorHAnsi"/>
        </w:rPr>
        <w:t xml:space="preserve">sustained professional learning, relational </w:t>
      </w:r>
      <w:proofErr w:type="gramStart"/>
      <w:r w:rsidRPr="00F67850">
        <w:rPr>
          <w:rFonts w:asciiTheme="minorHAnsi" w:eastAsiaTheme="minorEastAsia" w:hAnsiTheme="minorHAnsi" w:cstheme="minorHAnsi"/>
        </w:rPr>
        <w:t>trust</w:t>
      </w:r>
      <w:proofErr w:type="gramEnd"/>
      <w:r w:rsidRPr="00F67850">
        <w:rPr>
          <w:rFonts w:asciiTheme="minorHAnsi" w:eastAsiaTheme="minorEastAsia" w:hAnsiTheme="minorHAnsi" w:cstheme="minorHAnsi"/>
        </w:rPr>
        <w:t xml:space="preserve"> and intentional leadership. These enabling conditions offer practical strategies and research recommendations in service of positive visual arts self-efficacy to enhance quality visual arts teaching in early childhood contexts.</w:t>
      </w:r>
    </w:p>
    <w:p w14:paraId="46EB3560" w14:textId="59A1EABF" w:rsidR="004236A8" w:rsidRPr="00F67850" w:rsidRDefault="2BB33DB7" w:rsidP="120913F3">
      <w:pPr>
        <w:spacing w:after="120" w:line="360" w:lineRule="auto"/>
        <w:rPr>
          <w:rFonts w:asciiTheme="minorHAnsi" w:eastAsiaTheme="minorEastAsia" w:hAnsiTheme="minorHAnsi" w:cstheme="minorHAnsi"/>
        </w:rPr>
      </w:pPr>
      <w:r w:rsidRPr="00F67850">
        <w:rPr>
          <w:rFonts w:asciiTheme="minorHAnsi" w:eastAsiaTheme="minorEastAsia" w:hAnsiTheme="minorHAnsi" w:cstheme="minorHAnsi"/>
          <w:b/>
          <w:bCs/>
        </w:rPr>
        <w:t>Keywords:</w:t>
      </w:r>
      <w:r w:rsidRPr="00F67850">
        <w:rPr>
          <w:rFonts w:asciiTheme="minorHAnsi" w:eastAsiaTheme="minorEastAsia" w:hAnsiTheme="minorHAnsi" w:cstheme="minorHAnsi"/>
        </w:rPr>
        <w:t xml:space="preserve"> Self-efficacy, early childhood, visual arts, confidence, pedagogy.</w:t>
      </w:r>
    </w:p>
    <w:p w14:paraId="1A95AF32" w14:textId="7F705223" w:rsidR="00187545" w:rsidRPr="00F67850" w:rsidRDefault="2D7B2531" w:rsidP="120913F3">
      <w:pPr>
        <w:pStyle w:val="Heading3"/>
        <w:spacing w:after="120" w:line="360" w:lineRule="auto"/>
        <w:rPr>
          <w:rFonts w:asciiTheme="minorHAnsi" w:eastAsiaTheme="minorEastAsia" w:hAnsiTheme="minorHAnsi" w:cstheme="minorHAnsi"/>
          <w:i/>
          <w:iCs/>
          <w:color w:val="auto"/>
          <w:sz w:val="28"/>
          <w:szCs w:val="28"/>
        </w:rPr>
      </w:pPr>
      <w:bookmarkStart w:id="4" w:name="_Toc85893256"/>
      <w:bookmarkStart w:id="5" w:name="_Toc85894088"/>
      <w:bookmarkStart w:id="6" w:name="_Toc85894629"/>
      <w:bookmarkStart w:id="7" w:name="Intro"/>
      <w:r w:rsidRPr="00F67850">
        <w:rPr>
          <w:rFonts w:asciiTheme="minorHAnsi" w:eastAsiaTheme="minorEastAsia" w:hAnsiTheme="minorHAnsi" w:cstheme="minorHAnsi"/>
          <w:color w:val="auto"/>
          <w:sz w:val="28"/>
          <w:szCs w:val="28"/>
        </w:rPr>
        <w:t>Introduction</w:t>
      </w:r>
      <w:bookmarkEnd w:id="4"/>
      <w:bookmarkEnd w:id="5"/>
      <w:bookmarkEnd w:id="6"/>
      <w:r w:rsidRPr="00F67850">
        <w:rPr>
          <w:rFonts w:asciiTheme="minorHAnsi" w:eastAsiaTheme="minorEastAsia" w:hAnsiTheme="minorHAnsi" w:cstheme="minorHAnsi"/>
          <w:color w:val="auto"/>
          <w:sz w:val="28"/>
          <w:szCs w:val="28"/>
        </w:rPr>
        <w:t xml:space="preserve"> </w:t>
      </w:r>
    </w:p>
    <w:p w14:paraId="6EFE0BA9" w14:textId="1AEEF48B" w:rsidR="2D68FAB3" w:rsidRPr="00F67850" w:rsidRDefault="2BB33DB7" w:rsidP="120913F3">
      <w:pPr>
        <w:spacing w:after="120" w:line="360" w:lineRule="auto"/>
        <w:rPr>
          <w:rFonts w:asciiTheme="minorHAnsi" w:eastAsiaTheme="minorEastAsia" w:hAnsiTheme="minorHAnsi" w:cstheme="minorHAnsi"/>
          <w:color w:val="auto"/>
        </w:rPr>
      </w:pPr>
      <w:r w:rsidRPr="00F67850">
        <w:rPr>
          <w:rFonts w:asciiTheme="minorHAnsi" w:eastAsiaTheme="minorEastAsia" w:hAnsiTheme="minorHAnsi" w:cstheme="minorHAnsi"/>
          <w:color w:val="333333"/>
        </w:rPr>
        <w:t>Visual arts pedagogies are central within early childhood education programs</w:t>
      </w:r>
      <w:r w:rsidR="0CC5F48D" w:rsidRPr="00F67850">
        <w:rPr>
          <w:rFonts w:asciiTheme="minorHAnsi" w:eastAsiaTheme="minorEastAsia" w:hAnsiTheme="minorHAnsi" w:cstheme="minorHAnsi"/>
          <w:color w:val="auto"/>
        </w:rPr>
        <w:t>, however</w:t>
      </w:r>
      <w:r w:rsidR="120913F3" w:rsidRPr="00F67850">
        <w:rPr>
          <w:rFonts w:asciiTheme="minorHAnsi" w:eastAsiaTheme="minorEastAsia" w:hAnsiTheme="minorHAnsi" w:cstheme="minorHAnsi"/>
          <w:color w:val="auto"/>
        </w:rPr>
        <w:t xml:space="preserve"> </w:t>
      </w:r>
      <w:r w:rsidR="0CC5F48D" w:rsidRPr="00F67850">
        <w:rPr>
          <w:rFonts w:asciiTheme="minorHAnsi" w:eastAsiaTheme="minorEastAsia" w:hAnsiTheme="minorHAnsi" w:cstheme="minorHAnsi"/>
          <w:color w:val="auto"/>
        </w:rPr>
        <w:t>teachers often express low visual arts self-efficacy (</w:t>
      </w:r>
      <w:proofErr w:type="spellStart"/>
      <w:r w:rsidR="0CC5F48D" w:rsidRPr="00F67850">
        <w:rPr>
          <w:rFonts w:asciiTheme="minorHAnsi" w:eastAsiaTheme="minorEastAsia" w:hAnsiTheme="minorHAnsi" w:cstheme="minorHAnsi"/>
          <w:color w:val="auto"/>
        </w:rPr>
        <w:t>Garvis</w:t>
      </w:r>
      <w:proofErr w:type="spellEnd"/>
      <w:r w:rsidR="0CC5F48D" w:rsidRPr="00F67850">
        <w:rPr>
          <w:rFonts w:asciiTheme="minorHAnsi" w:eastAsiaTheme="minorEastAsia" w:hAnsiTheme="minorHAnsi" w:cstheme="minorHAnsi"/>
          <w:color w:val="auto"/>
        </w:rPr>
        <w:t xml:space="preserve">, 2012). </w:t>
      </w:r>
      <w:r w:rsidR="5D61B662" w:rsidRPr="00F67850">
        <w:rPr>
          <w:rFonts w:asciiTheme="minorHAnsi" w:eastAsiaTheme="minorEastAsia" w:hAnsiTheme="minorHAnsi" w:cstheme="minorHAnsi"/>
          <w:color w:val="auto"/>
        </w:rPr>
        <w:t xml:space="preserve"> Consequently, teachers often maintain a belief in non-interventionist approaches to art education, even though such choices contradict their value for constructivist approaches to teaching and learning (Deans &amp; Brown, 2008; </w:t>
      </w:r>
      <w:proofErr w:type="spellStart"/>
      <w:r w:rsidR="5D61B662" w:rsidRPr="00F67850">
        <w:rPr>
          <w:rFonts w:asciiTheme="minorHAnsi" w:eastAsiaTheme="minorEastAsia" w:hAnsiTheme="minorHAnsi" w:cstheme="minorHAnsi"/>
          <w:color w:val="auto"/>
        </w:rPr>
        <w:t>Garvis</w:t>
      </w:r>
      <w:proofErr w:type="spellEnd"/>
      <w:r w:rsidR="5D61B662" w:rsidRPr="00F67850">
        <w:rPr>
          <w:rFonts w:asciiTheme="minorHAnsi" w:eastAsiaTheme="minorEastAsia" w:hAnsiTheme="minorHAnsi" w:cstheme="minorHAnsi"/>
          <w:color w:val="auto"/>
        </w:rPr>
        <w:t xml:space="preserve"> &amp; </w:t>
      </w:r>
      <w:proofErr w:type="spellStart"/>
      <w:r w:rsidR="5D61B662" w:rsidRPr="00F67850">
        <w:rPr>
          <w:rFonts w:asciiTheme="minorHAnsi" w:eastAsiaTheme="minorEastAsia" w:hAnsiTheme="minorHAnsi" w:cstheme="minorHAnsi"/>
          <w:color w:val="auto"/>
        </w:rPr>
        <w:t>Pendergast</w:t>
      </w:r>
      <w:proofErr w:type="spellEnd"/>
      <w:r w:rsidR="5D61B662" w:rsidRPr="00F67850">
        <w:rPr>
          <w:rFonts w:asciiTheme="minorHAnsi" w:eastAsiaTheme="minorEastAsia" w:hAnsiTheme="minorHAnsi" w:cstheme="minorHAnsi"/>
          <w:color w:val="auto"/>
        </w:rPr>
        <w:t>, 201</w:t>
      </w:r>
      <w:r w:rsidR="50D60C46" w:rsidRPr="00F67850">
        <w:rPr>
          <w:rFonts w:asciiTheme="minorHAnsi" w:eastAsiaTheme="minorEastAsia" w:hAnsiTheme="minorHAnsi" w:cstheme="minorHAnsi"/>
          <w:color w:val="auto"/>
        </w:rPr>
        <w:t>1</w:t>
      </w:r>
      <w:r w:rsidR="5D61B662" w:rsidRPr="00F67850">
        <w:rPr>
          <w:rFonts w:asciiTheme="minorHAnsi" w:eastAsiaTheme="minorEastAsia" w:hAnsiTheme="minorHAnsi" w:cstheme="minorHAnsi"/>
          <w:color w:val="auto"/>
        </w:rPr>
        <w:t xml:space="preserve">; McArdle, 2012). </w:t>
      </w:r>
      <w:r w:rsidR="27558EAB" w:rsidRPr="00F67850">
        <w:rPr>
          <w:rFonts w:asciiTheme="minorHAnsi" w:eastAsiaTheme="minorEastAsia" w:hAnsiTheme="minorHAnsi" w:cstheme="minorHAnsi"/>
          <w:color w:val="auto"/>
        </w:rPr>
        <w:t>Given the critical role teachers play in how children experienc</w:t>
      </w:r>
      <w:r w:rsidR="27558EAB" w:rsidRPr="00F67850">
        <w:rPr>
          <w:rFonts w:asciiTheme="minorHAnsi" w:eastAsiaTheme="minorEastAsia" w:hAnsiTheme="minorHAnsi" w:cstheme="minorHAnsi"/>
          <w:color w:val="333333"/>
        </w:rPr>
        <w:t xml:space="preserve">e the visual arts, it is concerning that until recently, </w:t>
      </w:r>
      <w:r w:rsidR="27558EAB" w:rsidRPr="00F67850">
        <w:rPr>
          <w:rFonts w:asciiTheme="minorHAnsi" w:eastAsiaTheme="minorEastAsia" w:hAnsiTheme="minorHAnsi" w:cstheme="minorHAnsi"/>
          <w:color w:val="333333"/>
        </w:rPr>
        <w:lastRenderedPageBreak/>
        <w:t>the visual arts self-efficacy</w:t>
      </w:r>
      <w:r w:rsidR="5339D77A" w:rsidRPr="00F67850">
        <w:rPr>
          <w:rFonts w:asciiTheme="minorHAnsi" w:eastAsiaTheme="minorEastAsia" w:hAnsiTheme="minorHAnsi" w:cstheme="minorHAnsi"/>
          <w:color w:val="auto"/>
        </w:rPr>
        <w:t xml:space="preserve">, pedagogical knowledge and practice of in-service early childhood teachers has remained largely unexplored. While there is research evidence about the impact of teacher self-efficacy on children’s learning (Takahashi, 2011), there is little research about the factors that influence or improve visual arts self-efficacy development. This article aims to address these questions. </w:t>
      </w:r>
    </w:p>
    <w:p w14:paraId="30588639" w14:textId="4393D50D" w:rsidR="2D68FAB3" w:rsidRPr="00F67850" w:rsidRDefault="5339D77A" w:rsidP="120913F3">
      <w:pPr>
        <w:spacing w:after="120" w:line="360" w:lineRule="auto"/>
        <w:rPr>
          <w:rFonts w:asciiTheme="minorHAnsi" w:eastAsiaTheme="minorEastAsia" w:hAnsiTheme="minorHAnsi" w:cstheme="minorHAnsi"/>
          <w:color w:val="70AD47" w:themeColor="accent6"/>
        </w:rPr>
      </w:pPr>
      <w:r w:rsidRPr="00F67850">
        <w:rPr>
          <w:rFonts w:asciiTheme="minorHAnsi" w:eastAsiaTheme="minorEastAsia" w:hAnsiTheme="minorHAnsi" w:cstheme="minorHAnsi"/>
          <w:color w:val="auto"/>
        </w:rPr>
        <w:t>The authors of this paper each conducted research with practicing degree-qualified early childhood teachers in the domain of early childhood visual arts pedagogy</w:t>
      </w:r>
      <w:r w:rsidR="0023311A" w:rsidRPr="00F67850">
        <w:rPr>
          <w:rFonts w:asciiTheme="minorHAnsi" w:eastAsiaTheme="minorEastAsia" w:hAnsiTheme="minorHAnsi" w:cstheme="minorHAnsi"/>
          <w:color w:val="auto"/>
        </w:rPr>
        <w:t xml:space="preserve"> (see: Denee, 2022; Lindsay, 2017; </w:t>
      </w:r>
      <w:proofErr w:type="spellStart"/>
      <w:r w:rsidR="0023311A" w:rsidRPr="00F67850">
        <w:rPr>
          <w:rFonts w:asciiTheme="minorHAnsi" w:eastAsiaTheme="minorEastAsia" w:hAnsiTheme="minorHAnsi" w:cstheme="minorHAnsi"/>
          <w:color w:val="auto"/>
        </w:rPr>
        <w:t>Probine</w:t>
      </w:r>
      <w:proofErr w:type="spellEnd"/>
      <w:r w:rsidR="0023311A" w:rsidRPr="00F67850">
        <w:rPr>
          <w:rFonts w:asciiTheme="minorHAnsi" w:eastAsiaTheme="minorEastAsia" w:hAnsiTheme="minorHAnsi" w:cstheme="minorHAnsi"/>
          <w:color w:val="auto"/>
        </w:rPr>
        <w:t>, 2020)</w:t>
      </w:r>
      <w:r w:rsidRPr="00F67850">
        <w:rPr>
          <w:rFonts w:asciiTheme="minorHAnsi" w:eastAsiaTheme="minorEastAsia" w:hAnsiTheme="minorHAnsi" w:cstheme="minorHAnsi"/>
          <w:color w:val="auto"/>
        </w:rPr>
        <w:t>. The three studies variously examined the visual arts beliefs and pedagogy of early childhood teachers, the impacts of professional learning interventions and teaching practice in exemplary visual arts programs. All three studies identified the powerful influence of self-efficacy on teaching practice in the visual arts domain. This paper will firstly review the literature located at the nexus of visual arts pedagogy and educator self-efficacy beliefs, including discussion about potential influences on teacher self-efficacy beliefs. A summary of the research undertaken by each author will then be presented before comparing our aligned research findings about the key influence of teacher self-efficacy on the visual arts experiences offered to children. In conclusion, we propose strategies to increase teachers’ visual arts self-efficacy to support quality visual arts education in early education contexts.</w:t>
      </w:r>
    </w:p>
    <w:bookmarkEnd w:id="7"/>
    <w:p w14:paraId="02692C70" w14:textId="1D857456" w:rsidR="58CA6D8B" w:rsidRPr="00F67850" w:rsidRDefault="36543A9A" w:rsidP="120913F3">
      <w:pPr>
        <w:pStyle w:val="Heading3"/>
        <w:spacing w:after="120" w:line="360" w:lineRule="auto"/>
        <w:rPr>
          <w:rFonts w:asciiTheme="minorHAnsi" w:eastAsiaTheme="minorEastAsia" w:hAnsiTheme="minorHAnsi" w:cstheme="minorHAnsi"/>
        </w:rPr>
      </w:pPr>
      <w:r w:rsidRPr="00F67850">
        <w:rPr>
          <w:rFonts w:asciiTheme="minorHAnsi" w:eastAsiaTheme="minorEastAsia" w:hAnsiTheme="minorHAnsi" w:cstheme="minorHAnsi"/>
        </w:rPr>
        <w:t>Defining self-efficacy</w:t>
      </w:r>
      <w:r w:rsidR="0C91D679" w:rsidRPr="00F67850">
        <w:rPr>
          <w:rFonts w:asciiTheme="minorHAnsi" w:eastAsiaTheme="minorEastAsia" w:hAnsiTheme="minorHAnsi" w:cstheme="minorHAnsi"/>
          <w:lang w:val="en-US"/>
        </w:rPr>
        <w:t xml:space="preserve"> </w:t>
      </w:r>
    </w:p>
    <w:p w14:paraId="38B59881" w14:textId="6C6690C3" w:rsidR="58CA6D8B" w:rsidRPr="00F67850" w:rsidRDefault="0EFB9661" w:rsidP="120913F3">
      <w:pPr>
        <w:spacing w:after="120" w:line="360" w:lineRule="auto"/>
        <w:rPr>
          <w:rFonts w:asciiTheme="minorHAnsi" w:eastAsiaTheme="minorEastAsia" w:hAnsiTheme="minorHAnsi" w:cstheme="minorHAnsi"/>
          <w:color w:val="6FAC47"/>
          <w:highlight w:val="yellow"/>
        </w:rPr>
      </w:pPr>
      <w:r w:rsidRPr="00F67850">
        <w:rPr>
          <w:rFonts w:asciiTheme="minorHAnsi" w:eastAsiaTheme="minorEastAsia" w:hAnsiTheme="minorHAnsi" w:cstheme="minorHAnsi"/>
          <w:color w:val="auto"/>
        </w:rPr>
        <w:t xml:space="preserve">An individual’s self-efficacy beliefs reflect their confidence about their own capability to perform a required task and affects how they think, motivate themselves, feel and behave (Bandura, 2012). In the arts, </w:t>
      </w:r>
      <w:proofErr w:type="spellStart"/>
      <w:r w:rsidRPr="00F67850">
        <w:rPr>
          <w:rFonts w:asciiTheme="minorHAnsi" w:eastAsiaTheme="minorEastAsia" w:hAnsiTheme="minorHAnsi" w:cstheme="minorHAnsi"/>
          <w:color w:val="auto"/>
        </w:rPr>
        <w:t>Garvis</w:t>
      </w:r>
      <w:proofErr w:type="spellEnd"/>
      <w:r w:rsidRPr="00F67850">
        <w:rPr>
          <w:rFonts w:asciiTheme="minorHAnsi" w:eastAsiaTheme="minorEastAsia" w:hAnsiTheme="minorHAnsi" w:cstheme="minorHAnsi"/>
          <w:color w:val="auto"/>
        </w:rPr>
        <w:t xml:space="preserve"> and </w:t>
      </w:r>
      <w:proofErr w:type="spellStart"/>
      <w:r w:rsidR="461A297C" w:rsidRPr="00F67850">
        <w:rPr>
          <w:rFonts w:asciiTheme="minorHAnsi" w:eastAsiaTheme="minorEastAsia" w:hAnsiTheme="minorHAnsi" w:cstheme="minorHAnsi"/>
          <w:color w:val="auto"/>
        </w:rPr>
        <w:t>Pendergast</w:t>
      </w:r>
      <w:proofErr w:type="spellEnd"/>
      <w:r w:rsidR="120913F3" w:rsidRPr="00F67850">
        <w:rPr>
          <w:rFonts w:asciiTheme="minorHAnsi" w:eastAsiaTheme="minorEastAsia" w:hAnsiTheme="minorHAnsi" w:cstheme="minorHAnsi"/>
          <w:color w:val="auto"/>
        </w:rPr>
        <w:t xml:space="preserve"> (2011) warn that </w:t>
      </w:r>
      <w:r w:rsidRPr="00F67850">
        <w:rPr>
          <w:rFonts w:asciiTheme="minorHAnsi" w:eastAsiaTheme="minorEastAsia" w:hAnsiTheme="minorHAnsi" w:cstheme="minorHAnsi"/>
          <w:color w:val="auto"/>
        </w:rPr>
        <w:t>self-efficacy is resistant to change regardless of teaching experience. Low self-efficacy beliefs (</w:t>
      </w:r>
      <w:r w:rsidR="513FD3A5" w:rsidRPr="00F67850">
        <w:rPr>
          <w:rFonts w:asciiTheme="minorHAnsi" w:eastAsiaTheme="minorEastAsia" w:hAnsiTheme="minorHAnsi" w:cstheme="minorHAnsi"/>
          <w:color w:val="auto"/>
        </w:rPr>
        <w:t>undermined by verbal evaluation or judgement by others)</w:t>
      </w:r>
      <w:r w:rsidRPr="00F67850">
        <w:rPr>
          <w:rFonts w:asciiTheme="minorHAnsi" w:eastAsiaTheme="minorEastAsia" w:hAnsiTheme="minorHAnsi" w:cstheme="minorHAnsi"/>
          <w:color w:val="auto"/>
        </w:rPr>
        <w:t xml:space="preserve"> hinder performance; while experiences that develop a mastery mindset (enhanced by </w:t>
      </w:r>
      <w:r w:rsidR="513FD3A5" w:rsidRPr="00F67850">
        <w:rPr>
          <w:rFonts w:asciiTheme="minorHAnsi" w:eastAsiaTheme="minorEastAsia" w:hAnsiTheme="minorHAnsi" w:cstheme="minorHAnsi"/>
          <w:color w:val="auto"/>
        </w:rPr>
        <w:t>observing competent role models who effectively teach skills</w:t>
      </w:r>
      <w:r w:rsidR="120913F3" w:rsidRPr="00F67850">
        <w:rPr>
          <w:rFonts w:asciiTheme="minorHAnsi" w:eastAsiaTheme="minorEastAsia" w:hAnsiTheme="minorHAnsi" w:cstheme="minorHAnsi"/>
          <w:color w:val="auto"/>
        </w:rPr>
        <w:t xml:space="preserve"> and </w:t>
      </w:r>
      <w:r w:rsidR="513FD3A5" w:rsidRPr="00F67850">
        <w:rPr>
          <w:rFonts w:asciiTheme="minorHAnsi" w:eastAsiaTheme="minorEastAsia" w:hAnsiTheme="minorHAnsi" w:cstheme="minorHAnsi"/>
          <w:color w:val="auto"/>
        </w:rPr>
        <w:t xml:space="preserve">transmit knowledge) </w:t>
      </w:r>
      <w:r w:rsidRPr="00F67850">
        <w:rPr>
          <w:rFonts w:asciiTheme="minorHAnsi" w:eastAsiaTheme="minorEastAsia" w:hAnsiTheme="minorHAnsi" w:cstheme="minorHAnsi"/>
          <w:color w:val="auto"/>
        </w:rPr>
        <w:t xml:space="preserve">most powerfully build positive self-efficacy beliefs (Bandura, 1997; 2012). </w:t>
      </w:r>
      <w:r w:rsidR="513FD3A5" w:rsidRPr="00F67850">
        <w:rPr>
          <w:rFonts w:asciiTheme="minorHAnsi" w:eastAsiaTheme="minorEastAsia" w:hAnsiTheme="minorHAnsi" w:cstheme="minorHAnsi"/>
          <w:color w:val="auto"/>
        </w:rPr>
        <w:t>People with positive self-efficacy beliefs perceive challenging tasks as opportunities to overcome setbacks and develop mastery through persistent effort. On the other hand, those with low self-efficacy doubt their capabilities and avoid tasks that threaten their personal identity, blaming personal deficiencies and the contextual obstacles they encounter (Bandura, 2012).</w:t>
      </w:r>
    </w:p>
    <w:p w14:paraId="54DC0B97" w14:textId="57CFB67C" w:rsidR="6A07A77C" w:rsidRPr="00F67850" w:rsidRDefault="3912BADE" w:rsidP="120913F3">
      <w:pPr>
        <w:spacing w:after="120" w:line="360" w:lineRule="auto"/>
        <w:rPr>
          <w:rFonts w:asciiTheme="minorHAnsi" w:eastAsiaTheme="minorEastAsia" w:hAnsiTheme="minorHAnsi" w:cstheme="minorHAnsi"/>
        </w:rPr>
      </w:pPr>
      <w:r w:rsidRPr="00F67850">
        <w:rPr>
          <w:rFonts w:asciiTheme="minorHAnsi" w:eastAsiaTheme="minorEastAsia" w:hAnsiTheme="minorHAnsi" w:cstheme="minorHAnsi"/>
          <w:b/>
          <w:bCs/>
        </w:rPr>
        <w:lastRenderedPageBreak/>
        <w:t xml:space="preserve">The complex relationship between self-efficacy and subject </w:t>
      </w:r>
      <w:r w:rsidR="0F6118E6" w:rsidRPr="00F67850">
        <w:rPr>
          <w:rFonts w:asciiTheme="minorHAnsi" w:eastAsiaTheme="minorEastAsia" w:hAnsiTheme="minorHAnsi" w:cstheme="minorHAnsi"/>
          <w:b/>
          <w:bCs/>
        </w:rPr>
        <w:t xml:space="preserve">content </w:t>
      </w:r>
      <w:r w:rsidRPr="00F67850">
        <w:rPr>
          <w:rFonts w:asciiTheme="minorHAnsi" w:eastAsiaTheme="minorEastAsia" w:hAnsiTheme="minorHAnsi" w:cstheme="minorHAnsi"/>
          <w:b/>
          <w:bCs/>
        </w:rPr>
        <w:t>knowledge</w:t>
      </w:r>
      <w:r w:rsidRPr="00F67850">
        <w:rPr>
          <w:rFonts w:asciiTheme="minorHAnsi" w:eastAsiaTheme="minorEastAsia" w:hAnsiTheme="minorHAnsi" w:cstheme="minorHAnsi"/>
        </w:rPr>
        <w:t xml:space="preserve"> </w:t>
      </w:r>
    </w:p>
    <w:p w14:paraId="7207CDF7" w14:textId="1F9B0A93" w:rsidR="6A07A77C" w:rsidRPr="00F67850" w:rsidRDefault="3912BADE" w:rsidP="120913F3">
      <w:pPr>
        <w:spacing w:after="120" w:line="360" w:lineRule="auto"/>
        <w:rPr>
          <w:rFonts w:asciiTheme="minorHAnsi" w:eastAsiaTheme="minorEastAsia" w:hAnsiTheme="minorHAnsi" w:cstheme="minorHAnsi"/>
        </w:rPr>
      </w:pPr>
      <w:r w:rsidRPr="00F67850">
        <w:rPr>
          <w:rFonts w:asciiTheme="minorHAnsi" w:eastAsiaTheme="minorEastAsia" w:hAnsiTheme="minorHAnsi" w:cstheme="minorHAnsi"/>
        </w:rPr>
        <w:t xml:space="preserve">Self-efficacy is not the only factor impacting quality visual arts pedagogy. It is also critical that </w:t>
      </w:r>
      <w:r w:rsidR="0F6118E6" w:rsidRPr="00F67850">
        <w:rPr>
          <w:rFonts w:asciiTheme="minorHAnsi" w:eastAsiaTheme="minorEastAsia" w:hAnsiTheme="minorHAnsi" w:cstheme="minorHAnsi"/>
        </w:rPr>
        <w:t>teachers</w:t>
      </w:r>
      <w:r w:rsidRPr="00F67850">
        <w:rPr>
          <w:rFonts w:asciiTheme="minorHAnsi" w:eastAsiaTheme="minorEastAsia" w:hAnsiTheme="minorHAnsi" w:cstheme="minorHAnsi"/>
        </w:rPr>
        <w:t xml:space="preserve"> are equipped with content knowledge, </w:t>
      </w:r>
      <w:proofErr w:type="gramStart"/>
      <w:r w:rsidRPr="00F67850">
        <w:rPr>
          <w:rFonts w:asciiTheme="minorHAnsi" w:eastAsiaTheme="minorEastAsia" w:hAnsiTheme="minorHAnsi" w:cstheme="minorHAnsi"/>
        </w:rPr>
        <w:t>skills</w:t>
      </w:r>
      <w:proofErr w:type="gramEnd"/>
      <w:r w:rsidRPr="00F67850">
        <w:rPr>
          <w:rFonts w:asciiTheme="minorHAnsi" w:eastAsiaTheme="minorEastAsia" w:hAnsiTheme="minorHAnsi" w:cstheme="minorHAnsi"/>
        </w:rPr>
        <w:t xml:space="preserve"> and pedagogical knowledge to effectively support children’s engagement in quality learning through the arts (Ewing, 2013; Klopper &amp; Power, 2010). </w:t>
      </w:r>
      <w:r w:rsidR="0F6118E6" w:rsidRPr="00F67850">
        <w:rPr>
          <w:rFonts w:asciiTheme="minorHAnsi" w:eastAsiaTheme="minorEastAsia" w:hAnsiTheme="minorHAnsi" w:cstheme="minorHAnsi"/>
        </w:rPr>
        <w:t xml:space="preserve">However, </w:t>
      </w:r>
      <w:proofErr w:type="spellStart"/>
      <w:r w:rsidR="0F6118E6" w:rsidRPr="00F67850">
        <w:rPr>
          <w:rFonts w:asciiTheme="minorHAnsi" w:eastAsiaTheme="minorEastAsia" w:hAnsiTheme="minorHAnsi" w:cstheme="minorHAnsi"/>
        </w:rPr>
        <w:t>Pajares</w:t>
      </w:r>
      <w:proofErr w:type="spellEnd"/>
      <w:r w:rsidR="0F6118E6" w:rsidRPr="00F67850">
        <w:rPr>
          <w:rFonts w:asciiTheme="minorHAnsi" w:eastAsiaTheme="minorEastAsia" w:hAnsiTheme="minorHAnsi" w:cstheme="minorHAnsi"/>
        </w:rPr>
        <w:t xml:space="preserve"> (2011) suggests that </w:t>
      </w:r>
      <w:r w:rsidRPr="00F67850">
        <w:rPr>
          <w:rFonts w:asciiTheme="minorHAnsi" w:eastAsiaTheme="minorEastAsia" w:hAnsiTheme="minorHAnsi" w:cstheme="minorHAnsi"/>
        </w:rPr>
        <w:t>alongside pedagogical content knowledge</w:t>
      </w:r>
      <w:r w:rsidR="0F6118E6" w:rsidRPr="00F67850">
        <w:rPr>
          <w:rFonts w:asciiTheme="minorHAnsi" w:eastAsiaTheme="minorEastAsia" w:hAnsiTheme="minorHAnsi" w:cstheme="minorHAnsi"/>
        </w:rPr>
        <w:t>, teachers</w:t>
      </w:r>
      <w:r w:rsidRPr="00F67850">
        <w:rPr>
          <w:rFonts w:asciiTheme="minorHAnsi" w:eastAsiaTheme="minorEastAsia" w:hAnsiTheme="minorHAnsi" w:cstheme="minorHAnsi"/>
        </w:rPr>
        <w:t xml:space="preserve"> must examine their epistemological beliefs </w:t>
      </w:r>
      <w:r w:rsidR="0F6118E6" w:rsidRPr="00F67850">
        <w:rPr>
          <w:rFonts w:asciiTheme="minorHAnsi" w:eastAsiaTheme="minorEastAsia" w:hAnsiTheme="minorHAnsi" w:cstheme="minorHAnsi"/>
        </w:rPr>
        <w:t>about</w:t>
      </w:r>
      <w:r w:rsidRPr="00F67850">
        <w:rPr>
          <w:rFonts w:asciiTheme="minorHAnsi" w:eastAsiaTheme="minorEastAsia" w:hAnsiTheme="minorHAnsi" w:cstheme="minorHAnsi"/>
        </w:rPr>
        <w:t xml:space="preserve"> the nature of knowledge</w:t>
      </w:r>
      <w:r w:rsidR="0F6118E6" w:rsidRPr="00F67850">
        <w:rPr>
          <w:rFonts w:asciiTheme="minorHAnsi" w:eastAsiaTheme="minorEastAsia" w:hAnsiTheme="minorHAnsi" w:cstheme="minorHAnsi"/>
        </w:rPr>
        <w:t>,</w:t>
      </w:r>
      <w:r w:rsidRPr="00F67850">
        <w:rPr>
          <w:rFonts w:asciiTheme="minorHAnsi" w:eastAsiaTheme="minorEastAsia" w:hAnsiTheme="minorHAnsi" w:cstheme="minorHAnsi"/>
        </w:rPr>
        <w:t xml:space="preserve"> and their self-efficacy beliefs</w:t>
      </w:r>
      <w:r w:rsidR="0F6118E6" w:rsidRPr="00F67850">
        <w:rPr>
          <w:rFonts w:asciiTheme="minorHAnsi" w:eastAsiaTheme="minorEastAsia" w:hAnsiTheme="minorHAnsi" w:cstheme="minorHAnsi"/>
        </w:rPr>
        <w:t>,</w:t>
      </w:r>
      <w:r w:rsidRPr="00F67850">
        <w:rPr>
          <w:rFonts w:asciiTheme="minorHAnsi" w:eastAsiaTheme="minorEastAsia" w:hAnsiTheme="minorHAnsi" w:cstheme="minorHAnsi"/>
        </w:rPr>
        <w:t xml:space="preserve"> as these inform and determine their confidence to perform specific tasks and apply content knowledge. </w:t>
      </w:r>
      <w:r w:rsidRPr="00F67850">
        <w:rPr>
          <w:rFonts w:asciiTheme="minorHAnsi" w:eastAsiaTheme="minorEastAsia" w:hAnsiTheme="minorHAnsi" w:cstheme="minorHAnsi"/>
          <w:lang w:val="en-US"/>
        </w:rPr>
        <w:t xml:space="preserve">A lack of visual arts self-efficacy, resulting in a personal identity that positions teachers as ‘not artistic,’ can have a detrimental effect on </w:t>
      </w:r>
      <w:r w:rsidR="0F6118E6" w:rsidRPr="00F67850">
        <w:rPr>
          <w:rFonts w:asciiTheme="minorHAnsi" w:eastAsiaTheme="minorEastAsia" w:hAnsiTheme="minorHAnsi" w:cstheme="minorHAnsi"/>
          <w:lang w:val="en-US"/>
        </w:rPr>
        <w:t>the</w:t>
      </w:r>
      <w:r w:rsidRPr="00F67850">
        <w:rPr>
          <w:rFonts w:asciiTheme="minorHAnsi" w:eastAsiaTheme="minorEastAsia" w:hAnsiTheme="minorHAnsi" w:cstheme="minorHAnsi"/>
          <w:lang w:val="en-US"/>
        </w:rPr>
        <w:t xml:space="preserve"> capacity to teach in this domain (</w:t>
      </w:r>
      <w:proofErr w:type="spellStart"/>
      <w:r w:rsidRPr="00F67850">
        <w:rPr>
          <w:rFonts w:asciiTheme="minorHAnsi" w:eastAsiaTheme="minorEastAsia" w:hAnsiTheme="minorHAnsi" w:cstheme="minorHAnsi"/>
          <w:lang w:val="en-US"/>
        </w:rPr>
        <w:t>Pillen</w:t>
      </w:r>
      <w:proofErr w:type="spellEnd"/>
      <w:r w:rsidRPr="00F67850">
        <w:rPr>
          <w:rFonts w:asciiTheme="minorHAnsi" w:eastAsiaTheme="minorEastAsia" w:hAnsiTheme="minorHAnsi" w:cstheme="minorHAnsi"/>
          <w:lang w:val="en-US"/>
        </w:rPr>
        <w:t xml:space="preserve"> et al., 2013). Both</w:t>
      </w:r>
      <w:r w:rsidRPr="00F67850">
        <w:rPr>
          <w:rFonts w:asciiTheme="minorHAnsi" w:eastAsiaTheme="minorEastAsia" w:hAnsiTheme="minorHAnsi" w:cstheme="minorHAnsi"/>
        </w:rPr>
        <w:t xml:space="preserve"> limited content knowledge and low self-efficacy can result in </w:t>
      </w:r>
      <w:r w:rsidR="0F6118E6" w:rsidRPr="00F67850">
        <w:rPr>
          <w:rFonts w:asciiTheme="minorHAnsi" w:eastAsiaTheme="minorEastAsia" w:hAnsiTheme="minorHAnsi" w:cstheme="minorHAnsi"/>
        </w:rPr>
        <w:t>a</w:t>
      </w:r>
      <w:r w:rsidRPr="00F67850">
        <w:rPr>
          <w:rFonts w:asciiTheme="minorHAnsi" w:eastAsiaTheme="minorEastAsia" w:hAnsiTheme="minorHAnsi" w:cstheme="minorHAnsi"/>
        </w:rPr>
        <w:t xml:space="preserve"> subject being de-emphasised or completely avoided in teaching practice </w:t>
      </w:r>
      <w:r w:rsidRPr="00F67850">
        <w:rPr>
          <w:rFonts w:asciiTheme="minorHAnsi" w:eastAsiaTheme="minorEastAsia" w:hAnsiTheme="minorHAnsi" w:cstheme="minorHAnsi"/>
          <w:lang w:val="en-US"/>
        </w:rPr>
        <w:t>(</w:t>
      </w:r>
      <w:proofErr w:type="spellStart"/>
      <w:r w:rsidRPr="00F67850">
        <w:rPr>
          <w:rFonts w:asciiTheme="minorHAnsi" w:eastAsiaTheme="minorEastAsia" w:hAnsiTheme="minorHAnsi" w:cstheme="minorHAnsi"/>
          <w:lang w:val="en-US"/>
        </w:rPr>
        <w:t>Garvis</w:t>
      </w:r>
      <w:proofErr w:type="spellEnd"/>
      <w:r w:rsidRPr="00F67850">
        <w:rPr>
          <w:rFonts w:asciiTheme="minorHAnsi" w:eastAsiaTheme="minorEastAsia" w:hAnsiTheme="minorHAnsi" w:cstheme="minorHAnsi"/>
          <w:lang w:val="en-US"/>
        </w:rPr>
        <w:t>, 2012; Klopper &amp; Power, 2010).</w:t>
      </w:r>
      <w:r w:rsidRPr="00F67850">
        <w:rPr>
          <w:rFonts w:asciiTheme="minorHAnsi" w:eastAsiaTheme="minorEastAsia" w:hAnsiTheme="minorHAnsi" w:cstheme="minorHAnsi"/>
        </w:rPr>
        <w:t xml:space="preserve"> </w:t>
      </w:r>
    </w:p>
    <w:p w14:paraId="631295D7" w14:textId="680BEFA0" w:rsidR="313435B5" w:rsidRPr="00F67850" w:rsidRDefault="3912BADE" w:rsidP="120913F3">
      <w:pPr>
        <w:spacing w:after="120" w:line="360" w:lineRule="auto"/>
        <w:rPr>
          <w:rFonts w:asciiTheme="minorHAnsi" w:eastAsiaTheme="minorEastAsia" w:hAnsiTheme="minorHAnsi" w:cstheme="minorHAnsi"/>
        </w:rPr>
      </w:pPr>
      <w:r w:rsidRPr="00F67850">
        <w:rPr>
          <w:rFonts w:asciiTheme="minorHAnsi" w:eastAsiaTheme="minorEastAsia" w:hAnsiTheme="minorHAnsi" w:cstheme="minorHAnsi"/>
        </w:rPr>
        <w:t>Limiting and firmly established beliefs can be so deeply entrenched that they can override acquired knowledge and pre-service training (Lara-</w:t>
      </w:r>
      <w:proofErr w:type="spellStart"/>
      <w:r w:rsidRPr="00F67850">
        <w:rPr>
          <w:rFonts w:asciiTheme="minorHAnsi" w:eastAsiaTheme="minorEastAsia" w:hAnsiTheme="minorHAnsi" w:cstheme="minorHAnsi"/>
        </w:rPr>
        <w:t>Cinosomo</w:t>
      </w:r>
      <w:proofErr w:type="spellEnd"/>
      <w:r w:rsidRPr="00F67850">
        <w:rPr>
          <w:rFonts w:asciiTheme="minorHAnsi" w:eastAsiaTheme="minorEastAsia" w:hAnsiTheme="minorHAnsi" w:cstheme="minorHAnsi"/>
        </w:rPr>
        <w:t xml:space="preserve"> et al., 2009; McArdle, 2012). Such beliefs cause resistance to new theories and approaches (Wen et al., 2011) and can powerfully influence pedagogical choices (Chen, 2008). However, entrenched beliefs can be challenged by positive mentors or role models (Bae, 2004) through professional training that connects theory and practice (Kind et al., 2007); and collaborative learning opportunities between artists and teachers (</w:t>
      </w:r>
      <w:r w:rsidR="0F6118E6" w:rsidRPr="00F67850">
        <w:rPr>
          <w:rFonts w:asciiTheme="minorHAnsi" w:eastAsiaTheme="minorEastAsia" w:hAnsiTheme="minorHAnsi" w:cstheme="minorHAnsi"/>
        </w:rPr>
        <w:t>Kenny &amp; Morrisey, 2021).</w:t>
      </w:r>
      <w:r w:rsidRPr="00F67850">
        <w:rPr>
          <w:rFonts w:asciiTheme="minorHAnsi" w:eastAsiaTheme="minorEastAsia" w:hAnsiTheme="minorHAnsi" w:cstheme="minorHAnsi"/>
        </w:rPr>
        <w:t xml:space="preserve"> Bandura (2012, p. 11) asserts that external influences “raise and lower self-efficacy independent of performance,” suggesting that self-efficacy beliefs and their impact on practice may fluctuate and change depending on the contexts teachers are working in.</w:t>
      </w:r>
    </w:p>
    <w:p w14:paraId="1AA0BBD7" w14:textId="348676F1" w:rsidR="5D6D3BB4" w:rsidRPr="00F67850" w:rsidRDefault="3A3BCBE5" w:rsidP="120913F3">
      <w:pPr>
        <w:pStyle w:val="Heading3"/>
        <w:spacing w:after="120" w:line="360" w:lineRule="auto"/>
        <w:rPr>
          <w:rFonts w:asciiTheme="minorHAnsi" w:eastAsiaTheme="minorEastAsia" w:hAnsiTheme="minorHAnsi" w:cstheme="minorHAnsi"/>
          <w:color w:val="auto"/>
          <w:highlight w:val="yellow"/>
        </w:rPr>
      </w:pPr>
      <w:r w:rsidRPr="00F67850">
        <w:rPr>
          <w:rFonts w:asciiTheme="minorHAnsi" w:eastAsiaTheme="minorEastAsia" w:hAnsiTheme="minorHAnsi" w:cstheme="minorHAnsi"/>
          <w:color w:val="auto"/>
        </w:rPr>
        <w:t>The influence of prior experience and teacher training</w:t>
      </w:r>
    </w:p>
    <w:p w14:paraId="0E8244CC" w14:textId="7AB9AE32" w:rsidR="4B5B1D03" w:rsidRPr="00F67850" w:rsidRDefault="4B5B1D03" w:rsidP="120913F3">
      <w:pPr>
        <w:spacing w:after="120" w:line="360" w:lineRule="auto"/>
        <w:rPr>
          <w:rFonts w:asciiTheme="minorHAnsi" w:eastAsiaTheme="minorEastAsia" w:hAnsiTheme="minorHAnsi" w:cstheme="minorHAnsi"/>
          <w:color w:val="auto"/>
        </w:rPr>
      </w:pPr>
      <w:r w:rsidRPr="00F67850">
        <w:rPr>
          <w:rFonts w:asciiTheme="minorHAnsi" w:eastAsiaTheme="minorEastAsia" w:hAnsiTheme="minorHAnsi" w:cstheme="minorHAnsi"/>
          <w:color w:val="auto"/>
        </w:rPr>
        <w:t>Self-efficacy beliefs and artistic identity often develop through prior educational experiences or personally significant life events (</w:t>
      </w:r>
      <w:proofErr w:type="spellStart"/>
      <w:r w:rsidRPr="00F67850">
        <w:rPr>
          <w:rFonts w:asciiTheme="minorHAnsi" w:eastAsiaTheme="minorEastAsia" w:hAnsiTheme="minorHAnsi" w:cstheme="minorHAnsi"/>
          <w:color w:val="auto"/>
        </w:rPr>
        <w:t>Moilanen</w:t>
      </w:r>
      <w:proofErr w:type="spellEnd"/>
      <w:r w:rsidRPr="00F67850">
        <w:rPr>
          <w:rFonts w:asciiTheme="minorHAnsi" w:eastAsiaTheme="minorEastAsia" w:hAnsiTheme="minorHAnsi" w:cstheme="minorHAnsi"/>
          <w:color w:val="auto"/>
        </w:rPr>
        <w:t xml:space="preserve"> &amp; </w:t>
      </w:r>
      <w:proofErr w:type="spellStart"/>
      <w:r w:rsidRPr="00F67850">
        <w:rPr>
          <w:rFonts w:asciiTheme="minorHAnsi" w:eastAsiaTheme="minorEastAsia" w:hAnsiTheme="minorHAnsi" w:cstheme="minorHAnsi"/>
          <w:color w:val="auto"/>
        </w:rPr>
        <w:t>Mertala</w:t>
      </w:r>
      <w:proofErr w:type="spellEnd"/>
      <w:r w:rsidRPr="00F67850">
        <w:rPr>
          <w:rFonts w:asciiTheme="minorHAnsi" w:eastAsiaTheme="minorEastAsia" w:hAnsiTheme="minorHAnsi" w:cstheme="minorHAnsi"/>
          <w:color w:val="auto"/>
        </w:rPr>
        <w:t xml:space="preserve">, 2020; </w:t>
      </w:r>
      <w:proofErr w:type="spellStart"/>
      <w:r w:rsidRPr="00F67850">
        <w:rPr>
          <w:rFonts w:asciiTheme="minorHAnsi" w:eastAsiaTheme="minorEastAsia" w:hAnsiTheme="minorHAnsi" w:cstheme="minorHAnsi"/>
          <w:color w:val="auto"/>
        </w:rPr>
        <w:t>Pillen</w:t>
      </w:r>
      <w:proofErr w:type="spellEnd"/>
      <w:r w:rsidRPr="00F67850">
        <w:rPr>
          <w:rFonts w:asciiTheme="minorHAnsi" w:eastAsiaTheme="minorEastAsia" w:hAnsiTheme="minorHAnsi" w:cstheme="minorHAnsi"/>
          <w:color w:val="auto"/>
        </w:rPr>
        <w:t xml:space="preserve"> et al., 2013). A</w:t>
      </w:r>
      <w:r w:rsidR="5B465543" w:rsidRPr="00F67850">
        <w:rPr>
          <w:rFonts w:asciiTheme="minorHAnsi" w:eastAsiaTheme="minorEastAsia" w:hAnsiTheme="minorHAnsi" w:cstheme="minorHAnsi"/>
          <w:color w:val="auto"/>
        </w:rPr>
        <w:t>rtistic identity and positive attitudes about art making can develop during early childhood when families and learning environments</w:t>
      </w:r>
      <w:r w:rsidRPr="00F67850">
        <w:rPr>
          <w:rFonts w:asciiTheme="minorHAnsi" w:eastAsiaTheme="minorEastAsia" w:hAnsiTheme="minorHAnsi" w:cstheme="minorHAnsi"/>
          <w:color w:val="auto"/>
        </w:rPr>
        <w:t xml:space="preserve"> foster value for the arts (Lummis et al., 2014). </w:t>
      </w:r>
      <w:r w:rsidR="25019891" w:rsidRPr="00F67850">
        <w:rPr>
          <w:rFonts w:asciiTheme="minorHAnsi" w:eastAsiaTheme="minorEastAsia" w:hAnsiTheme="minorHAnsi" w:cstheme="minorHAnsi"/>
          <w:color w:val="auto"/>
        </w:rPr>
        <w:t>However</w:t>
      </w:r>
      <w:r w:rsidRPr="00F67850">
        <w:rPr>
          <w:rFonts w:asciiTheme="minorHAnsi" w:eastAsiaTheme="minorEastAsia" w:hAnsiTheme="minorHAnsi" w:cstheme="minorHAnsi"/>
          <w:color w:val="auto"/>
        </w:rPr>
        <w:t xml:space="preserve">, </w:t>
      </w:r>
      <w:r w:rsidR="4D86AC52" w:rsidRPr="00F67850">
        <w:rPr>
          <w:rFonts w:asciiTheme="minorHAnsi" w:eastAsiaTheme="minorEastAsia" w:hAnsiTheme="minorHAnsi" w:cstheme="minorHAnsi"/>
          <w:color w:val="auto"/>
        </w:rPr>
        <w:t>negative prior experiences and minimal exposure to the arts</w:t>
      </w:r>
      <w:r w:rsidR="72B1B9AE" w:rsidRPr="00F67850">
        <w:rPr>
          <w:rFonts w:asciiTheme="minorHAnsi" w:eastAsiaTheme="minorEastAsia" w:hAnsiTheme="minorHAnsi" w:cstheme="minorHAnsi"/>
          <w:color w:val="auto"/>
        </w:rPr>
        <w:t xml:space="preserve"> can foster negative </w:t>
      </w:r>
      <w:r w:rsidRPr="00F67850">
        <w:rPr>
          <w:rFonts w:asciiTheme="minorHAnsi" w:eastAsiaTheme="minorEastAsia" w:hAnsiTheme="minorHAnsi" w:cstheme="minorHAnsi"/>
          <w:color w:val="auto"/>
        </w:rPr>
        <w:t>pre-service teacher beliefs towards arts education</w:t>
      </w:r>
      <w:r w:rsidR="0FACD1F4" w:rsidRPr="00F67850">
        <w:rPr>
          <w:rFonts w:asciiTheme="minorHAnsi" w:eastAsiaTheme="minorEastAsia" w:hAnsiTheme="minorHAnsi" w:cstheme="minorHAnsi"/>
          <w:color w:val="auto"/>
        </w:rPr>
        <w:t xml:space="preserve"> (</w:t>
      </w:r>
      <w:proofErr w:type="spellStart"/>
      <w:r w:rsidR="0FACD1F4" w:rsidRPr="00F67850">
        <w:rPr>
          <w:rFonts w:asciiTheme="minorHAnsi" w:eastAsiaTheme="minorEastAsia" w:hAnsiTheme="minorHAnsi" w:cstheme="minorHAnsi"/>
          <w:color w:val="auto"/>
        </w:rPr>
        <w:t>Garvis</w:t>
      </w:r>
      <w:proofErr w:type="spellEnd"/>
      <w:r w:rsidR="0FACD1F4" w:rsidRPr="00F67850">
        <w:rPr>
          <w:rFonts w:asciiTheme="minorHAnsi" w:eastAsiaTheme="minorEastAsia" w:hAnsiTheme="minorHAnsi" w:cstheme="minorHAnsi"/>
          <w:color w:val="auto"/>
        </w:rPr>
        <w:t xml:space="preserve"> &amp; </w:t>
      </w:r>
      <w:proofErr w:type="spellStart"/>
      <w:r w:rsidR="0FACD1F4" w:rsidRPr="00F67850">
        <w:rPr>
          <w:rFonts w:asciiTheme="minorHAnsi" w:eastAsiaTheme="minorEastAsia" w:hAnsiTheme="minorHAnsi" w:cstheme="minorHAnsi"/>
          <w:color w:val="auto"/>
        </w:rPr>
        <w:t>Pendergast</w:t>
      </w:r>
      <w:proofErr w:type="spellEnd"/>
      <w:r w:rsidR="0FACD1F4" w:rsidRPr="00F67850">
        <w:rPr>
          <w:rFonts w:asciiTheme="minorHAnsi" w:eastAsiaTheme="minorEastAsia" w:hAnsiTheme="minorHAnsi" w:cstheme="minorHAnsi"/>
          <w:color w:val="auto"/>
        </w:rPr>
        <w:t>, 2011)</w:t>
      </w:r>
      <w:r w:rsidRPr="00F67850">
        <w:rPr>
          <w:rFonts w:asciiTheme="minorHAnsi" w:eastAsiaTheme="minorEastAsia" w:hAnsiTheme="minorHAnsi" w:cstheme="minorHAnsi"/>
          <w:color w:val="auto"/>
        </w:rPr>
        <w:t xml:space="preserve">. </w:t>
      </w:r>
      <w:r w:rsidR="531D2ED4" w:rsidRPr="00F67850">
        <w:rPr>
          <w:rFonts w:asciiTheme="minorHAnsi" w:eastAsiaTheme="minorEastAsia" w:hAnsiTheme="minorHAnsi" w:cstheme="minorHAnsi"/>
          <w:color w:val="auto"/>
        </w:rPr>
        <w:t>Indeed, p</w:t>
      </w:r>
      <w:r w:rsidRPr="00F67850">
        <w:rPr>
          <w:rFonts w:asciiTheme="minorHAnsi" w:eastAsiaTheme="minorEastAsia" w:hAnsiTheme="minorHAnsi" w:cstheme="minorHAnsi"/>
          <w:color w:val="auto"/>
        </w:rPr>
        <w:t>ersonal memories and informal learning experiences have more lasting</w:t>
      </w:r>
      <w:r w:rsidR="531D2ED4" w:rsidRPr="00F67850">
        <w:rPr>
          <w:rFonts w:asciiTheme="minorHAnsi" w:eastAsiaTheme="minorEastAsia" w:hAnsiTheme="minorHAnsi" w:cstheme="minorHAnsi"/>
          <w:color w:val="auto"/>
        </w:rPr>
        <w:t xml:space="preserve"> impacts </w:t>
      </w:r>
      <w:r w:rsidRPr="00F67850">
        <w:rPr>
          <w:rFonts w:asciiTheme="minorHAnsi" w:eastAsiaTheme="minorEastAsia" w:hAnsiTheme="minorHAnsi" w:cstheme="minorHAnsi"/>
          <w:color w:val="auto"/>
        </w:rPr>
        <w:t xml:space="preserve">on </w:t>
      </w:r>
      <w:r w:rsidRPr="00F67850">
        <w:rPr>
          <w:rFonts w:asciiTheme="minorHAnsi" w:eastAsiaTheme="minorEastAsia" w:hAnsiTheme="minorHAnsi" w:cstheme="minorHAnsi"/>
          <w:color w:val="auto"/>
        </w:rPr>
        <w:lastRenderedPageBreak/>
        <w:t>students’ personal philosophies and professional identity formation than formal schooling experiences (</w:t>
      </w:r>
      <w:r w:rsidR="4BCC4BEE" w:rsidRPr="00F67850">
        <w:rPr>
          <w:rFonts w:asciiTheme="minorHAnsi" w:eastAsiaTheme="minorEastAsia" w:hAnsiTheme="minorHAnsi" w:cstheme="minorHAnsi"/>
          <w:color w:val="333333"/>
        </w:rPr>
        <w:t>Horsley &amp;</w:t>
      </w:r>
      <w:r w:rsidR="6B8C4818" w:rsidRPr="00F67850">
        <w:rPr>
          <w:rFonts w:asciiTheme="minorHAnsi" w:eastAsiaTheme="minorEastAsia" w:hAnsiTheme="minorHAnsi" w:cstheme="minorHAnsi"/>
          <w:color w:val="333333"/>
        </w:rPr>
        <w:t xml:space="preserve"> </w:t>
      </w:r>
      <w:r w:rsidR="4BCC4BEE" w:rsidRPr="00F67850">
        <w:rPr>
          <w:rFonts w:asciiTheme="minorHAnsi" w:eastAsiaTheme="minorEastAsia" w:hAnsiTheme="minorHAnsi" w:cstheme="minorHAnsi"/>
          <w:color w:val="333333"/>
        </w:rPr>
        <w:t xml:space="preserve">Penn, 2014). </w:t>
      </w:r>
    </w:p>
    <w:p w14:paraId="492551C8" w14:textId="439A1FF2" w:rsidR="531D2ED4" w:rsidRPr="00F67850" w:rsidRDefault="531D2ED4" w:rsidP="120913F3">
      <w:pPr>
        <w:spacing w:after="120" w:line="360" w:lineRule="auto"/>
        <w:rPr>
          <w:rFonts w:asciiTheme="minorHAnsi" w:eastAsiaTheme="minorEastAsia" w:hAnsiTheme="minorHAnsi" w:cstheme="minorHAnsi"/>
          <w:color w:val="auto"/>
        </w:rPr>
      </w:pPr>
      <w:r w:rsidRPr="00F67850">
        <w:rPr>
          <w:rFonts w:asciiTheme="minorHAnsi" w:eastAsiaTheme="minorEastAsia" w:hAnsiTheme="minorHAnsi" w:cstheme="minorHAnsi"/>
          <w:color w:val="auto"/>
        </w:rPr>
        <w:t xml:space="preserve">In tertiary education contexts, </w:t>
      </w:r>
      <w:r w:rsidR="5D61B662" w:rsidRPr="00F67850">
        <w:rPr>
          <w:rFonts w:asciiTheme="minorHAnsi" w:eastAsiaTheme="minorEastAsia" w:hAnsiTheme="minorHAnsi" w:cstheme="minorHAnsi"/>
          <w:color w:val="auto"/>
        </w:rPr>
        <w:t xml:space="preserve">student’s visual arts self-efficacy was enhanced by </w:t>
      </w:r>
      <w:r w:rsidR="63004FF8" w:rsidRPr="00F67850">
        <w:rPr>
          <w:rFonts w:asciiTheme="minorHAnsi" w:eastAsiaTheme="minorEastAsia" w:hAnsiTheme="minorHAnsi" w:cstheme="minorHAnsi"/>
          <w:color w:val="auto"/>
        </w:rPr>
        <w:t>practical art experiences, critical reflection, and intentional aesthetic education</w:t>
      </w:r>
      <w:r w:rsidR="120913F3" w:rsidRPr="00F67850">
        <w:rPr>
          <w:rFonts w:asciiTheme="minorHAnsi" w:eastAsiaTheme="minorEastAsia" w:hAnsiTheme="minorHAnsi" w:cstheme="minorHAnsi"/>
          <w:color w:val="auto"/>
        </w:rPr>
        <w:t xml:space="preserve"> (</w:t>
      </w:r>
      <w:r w:rsidR="0CC5F48D" w:rsidRPr="00F67850">
        <w:rPr>
          <w:rFonts w:asciiTheme="minorHAnsi" w:eastAsiaTheme="minorEastAsia" w:hAnsiTheme="minorHAnsi" w:cstheme="minorHAnsi"/>
          <w:color w:val="auto"/>
        </w:rPr>
        <w:t xml:space="preserve">McArdle, </w:t>
      </w:r>
      <w:r w:rsidR="63004FF8" w:rsidRPr="00F67850">
        <w:rPr>
          <w:rFonts w:asciiTheme="minorHAnsi" w:eastAsiaTheme="minorEastAsia" w:hAnsiTheme="minorHAnsi" w:cstheme="minorHAnsi"/>
          <w:color w:val="auto"/>
        </w:rPr>
        <w:t xml:space="preserve">2012) and </w:t>
      </w:r>
      <w:proofErr w:type="gramStart"/>
      <w:r w:rsidR="63004FF8" w:rsidRPr="00F67850">
        <w:rPr>
          <w:rFonts w:asciiTheme="minorHAnsi" w:eastAsiaTheme="minorEastAsia" w:hAnsiTheme="minorHAnsi" w:cstheme="minorHAnsi"/>
          <w:color w:val="auto"/>
        </w:rPr>
        <w:t xml:space="preserve">through </w:t>
      </w:r>
      <w:r w:rsidR="5D61B662" w:rsidRPr="00F67850">
        <w:rPr>
          <w:rFonts w:asciiTheme="minorHAnsi" w:eastAsiaTheme="minorEastAsia" w:hAnsiTheme="minorHAnsi" w:cstheme="minorHAnsi"/>
          <w:color w:val="auto"/>
        </w:rPr>
        <w:t>the use of</w:t>
      </w:r>
      <w:proofErr w:type="gramEnd"/>
      <w:r w:rsidR="5D61B662" w:rsidRPr="00F67850">
        <w:rPr>
          <w:rFonts w:asciiTheme="minorHAnsi" w:eastAsiaTheme="minorEastAsia" w:hAnsiTheme="minorHAnsi" w:cstheme="minorHAnsi"/>
          <w:color w:val="auto"/>
        </w:rPr>
        <w:t xml:space="preserve"> reflective visual journals (</w:t>
      </w:r>
      <w:proofErr w:type="spellStart"/>
      <w:r w:rsidR="5D61B662" w:rsidRPr="00F67850">
        <w:rPr>
          <w:rFonts w:asciiTheme="minorHAnsi" w:eastAsiaTheme="minorEastAsia" w:hAnsiTheme="minorHAnsi" w:cstheme="minorHAnsi"/>
          <w:color w:val="auto"/>
        </w:rPr>
        <w:t>Pavlou</w:t>
      </w:r>
      <w:proofErr w:type="spellEnd"/>
      <w:r w:rsidR="5D61B662" w:rsidRPr="00F67850">
        <w:rPr>
          <w:rFonts w:asciiTheme="minorHAnsi" w:eastAsiaTheme="minorEastAsia" w:hAnsiTheme="minorHAnsi" w:cstheme="minorHAnsi"/>
          <w:color w:val="auto"/>
        </w:rPr>
        <w:t xml:space="preserve">, 2021). However, pre-service training does not always equip teachers to effectively implement visual arts learning in their classrooms (Bae, 2004; </w:t>
      </w:r>
      <w:proofErr w:type="spellStart"/>
      <w:r w:rsidR="5D61B662" w:rsidRPr="00F67850">
        <w:rPr>
          <w:rFonts w:asciiTheme="minorHAnsi" w:eastAsiaTheme="minorEastAsia" w:hAnsiTheme="minorHAnsi" w:cstheme="minorHAnsi"/>
          <w:color w:val="auto"/>
        </w:rPr>
        <w:t>Garvis</w:t>
      </w:r>
      <w:proofErr w:type="spellEnd"/>
      <w:r w:rsidR="5D61B662" w:rsidRPr="00F67850">
        <w:rPr>
          <w:rFonts w:asciiTheme="minorHAnsi" w:eastAsiaTheme="minorEastAsia" w:hAnsiTheme="minorHAnsi" w:cstheme="minorHAnsi"/>
          <w:color w:val="auto"/>
        </w:rPr>
        <w:t xml:space="preserve"> et al., 2011; Klopper &amp; Power, 2010</w:t>
      </w:r>
      <w:r w:rsidR="08F7AD24" w:rsidRPr="00F67850">
        <w:rPr>
          <w:rFonts w:asciiTheme="minorHAnsi" w:eastAsiaTheme="minorEastAsia" w:hAnsiTheme="minorHAnsi" w:cstheme="minorHAnsi"/>
          <w:color w:val="auto"/>
        </w:rPr>
        <w:t>).</w:t>
      </w:r>
      <w:r w:rsidR="5D61B662" w:rsidRPr="00F67850">
        <w:rPr>
          <w:rFonts w:asciiTheme="minorHAnsi" w:eastAsiaTheme="minorEastAsia" w:hAnsiTheme="minorHAnsi" w:cstheme="minorHAnsi"/>
          <w:color w:val="auto"/>
        </w:rPr>
        <w:t xml:space="preserve"> Scholars suggest the capacity to build pre-service teachers’ arts skills, confidence and knowledge is inhibited by a lack of time and resources for the visual arts in many generalist pre-service courses (Collins, 2016; </w:t>
      </w:r>
      <w:proofErr w:type="spellStart"/>
      <w:r w:rsidR="5D61B662" w:rsidRPr="00F67850">
        <w:rPr>
          <w:rFonts w:asciiTheme="minorHAnsi" w:eastAsiaTheme="minorEastAsia" w:hAnsiTheme="minorHAnsi" w:cstheme="minorHAnsi"/>
          <w:color w:val="auto"/>
        </w:rPr>
        <w:t>Cutcher</w:t>
      </w:r>
      <w:proofErr w:type="spellEnd"/>
      <w:r w:rsidR="5D61B662" w:rsidRPr="00F67850">
        <w:rPr>
          <w:rFonts w:asciiTheme="minorHAnsi" w:eastAsiaTheme="minorEastAsia" w:hAnsiTheme="minorHAnsi" w:cstheme="minorHAnsi"/>
          <w:color w:val="auto"/>
        </w:rPr>
        <w:t xml:space="preserve"> &amp; Boyd, 2018; </w:t>
      </w:r>
      <w:proofErr w:type="spellStart"/>
      <w:r w:rsidR="5D61B662" w:rsidRPr="00F67850">
        <w:rPr>
          <w:rFonts w:asciiTheme="minorHAnsi" w:eastAsiaTheme="minorEastAsia" w:hAnsiTheme="minorHAnsi" w:cstheme="minorHAnsi"/>
          <w:color w:val="auto"/>
        </w:rPr>
        <w:t>Moilanen</w:t>
      </w:r>
      <w:proofErr w:type="spellEnd"/>
      <w:r w:rsidR="5D61B662" w:rsidRPr="00F67850">
        <w:rPr>
          <w:rFonts w:asciiTheme="minorHAnsi" w:eastAsiaTheme="minorEastAsia" w:hAnsiTheme="minorHAnsi" w:cstheme="minorHAnsi"/>
          <w:color w:val="auto"/>
        </w:rPr>
        <w:t xml:space="preserve"> &amp; </w:t>
      </w:r>
      <w:proofErr w:type="spellStart"/>
      <w:r w:rsidR="5D61B662" w:rsidRPr="00F67850">
        <w:rPr>
          <w:rFonts w:asciiTheme="minorHAnsi" w:eastAsiaTheme="minorEastAsia" w:hAnsiTheme="minorHAnsi" w:cstheme="minorHAnsi"/>
          <w:color w:val="auto"/>
        </w:rPr>
        <w:t>Mertala</w:t>
      </w:r>
      <w:proofErr w:type="spellEnd"/>
      <w:r w:rsidR="5D61B662" w:rsidRPr="00F67850">
        <w:rPr>
          <w:rFonts w:asciiTheme="minorHAnsi" w:eastAsiaTheme="minorEastAsia" w:hAnsiTheme="minorHAnsi" w:cstheme="minorHAnsi"/>
          <w:color w:val="auto"/>
        </w:rPr>
        <w:t>, 2020); limitations in delivering effective visual arts coursework in online tertiary education contexts (</w:t>
      </w:r>
      <w:proofErr w:type="spellStart"/>
      <w:r w:rsidR="5D61B662" w:rsidRPr="00F67850">
        <w:rPr>
          <w:rFonts w:asciiTheme="minorHAnsi" w:eastAsiaTheme="minorEastAsia" w:hAnsiTheme="minorHAnsi" w:cstheme="minorHAnsi"/>
          <w:color w:val="auto"/>
        </w:rPr>
        <w:t>Cutcher</w:t>
      </w:r>
      <w:proofErr w:type="spellEnd"/>
      <w:r w:rsidR="5D61B662" w:rsidRPr="00F67850">
        <w:rPr>
          <w:rFonts w:asciiTheme="minorHAnsi" w:eastAsiaTheme="minorEastAsia" w:hAnsiTheme="minorHAnsi" w:cstheme="minorHAnsi"/>
          <w:color w:val="auto"/>
        </w:rPr>
        <w:t xml:space="preserve"> &amp; Cook, 2016); and poor role models during practicum placements (Collins, 2016; </w:t>
      </w:r>
      <w:proofErr w:type="spellStart"/>
      <w:r w:rsidR="5D61B662" w:rsidRPr="00F67850">
        <w:rPr>
          <w:rFonts w:asciiTheme="minorHAnsi" w:eastAsiaTheme="minorEastAsia" w:hAnsiTheme="minorHAnsi" w:cstheme="minorHAnsi"/>
          <w:color w:val="auto"/>
        </w:rPr>
        <w:t>Garvis</w:t>
      </w:r>
      <w:proofErr w:type="spellEnd"/>
      <w:r w:rsidR="5D61B662" w:rsidRPr="00F67850">
        <w:rPr>
          <w:rFonts w:asciiTheme="minorHAnsi" w:eastAsiaTheme="minorEastAsia" w:hAnsiTheme="minorHAnsi" w:cstheme="minorHAnsi"/>
          <w:color w:val="auto"/>
        </w:rPr>
        <w:t xml:space="preserve"> et al., 2011). Barton et al., (2013) warn that if arts experience during tertiary studies are limited, </w:t>
      </w:r>
      <w:r w:rsidR="08F7AD24" w:rsidRPr="00F67850">
        <w:rPr>
          <w:rFonts w:asciiTheme="minorHAnsi" w:eastAsiaTheme="minorEastAsia" w:hAnsiTheme="minorHAnsi" w:cstheme="minorHAnsi"/>
          <w:color w:val="auto"/>
        </w:rPr>
        <w:t>teachers</w:t>
      </w:r>
      <w:r w:rsidR="5D61B662" w:rsidRPr="00F67850">
        <w:rPr>
          <w:rFonts w:asciiTheme="minorHAnsi" w:eastAsiaTheme="minorEastAsia" w:hAnsiTheme="minorHAnsi" w:cstheme="minorHAnsi"/>
          <w:color w:val="auto"/>
        </w:rPr>
        <w:t xml:space="preserve"> will likely revert to teaching the arts the way they were taught as children, if at all. </w:t>
      </w:r>
      <w:r w:rsidR="4B5B1D03" w:rsidRPr="00F67850">
        <w:rPr>
          <w:rFonts w:asciiTheme="minorHAnsi" w:eastAsiaTheme="minorEastAsia" w:hAnsiTheme="minorHAnsi" w:cstheme="minorHAnsi"/>
          <w:color w:val="auto"/>
        </w:rPr>
        <w:t xml:space="preserve">This is positioned as the ‘baggage’ students bring to pre-service coursework (McArdle, </w:t>
      </w:r>
      <w:r w:rsidR="37EF898C" w:rsidRPr="00F67850">
        <w:rPr>
          <w:rFonts w:asciiTheme="minorHAnsi" w:eastAsiaTheme="minorEastAsia" w:hAnsiTheme="minorHAnsi" w:cstheme="minorHAnsi"/>
          <w:color w:val="auto"/>
        </w:rPr>
        <w:t>2012</w:t>
      </w:r>
      <w:r w:rsidR="4B5B1D03" w:rsidRPr="00F67850">
        <w:rPr>
          <w:rFonts w:asciiTheme="minorHAnsi" w:eastAsiaTheme="minorEastAsia" w:hAnsiTheme="minorHAnsi" w:cstheme="minorHAnsi"/>
          <w:color w:val="auto"/>
        </w:rPr>
        <w:t xml:space="preserve">; Klopper &amp; Power, 2010; Lindsay, 2021). </w:t>
      </w:r>
    </w:p>
    <w:p w14:paraId="0BFE401B" w14:textId="5AA399CB" w:rsidR="08479867" w:rsidRPr="00F67850" w:rsidRDefault="36543A9A" w:rsidP="120913F3">
      <w:pPr>
        <w:spacing w:after="120" w:line="360" w:lineRule="auto"/>
        <w:rPr>
          <w:rFonts w:asciiTheme="minorHAnsi" w:eastAsiaTheme="minorEastAsia" w:hAnsiTheme="minorHAnsi" w:cstheme="minorHAnsi"/>
          <w:b/>
          <w:bCs/>
          <w:color w:val="auto"/>
        </w:rPr>
      </w:pPr>
      <w:r w:rsidRPr="00F67850">
        <w:rPr>
          <w:rFonts w:asciiTheme="minorHAnsi" w:eastAsiaTheme="minorEastAsia" w:hAnsiTheme="minorHAnsi" w:cstheme="minorHAnsi"/>
          <w:b/>
          <w:bCs/>
          <w:color w:val="auto"/>
        </w:rPr>
        <w:t xml:space="preserve">The influence of professional learning </w:t>
      </w:r>
    </w:p>
    <w:p w14:paraId="3132437C" w14:textId="703EFD4F" w:rsidR="558F488D" w:rsidRPr="00F67850" w:rsidRDefault="5D61B662" w:rsidP="120913F3">
      <w:pPr>
        <w:pStyle w:val="Heading3"/>
        <w:spacing w:after="120" w:line="360" w:lineRule="auto"/>
        <w:rPr>
          <w:rFonts w:asciiTheme="minorHAnsi" w:eastAsiaTheme="minorEastAsia" w:hAnsiTheme="minorHAnsi" w:cstheme="minorHAnsi"/>
          <w:b w:val="0"/>
          <w:color w:val="auto"/>
        </w:rPr>
      </w:pPr>
      <w:r w:rsidRPr="00F67850">
        <w:rPr>
          <w:rFonts w:asciiTheme="minorHAnsi" w:eastAsiaTheme="minorEastAsia" w:hAnsiTheme="minorHAnsi" w:cstheme="minorHAnsi"/>
          <w:b w:val="0"/>
          <w:color w:val="auto"/>
        </w:rPr>
        <w:lastRenderedPageBreak/>
        <w:t xml:space="preserve">Practicing early childhood teachers struggle with ideas about the place of visual arts in early childhood curriculum and effective ways to teach it (Twigg &amp; </w:t>
      </w:r>
      <w:proofErr w:type="spellStart"/>
      <w:r w:rsidRPr="00F67850">
        <w:rPr>
          <w:rFonts w:asciiTheme="minorHAnsi" w:eastAsiaTheme="minorEastAsia" w:hAnsiTheme="minorHAnsi" w:cstheme="minorHAnsi"/>
          <w:b w:val="0"/>
          <w:color w:val="auto"/>
        </w:rPr>
        <w:t>Garvis</w:t>
      </w:r>
      <w:proofErr w:type="spellEnd"/>
      <w:r w:rsidRPr="00F67850">
        <w:rPr>
          <w:rFonts w:asciiTheme="minorHAnsi" w:eastAsiaTheme="minorEastAsia" w:hAnsiTheme="minorHAnsi" w:cstheme="minorHAnsi"/>
          <w:b w:val="0"/>
          <w:color w:val="auto"/>
        </w:rPr>
        <w:t xml:space="preserve">, 2010). Whilst further professional learning could potentially alleviate this issue, Sheridan (2009) noted there is minimal professional learning to support teachers to promote children’s learning in the visual arts. The few studies considering visual arts professional learning identified several effective practices. In their research, </w:t>
      </w:r>
      <w:proofErr w:type="gramStart"/>
      <w:r w:rsidR="20A6B521" w:rsidRPr="00F67850">
        <w:rPr>
          <w:rFonts w:asciiTheme="minorHAnsi" w:eastAsiaTheme="minorEastAsia" w:hAnsiTheme="minorHAnsi" w:cstheme="minorHAnsi"/>
          <w:b w:val="0"/>
          <w:color w:val="auto"/>
        </w:rPr>
        <w:t>Smyth</w:t>
      </w:r>
      <w:proofErr w:type="gramEnd"/>
      <w:r w:rsidR="20A6B521" w:rsidRPr="00F67850">
        <w:rPr>
          <w:rFonts w:asciiTheme="minorHAnsi" w:eastAsiaTheme="minorEastAsia" w:hAnsiTheme="minorHAnsi" w:cstheme="minorHAnsi"/>
          <w:b w:val="0"/>
          <w:color w:val="auto"/>
        </w:rPr>
        <w:t xml:space="preserve"> and Davis</w:t>
      </w:r>
      <w:r w:rsidR="63004FF8" w:rsidRPr="00F67850">
        <w:rPr>
          <w:rFonts w:asciiTheme="minorHAnsi" w:eastAsiaTheme="minorEastAsia" w:hAnsiTheme="minorHAnsi" w:cstheme="minorHAnsi"/>
          <w:b w:val="0"/>
          <w:color w:val="auto"/>
        </w:rPr>
        <w:t xml:space="preserve"> (2017) identified that self-led inquiry, coaching and peer-teaching increased self-efficacy and confidence to teach the visual arts both to children and colleagues.  Similarly, Bae (2004) found </w:t>
      </w:r>
      <w:r w:rsidRPr="00F67850">
        <w:rPr>
          <w:rFonts w:asciiTheme="minorHAnsi" w:eastAsiaTheme="minorEastAsia" w:hAnsiTheme="minorHAnsi" w:cstheme="minorHAnsi"/>
          <w:b w:val="0"/>
          <w:color w:val="auto"/>
        </w:rPr>
        <w:t xml:space="preserve">engagement with expert mentors increased participants’ visual arts confidence, </w:t>
      </w:r>
      <w:proofErr w:type="gramStart"/>
      <w:r w:rsidRPr="00F67850">
        <w:rPr>
          <w:rFonts w:asciiTheme="minorHAnsi" w:eastAsiaTheme="minorEastAsia" w:hAnsiTheme="minorHAnsi" w:cstheme="minorHAnsi"/>
          <w:b w:val="0"/>
          <w:color w:val="auto"/>
        </w:rPr>
        <w:t>knowledge</w:t>
      </w:r>
      <w:proofErr w:type="gramEnd"/>
      <w:r w:rsidRPr="00F67850">
        <w:rPr>
          <w:rFonts w:asciiTheme="minorHAnsi" w:eastAsiaTheme="minorEastAsia" w:hAnsiTheme="minorHAnsi" w:cstheme="minorHAnsi"/>
          <w:b w:val="0"/>
          <w:color w:val="auto"/>
        </w:rPr>
        <w:t xml:space="preserve"> and skills. </w:t>
      </w:r>
      <w:r w:rsidR="63004FF8" w:rsidRPr="00F67850">
        <w:rPr>
          <w:rFonts w:asciiTheme="minorHAnsi" w:eastAsiaTheme="minorEastAsia" w:hAnsiTheme="minorHAnsi" w:cstheme="minorHAnsi"/>
          <w:b w:val="0"/>
          <w:color w:val="auto"/>
        </w:rPr>
        <w:t xml:space="preserve">The inclusion of high-quality tools and materials, external experts, </w:t>
      </w:r>
      <w:proofErr w:type="gramStart"/>
      <w:r w:rsidR="63004FF8" w:rsidRPr="00F67850">
        <w:rPr>
          <w:rFonts w:asciiTheme="minorHAnsi" w:eastAsiaTheme="minorEastAsia" w:hAnsiTheme="minorHAnsi" w:cstheme="minorHAnsi"/>
          <w:b w:val="0"/>
          <w:color w:val="auto"/>
        </w:rPr>
        <w:t>inquiry</w:t>
      </w:r>
      <w:proofErr w:type="gramEnd"/>
      <w:r w:rsidR="63004FF8" w:rsidRPr="00F67850">
        <w:rPr>
          <w:rFonts w:asciiTheme="minorHAnsi" w:eastAsiaTheme="minorEastAsia" w:hAnsiTheme="minorHAnsi" w:cstheme="minorHAnsi"/>
          <w:b w:val="0"/>
          <w:color w:val="auto"/>
        </w:rPr>
        <w:t xml:space="preserve"> and problem solving, collaborative learning, and both online and in-person experiences were also identified as effective in developing self-efficacy during professional learning (Davis, 2017). </w:t>
      </w:r>
      <w:r w:rsidR="08F7AD24" w:rsidRPr="00F67850">
        <w:rPr>
          <w:rFonts w:asciiTheme="minorHAnsi" w:eastAsiaTheme="minorEastAsia" w:hAnsiTheme="minorHAnsi" w:cstheme="minorHAnsi"/>
          <w:b w:val="0"/>
          <w:color w:val="auto"/>
        </w:rPr>
        <w:t>These practices align with broader studies in teacher professional learning that highlight reflection, practical experience, mentoring and inquiry as effective approaches to improve teachers’ confidence and practice (Nolan &amp; Molla, 2016; Sheridan et al., 2009; Taggart &amp; Wilson, 2005).</w:t>
      </w:r>
    </w:p>
    <w:p w14:paraId="46A09986" w14:textId="43541E58" w:rsidR="00187545" w:rsidRPr="00F67850" w:rsidRDefault="6425BBC8" w:rsidP="120913F3">
      <w:pPr>
        <w:pStyle w:val="Heading2"/>
        <w:spacing w:after="120" w:line="360" w:lineRule="auto"/>
        <w:jc w:val="left"/>
        <w:rPr>
          <w:rFonts w:asciiTheme="minorHAnsi" w:eastAsiaTheme="minorEastAsia" w:hAnsiTheme="minorHAnsi" w:cstheme="minorHAnsi"/>
          <w:color w:val="auto"/>
        </w:rPr>
      </w:pPr>
      <w:r w:rsidRPr="00F67850">
        <w:rPr>
          <w:rFonts w:asciiTheme="minorHAnsi" w:eastAsiaTheme="minorEastAsia" w:hAnsiTheme="minorHAnsi" w:cstheme="minorHAnsi"/>
          <w:color w:val="auto"/>
        </w:rPr>
        <w:t>Theoretical Framework</w:t>
      </w:r>
      <w:r w:rsidR="192B30EF" w:rsidRPr="00F67850">
        <w:rPr>
          <w:rFonts w:asciiTheme="minorHAnsi" w:eastAsiaTheme="minorEastAsia" w:hAnsiTheme="minorHAnsi" w:cstheme="minorHAnsi"/>
          <w:color w:val="auto"/>
        </w:rPr>
        <w:t xml:space="preserve"> </w:t>
      </w:r>
    </w:p>
    <w:p w14:paraId="2FEA3482" w14:textId="1E10ED81" w:rsidR="72487AA5" w:rsidRPr="00F67850" w:rsidRDefault="0D97326A" w:rsidP="120913F3">
      <w:pPr>
        <w:spacing w:after="120" w:line="360" w:lineRule="auto"/>
        <w:rPr>
          <w:rFonts w:asciiTheme="minorHAnsi" w:eastAsiaTheme="minorEastAsia" w:hAnsiTheme="minorHAnsi" w:cstheme="minorHAnsi"/>
          <w:color w:val="auto"/>
        </w:rPr>
      </w:pPr>
      <w:r w:rsidRPr="00F67850">
        <w:rPr>
          <w:rFonts w:asciiTheme="minorHAnsi" w:eastAsiaTheme="minorEastAsia" w:hAnsiTheme="minorHAnsi" w:cstheme="minorHAnsi"/>
          <w:color w:val="auto"/>
        </w:rPr>
        <w:t xml:space="preserve">The three studies explored in this article utilised a variety of theoretical approaches to analyse data gathered in diverse contexts. However, the varied theories shared common alignment within a constructivist epistemological </w:t>
      </w:r>
      <w:r w:rsidR="00E76363" w:rsidRPr="00F67850">
        <w:rPr>
          <w:rFonts w:asciiTheme="minorHAnsi" w:eastAsiaTheme="minorEastAsia" w:hAnsiTheme="minorHAnsi" w:cstheme="minorHAnsi"/>
          <w:color w:val="auto"/>
        </w:rPr>
        <w:t>frame,</w:t>
      </w:r>
      <w:r w:rsidRPr="00F67850">
        <w:rPr>
          <w:rFonts w:asciiTheme="minorHAnsi" w:eastAsiaTheme="minorEastAsia" w:hAnsiTheme="minorHAnsi" w:cstheme="minorHAnsi"/>
          <w:color w:val="auto"/>
        </w:rPr>
        <w:t xml:space="preserve"> contributing strength to our common findings. Constructivist theories ground both our research methodologies and </w:t>
      </w:r>
      <w:r w:rsidR="1463D00D" w:rsidRPr="00F67850">
        <w:rPr>
          <w:rFonts w:asciiTheme="minorHAnsi" w:eastAsiaTheme="minorEastAsia" w:hAnsiTheme="minorHAnsi" w:cstheme="minorHAnsi"/>
          <w:color w:val="333333"/>
        </w:rPr>
        <w:t>contemporary descriptions of quality teaching, including visual arts practice</w:t>
      </w:r>
      <w:r w:rsidRPr="00F67850">
        <w:rPr>
          <w:rFonts w:asciiTheme="minorHAnsi" w:eastAsiaTheme="minorEastAsia" w:hAnsiTheme="minorHAnsi" w:cstheme="minorHAnsi"/>
          <w:color w:val="auto"/>
        </w:rPr>
        <w:t xml:space="preserve">. </w:t>
      </w:r>
      <w:r w:rsidR="27558EAB" w:rsidRPr="00F67850">
        <w:rPr>
          <w:rFonts w:asciiTheme="minorHAnsi" w:eastAsiaTheme="minorEastAsia" w:hAnsiTheme="minorHAnsi" w:cstheme="minorHAnsi"/>
          <w:color w:val="auto"/>
        </w:rPr>
        <w:t xml:space="preserve">Constructivism is a theory about knowledge and learning in which shared knowledge, language and culture develop through an individual’s experiences and interactions with tools, objects, </w:t>
      </w:r>
      <w:proofErr w:type="gramStart"/>
      <w:r w:rsidR="27558EAB" w:rsidRPr="00F67850">
        <w:rPr>
          <w:rFonts w:asciiTheme="minorHAnsi" w:eastAsiaTheme="minorEastAsia" w:hAnsiTheme="minorHAnsi" w:cstheme="minorHAnsi"/>
          <w:color w:val="auto"/>
        </w:rPr>
        <w:t>symbols</w:t>
      </w:r>
      <w:proofErr w:type="gramEnd"/>
      <w:r w:rsidR="27558EAB" w:rsidRPr="00F67850">
        <w:rPr>
          <w:rFonts w:asciiTheme="minorHAnsi" w:eastAsiaTheme="minorEastAsia" w:hAnsiTheme="minorHAnsi" w:cstheme="minorHAnsi"/>
          <w:color w:val="auto"/>
        </w:rPr>
        <w:t xml:space="preserve"> and social engagement (Chen, 2008; </w:t>
      </w:r>
      <w:proofErr w:type="spellStart"/>
      <w:r w:rsidR="27558EAB" w:rsidRPr="00F67850">
        <w:rPr>
          <w:rFonts w:asciiTheme="minorHAnsi" w:eastAsiaTheme="minorEastAsia" w:hAnsiTheme="minorHAnsi" w:cstheme="minorHAnsi"/>
          <w:color w:val="auto"/>
        </w:rPr>
        <w:t>Martalock</w:t>
      </w:r>
      <w:proofErr w:type="spellEnd"/>
      <w:r w:rsidR="27558EAB" w:rsidRPr="00F67850">
        <w:rPr>
          <w:rFonts w:asciiTheme="minorHAnsi" w:eastAsiaTheme="minorEastAsia" w:hAnsiTheme="minorHAnsi" w:cstheme="minorHAnsi"/>
          <w:color w:val="auto"/>
        </w:rPr>
        <w:t xml:space="preserve">, 2012). </w:t>
      </w:r>
      <w:r w:rsidR="6FE995B1" w:rsidRPr="00F67850">
        <w:rPr>
          <w:rFonts w:asciiTheme="minorHAnsi" w:eastAsiaTheme="minorEastAsia" w:hAnsiTheme="minorHAnsi" w:cstheme="minorHAnsi"/>
          <w:color w:val="auto"/>
        </w:rPr>
        <w:t>Similarly, sociocultural theories situate knowledge construction as subjective and contextualised, situated in place and time (Vygotsky, 1962).</w:t>
      </w:r>
      <w:r w:rsidR="27558EAB" w:rsidRPr="00F67850">
        <w:rPr>
          <w:rFonts w:asciiTheme="minorHAnsi" w:eastAsiaTheme="minorEastAsia" w:hAnsiTheme="minorHAnsi" w:cstheme="minorHAnsi"/>
          <w:color w:val="auto"/>
        </w:rPr>
        <w:t xml:space="preserve"> A</w:t>
      </w:r>
      <w:r w:rsidR="0B4086FD" w:rsidRPr="00F67850">
        <w:rPr>
          <w:rFonts w:asciiTheme="minorHAnsi" w:eastAsiaTheme="minorEastAsia" w:hAnsiTheme="minorHAnsi" w:cstheme="minorHAnsi"/>
          <w:color w:val="auto"/>
        </w:rPr>
        <w:t>rt education researchers agree on the importance of a constructivist view to understand visual arts pedagogy (Brooks, 2017; Kindler, 1996; McArdle, 2012</w:t>
      </w:r>
      <w:r w:rsidR="697272A6" w:rsidRPr="00F67850">
        <w:rPr>
          <w:rFonts w:asciiTheme="minorHAnsi" w:eastAsiaTheme="minorEastAsia" w:hAnsiTheme="minorHAnsi" w:cstheme="minorHAnsi"/>
          <w:color w:val="auto"/>
        </w:rPr>
        <w:t xml:space="preserve"> </w:t>
      </w:r>
      <w:r w:rsidR="0B4086FD" w:rsidRPr="00F67850">
        <w:rPr>
          <w:rFonts w:asciiTheme="minorHAnsi" w:eastAsiaTheme="minorEastAsia" w:hAnsiTheme="minorHAnsi" w:cstheme="minorHAnsi"/>
          <w:color w:val="auto"/>
        </w:rPr>
        <w:t xml:space="preserve">Richards &amp; </w:t>
      </w:r>
      <w:proofErr w:type="spellStart"/>
      <w:r w:rsidR="0B4086FD" w:rsidRPr="00F67850">
        <w:rPr>
          <w:rFonts w:asciiTheme="minorHAnsi" w:eastAsiaTheme="minorEastAsia" w:hAnsiTheme="minorHAnsi" w:cstheme="minorHAnsi"/>
          <w:color w:val="auto"/>
        </w:rPr>
        <w:t>Terreni</w:t>
      </w:r>
      <w:proofErr w:type="spellEnd"/>
      <w:r w:rsidR="0B4086FD" w:rsidRPr="00F67850">
        <w:rPr>
          <w:rFonts w:asciiTheme="minorHAnsi" w:eastAsiaTheme="minorEastAsia" w:hAnsiTheme="minorHAnsi" w:cstheme="minorHAnsi"/>
          <w:color w:val="auto"/>
        </w:rPr>
        <w:t xml:space="preserve">, 2013). </w:t>
      </w:r>
    </w:p>
    <w:p w14:paraId="3C3B488A" w14:textId="48FE1F7A" w:rsidR="00187545" w:rsidRPr="00F67850" w:rsidRDefault="3757E81D" w:rsidP="120913F3">
      <w:pPr>
        <w:pStyle w:val="Heading2"/>
        <w:spacing w:after="120" w:line="360" w:lineRule="auto"/>
        <w:jc w:val="left"/>
        <w:rPr>
          <w:rFonts w:asciiTheme="minorHAnsi" w:eastAsiaTheme="minorEastAsia" w:hAnsiTheme="minorHAnsi" w:cstheme="minorHAnsi"/>
          <w:color w:val="auto"/>
        </w:rPr>
      </w:pPr>
      <w:r w:rsidRPr="00F67850">
        <w:rPr>
          <w:rFonts w:asciiTheme="minorHAnsi" w:eastAsiaTheme="minorEastAsia" w:hAnsiTheme="minorHAnsi" w:cstheme="minorHAnsi"/>
          <w:color w:val="auto"/>
        </w:rPr>
        <w:lastRenderedPageBreak/>
        <w:t>Methodology</w:t>
      </w:r>
      <w:r w:rsidR="407726A4" w:rsidRPr="00F67850">
        <w:rPr>
          <w:rFonts w:asciiTheme="minorHAnsi" w:eastAsiaTheme="minorEastAsia" w:hAnsiTheme="minorHAnsi" w:cstheme="minorHAnsi"/>
          <w:color w:val="auto"/>
        </w:rPr>
        <w:t xml:space="preserve"> </w:t>
      </w:r>
    </w:p>
    <w:p w14:paraId="271407D4" w14:textId="7ECE0222" w:rsidR="6E6065DF" w:rsidRPr="00F67850" w:rsidRDefault="703085D8" w:rsidP="120913F3">
      <w:pPr>
        <w:spacing w:after="120" w:line="360" w:lineRule="auto"/>
        <w:rPr>
          <w:rFonts w:asciiTheme="minorHAnsi" w:eastAsiaTheme="minorEastAsia" w:hAnsiTheme="minorHAnsi" w:cstheme="minorHAnsi"/>
          <w:color w:val="auto"/>
        </w:rPr>
      </w:pPr>
      <w:r w:rsidRPr="00F67850">
        <w:rPr>
          <w:rFonts w:asciiTheme="minorHAnsi" w:eastAsiaTheme="minorEastAsia" w:hAnsiTheme="minorHAnsi" w:cstheme="minorHAnsi"/>
          <w:color w:val="auto"/>
        </w:rPr>
        <w:t xml:space="preserve">The methodology that informed the discussion in this article is a qualitative, </w:t>
      </w:r>
      <w:proofErr w:type="gramStart"/>
      <w:r w:rsidRPr="00F67850">
        <w:rPr>
          <w:rFonts w:asciiTheme="minorHAnsi" w:eastAsiaTheme="minorEastAsia" w:hAnsiTheme="minorHAnsi" w:cstheme="minorHAnsi"/>
          <w:color w:val="auto"/>
        </w:rPr>
        <w:t>iterative</w:t>
      </w:r>
      <w:proofErr w:type="gramEnd"/>
      <w:r w:rsidRPr="00F67850">
        <w:rPr>
          <w:rFonts w:asciiTheme="minorHAnsi" w:eastAsiaTheme="minorEastAsia" w:hAnsiTheme="minorHAnsi" w:cstheme="minorHAnsi"/>
          <w:color w:val="auto"/>
        </w:rPr>
        <w:t xml:space="preserve"> and thematic re-analysis of three early childhood visual arts self-efficacy studies. The studies each utilised various methods and processes (for detail, see: Denee, 2022; Lindsay, 2017; </w:t>
      </w:r>
      <w:proofErr w:type="spellStart"/>
      <w:r w:rsidRPr="00F67850">
        <w:rPr>
          <w:rFonts w:asciiTheme="minorHAnsi" w:eastAsiaTheme="minorEastAsia" w:hAnsiTheme="minorHAnsi" w:cstheme="minorHAnsi"/>
          <w:color w:val="auto"/>
        </w:rPr>
        <w:t>Probine</w:t>
      </w:r>
      <w:proofErr w:type="spellEnd"/>
      <w:r w:rsidRPr="00F67850">
        <w:rPr>
          <w:rFonts w:asciiTheme="minorHAnsi" w:eastAsiaTheme="minorEastAsia" w:hAnsiTheme="minorHAnsi" w:cstheme="minorHAnsi"/>
          <w:color w:val="auto"/>
        </w:rPr>
        <w:t>, 2020). There are important alignments in our three methodologies that enable our studies to be considered collectively, beginning with the shared foundation of a constructivist, qualitative approach to data collection and an iterative thematic approach to data analysis (Braun &amp; Clark, 2006).</w:t>
      </w:r>
      <w:r w:rsidR="120913F3" w:rsidRPr="00F67850">
        <w:rPr>
          <w:rFonts w:asciiTheme="minorHAnsi" w:eastAsiaTheme="minorEastAsia" w:hAnsiTheme="minorHAnsi" w:cstheme="minorHAnsi"/>
          <w:color w:val="auto"/>
        </w:rPr>
        <w:t xml:space="preserve"> </w:t>
      </w:r>
      <w:r w:rsidRPr="00F67850">
        <w:rPr>
          <w:rFonts w:asciiTheme="minorHAnsi" w:eastAsiaTheme="minorEastAsia" w:hAnsiTheme="minorHAnsi" w:cstheme="minorHAnsi"/>
          <w:color w:val="auto"/>
        </w:rPr>
        <w:t>Within this common constructivist paradigm, we rigorously</w:t>
      </w:r>
      <w:r w:rsidR="120913F3" w:rsidRPr="00F67850">
        <w:rPr>
          <w:rFonts w:asciiTheme="minorHAnsi" w:eastAsiaTheme="minorEastAsia" w:hAnsiTheme="minorHAnsi" w:cstheme="minorHAnsi"/>
          <w:color w:val="auto"/>
        </w:rPr>
        <w:t xml:space="preserve"> and </w:t>
      </w:r>
      <w:r w:rsidRPr="00F67850">
        <w:rPr>
          <w:rFonts w:asciiTheme="minorHAnsi" w:eastAsiaTheme="minorEastAsia" w:hAnsiTheme="minorHAnsi" w:cstheme="minorHAnsi"/>
          <w:color w:val="auto"/>
        </w:rPr>
        <w:t xml:space="preserve">intentionally re-considered, re-analysed and re-conceptualised our findings for this article. </w:t>
      </w:r>
      <w:r w:rsidR="5B465543" w:rsidRPr="00F67850">
        <w:rPr>
          <w:rFonts w:asciiTheme="minorHAnsi" w:eastAsiaTheme="minorEastAsia" w:hAnsiTheme="minorHAnsi" w:cstheme="minorHAnsi"/>
          <w:color w:val="auto"/>
        </w:rPr>
        <w:t xml:space="preserve">The identification of common findings across the three studies concurrently employed iterative coding of key themes, coupled with regular critical and reflective dialogue and re-analysis cycles to discover contradictions and agreements about self-efficacy and </w:t>
      </w:r>
      <w:r w:rsidRPr="00F67850">
        <w:rPr>
          <w:rFonts w:asciiTheme="minorHAnsi" w:eastAsiaTheme="minorEastAsia" w:hAnsiTheme="minorHAnsi" w:cstheme="minorHAnsi"/>
          <w:color w:val="auto"/>
        </w:rPr>
        <w:t>to construct new knowledge about ECE teachers’ visual arts self-efficacy.</w:t>
      </w:r>
    </w:p>
    <w:p w14:paraId="41D00033" w14:textId="33211D64" w:rsidR="6E6065DF" w:rsidRPr="00F67850" w:rsidRDefault="20291079" w:rsidP="120913F3">
      <w:pPr>
        <w:spacing w:after="120" w:line="360" w:lineRule="auto"/>
        <w:rPr>
          <w:rFonts w:asciiTheme="minorHAnsi" w:eastAsiaTheme="minorEastAsia" w:hAnsiTheme="minorHAnsi" w:cstheme="minorHAnsi"/>
          <w:b/>
          <w:bCs/>
          <w:color w:val="auto"/>
          <w:sz w:val="28"/>
          <w:szCs w:val="28"/>
        </w:rPr>
      </w:pPr>
      <w:r w:rsidRPr="00F67850">
        <w:rPr>
          <w:rStyle w:val="Heading2Char"/>
          <w:rFonts w:asciiTheme="minorHAnsi" w:eastAsiaTheme="minorEastAsia" w:hAnsiTheme="minorHAnsi" w:cstheme="minorHAnsi"/>
          <w:color w:val="auto"/>
        </w:rPr>
        <w:t>Summary of the three studies</w:t>
      </w:r>
    </w:p>
    <w:p w14:paraId="43BC4881" w14:textId="2EC381D7" w:rsidR="2E2F305D" w:rsidRPr="00F67850" w:rsidRDefault="045F70F8" w:rsidP="120913F3">
      <w:pPr>
        <w:pStyle w:val="Heading3"/>
        <w:spacing w:after="120" w:line="360" w:lineRule="auto"/>
        <w:rPr>
          <w:rFonts w:asciiTheme="minorHAnsi" w:eastAsiaTheme="minorEastAsia" w:hAnsiTheme="minorHAnsi" w:cstheme="minorHAnsi"/>
          <w:b w:val="0"/>
          <w:color w:val="auto"/>
          <w:lang w:val="en-NZ"/>
        </w:rPr>
      </w:pPr>
      <w:r w:rsidRPr="00F67850">
        <w:rPr>
          <w:rFonts w:asciiTheme="minorHAnsi" w:eastAsiaTheme="minorEastAsia" w:hAnsiTheme="minorHAnsi" w:cstheme="minorHAnsi"/>
          <w:b w:val="0"/>
          <w:color w:val="auto"/>
          <w:lang w:val="en-NZ"/>
        </w:rPr>
        <w:t xml:space="preserve">We now present an overview of each study. We position the three studies in a narrative arc: Lindsay’s (2017) study surveyed the context of early childhood educator beliefs about visual arts and the barriers to developing confidence and effective practice in this curriculum area; Denee’s (2022) study addressed these issues through a professional learning intervention, exploring effective strategies to achieve transformative shifts in self-efficacy and teaching practice; and finally, </w:t>
      </w:r>
      <w:proofErr w:type="spellStart"/>
      <w:r w:rsidRPr="00F67850">
        <w:rPr>
          <w:rFonts w:asciiTheme="minorHAnsi" w:eastAsiaTheme="minorEastAsia" w:hAnsiTheme="minorHAnsi" w:cstheme="minorHAnsi"/>
          <w:b w:val="0"/>
          <w:color w:val="auto"/>
          <w:lang w:val="en-NZ"/>
        </w:rPr>
        <w:t>Probine’s</w:t>
      </w:r>
      <w:proofErr w:type="spellEnd"/>
      <w:r w:rsidRPr="00F67850">
        <w:rPr>
          <w:rFonts w:asciiTheme="minorHAnsi" w:eastAsiaTheme="minorEastAsia" w:hAnsiTheme="minorHAnsi" w:cstheme="minorHAnsi"/>
          <w:b w:val="0"/>
          <w:color w:val="auto"/>
          <w:lang w:val="en-NZ"/>
        </w:rPr>
        <w:t xml:space="preserve"> (2020) study considered high quality settings where strength of philosophy, leadership and team professional learning had successfully resulted in effective visual arts pedagogy. While not presented in chronological order, a semantic logic weaves the three stories into a broad narrative about visual arts self-efficacy amongst ECE teachers. </w:t>
      </w:r>
    </w:p>
    <w:p w14:paraId="1C1BF83B" w14:textId="0CF5FCF1" w:rsidR="2FC33E9B" w:rsidRPr="00F67850" w:rsidRDefault="310FEFA5" w:rsidP="00F67850">
      <w:pPr>
        <w:pStyle w:val="Heading3"/>
        <w:rPr>
          <w:rFonts w:asciiTheme="minorHAnsi" w:hAnsiTheme="minorHAnsi" w:cstheme="minorHAnsi"/>
          <w:highlight w:val="yellow"/>
          <w:lang w:val="en-NZ"/>
        </w:rPr>
      </w:pPr>
      <w:r w:rsidRPr="00F67850">
        <w:rPr>
          <w:rFonts w:asciiTheme="minorHAnsi" w:hAnsiTheme="minorHAnsi" w:cstheme="minorHAnsi"/>
          <w:lang w:val="en-NZ"/>
        </w:rPr>
        <w:t xml:space="preserve">Lindsay’s (2017) study </w:t>
      </w:r>
      <w:r w:rsidR="30B24507" w:rsidRPr="00F67850">
        <w:rPr>
          <w:rFonts w:asciiTheme="minorHAnsi" w:hAnsiTheme="minorHAnsi" w:cstheme="minorHAnsi"/>
        </w:rPr>
        <w:tab/>
      </w:r>
    </w:p>
    <w:p w14:paraId="2C60DC9A" w14:textId="6E884710" w:rsidR="2FC33E9B" w:rsidRPr="00F67850" w:rsidRDefault="0D97326A" w:rsidP="120913F3">
      <w:pPr>
        <w:pStyle w:val="Paragraph-text"/>
        <w:spacing w:after="120" w:line="360" w:lineRule="auto"/>
        <w:ind w:firstLine="0"/>
        <w:rPr>
          <w:rFonts w:asciiTheme="minorHAnsi" w:eastAsiaTheme="minorEastAsia" w:hAnsiTheme="minorHAnsi" w:cstheme="minorHAnsi"/>
          <w:color w:val="70AD47" w:themeColor="accent6"/>
          <w:lang w:val="en-NZ"/>
        </w:rPr>
      </w:pPr>
      <w:r w:rsidRPr="00F67850">
        <w:rPr>
          <w:rFonts w:asciiTheme="minorHAnsi" w:eastAsiaTheme="minorEastAsia" w:hAnsiTheme="minorHAnsi" w:cstheme="minorHAnsi"/>
          <w:color w:val="auto"/>
        </w:rPr>
        <w:t xml:space="preserve">Lindsay’s (2017) qualitative research </w:t>
      </w:r>
      <w:r w:rsidRPr="00F67850">
        <w:rPr>
          <w:rFonts w:asciiTheme="minorHAnsi" w:eastAsiaTheme="minorEastAsia" w:hAnsiTheme="minorHAnsi" w:cstheme="minorHAnsi"/>
          <w:color w:val="auto"/>
          <w:lang w:val="en-GB"/>
        </w:rPr>
        <w:t xml:space="preserve">specifically sought to identify and describe early childhood educator beliefs and pedagogical knowledge and their impact on the provision of visual arts experiences for young children. Informed by Yin’s (2009) multiple-case study replication approach, the study sought to </w:t>
      </w:r>
      <w:r w:rsidRPr="00F67850">
        <w:rPr>
          <w:rFonts w:asciiTheme="minorHAnsi" w:eastAsiaTheme="minorEastAsia" w:hAnsiTheme="minorHAnsi" w:cstheme="minorHAnsi"/>
          <w:color w:val="auto"/>
        </w:rPr>
        <w:t xml:space="preserve">respectfully represent the voices of </w:t>
      </w:r>
      <w:r w:rsidRPr="00F67850">
        <w:rPr>
          <w:rFonts w:asciiTheme="minorHAnsi" w:eastAsiaTheme="minorEastAsia" w:hAnsiTheme="minorHAnsi" w:cstheme="minorHAnsi"/>
          <w:color w:val="auto"/>
          <w:lang w:val="en-GB"/>
        </w:rPr>
        <w:t>eight degree-qualified</w:t>
      </w:r>
      <w:r w:rsidR="27558EAB" w:rsidRPr="00F67850">
        <w:rPr>
          <w:rFonts w:asciiTheme="minorHAnsi" w:eastAsiaTheme="minorEastAsia" w:hAnsiTheme="minorHAnsi" w:cstheme="minorHAnsi"/>
          <w:color w:val="auto"/>
          <w:lang w:val="en-GB"/>
        </w:rPr>
        <w:t xml:space="preserve"> </w:t>
      </w:r>
      <w:r w:rsidRPr="00F67850">
        <w:rPr>
          <w:rFonts w:asciiTheme="minorHAnsi" w:eastAsiaTheme="minorEastAsia" w:hAnsiTheme="minorHAnsi" w:cstheme="minorHAnsi"/>
          <w:color w:val="auto"/>
          <w:lang w:val="en-GB"/>
        </w:rPr>
        <w:t xml:space="preserve">early childhood teachers and four vocationally trained educators located in 4 ECE </w:t>
      </w:r>
      <w:r w:rsidRPr="00F67850">
        <w:rPr>
          <w:rFonts w:asciiTheme="minorHAnsi" w:eastAsiaTheme="minorEastAsia" w:hAnsiTheme="minorHAnsi" w:cstheme="minorHAnsi"/>
          <w:color w:val="auto"/>
          <w:lang w:val="en-GB"/>
        </w:rPr>
        <w:lastRenderedPageBreak/>
        <w:t>settings</w:t>
      </w:r>
      <w:r w:rsidRPr="00F67850">
        <w:rPr>
          <w:rFonts w:asciiTheme="minorHAnsi" w:eastAsiaTheme="minorEastAsia" w:hAnsiTheme="minorHAnsi" w:cstheme="minorHAnsi"/>
          <w:color w:val="auto"/>
        </w:rPr>
        <w:t>. Data collection methods included photographs of visual arts provisions and materials, pedagogical documentation analysis and participant interviews. A constructivist conceptual framework that aligned the key tenets of the Italian Reggio Emilia educational project with John Dewey’s philosophies of art, education and democracy was designed</w:t>
      </w:r>
      <w:r w:rsidR="27558EAB" w:rsidRPr="00F67850">
        <w:rPr>
          <w:rFonts w:asciiTheme="minorHAnsi" w:eastAsiaTheme="minorEastAsia" w:hAnsiTheme="minorHAnsi" w:cstheme="minorHAnsi"/>
          <w:color w:val="auto"/>
          <w:lang w:val="en-GB"/>
        </w:rPr>
        <w:t xml:space="preserve"> </w:t>
      </w:r>
      <w:r w:rsidRPr="00F67850">
        <w:rPr>
          <w:rFonts w:asciiTheme="minorHAnsi" w:eastAsiaTheme="minorEastAsia" w:hAnsiTheme="minorHAnsi" w:cstheme="minorHAnsi"/>
          <w:color w:val="auto"/>
          <w:lang w:val="en-GB"/>
        </w:rPr>
        <w:t xml:space="preserve">to support analysis of </w:t>
      </w:r>
      <w:r w:rsidRPr="00F67850">
        <w:rPr>
          <w:rFonts w:asciiTheme="minorHAnsi" w:eastAsiaTheme="minorEastAsia" w:hAnsiTheme="minorHAnsi" w:cstheme="minorHAnsi"/>
          <w:color w:val="auto"/>
        </w:rPr>
        <w:t>the participants’ beliefs (self-efficacy and general beliefs), knowledge and pedagogy in relation to the visual arts, children’s learning, materials and environment and the role of the educator.</w:t>
      </w:r>
    </w:p>
    <w:p w14:paraId="2CECC707" w14:textId="3CF2C89A" w:rsidR="2FC33E9B" w:rsidRPr="00F67850" w:rsidRDefault="0D97326A" w:rsidP="120913F3">
      <w:pPr>
        <w:spacing w:after="120" w:line="360" w:lineRule="auto"/>
        <w:rPr>
          <w:rFonts w:asciiTheme="minorHAnsi" w:eastAsiaTheme="minorEastAsia" w:hAnsiTheme="minorHAnsi" w:cstheme="minorHAnsi"/>
          <w:color w:val="70AD47" w:themeColor="accent6"/>
        </w:rPr>
      </w:pPr>
      <w:r w:rsidRPr="00F67850">
        <w:rPr>
          <w:rFonts w:asciiTheme="minorHAnsi" w:eastAsiaTheme="minorEastAsia" w:hAnsiTheme="minorHAnsi" w:cstheme="minorHAnsi"/>
          <w:color w:val="auto"/>
        </w:rPr>
        <w:t>Most of Lindsay’s participants expressed low self-efficacy and a lack of visual arts skills and knowledge to enable them to effectively implement high quality visual arts experiences with children. Confusion about the purposes and methods of visual arts pedagogy, tangled with divergent beliefs about children’s visual arts learning and the role of the educator, restrained practice. Pre-service training had little impact upon the participants’ existing beliefs about the nature of visual arts development, nor upon a range of visual arts assumptions that influenced non-interventionist approaches to visual arts pedagogy. On the other hand, Lindsay found that where constructivist theoretical approaches were evident, participants’ low self-efficacy beliefs were overcome to enable effective visual arts planning and engagement with children.</w:t>
      </w:r>
    </w:p>
    <w:p w14:paraId="63692168" w14:textId="164B4240" w:rsidR="3A296AAC" w:rsidRPr="00F67850" w:rsidRDefault="0260E938" w:rsidP="120913F3">
      <w:pPr>
        <w:pStyle w:val="Heading3"/>
        <w:spacing w:after="120" w:line="360" w:lineRule="auto"/>
        <w:rPr>
          <w:rFonts w:asciiTheme="minorHAnsi" w:eastAsiaTheme="minorEastAsia" w:hAnsiTheme="minorHAnsi" w:cstheme="minorHAnsi"/>
          <w:i/>
          <w:iCs/>
          <w:color w:val="auto"/>
          <w:lang w:val="en-NZ"/>
        </w:rPr>
      </w:pPr>
      <w:r w:rsidRPr="00F67850">
        <w:rPr>
          <w:rFonts w:asciiTheme="minorHAnsi" w:eastAsiaTheme="minorEastAsia" w:hAnsiTheme="minorHAnsi" w:cstheme="minorHAnsi"/>
          <w:i/>
          <w:iCs/>
          <w:color w:val="auto"/>
          <w:lang w:val="en-NZ"/>
        </w:rPr>
        <w:t>Denee’s (2022) study</w:t>
      </w:r>
    </w:p>
    <w:p w14:paraId="44D40072" w14:textId="531CD7D0" w:rsidR="3A296AAC" w:rsidRPr="00F67850" w:rsidRDefault="0D97326A" w:rsidP="120913F3">
      <w:pPr>
        <w:spacing w:after="120" w:line="360" w:lineRule="auto"/>
        <w:rPr>
          <w:rFonts w:asciiTheme="minorHAnsi" w:eastAsiaTheme="minorEastAsia" w:hAnsiTheme="minorHAnsi" w:cstheme="minorHAnsi"/>
          <w:color w:val="auto"/>
        </w:rPr>
      </w:pPr>
      <w:r w:rsidRPr="00F67850">
        <w:rPr>
          <w:rFonts w:asciiTheme="minorHAnsi" w:eastAsiaTheme="minorEastAsia" w:hAnsiTheme="minorHAnsi" w:cstheme="minorHAnsi"/>
          <w:color w:val="auto"/>
          <w:lang w:val="en-NZ"/>
        </w:rPr>
        <w:t xml:space="preserve">Denee (2022) conducted a qualitative, interpretivist mixed methods study looking at the development of visual arts practices and perceptions of ECE teachers through a network professional learning community (PLC) approach. This </w:t>
      </w:r>
      <w:proofErr w:type="spellStart"/>
      <w:r w:rsidRPr="00F67850">
        <w:rPr>
          <w:rFonts w:asciiTheme="minorHAnsi" w:eastAsiaTheme="minorEastAsia" w:hAnsiTheme="minorHAnsi" w:cstheme="minorHAnsi"/>
          <w:color w:val="auto"/>
          <w:lang w:val="en-NZ"/>
        </w:rPr>
        <w:t>multilogical</w:t>
      </w:r>
      <w:proofErr w:type="spellEnd"/>
      <w:r w:rsidRPr="00F67850">
        <w:rPr>
          <w:rFonts w:asciiTheme="minorHAnsi" w:eastAsiaTheme="minorEastAsia" w:hAnsiTheme="minorHAnsi" w:cstheme="minorHAnsi"/>
          <w:color w:val="auto"/>
          <w:lang w:val="en-NZ"/>
        </w:rPr>
        <w:t xml:space="preserve"> inquiry (Tobin, 2018) made use of a wide range of data sources to ensure the phenomenon was examined from multiple angles and perspectives. Methodologically, the study involved two main stages: a national survey of New Zealand ECE teachers and a case study focused on a professional learning intervention. The main data sources for the case study included interviews, focus groups, meeting dialogue transcripts, photographs, and learning story documentation. </w:t>
      </w:r>
    </w:p>
    <w:p w14:paraId="632D0B68" w14:textId="38B8FAED" w:rsidR="3A296AAC" w:rsidRPr="00F67850" w:rsidRDefault="0D97326A" w:rsidP="120913F3">
      <w:pPr>
        <w:spacing w:after="120" w:line="360" w:lineRule="auto"/>
        <w:rPr>
          <w:rFonts w:asciiTheme="minorHAnsi" w:eastAsiaTheme="minorEastAsia" w:hAnsiTheme="minorHAnsi" w:cstheme="minorHAnsi"/>
          <w:color w:val="auto"/>
        </w:rPr>
      </w:pPr>
      <w:r w:rsidRPr="00F67850">
        <w:rPr>
          <w:rFonts w:asciiTheme="minorHAnsi" w:eastAsiaTheme="minorEastAsia" w:hAnsiTheme="minorHAnsi" w:cstheme="minorHAnsi"/>
          <w:color w:val="auto"/>
          <w:lang w:val="en-NZ"/>
        </w:rPr>
        <w:t xml:space="preserve">The national online survey gained 193 responses. One group of questions focused on visual arts self-efficacy. Most survey respondents rated themselves as having moderate or high self-efficacy in visual arts teaching. However, in the open text box questions in this section, qualitative comments indicated an even spread of high and low self-efficacy. The 25 </w:t>
      </w:r>
      <w:r w:rsidRPr="00F67850">
        <w:rPr>
          <w:rFonts w:asciiTheme="minorHAnsi" w:eastAsiaTheme="minorEastAsia" w:hAnsiTheme="minorHAnsi" w:cstheme="minorHAnsi"/>
          <w:color w:val="auto"/>
          <w:lang w:val="en-NZ"/>
        </w:rPr>
        <w:lastRenderedPageBreak/>
        <w:t>respondents reported low self-efficacy and expressed insecurity about their lack of visual arts</w:t>
      </w:r>
      <w:r w:rsidR="120913F3" w:rsidRPr="00F67850">
        <w:rPr>
          <w:rFonts w:asciiTheme="minorHAnsi" w:eastAsiaTheme="minorEastAsia" w:hAnsiTheme="minorHAnsi" w:cstheme="minorHAnsi"/>
          <w:color w:val="auto"/>
          <w:lang w:val="en-NZ"/>
        </w:rPr>
        <w:t xml:space="preserve"> </w:t>
      </w:r>
      <w:r w:rsidRPr="00F67850">
        <w:rPr>
          <w:rFonts w:asciiTheme="minorHAnsi" w:eastAsiaTheme="minorEastAsia" w:hAnsiTheme="minorHAnsi" w:cstheme="minorHAnsi"/>
          <w:color w:val="auto"/>
          <w:lang w:val="en-NZ"/>
        </w:rPr>
        <w:t xml:space="preserve">skills and knowledge and uncertainty regarding definitions of appropriate practice. </w:t>
      </w:r>
    </w:p>
    <w:p w14:paraId="078EB93B" w14:textId="17B14787" w:rsidR="3A296AAC" w:rsidRPr="00F67850" w:rsidRDefault="0D97326A" w:rsidP="120913F3">
      <w:pPr>
        <w:spacing w:after="120" w:line="360" w:lineRule="auto"/>
        <w:rPr>
          <w:rFonts w:asciiTheme="minorHAnsi" w:eastAsiaTheme="minorEastAsia" w:hAnsiTheme="minorHAnsi" w:cstheme="minorHAnsi"/>
          <w:color w:val="auto"/>
          <w:lang w:val="en-NZ"/>
        </w:rPr>
      </w:pPr>
      <w:r w:rsidRPr="00F67850">
        <w:rPr>
          <w:rFonts w:asciiTheme="minorHAnsi" w:eastAsiaTheme="minorEastAsia" w:hAnsiTheme="minorHAnsi" w:cstheme="minorHAnsi"/>
          <w:color w:val="auto"/>
          <w:lang w:val="en-NZ"/>
        </w:rPr>
        <w:t xml:space="preserve">The case study involved a network PLC with 7 ECE teachers from four ECE services. Nine monthly meetings incorporated reflective dialogue and practical workshops. Self-efficacy emerged as a critical factor for participants’ engagement with visual arts before and after the PLC intervention. Before the PLC, participants explained that while they valued visual arts, they didn’t always know what to do or say to extend children in this area. After the PLC, participants reported feeling more confident and prepared, making direct links between the development of knowledge and skills in the PLC and their feelings of competence in teaching visual arts in their workplaces. Self-efficacy was developed in three main ways for these teachers through practical art workshops, through reflective dialogue (individually written and group conversations), and through experience practicing with children. </w:t>
      </w:r>
    </w:p>
    <w:p w14:paraId="4630DDC3" w14:textId="2BD8473B" w:rsidR="2FC33E9B" w:rsidRPr="00F67850" w:rsidRDefault="7142848F" w:rsidP="120913F3">
      <w:pPr>
        <w:pStyle w:val="Heading3"/>
        <w:spacing w:after="120" w:line="360" w:lineRule="auto"/>
        <w:rPr>
          <w:rFonts w:asciiTheme="minorHAnsi" w:eastAsiaTheme="minorEastAsia" w:hAnsiTheme="minorHAnsi" w:cstheme="minorHAnsi"/>
          <w:i/>
          <w:iCs/>
          <w:color w:val="auto"/>
          <w:lang w:val="en-NZ"/>
        </w:rPr>
      </w:pPr>
      <w:proofErr w:type="spellStart"/>
      <w:r w:rsidRPr="00F67850">
        <w:rPr>
          <w:rFonts w:asciiTheme="minorHAnsi" w:eastAsiaTheme="minorEastAsia" w:hAnsiTheme="minorHAnsi" w:cstheme="minorHAnsi"/>
          <w:i/>
          <w:iCs/>
          <w:color w:val="auto"/>
          <w:lang w:val="en-NZ"/>
        </w:rPr>
        <w:t>Probine’s</w:t>
      </w:r>
      <w:proofErr w:type="spellEnd"/>
      <w:r w:rsidRPr="00F67850">
        <w:rPr>
          <w:rFonts w:asciiTheme="minorHAnsi" w:eastAsiaTheme="minorEastAsia" w:hAnsiTheme="minorHAnsi" w:cstheme="minorHAnsi"/>
          <w:i/>
          <w:iCs/>
          <w:color w:val="auto"/>
          <w:lang w:val="en-NZ"/>
        </w:rPr>
        <w:t xml:space="preserve"> (2020) study</w:t>
      </w:r>
    </w:p>
    <w:p w14:paraId="57C96B6B" w14:textId="528D1FBA" w:rsidR="2FC33E9B" w:rsidRPr="00F67850" w:rsidRDefault="0260E938" w:rsidP="120913F3">
      <w:pPr>
        <w:spacing w:after="120" w:line="360" w:lineRule="auto"/>
        <w:rPr>
          <w:rFonts w:asciiTheme="minorHAnsi" w:eastAsiaTheme="minorEastAsia" w:hAnsiTheme="minorHAnsi" w:cstheme="minorHAnsi"/>
          <w:color w:val="auto"/>
        </w:rPr>
      </w:pPr>
      <w:proofErr w:type="spellStart"/>
      <w:r w:rsidRPr="00F67850">
        <w:rPr>
          <w:rFonts w:asciiTheme="minorHAnsi" w:eastAsiaTheme="minorEastAsia" w:hAnsiTheme="minorHAnsi" w:cstheme="minorHAnsi"/>
          <w:color w:val="auto"/>
          <w:lang w:val="en-NZ"/>
        </w:rPr>
        <w:t>Probine’s</w:t>
      </w:r>
      <w:proofErr w:type="spellEnd"/>
      <w:r w:rsidRPr="00F67850">
        <w:rPr>
          <w:rFonts w:asciiTheme="minorHAnsi" w:eastAsiaTheme="minorEastAsia" w:hAnsiTheme="minorHAnsi" w:cstheme="minorHAnsi"/>
          <w:color w:val="auto"/>
          <w:lang w:val="en-NZ"/>
        </w:rPr>
        <w:t xml:space="preserve"> (2020) study employed an ethnographic, narrative inquiry approach to examine the contextual factors that shape how young children come to value and use the visual arts in their learning. Her emphasis on participants stories was informed by </w:t>
      </w:r>
      <w:proofErr w:type="spellStart"/>
      <w:r w:rsidRPr="00F67850">
        <w:rPr>
          <w:rFonts w:asciiTheme="minorHAnsi" w:eastAsiaTheme="minorEastAsia" w:hAnsiTheme="minorHAnsi" w:cstheme="minorHAnsi"/>
          <w:color w:val="auto"/>
          <w:lang w:val="en-NZ"/>
        </w:rPr>
        <w:t>Clandinin’s</w:t>
      </w:r>
      <w:proofErr w:type="spellEnd"/>
      <w:r w:rsidRPr="00F67850">
        <w:rPr>
          <w:rFonts w:asciiTheme="minorHAnsi" w:eastAsiaTheme="minorEastAsia" w:hAnsiTheme="minorHAnsi" w:cstheme="minorHAnsi"/>
          <w:color w:val="auto"/>
          <w:lang w:val="en-NZ"/>
        </w:rPr>
        <w:t xml:space="preserve"> (2014) argument that the examination of everyday experience can uncover wider social meanings. The study was situated in three early childhood centres in Auckland, New Zealand. These centres were purposively selected for their rich practices in the visual arts where teachers had been influenced by sociocultural and social-constructivist theories. The teachers were given reflective art journals to trace their own histories with the visual arts, and </w:t>
      </w:r>
      <w:proofErr w:type="spellStart"/>
      <w:r w:rsidRPr="00F67850">
        <w:rPr>
          <w:rFonts w:asciiTheme="minorHAnsi" w:eastAsiaTheme="minorEastAsia" w:hAnsiTheme="minorHAnsi" w:cstheme="minorHAnsi"/>
          <w:color w:val="auto"/>
          <w:lang w:val="en-NZ"/>
        </w:rPr>
        <w:t>Probine</w:t>
      </w:r>
      <w:proofErr w:type="spellEnd"/>
      <w:r w:rsidRPr="00F67850">
        <w:rPr>
          <w:rFonts w:asciiTheme="minorHAnsi" w:eastAsiaTheme="minorEastAsia" w:hAnsiTheme="minorHAnsi" w:cstheme="minorHAnsi"/>
          <w:color w:val="auto"/>
          <w:lang w:val="en-NZ"/>
        </w:rPr>
        <w:t xml:space="preserve"> spent time in each setting observing the children’s visual arts making and the teacher’s pedagogical practices. Six child participants documented their experiences of the visual arts in the contexts of their homes and communities using digital cameras. A group conversation also took place with each teaching team. The inclusion of participatory arts-based methods allowed the research participants to actively contribute to the research through creating and telling their stories through visual and textual means. </w:t>
      </w:r>
    </w:p>
    <w:p w14:paraId="60263C2F" w14:textId="143AB14A" w:rsidR="2FC33E9B" w:rsidRPr="00F67850" w:rsidRDefault="705D7C37" w:rsidP="120913F3">
      <w:pPr>
        <w:spacing w:after="120" w:line="360" w:lineRule="auto"/>
        <w:rPr>
          <w:rFonts w:asciiTheme="minorHAnsi" w:eastAsiaTheme="minorEastAsia" w:hAnsiTheme="minorHAnsi" w:cstheme="minorHAnsi"/>
          <w:color w:val="auto"/>
        </w:rPr>
      </w:pPr>
      <w:r w:rsidRPr="00F67850">
        <w:rPr>
          <w:rFonts w:asciiTheme="minorHAnsi" w:eastAsiaTheme="minorEastAsia" w:hAnsiTheme="minorHAnsi" w:cstheme="minorHAnsi"/>
          <w:color w:val="auto"/>
          <w:lang w:val="en-NZ"/>
        </w:rPr>
        <w:t xml:space="preserve">The teacher’s narratives about their own visual arts histories revealed that negative experiences in the visual arts throughout childhood, often within schooling, can have a lasting impact on personal confidence and desire to engage in the visual arts. These </w:t>
      </w:r>
      <w:r w:rsidRPr="00F67850">
        <w:rPr>
          <w:rFonts w:asciiTheme="minorHAnsi" w:eastAsiaTheme="minorEastAsia" w:hAnsiTheme="minorHAnsi" w:cstheme="minorHAnsi"/>
          <w:color w:val="auto"/>
          <w:lang w:val="en-NZ"/>
        </w:rPr>
        <w:lastRenderedPageBreak/>
        <w:t>narratives also demonstrated the impact of positive visual arts mentors and role models, particularly in the early years. Two key findings arose in relation to how early childhood teachers can reengage with the visual arts and develop self-efficacy. First, is the importance of engaging in practical visual arts experiences outside of the classroom, and second, is the importance of ongoing pedagogical support and mentorship for early childhood teachers who lack personal confidence in the visual arts.</w:t>
      </w:r>
    </w:p>
    <w:p w14:paraId="44935678" w14:textId="7B18711B" w:rsidR="329FA387" w:rsidRPr="00F67850" w:rsidRDefault="090494F4" w:rsidP="120913F3">
      <w:pPr>
        <w:pStyle w:val="Heading2"/>
        <w:spacing w:after="120" w:line="360" w:lineRule="auto"/>
        <w:jc w:val="left"/>
        <w:rPr>
          <w:rFonts w:asciiTheme="minorHAnsi" w:eastAsiaTheme="minorEastAsia" w:hAnsiTheme="minorHAnsi" w:cstheme="minorHAnsi"/>
          <w:color w:val="auto"/>
        </w:rPr>
      </w:pPr>
      <w:r w:rsidRPr="00F67850">
        <w:rPr>
          <w:rFonts w:asciiTheme="minorHAnsi" w:eastAsiaTheme="minorEastAsia" w:hAnsiTheme="minorHAnsi" w:cstheme="minorHAnsi"/>
          <w:color w:val="auto"/>
        </w:rPr>
        <w:t>Findings and discussion</w:t>
      </w:r>
    </w:p>
    <w:p w14:paraId="379D521B" w14:textId="78D64435" w:rsidR="679D6E1B" w:rsidRPr="00F67850" w:rsidRDefault="6F39CCAA" w:rsidP="120913F3">
      <w:pPr>
        <w:spacing w:after="120" w:line="360" w:lineRule="auto"/>
        <w:rPr>
          <w:rFonts w:asciiTheme="minorHAnsi" w:eastAsiaTheme="minorEastAsia" w:hAnsiTheme="minorHAnsi" w:cstheme="minorHAnsi"/>
          <w:sz w:val="26"/>
          <w:szCs w:val="26"/>
          <w:lang w:val="en-US"/>
        </w:rPr>
      </w:pPr>
      <w:r w:rsidRPr="00F67850">
        <w:rPr>
          <w:rStyle w:val="eop"/>
          <w:rFonts w:asciiTheme="minorHAnsi" w:eastAsiaTheme="minorEastAsia" w:hAnsiTheme="minorHAnsi" w:cstheme="minorHAnsi"/>
          <w:lang w:val="en-NZ"/>
        </w:rPr>
        <w:t>This section examines the aligned findings derived from the re-analysis of our findings related to self-efficacy. These are organised under two overarching sections. The first addresses the key factors that impact teachers’ visual arts self-efficacy across time. The second, considers supportive conditions that enable teachers to develop and maintain positive self-efficacy about visual arts.</w:t>
      </w:r>
    </w:p>
    <w:p w14:paraId="724A0328" w14:textId="7A7AEDE6" w:rsidR="679D6E1B" w:rsidRPr="00F67850" w:rsidRDefault="6F39CCAA" w:rsidP="120913F3">
      <w:pPr>
        <w:spacing w:after="120" w:line="360" w:lineRule="auto"/>
        <w:rPr>
          <w:rFonts w:asciiTheme="minorHAnsi" w:eastAsiaTheme="minorEastAsia" w:hAnsiTheme="minorHAnsi" w:cstheme="minorHAnsi"/>
          <w:sz w:val="26"/>
          <w:szCs w:val="26"/>
          <w:lang w:val="en-US"/>
        </w:rPr>
      </w:pPr>
      <w:r w:rsidRPr="00F67850">
        <w:rPr>
          <w:rStyle w:val="normaltextrun"/>
          <w:rFonts w:asciiTheme="minorHAnsi" w:eastAsiaTheme="minorEastAsia" w:hAnsiTheme="minorHAnsi" w:cstheme="minorHAnsi"/>
          <w:b/>
          <w:bCs/>
          <w:sz w:val="26"/>
          <w:szCs w:val="26"/>
        </w:rPr>
        <w:t xml:space="preserve">Part 1: Impacts on Self-efficacy </w:t>
      </w:r>
    </w:p>
    <w:p w14:paraId="0030DCE9" w14:textId="0AA21780" w:rsidR="679D6E1B" w:rsidRPr="00F67850" w:rsidRDefault="3D78FBCF" w:rsidP="120913F3">
      <w:pPr>
        <w:spacing w:after="120" w:line="360" w:lineRule="auto"/>
        <w:rPr>
          <w:rFonts w:asciiTheme="minorHAnsi" w:eastAsiaTheme="minorEastAsia" w:hAnsiTheme="minorHAnsi" w:cstheme="minorHAnsi"/>
          <w:strike/>
          <w:lang w:val="en-NZ"/>
        </w:rPr>
      </w:pPr>
      <w:r w:rsidRPr="00F67850">
        <w:rPr>
          <w:rFonts w:asciiTheme="minorHAnsi" w:eastAsiaTheme="minorEastAsia" w:hAnsiTheme="minorHAnsi" w:cstheme="minorHAnsi"/>
          <w:lang w:val="en-NZ"/>
        </w:rPr>
        <w:t xml:space="preserve">In part one we consider several key factors that our studies have revealed as influential on teacher visual arts self-efficacy. </w:t>
      </w:r>
    </w:p>
    <w:p w14:paraId="76701E61" w14:textId="272D6928" w:rsidR="6A07A77C" w:rsidRPr="00F67850" w:rsidRDefault="3912BADE" w:rsidP="120913F3">
      <w:pPr>
        <w:spacing w:after="120" w:line="360" w:lineRule="auto"/>
        <w:rPr>
          <w:rFonts w:asciiTheme="minorHAnsi" w:eastAsiaTheme="minorEastAsia" w:hAnsiTheme="minorHAnsi" w:cstheme="minorHAnsi"/>
          <w:lang w:val="en-NZ"/>
        </w:rPr>
      </w:pPr>
      <w:r w:rsidRPr="00F67850">
        <w:rPr>
          <w:rFonts w:asciiTheme="minorHAnsi" w:eastAsiaTheme="minorEastAsia" w:hAnsiTheme="minorHAnsi" w:cstheme="minorHAnsi"/>
          <w:b/>
          <w:bCs/>
          <w:i/>
          <w:iCs/>
          <w:lang w:val="en-NZ"/>
        </w:rPr>
        <w:t xml:space="preserve">Artistic identity and self-efficacy begin in </w:t>
      </w:r>
      <w:r w:rsidRPr="00F67850">
        <w:rPr>
          <w:rStyle w:val="normaltextrun"/>
          <w:rFonts w:asciiTheme="minorHAnsi" w:eastAsiaTheme="minorEastAsia" w:hAnsiTheme="minorHAnsi" w:cstheme="minorHAnsi"/>
          <w:b/>
          <w:bCs/>
          <w:i/>
          <w:iCs/>
          <w:lang w:val="en-NZ"/>
        </w:rPr>
        <w:t xml:space="preserve">childhood  </w:t>
      </w:r>
    </w:p>
    <w:p w14:paraId="45BAE873" w14:textId="5E8367FE" w:rsidR="6A07A77C" w:rsidRPr="00F67850" w:rsidRDefault="3912BADE" w:rsidP="120913F3">
      <w:pPr>
        <w:spacing w:after="120" w:line="360" w:lineRule="auto"/>
        <w:rPr>
          <w:rFonts w:asciiTheme="minorHAnsi" w:eastAsiaTheme="minorEastAsia" w:hAnsiTheme="minorHAnsi" w:cstheme="minorHAnsi"/>
          <w:b/>
          <w:bCs/>
          <w:lang w:val="en-NZ"/>
        </w:rPr>
      </w:pPr>
      <w:r w:rsidRPr="00F67850">
        <w:rPr>
          <w:rFonts w:asciiTheme="minorHAnsi" w:eastAsiaTheme="minorEastAsia" w:hAnsiTheme="minorHAnsi" w:cstheme="minorHAnsi"/>
          <w:color w:val="333333"/>
          <w:lang w:val="en-NZ"/>
        </w:rPr>
        <w:t xml:space="preserve">All three studies established that exposure to the visual arts within the early years can impact the development of artistic identity and self-efficacy either positively or negatively. This supports </w:t>
      </w:r>
      <w:proofErr w:type="spellStart"/>
      <w:r w:rsidRPr="00F67850">
        <w:rPr>
          <w:rFonts w:asciiTheme="minorHAnsi" w:eastAsiaTheme="minorEastAsia" w:hAnsiTheme="minorHAnsi" w:cstheme="minorHAnsi"/>
          <w:color w:val="333333"/>
          <w:lang w:val="en-NZ"/>
        </w:rPr>
        <w:t>Horsely</w:t>
      </w:r>
      <w:proofErr w:type="spellEnd"/>
      <w:r w:rsidRPr="00F67850">
        <w:rPr>
          <w:rFonts w:asciiTheme="minorHAnsi" w:eastAsiaTheme="minorEastAsia" w:hAnsiTheme="minorHAnsi" w:cstheme="minorHAnsi"/>
          <w:color w:val="333333"/>
          <w:lang w:val="en-NZ"/>
        </w:rPr>
        <w:t xml:space="preserve"> and Penn’s (2014) assertion that memories can implicitly influence pre-service teachers’ developing philosophies and professional identity as they enter the field. </w:t>
      </w:r>
      <w:proofErr w:type="spellStart"/>
      <w:r w:rsidRPr="00F67850">
        <w:rPr>
          <w:rFonts w:asciiTheme="minorHAnsi" w:eastAsiaTheme="minorEastAsia" w:hAnsiTheme="minorHAnsi" w:cstheme="minorHAnsi"/>
          <w:lang w:val="en-NZ"/>
        </w:rPr>
        <w:t>Probine</w:t>
      </w:r>
      <w:proofErr w:type="spellEnd"/>
      <w:r w:rsidRPr="00F67850">
        <w:rPr>
          <w:rFonts w:asciiTheme="minorHAnsi" w:eastAsiaTheme="minorEastAsia" w:hAnsiTheme="minorHAnsi" w:cstheme="minorHAnsi"/>
          <w:lang w:val="en-NZ"/>
        </w:rPr>
        <w:t xml:space="preserve"> (2020) found that exposure to key role models, often family members who engaged in the visual arts and created </w:t>
      </w:r>
      <w:r w:rsidRPr="00F67850">
        <w:rPr>
          <w:rFonts w:asciiTheme="minorHAnsi" w:eastAsiaTheme="minorEastAsia" w:hAnsiTheme="minorHAnsi" w:cstheme="minorHAnsi"/>
        </w:rPr>
        <w:t>permissive environments where experimentation with arts media</w:t>
      </w:r>
      <w:r w:rsidRPr="00F67850">
        <w:rPr>
          <w:rFonts w:asciiTheme="minorHAnsi" w:eastAsiaTheme="minorEastAsia" w:hAnsiTheme="minorHAnsi" w:cstheme="minorHAnsi"/>
          <w:color w:val="333333"/>
          <w:lang w:val="en-NZ"/>
        </w:rPr>
        <w:t xml:space="preserve"> was encouraged, could have a </w:t>
      </w:r>
      <w:proofErr w:type="gramStart"/>
      <w:r w:rsidRPr="00F67850">
        <w:rPr>
          <w:rFonts w:asciiTheme="minorHAnsi" w:eastAsiaTheme="minorEastAsia" w:hAnsiTheme="minorHAnsi" w:cstheme="minorHAnsi"/>
          <w:color w:val="333333"/>
          <w:lang w:val="en-NZ"/>
        </w:rPr>
        <w:t>long lasting</w:t>
      </w:r>
      <w:proofErr w:type="gramEnd"/>
      <w:r w:rsidRPr="00F67850">
        <w:rPr>
          <w:rFonts w:asciiTheme="minorHAnsi" w:eastAsiaTheme="minorEastAsia" w:hAnsiTheme="minorHAnsi" w:cstheme="minorHAnsi"/>
          <w:color w:val="333333"/>
          <w:lang w:val="en-NZ"/>
        </w:rPr>
        <w:t xml:space="preserve"> </w:t>
      </w:r>
      <w:r w:rsidRPr="00F67850">
        <w:rPr>
          <w:rFonts w:asciiTheme="minorHAnsi" w:eastAsiaTheme="minorEastAsia" w:hAnsiTheme="minorHAnsi" w:cstheme="minorHAnsi"/>
        </w:rPr>
        <w:t xml:space="preserve">influence on teacher’s personal identities as visual arts makers. For example, one of her participants stated: </w:t>
      </w:r>
      <w:r w:rsidRPr="00F67850">
        <w:rPr>
          <w:rFonts w:asciiTheme="minorHAnsi" w:eastAsiaTheme="minorEastAsia" w:hAnsiTheme="minorHAnsi" w:cstheme="minorHAnsi"/>
          <w:b/>
          <w:bCs/>
          <w:lang w:val="en-NZ"/>
        </w:rPr>
        <w:t xml:space="preserve"> </w:t>
      </w:r>
    </w:p>
    <w:p w14:paraId="73278ECD" w14:textId="68C34ECC" w:rsidR="6A07A77C" w:rsidRPr="00F67850" w:rsidRDefault="3912BADE" w:rsidP="120913F3">
      <w:pPr>
        <w:spacing w:after="120" w:line="360" w:lineRule="auto"/>
        <w:rPr>
          <w:rFonts w:asciiTheme="minorHAnsi" w:eastAsiaTheme="minorEastAsia" w:hAnsiTheme="minorHAnsi" w:cstheme="minorHAnsi"/>
          <w:lang w:val="en-NZ"/>
        </w:rPr>
      </w:pPr>
      <w:r w:rsidRPr="00F67850">
        <w:rPr>
          <w:rFonts w:asciiTheme="minorHAnsi" w:eastAsiaTheme="minorEastAsia" w:hAnsiTheme="minorHAnsi" w:cstheme="minorHAnsi"/>
          <w:b/>
          <w:bCs/>
          <w:sz w:val="18"/>
          <w:szCs w:val="18"/>
          <w:lang w:val="en-NZ"/>
        </w:rPr>
        <w:t xml:space="preserve"> </w:t>
      </w:r>
      <w:r w:rsidR="6A07A77C" w:rsidRPr="00F67850">
        <w:rPr>
          <w:rFonts w:asciiTheme="minorHAnsi" w:hAnsiTheme="minorHAnsi" w:cstheme="minorHAnsi"/>
        </w:rPr>
        <w:tab/>
      </w:r>
      <w:r w:rsidRPr="00F67850">
        <w:rPr>
          <w:rFonts w:asciiTheme="minorHAnsi" w:eastAsiaTheme="minorEastAsia" w:hAnsiTheme="minorHAnsi" w:cstheme="minorHAnsi"/>
          <w:i/>
          <w:iCs/>
        </w:rPr>
        <w:t xml:space="preserve">I have some vivid memories of spending sunny afternoons immersed in coloured </w:t>
      </w:r>
      <w:r w:rsidR="6A07A77C" w:rsidRPr="00F67850">
        <w:rPr>
          <w:rFonts w:asciiTheme="minorHAnsi" w:hAnsiTheme="minorHAnsi" w:cstheme="minorHAnsi"/>
        </w:rPr>
        <w:tab/>
      </w:r>
      <w:r w:rsidR="6A07A77C" w:rsidRPr="00F67850">
        <w:rPr>
          <w:rFonts w:asciiTheme="minorHAnsi" w:hAnsiTheme="minorHAnsi" w:cstheme="minorHAnsi"/>
        </w:rPr>
        <w:tab/>
      </w:r>
      <w:r w:rsidRPr="00F67850">
        <w:rPr>
          <w:rFonts w:asciiTheme="minorHAnsi" w:eastAsiaTheme="minorEastAsia" w:hAnsiTheme="minorHAnsi" w:cstheme="minorHAnsi"/>
          <w:i/>
          <w:iCs/>
        </w:rPr>
        <w:t xml:space="preserve">pencils and scrapbooks…I would have to say my love for the visual arts came from my </w:t>
      </w:r>
      <w:r w:rsidR="6A07A77C" w:rsidRPr="00F67850">
        <w:rPr>
          <w:rFonts w:asciiTheme="minorHAnsi" w:hAnsiTheme="minorHAnsi" w:cstheme="minorHAnsi"/>
        </w:rPr>
        <w:tab/>
      </w:r>
      <w:r w:rsidRPr="00F67850">
        <w:rPr>
          <w:rFonts w:asciiTheme="minorHAnsi" w:eastAsiaTheme="minorEastAsia" w:hAnsiTheme="minorHAnsi" w:cstheme="minorHAnsi"/>
          <w:i/>
          <w:iCs/>
        </w:rPr>
        <w:t>mother. My mum loved to paint and draw and as a child I was in awe of her talent.</w:t>
      </w:r>
      <w:r w:rsidRPr="00F67850">
        <w:rPr>
          <w:rFonts w:asciiTheme="minorHAnsi" w:eastAsiaTheme="minorEastAsia" w:hAnsiTheme="minorHAnsi" w:cstheme="minorHAnsi"/>
          <w:lang w:val="en-NZ"/>
        </w:rPr>
        <w:t xml:space="preserve"> </w:t>
      </w:r>
    </w:p>
    <w:p w14:paraId="3CC0B64E" w14:textId="7260D8B1" w:rsidR="6A07A77C" w:rsidRPr="00F67850" w:rsidRDefault="3912BADE" w:rsidP="120913F3">
      <w:pPr>
        <w:spacing w:after="120" w:line="360" w:lineRule="auto"/>
        <w:rPr>
          <w:rFonts w:asciiTheme="minorHAnsi" w:eastAsiaTheme="minorEastAsia" w:hAnsiTheme="minorHAnsi" w:cstheme="minorHAnsi"/>
        </w:rPr>
      </w:pPr>
      <w:r w:rsidRPr="00F67850">
        <w:rPr>
          <w:rFonts w:asciiTheme="minorHAnsi" w:eastAsiaTheme="minorEastAsia" w:hAnsiTheme="minorHAnsi" w:cstheme="minorHAnsi"/>
        </w:rPr>
        <w:t xml:space="preserve">In contrast, experiences during schooling were found by both Lindsay (2017) and </w:t>
      </w:r>
      <w:proofErr w:type="spellStart"/>
      <w:r w:rsidRPr="00F67850">
        <w:rPr>
          <w:rFonts w:asciiTheme="minorHAnsi" w:eastAsiaTheme="minorEastAsia" w:hAnsiTheme="minorHAnsi" w:cstheme="minorHAnsi"/>
        </w:rPr>
        <w:t>Probine</w:t>
      </w:r>
      <w:proofErr w:type="spellEnd"/>
      <w:r w:rsidRPr="00F67850">
        <w:rPr>
          <w:rFonts w:asciiTheme="minorHAnsi" w:eastAsiaTheme="minorEastAsia" w:hAnsiTheme="minorHAnsi" w:cstheme="minorHAnsi"/>
        </w:rPr>
        <w:t xml:space="preserve"> (2020) to have a detrimental effect on self-efficacy.  Lindsay’s participants expressed a sense </w:t>
      </w:r>
      <w:r w:rsidRPr="00F67850">
        <w:rPr>
          <w:rFonts w:asciiTheme="minorHAnsi" w:eastAsiaTheme="minorEastAsia" w:hAnsiTheme="minorHAnsi" w:cstheme="minorHAnsi"/>
        </w:rPr>
        <w:lastRenderedPageBreak/>
        <w:t xml:space="preserve">of grief as they remembered moments of the loss of art in their childhoods. Some yearned to be good at art but explained they either did not know how to start or were discouraged by the actions of teachers. For example, one of Lindsay’s participants credited a primary teacher’s negative critique of their drawing efforts as the precise moment they gave up on art and stopped trying to develop arts skills. </w:t>
      </w:r>
    </w:p>
    <w:p w14:paraId="1B113C47" w14:textId="6DDC3FD4" w:rsidR="6A07A77C" w:rsidRPr="00F67850" w:rsidRDefault="3912BADE" w:rsidP="120913F3">
      <w:pPr>
        <w:spacing w:after="120" w:line="360" w:lineRule="auto"/>
        <w:rPr>
          <w:rFonts w:asciiTheme="minorHAnsi" w:eastAsiaTheme="minorEastAsia" w:hAnsiTheme="minorHAnsi" w:cstheme="minorHAnsi"/>
          <w:lang w:val="en-NZ"/>
        </w:rPr>
      </w:pPr>
      <w:r w:rsidRPr="00F67850">
        <w:rPr>
          <w:rFonts w:asciiTheme="minorHAnsi" w:eastAsiaTheme="minorEastAsia" w:hAnsiTheme="minorHAnsi" w:cstheme="minorHAnsi"/>
        </w:rPr>
        <w:t xml:space="preserve">Both Lindsay (2017) and </w:t>
      </w:r>
      <w:proofErr w:type="spellStart"/>
      <w:r w:rsidRPr="00F67850">
        <w:rPr>
          <w:rFonts w:asciiTheme="minorHAnsi" w:eastAsiaTheme="minorEastAsia" w:hAnsiTheme="minorHAnsi" w:cstheme="minorHAnsi"/>
          <w:lang w:val="en-NZ"/>
        </w:rPr>
        <w:t>Probine</w:t>
      </w:r>
      <w:proofErr w:type="spellEnd"/>
      <w:r w:rsidRPr="00F67850">
        <w:rPr>
          <w:rFonts w:asciiTheme="minorHAnsi" w:eastAsiaTheme="minorEastAsia" w:hAnsiTheme="minorHAnsi" w:cstheme="minorHAnsi"/>
          <w:lang w:val="en-NZ"/>
        </w:rPr>
        <w:t xml:space="preserve"> (2020) found that although some of their participants experienced negative visual arts experiences within their schooling, memories of positive experiences of the visual arts within their early childhood were more potent. For instance, </w:t>
      </w:r>
      <w:proofErr w:type="spellStart"/>
      <w:r w:rsidRPr="00F67850">
        <w:rPr>
          <w:rFonts w:asciiTheme="minorHAnsi" w:eastAsiaTheme="minorEastAsia" w:hAnsiTheme="minorHAnsi" w:cstheme="minorHAnsi"/>
          <w:lang w:val="en-NZ"/>
        </w:rPr>
        <w:t>Probine</w:t>
      </w:r>
      <w:proofErr w:type="spellEnd"/>
      <w:r w:rsidRPr="00F67850">
        <w:rPr>
          <w:rFonts w:asciiTheme="minorHAnsi" w:eastAsiaTheme="minorEastAsia" w:hAnsiTheme="minorHAnsi" w:cstheme="minorHAnsi"/>
          <w:lang w:val="en-NZ"/>
        </w:rPr>
        <w:t xml:space="preserve"> found several of her participants withdrew from artmaking as teenagers, but chose to return to artmaking later in life, supporting </w:t>
      </w:r>
      <w:r w:rsidR="6B8C4818" w:rsidRPr="00F67850">
        <w:rPr>
          <w:rFonts w:asciiTheme="minorHAnsi" w:eastAsiaTheme="minorEastAsia" w:hAnsiTheme="minorHAnsi" w:cstheme="minorHAnsi"/>
          <w:color w:val="333333"/>
        </w:rPr>
        <w:t>Horsley and &amp; Penn’s (2014)</w:t>
      </w:r>
      <w:r w:rsidR="2BB33DB7" w:rsidRPr="00F67850">
        <w:rPr>
          <w:rFonts w:asciiTheme="minorHAnsi" w:eastAsiaTheme="minorEastAsia" w:hAnsiTheme="minorHAnsi" w:cstheme="minorHAnsi"/>
          <w:lang w:val="en-NZ"/>
        </w:rPr>
        <w:t xml:space="preserve"> </w:t>
      </w:r>
      <w:r w:rsidR="0F6118E6" w:rsidRPr="00F67850">
        <w:rPr>
          <w:rFonts w:asciiTheme="minorHAnsi" w:eastAsiaTheme="minorEastAsia" w:hAnsiTheme="minorHAnsi" w:cstheme="minorHAnsi"/>
          <w:lang w:val="en-NZ"/>
        </w:rPr>
        <w:t>proposal</w:t>
      </w:r>
      <w:r w:rsidRPr="00F67850">
        <w:rPr>
          <w:rFonts w:asciiTheme="minorHAnsi" w:eastAsiaTheme="minorEastAsia" w:hAnsiTheme="minorHAnsi" w:cstheme="minorHAnsi"/>
          <w:lang w:val="en-NZ"/>
        </w:rPr>
        <w:t xml:space="preserve"> that informal arts learning can have a more compelling long-term impact than formal schooling.  </w:t>
      </w:r>
    </w:p>
    <w:p w14:paraId="641E2C43" w14:textId="79FF561D" w:rsidR="6A07A77C" w:rsidRPr="00F67850" w:rsidRDefault="3912BADE" w:rsidP="120913F3">
      <w:pPr>
        <w:spacing w:after="120" w:line="360" w:lineRule="auto"/>
        <w:rPr>
          <w:rFonts w:asciiTheme="minorHAnsi" w:eastAsiaTheme="minorEastAsia" w:hAnsiTheme="minorHAnsi" w:cstheme="minorHAnsi"/>
          <w:lang w:val="en-NZ"/>
        </w:rPr>
      </w:pPr>
      <w:r w:rsidRPr="00F67850">
        <w:rPr>
          <w:rFonts w:asciiTheme="minorHAnsi" w:eastAsiaTheme="minorEastAsia" w:hAnsiTheme="minorHAnsi" w:cstheme="minorHAnsi"/>
          <w:lang w:val="en-NZ"/>
        </w:rPr>
        <w:t>Denee’s study found children’s peers can also have a lasting impact on self-efficacy. One of her participants recalled:</w:t>
      </w:r>
    </w:p>
    <w:p w14:paraId="1AACA719" w14:textId="030B5A8A" w:rsidR="6A07A77C" w:rsidRPr="00F67850" w:rsidRDefault="3912BADE" w:rsidP="120913F3">
      <w:pPr>
        <w:spacing w:after="120" w:line="360" w:lineRule="auto"/>
        <w:ind w:firstLine="720"/>
        <w:rPr>
          <w:rFonts w:asciiTheme="minorHAnsi" w:eastAsiaTheme="minorEastAsia" w:hAnsiTheme="minorHAnsi" w:cstheme="minorHAnsi"/>
          <w:lang w:val="en-NZ"/>
        </w:rPr>
      </w:pPr>
      <w:r w:rsidRPr="00F67850">
        <w:rPr>
          <w:rFonts w:asciiTheme="minorHAnsi" w:eastAsiaTheme="minorEastAsia" w:hAnsiTheme="minorHAnsi" w:cstheme="minorHAnsi"/>
          <w:i/>
          <w:iCs/>
          <w:lang w:val="en-NZ"/>
        </w:rPr>
        <w:t xml:space="preserve">I still carry with me a comment from intermediate school where a peer made fun of </w:t>
      </w:r>
      <w:r w:rsidR="6A07A77C" w:rsidRPr="00F67850">
        <w:rPr>
          <w:rFonts w:asciiTheme="minorHAnsi" w:hAnsiTheme="minorHAnsi" w:cstheme="minorHAnsi"/>
        </w:rPr>
        <w:tab/>
      </w:r>
      <w:r w:rsidRPr="00F67850">
        <w:rPr>
          <w:rFonts w:asciiTheme="minorHAnsi" w:eastAsiaTheme="minorEastAsia" w:hAnsiTheme="minorHAnsi" w:cstheme="minorHAnsi"/>
          <w:i/>
          <w:iCs/>
          <w:lang w:val="en-NZ"/>
        </w:rPr>
        <w:t xml:space="preserve">me in front of others, as she told me I couldn't draw because I kept going over the </w:t>
      </w:r>
      <w:r w:rsidR="6A07A77C" w:rsidRPr="00F67850">
        <w:rPr>
          <w:rFonts w:asciiTheme="minorHAnsi" w:hAnsiTheme="minorHAnsi" w:cstheme="minorHAnsi"/>
        </w:rPr>
        <w:tab/>
      </w:r>
      <w:r w:rsidRPr="00F67850">
        <w:rPr>
          <w:rFonts w:asciiTheme="minorHAnsi" w:eastAsiaTheme="minorEastAsia" w:hAnsiTheme="minorHAnsi" w:cstheme="minorHAnsi"/>
          <w:i/>
          <w:iCs/>
          <w:lang w:val="en-NZ"/>
        </w:rPr>
        <w:t xml:space="preserve">lines. My rational self knows this is not right, but it has shaped my perception of </w:t>
      </w:r>
      <w:r w:rsidR="6A07A77C" w:rsidRPr="00F67850">
        <w:rPr>
          <w:rFonts w:asciiTheme="minorHAnsi" w:hAnsiTheme="minorHAnsi" w:cstheme="minorHAnsi"/>
        </w:rPr>
        <w:tab/>
      </w:r>
      <w:r w:rsidR="6A07A77C" w:rsidRPr="00F67850">
        <w:rPr>
          <w:rFonts w:asciiTheme="minorHAnsi" w:hAnsiTheme="minorHAnsi" w:cstheme="minorHAnsi"/>
        </w:rPr>
        <w:tab/>
      </w:r>
      <w:r w:rsidRPr="00F67850">
        <w:rPr>
          <w:rFonts w:asciiTheme="minorHAnsi" w:eastAsiaTheme="minorEastAsia" w:hAnsiTheme="minorHAnsi" w:cstheme="minorHAnsi"/>
          <w:i/>
          <w:iCs/>
          <w:lang w:val="en-NZ"/>
        </w:rPr>
        <w:t xml:space="preserve">myself as an artist. </w:t>
      </w:r>
      <w:r w:rsidRPr="00F67850">
        <w:rPr>
          <w:rFonts w:asciiTheme="minorHAnsi" w:eastAsiaTheme="minorEastAsia" w:hAnsiTheme="minorHAnsi" w:cstheme="minorHAnsi"/>
          <w:lang w:val="en-NZ"/>
        </w:rPr>
        <w:t xml:space="preserve"> </w:t>
      </w:r>
    </w:p>
    <w:p w14:paraId="4931CB44" w14:textId="61DDEEBD" w:rsidR="6A07A77C" w:rsidRPr="00F67850" w:rsidRDefault="3912BADE" w:rsidP="120913F3">
      <w:pPr>
        <w:spacing w:after="120" w:line="360" w:lineRule="auto"/>
        <w:rPr>
          <w:rFonts w:asciiTheme="minorHAnsi" w:eastAsiaTheme="minorEastAsia" w:hAnsiTheme="minorHAnsi" w:cstheme="minorHAnsi"/>
          <w:lang w:val="en-NZ"/>
        </w:rPr>
      </w:pPr>
      <w:r w:rsidRPr="00F67850">
        <w:rPr>
          <w:rFonts w:asciiTheme="minorHAnsi" w:eastAsiaTheme="minorEastAsia" w:hAnsiTheme="minorHAnsi" w:cstheme="minorHAnsi"/>
          <w:lang w:val="en-NZ"/>
        </w:rPr>
        <w:t xml:space="preserve">These narratives highlight that </w:t>
      </w:r>
      <w:r w:rsidRPr="00F67850">
        <w:rPr>
          <w:rFonts w:asciiTheme="minorHAnsi" w:eastAsiaTheme="minorEastAsia" w:hAnsiTheme="minorHAnsi" w:cstheme="minorHAnsi"/>
        </w:rPr>
        <w:t>alienation from visual arts languages during childhood can contribute to a lack of visual arts self-efficacy. Contrastingly, art-making experiences supported by knowledgeable, encouraging adults can significantly impact the formation of artistic identity and a desire to pursue further engagement in visual arts into adulthood. This applies even in cases where schooling experiences were negative. These findings highlight the powerful impact of relationships including family, peers and teachers on how young children come to perceive themselves as artists and develop self-efficacy in this domain.</w:t>
      </w:r>
      <w:r w:rsidRPr="00F67850">
        <w:rPr>
          <w:rFonts w:asciiTheme="minorHAnsi" w:eastAsiaTheme="minorEastAsia" w:hAnsiTheme="minorHAnsi" w:cstheme="minorHAnsi"/>
          <w:lang w:val="en-NZ"/>
        </w:rPr>
        <w:t xml:space="preserve"> </w:t>
      </w:r>
    </w:p>
    <w:p w14:paraId="2CA711DB" w14:textId="3880FAF9" w:rsidR="679D6E1B" w:rsidRPr="00F67850" w:rsidRDefault="71F34D03" w:rsidP="120913F3">
      <w:pPr>
        <w:pStyle w:val="Heading3"/>
        <w:spacing w:after="120" w:line="360" w:lineRule="auto"/>
        <w:rPr>
          <w:rFonts w:asciiTheme="minorHAnsi" w:eastAsiaTheme="minorEastAsia" w:hAnsiTheme="minorHAnsi" w:cstheme="minorHAnsi"/>
          <w:i/>
          <w:iCs/>
        </w:rPr>
      </w:pPr>
      <w:r w:rsidRPr="00F67850">
        <w:rPr>
          <w:rFonts w:asciiTheme="minorHAnsi" w:eastAsiaTheme="minorEastAsia" w:hAnsiTheme="minorHAnsi" w:cstheme="minorHAnsi"/>
          <w:i/>
          <w:iCs/>
        </w:rPr>
        <w:t xml:space="preserve">Pre-service training </w:t>
      </w:r>
    </w:p>
    <w:p w14:paraId="19A47D54" w14:textId="2C52AC50" w:rsidR="679D6E1B" w:rsidRPr="00F67850" w:rsidRDefault="3D78FBCF" w:rsidP="120913F3">
      <w:pPr>
        <w:spacing w:after="120" w:line="360" w:lineRule="auto"/>
        <w:rPr>
          <w:rFonts w:asciiTheme="minorHAnsi" w:eastAsiaTheme="minorEastAsia" w:hAnsiTheme="minorHAnsi" w:cstheme="minorHAnsi"/>
          <w:lang w:val="en-US"/>
        </w:rPr>
      </w:pPr>
      <w:r w:rsidRPr="00F67850">
        <w:rPr>
          <w:rStyle w:val="normaltextrun"/>
          <w:rFonts w:asciiTheme="minorHAnsi" w:eastAsiaTheme="minorEastAsia" w:hAnsiTheme="minorHAnsi" w:cstheme="minorHAnsi"/>
        </w:rPr>
        <w:t>The impact of pre-service training on the visual arts self-efficacy of early childhood professionals was highlighted in all three studies. Both Lindsay (2017, 2021) and Denee (2022) found that limited quality and reduced quantity of visual arts content within pre-service coursework may produce teacher graduates who continue to carry negative self-efficacy</w:t>
      </w:r>
      <w:r w:rsidR="3912BADE" w:rsidRPr="00F67850">
        <w:rPr>
          <w:rStyle w:val="normaltextrun"/>
          <w:rFonts w:asciiTheme="minorHAnsi" w:eastAsiaTheme="minorEastAsia" w:hAnsiTheme="minorHAnsi" w:cstheme="minorHAnsi"/>
        </w:rPr>
        <w:t xml:space="preserve"> </w:t>
      </w:r>
      <w:r w:rsidRPr="00F67850">
        <w:rPr>
          <w:rStyle w:val="normaltextrun"/>
          <w:rFonts w:asciiTheme="minorHAnsi" w:eastAsiaTheme="minorEastAsia" w:hAnsiTheme="minorHAnsi" w:cstheme="minorHAnsi"/>
        </w:rPr>
        <w:t xml:space="preserve">baggage regarding visual arts pedagogy. This affirms prior studies that identify the </w:t>
      </w:r>
      <w:r w:rsidRPr="00F67850">
        <w:rPr>
          <w:rStyle w:val="normaltextrun"/>
          <w:rFonts w:asciiTheme="minorHAnsi" w:eastAsiaTheme="minorEastAsia" w:hAnsiTheme="minorHAnsi" w:cstheme="minorHAnsi"/>
        </w:rPr>
        <w:lastRenderedPageBreak/>
        <w:t>erosion of visual arts coursework in pre-service contexts (</w:t>
      </w:r>
      <w:proofErr w:type="spellStart"/>
      <w:r w:rsidRPr="00F67850">
        <w:rPr>
          <w:rStyle w:val="normaltextrun"/>
          <w:rFonts w:asciiTheme="minorHAnsi" w:eastAsiaTheme="minorEastAsia" w:hAnsiTheme="minorHAnsi" w:cstheme="minorHAnsi"/>
        </w:rPr>
        <w:t>Cutcher</w:t>
      </w:r>
      <w:proofErr w:type="spellEnd"/>
      <w:r w:rsidRPr="00F67850">
        <w:rPr>
          <w:rStyle w:val="normaltextrun"/>
          <w:rFonts w:asciiTheme="minorHAnsi" w:eastAsiaTheme="minorEastAsia" w:hAnsiTheme="minorHAnsi" w:cstheme="minorHAnsi"/>
        </w:rPr>
        <w:t xml:space="preserve"> &amp; Boyd, 2018; </w:t>
      </w:r>
      <w:proofErr w:type="spellStart"/>
      <w:r w:rsidRPr="00F67850">
        <w:rPr>
          <w:rStyle w:val="normaltextrun"/>
          <w:rFonts w:asciiTheme="minorHAnsi" w:eastAsiaTheme="minorEastAsia" w:hAnsiTheme="minorHAnsi" w:cstheme="minorHAnsi"/>
        </w:rPr>
        <w:t>Moilanen</w:t>
      </w:r>
      <w:proofErr w:type="spellEnd"/>
      <w:r w:rsidRPr="00F67850">
        <w:rPr>
          <w:rStyle w:val="normaltextrun"/>
          <w:rFonts w:asciiTheme="minorHAnsi" w:eastAsiaTheme="minorEastAsia" w:hAnsiTheme="minorHAnsi" w:cstheme="minorHAnsi"/>
        </w:rPr>
        <w:t xml:space="preserve"> &amp; </w:t>
      </w:r>
      <w:proofErr w:type="spellStart"/>
      <w:r w:rsidRPr="00F67850">
        <w:rPr>
          <w:rStyle w:val="normaltextrun"/>
          <w:rFonts w:asciiTheme="minorHAnsi" w:eastAsiaTheme="minorEastAsia" w:hAnsiTheme="minorHAnsi" w:cstheme="minorHAnsi"/>
        </w:rPr>
        <w:t>Mertala</w:t>
      </w:r>
      <w:proofErr w:type="spellEnd"/>
      <w:r w:rsidRPr="00F67850">
        <w:rPr>
          <w:rStyle w:val="normaltextrun"/>
          <w:rFonts w:asciiTheme="minorHAnsi" w:eastAsiaTheme="minorEastAsia" w:hAnsiTheme="minorHAnsi" w:cstheme="minorHAnsi"/>
        </w:rPr>
        <w:t>, 2020). Exemplifying this, Lindsay’s research participants expressed very few memories of visual arts learning from their pre-service training with one participant stating, “Umm, Visual arts … I really can’t recall visual arts. It really wasn’t a strong point of our studies” (Lindsay, 2017). Similarly, Denee’s (2022) survey respondents noted the reduction of visual arts instruction in pre-service teacher education, with one participant stating:</w:t>
      </w:r>
    </w:p>
    <w:p w14:paraId="5F903C61" w14:textId="18DC8283" w:rsidR="679D6E1B" w:rsidRPr="00F67850" w:rsidRDefault="71F34D03" w:rsidP="120913F3">
      <w:pPr>
        <w:spacing w:after="120" w:line="360" w:lineRule="auto"/>
        <w:ind w:left="720"/>
        <w:rPr>
          <w:rFonts w:asciiTheme="minorHAnsi" w:eastAsiaTheme="minorEastAsia" w:hAnsiTheme="minorHAnsi" w:cstheme="minorHAnsi"/>
          <w:lang w:val="en-US"/>
        </w:rPr>
      </w:pPr>
      <w:r w:rsidRPr="00F67850">
        <w:rPr>
          <w:rFonts w:asciiTheme="minorHAnsi" w:eastAsiaTheme="minorEastAsia" w:hAnsiTheme="minorHAnsi" w:cstheme="minorHAnsi"/>
          <w:i/>
          <w:iCs/>
          <w:lang w:val="en-NZ"/>
        </w:rPr>
        <w:t>I think there needs to be more focus in training for ECE around pedagogical strategies which support developing children’s creative self-confidence and expression abilities through art…I constantly struggle with qualified colleagues who have very little knowledge about how to provide quality visual art learning experiences for young children.</w:t>
      </w:r>
    </w:p>
    <w:p w14:paraId="74EA119B" w14:textId="162DF340" w:rsidR="3D78FBCF" w:rsidRPr="00F67850" w:rsidRDefault="3D78FBCF" w:rsidP="120913F3">
      <w:pPr>
        <w:spacing w:after="120" w:line="360" w:lineRule="auto"/>
        <w:rPr>
          <w:rFonts w:asciiTheme="minorHAnsi" w:eastAsiaTheme="minorEastAsia" w:hAnsiTheme="minorHAnsi" w:cstheme="minorHAnsi"/>
          <w:lang w:val="en-US"/>
        </w:rPr>
      </w:pPr>
      <w:r w:rsidRPr="00F67850">
        <w:rPr>
          <w:rStyle w:val="normaltextrun"/>
          <w:rFonts w:asciiTheme="minorHAnsi" w:eastAsiaTheme="minorEastAsia" w:hAnsiTheme="minorHAnsi" w:cstheme="minorHAnsi"/>
        </w:rPr>
        <w:t xml:space="preserve">Our studies suggest that pre-service coursework is not always supporting teachers to differentiate between generic ‘art and craft’ entertainment activities and meaningful visual arts curricula. For example, a participant in </w:t>
      </w:r>
      <w:proofErr w:type="spellStart"/>
      <w:r w:rsidRPr="00F67850">
        <w:rPr>
          <w:rStyle w:val="normaltextrun"/>
          <w:rFonts w:asciiTheme="minorHAnsi" w:eastAsiaTheme="minorEastAsia" w:hAnsiTheme="minorHAnsi" w:cstheme="minorHAnsi"/>
        </w:rPr>
        <w:t>Probine’s</w:t>
      </w:r>
      <w:proofErr w:type="spellEnd"/>
      <w:r w:rsidRPr="00F67850">
        <w:rPr>
          <w:rStyle w:val="normaltextrun"/>
          <w:rFonts w:asciiTheme="minorHAnsi" w:eastAsiaTheme="minorEastAsia" w:hAnsiTheme="minorHAnsi" w:cstheme="minorHAnsi"/>
        </w:rPr>
        <w:t xml:space="preserve"> (2020) study described their tertiary education, stating, “The perception I got was that art was something you did on a Friday afternoon and there wasn’t a lot of unpacking of the learning, it was more ‘fun ideas of what you could do.” Similarly, a participant in Lindsay’s (2017) study recalled that although they had been taught about the importance of having art materials “readily available,” they were also “trained to give out stencils and help them to colour-in” and told to give children “a whole heap of things and see what they create themselves.”  Affirming the concerns raised by our studies, </w:t>
      </w:r>
      <w:proofErr w:type="spellStart"/>
      <w:r w:rsidRPr="00F67850">
        <w:rPr>
          <w:rStyle w:val="normaltextrun"/>
          <w:rFonts w:asciiTheme="minorHAnsi" w:eastAsiaTheme="minorEastAsia" w:hAnsiTheme="minorHAnsi" w:cstheme="minorHAnsi"/>
        </w:rPr>
        <w:t>Pavlou</w:t>
      </w:r>
      <w:proofErr w:type="spellEnd"/>
      <w:r w:rsidRPr="00F67850">
        <w:rPr>
          <w:rStyle w:val="normaltextrun"/>
          <w:rFonts w:asciiTheme="minorHAnsi" w:eastAsiaTheme="minorEastAsia" w:hAnsiTheme="minorHAnsi" w:cstheme="minorHAnsi"/>
        </w:rPr>
        <w:t xml:space="preserve"> (2021) highlights that teacher misconceptions about the purposes and implementation of art with children may limit or negate t</w:t>
      </w:r>
      <w:r w:rsidR="120913F3" w:rsidRPr="00F67850">
        <w:rPr>
          <w:rFonts w:asciiTheme="minorHAnsi" w:eastAsia="Calibri" w:hAnsiTheme="minorHAnsi" w:cstheme="minorHAnsi"/>
        </w:rPr>
        <w:t>he importance of the visual arts within the curriculum.</w:t>
      </w:r>
    </w:p>
    <w:p w14:paraId="0874F8B0" w14:textId="1FFBF950" w:rsidR="679D6E1B" w:rsidRPr="00F67850" w:rsidRDefault="3D78FBCF" w:rsidP="120913F3">
      <w:pPr>
        <w:spacing w:after="120" w:line="360" w:lineRule="auto"/>
        <w:rPr>
          <w:rFonts w:asciiTheme="minorHAnsi" w:eastAsiaTheme="minorEastAsia" w:hAnsiTheme="minorHAnsi" w:cstheme="minorHAnsi"/>
          <w:lang w:val="en-US"/>
        </w:rPr>
      </w:pPr>
      <w:r w:rsidRPr="00F67850">
        <w:rPr>
          <w:rFonts w:asciiTheme="minorHAnsi" w:eastAsiaTheme="minorEastAsia" w:hAnsiTheme="minorHAnsi" w:cstheme="minorHAnsi"/>
        </w:rPr>
        <w:t xml:space="preserve">In contrast and affirming </w:t>
      </w:r>
      <w:proofErr w:type="spellStart"/>
      <w:r w:rsidRPr="00F67850">
        <w:rPr>
          <w:rFonts w:asciiTheme="minorHAnsi" w:eastAsiaTheme="minorEastAsia" w:hAnsiTheme="minorHAnsi" w:cstheme="minorHAnsi"/>
        </w:rPr>
        <w:t>Pavlou’s</w:t>
      </w:r>
      <w:proofErr w:type="spellEnd"/>
      <w:r w:rsidRPr="00F67850">
        <w:rPr>
          <w:rFonts w:asciiTheme="minorHAnsi" w:eastAsiaTheme="minorEastAsia" w:hAnsiTheme="minorHAnsi" w:cstheme="minorHAnsi"/>
        </w:rPr>
        <w:t xml:space="preserve"> (2021) suggestion that in addition to developing subject content and pedagogical knowledge, training must also support educators to develop a personal arts identity, participants in all three studies credited their pre-service training for their positive visual arts self-efficacy beliefs and resulting informed visual arts curriculum and pedagogy. For example, two participants</w:t>
      </w:r>
      <w:r w:rsidR="3912BADE" w:rsidRPr="00F67850">
        <w:rPr>
          <w:rFonts w:asciiTheme="minorHAnsi" w:eastAsiaTheme="minorEastAsia" w:hAnsiTheme="minorHAnsi" w:cstheme="minorHAnsi"/>
        </w:rPr>
        <w:t xml:space="preserve"> in </w:t>
      </w:r>
      <w:r w:rsidRPr="00F67850">
        <w:rPr>
          <w:rFonts w:asciiTheme="minorHAnsi" w:eastAsiaTheme="minorEastAsia" w:hAnsiTheme="minorHAnsi" w:cstheme="minorHAnsi"/>
        </w:rPr>
        <w:t xml:space="preserve">Lindsay’s (2017) research identified that tertiary textile and ceramics elective subjects had raised their confidence to learn arts skills and overcome their childhood fuelled lack of visual arts confidence. Similarly, </w:t>
      </w:r>
      <w:r w:rsidRPr="00F67850">
        <w:rPr>
          <w:rFonts w:asciiTheme="minorHAnsi" w:eastAsiaTheme="minorEastAsia" w:hAnsiTheme="minorHAnsi" w:cstheme="minorHAnsi"/>
          <w:lang w:val="en-NZ"/>
        </w:rPr>
        <w:t xml:space="preserve">Denee’s (2022) survey respondents credited pre-service training contexts for developing their skills </w:t>
      </w:r>
      <w:r w:rsidRPr="00F67850">
        <w:rPr>
          <w:rFonts w:asciiTheme="minorHAnsi" w:eastAsiaTheme="minorEastAsia" w:hAnsiTheme="minorHAnsi" w:cstheme="minorHAnsi"/>
          <w:lang w:val="en-NZ"/>
        </w:rPr>
        <w:lastRenderedPageBreak/>
        <w:t xml:space="preserve">and confidence to engage children in visual arts learning. For example, one respondent noted that </w:t>
      </w:r>
      <w:proofErr w:type="gramStart"/>
      <w:r w:rsidRPr="00F67850">
        <w:rPr>
          <w:rFonts w:asciiTheme="minorHAnsi" w:eastAsiaTheme="minorEastAsia" w:hAnsiTheme="minorHAnsi" w:cstheme="minorHAnsi"/>
          <w:lang w:val="en-NZ"/>
        </w:rPr>
        <w:t>teachers</w:t>
      </w:r>
      <w:proofErr w:type="gramEnd"/>
      <w:r w:rsidRPr="00F67850">
        <w:rPr>
          <w:rFonts w:asciiTheme="minorHAnsi" w:eastAsiaTheme="minorEastAsia" w:hAnsiTheme="minorHAnsi" w:cstheme="minorHAnsi"/>
          <w:lang w:val="en-NZ"/>
        </w:rPr>
        <w:t xml:space="preserve"> college “was fantastic with visual art, hands on classes, taking what we learnt into practicums as assignments.”</w:t>
      </w:r>
    </w:p>
    <w:p w14:paraId="6D7D6C43" w14:textId="79AC5F16" w:rsidR="679D6E1B" w:rsidRPr="00F67850" w:rsidRDefault="71F34D03" w:rsidP="120913F3">
      <w:pPr>
        <w:pStyle w:val="Heading3"/>
        <w:spacing w:after="120" w:line="360" w:lineRule="auto"/>
        <w:rPr>
          <w:rFonts w:asciiTheme="minorHAnsi" w:eastAsiaTheme="minorEastAsia" w:hAnsiTheme="minorHAnsi" w:cstheme="minorHAnsi"/>
          <w:i/>
          <w:iCs/>
          <w:highlight w:val="yellow"/>
          <w:lang w:val="en-US"/>
        </w:rPr>
      </w:pPr>
      <w:r w:rsidRPr="00F67850">
        <w:rPr>
          <w:rFonts w:asciiTheme="minorHAnsi" w:eastAsiaTheme="minorEastAsia" w:hAnsiTheme="minorHAnsi" w:cstheme="minorHAnsi"/>
          <w:i/>
          <w:iCs/>
        </w:rPr>
        <w:t xml:space="preserve">Theoretical beliefs and practice </w:t>
      </w:r>
    </w:p>
    <w:p w14:paraId="1FBA147C" w14:textId="2D90939C" w:rsidR="679D6E1B" w:rsidRPr="00F67850" w:rsidRDefault="3D78FBCF" w:rsidP="120913F3">
      <w:pPr>
        <w:spacing w:after="120" w:line="360" w:lineRule="auto"/>
        <w:rPr>
          <w:rFonts w:asciiTheme="minorHAnsi" w:eastAsiaTheme="minorEastAsia" w:hAnsiTheme="minorHAnsi" w:cstheme="minorHAnsi"/>
          <w:lang w:val="en-US"/>
        </w:rPr>
      </w:pPr>
      <w:r w:rsidRPr="00F67850">
        <w:rPr>
          <w:rStyle w:val="normaltextrun"/>
          <w:rFonts w:asciiTheme="minorHAnsi" w:eastAsiaTheme="minorEastAsia" w:hAnsiTheme="minorHAnsi" w:cstheme="minorHAnsi"/>
        </w:rPr>
        <w:t xml:space="preserve">Extending upon </w:t>
      </w:r>
      <w:proofErr w:type="spellStart"/>
      <w:r w:rsidRPr="00F67850">
        <w:rPr>
          <w:rStyle w:val="normaltextrun"/>
          <w:rFonts w:asciiTheme="minorHAnsi" w:eastAsiaTheme="minorEastAsia" w:hAnsiTheme="minorHAnsi" w:cstheme="minorHAnsi"/>
        </w:rPr>
        <w:t>Garvis</w:t>
      </w:r>
      <w:proofErr w:type="spellEnd"/>
      <w:r w:rsidRPr="00F67850">
        <w:rPr>
          <w:rStyle w:val="normaltextrun"/>
          <w:rFonts w:asciiTheme="minorHAnsi" w:eastAsiaTheme="minorEastAsia" w:hAnsiTheme="minorHAnsi" w:cstheme="minorHAnsi"/>
        </w:rPr>
        <w:t>’ (2012) finding that early childhood visual arts pedagogy is shaped by teachers’ epistemological stance,</w:t>
      </w:r>
      <w:r w:rsidR="120913F3" w:rsidRPr="00F67850">
        <w:rPr>
          <w:rStyle w:val="normaltextrun"/>
          <w:rFonts w:asciiTheme="minorHAnsi" w:eastAsiaTheme="minorEastAsia" w:hAnsiTheme="minorHAnsi" w:cstheme="minorHAnsi"/>
        </w:rPr>
        <w:t xml:space="preserve"> </w:t>
      </w:r>
      <w:r w:rsidRPr="00F67850">
        <w:rPr>
          <w:rStyle w:val="normaltextrun"/>
          <w:rFonts w:asciiTheme="minorHAnsi" w:eastAsiaTheme="minorEastAsia" w:hAnsiTheme="minorHAnsi" w:cstheme="minorHAnsi"/>
        </w:rPr>
        <w:t>all three studies found that low visual arts self-efficacy, particularly when coupled with a lack of pedagogical knowledge about how to support children’s visual arts learning, was evident amongst parti</w:t>
      </w:r>
      <w:r w:rsidR="120913F3" w:rsidRPr="00F67850">
        <w:rPr>
          <w:rStyle w:val="normaltextrun"/>
          <w:rFonts w:asciiTheme="minorHAnsi" w:eastAsiaTheme="minorEastAsia" w:hAnsiTheme="minorHAnsi" w:cstheme="minorHAnsi"/>
        </w:rPr>
        <w:t xml:space="preserve">cipants </w:t>
      </w:r>
      <w:r w:rsidRPr="00F67850">
        <w:rPr>
          <w:rStyle w:val="normaltextrun"/>
          <w:rFonts w:asciiTheme="minorHAnsi" w:eastAsiaTheme="minorEastAsia" w:hAnsiTheme="minorHAnsi" w:cstheme="minorHAnsi"/>
        </w:rPr>
        <w:t>who predominantly expressed developmental epistemological views. Additionally, we propose</w:t>
      </w:r>
      <w:r w:rsidR="3912BADE" w:rsidRPr="00F67850">
        <w:rPr>
          <w:rStyle w:val="normaltextrun"/>
          <w:rFonts w:asciiTheme="minorHAnsi" w:eastAsiaTheme="minorEastAsia" w:hAnsiTheme="minorHAnsi" w:cstheme="minorHAnsi"/>
        </w:rPr>
        <w:t xml:space="preserve"> </w:t>
      </w:r>
      <w:r w:rsidRPr="00F67850">
        <w:rPr>
          <w:rStyle w:val="normaltextrun"/>
          <w:rFonts w:asciiTheme="minorHAnsi" w:eastAsiaTheme="minorEastAsia" w:hAnsiTheme="minorHAnsi" w:cstheme="minorHAnsi"/>
        </w:rPr>
        <w:t xml:space="preserve">that teachers’ implicit theoretical beliefs influence whether low visual arts self-efficacy beliefs will be overcome to enable intentional visual arts teaching. Lindsay (2017) and Denee’s (2022) participants expressed contradictory theoretical beliefs about children’s visual arts learning and development and their role as teachers, suggesting competing tensions between constructivist and developmental theoretical paradigms. Although participants in all three studies identified theoretical inspiration from the constructivist Italian Reggio Emilia approach and therefore expressed value for active learning through engagement with arts materials, the data in Lindsay (2017) and Denee’s (2022) studies suggests a persistent avoidance of intentional visual arts teaching, fuelled by beliefs that children’s visual arts learning should occur naturally through the provision of materials and emotional support alone. Participants who expressed negative beliefs about children's lack of readiness to learn arts skills, were more likely to describe non-interventionist teaching practices whereby teachers avoid visual arts technical instruction (Denee, 2022; Lindsay, 2017). For example, one of Lindsay’s (2017) participants considered educator modelling of arts skills as “potentially damaging” and “completely superfluous”, affirming Fleer’s (2011) identification of an ongoing predominance of maturation views of child development that place limitations on the reach of intentional teaching. Similarly, a respondent in Denee’s (2022) study expressed the common misbelief (Kindler 1996) that to support children’s creativity teachers should not engage in children’s visual arts processes, </w:t>
      </w:r>
    </w:p>
    <w:p w14:paraId="6F51652F" w14:textId="33CD76A8" w:rsidR="679D6E1B" w:rsidRPr="00F67850" w:rsidRDefault="71F34D03" w:rsidP="120913F3">
      <w:pPr>
        <w:spacing w:after="120" w:line="360" w:lineRule="auto"/>
        <w:ind w:left="720"/>
        <w:rPr>
          <w:rStyle w:val="normaltextrun"/>
          <w:rFonts w:asciiTheme="minorHAnsi" w:eastAsiaTheme="minorEastAsia" w:hAnsiTheme="minorHAnsi" w:cstheme="minorHAnsi"/>
        </w:rPr>
      </w:pPr>
      <w:r w:rsidRPr="00F67850">
        <w:rPr>
          <w:rFonts w:asciiTheme="minorHAnsi" w:eastAsiaTheme="minorEastAsia" w:hAnsiTheme="minorHAnsi" w:cstheme="minorHAnsi"/>
          <w:i/>
          <w:iCs/>
        </w:rPr>
        <w:t>I just love to provide the resources, usually asking them what they want and setting the table up. If I walk away, they explore; If I sit and stay, it's, ‘can you cut this out for me, can you draw a picture.’</w:t>
      </w:r>
    </w:p>
    <w:p w14:paraId="1A8143B5" w14:textId="46B02BBE" w:rsidR="679D6E1B" w:rsidRPr="00F67850" w:rsidRDefault="3D78FBCF" w:rsidP="120913F3">
      <w:pPr>
        <w:spacing w:after="120" w:line="360" w:lineRule="auto"/>
        <w:rPr>
          <w:rFonts w:asciiTheme="minorHAnsi" w:eastAsiaTheme="minorEastAsia" w:hAnsiTheme="minorHAnsi" w:cstheme="minorHAnsi"/>
          <w:lang w:val="en-US"/>
        </w:rPr>
      </w:pPr>
      <w:r w:rsidRPr="00F67850">
        <w:rPr>
          <w:rStyle w:val="normaltextrun"/>
          <w:rFonts w:asciiTheme="minorHAnsi" w:eastAsiaTheme="minorEastAsia" w:hAnsiTheme="minorHAnsi" w:cstheme="minorHAnsi"/>
        </w:rPr>
        <w:lastRenderedPageBreak/>
        <w:t>Although grounded in a desire to foster children’s free play, such ‘non-intervention’ beliefs, perhaps offer those lacking visual arts content knowledge and self-efficacy a convenient excuse to avoid intentional teaching in the visual arts domain.</w:t>
      </w:r>
    </w:p>
    <w:p w14:paraId="54829141" w14:textId="51E5B506" w:rsidR="679D6E1B" w:rsidRPr="00F67850" w:rsidRDefault="71F34D03" w:rsidP="120913F3">
      <w:pPr>
        <w:spacing w:after="120" w:line="360" w:lineRule="auto"/>
        <w:rPr>
          <w:rFonts w:asciiTheme="minorHAnsi" w:eastAsiaTheme="minorEastAsia" w:hAnsiTheme="minorHAnsi" w:cstheme="minorHAnsi"/>
          <w:lang w:val="en-US"/>
        </w:rPr>
      </w:pPr>
      <w:r w:rsidRPr="00F67850">
        <w:rPr>
          <w:rStyle w:val="normaltextrun"/>
          <w:rFonts w:asciiTheme="minorHAnsi" w:eastAsiaTheme="minorEastAsia" w:hAnsiTheme="minorHAnsi" w:cstheme="minorHAnsi"/>
        </w:rPr>
        <w:t xml:space="preserve">In contrast, all three studies identified that when participants articulated constructivist beliefs in children as capable, agentic learners and teachers as active partners in children’s learning, intentional, process-oriented visual arts pedagogies were described. This was particularly evident in </w:t>
      </w:r>
      <w:proofErr w:type="spellStart"/>
      <w:r w:rsidRPr="00F67850">
        <w:rPr>
          <w:rStyle w:val="normaltextrun"/>
          <w:rFonts w:asciiTheme="minorHAnsi" w:eastAsiaTheme="minorEastAsia" w:hAnsiTheme="minorHAnsi" w:cstheme="minorHAnsi"/>
        </w:rPr>
        <w:t>Probine’s</w:t>
      </w:r>
      <w:proofErr w:type="spellEnd"/>
      <w:r w:rsidRPr="00F67850">
        <w:rPr>
          <w:rStyle w:val="normaltextrun"/>
          <w:rFonts w:asciiTheme="minorHAnsi" w:eastAsiaTheme="minorEastAsia" w:hAnsiTheme="minorHAnsi" w:cstheme="minorHAnsi"/>
        </w:rPr>
        <w:t xml:space="preserve"> (2020) study where participants’ constructivist theoretical views appeared to collectively support teachers to overcome low levels of personal visual arts efficacy to implement intentional visual arts experiences with children. Interestingly, even where participants lacked personal visual arts self-efficacy, constructivist beliefs appeared to foster a willingness to model the use of visual arts materials and techniques to support children’s learning. For example, a survey respondent in Denee’s (2022) study described a shift in thinking which </w:t>
      </w:r>
      <w:r w:rsidR="3912BADE" w:rsidRPr="00F67850">
        <w:rPr>
          <w:rStyle w:val="normaltextrun"/>
          <w:rFonts w:asciiTheme="minorHAnsi" w:eastAsiaTheme="minorEastAsia" w:hAnsiTheme="minorHAnsi" w:cstheme="minorHAnsi"/>
        </w:rPr>
        <w:t xml:space="preserve">resulted from theoretical provocation, </w:t>
      </w:r>
    </w:p>
    <w:p w14:paraId="4C21715F" w14:textId="2CE06F7C" w:rsidR="679D6E1B" w:rsidRPr="00F67850" w:rsidRDefault="71F34D03" w:rsidP="120913F3">
      <w:pPr>
        <w:spacing w:after="120" w:line="360" w:lineRule="auto"/>
        <w:ind w:left="720"/>
        <w:rPr>
          <w:rFonts w:asciiTheme="minorHAnsi" w:eastAsiaTheme="minorEastAsia" w:hAnsiTheme="minorHAnsi" w:cstheme="minorHAnsi"/>
          <w:lang w:val="en-US"/>
        </w:rPr>
      </w:pPr>
      <w:r w:rsidRPr="00F67850">
        <w:rPr>
          <w:rStyle w:val="normaltextrun"/>
          <w:rFonts w:asciiTheme="minorHAnsi" w:eastAsiaTheme="minorEastAsia" w:hAnsiTheme="minorHAnsi" w:cstheme="minorHAnsi"/>
          <w:i/>
          <w:iCs/>
        </w:rPr>
        <w:t xml:space="preserve">Creating my own work alongside children has been a recent development as I read about how children need role models... My opinions are changing as I open my mind to the </w:t>
      </w:r>
      <w:proofErr w:type="gramStart"/>
      <w:r w:rsidRPr="00F67850">
        <w:rPr>
          <w:rStyle w:val="normaltextrun"/>
          <w:rFonts w:asciiTheme="minorHAnsi" w:eastAsiaTheme="minorEastAsia" w:hAnsiTheme="minorHAnsi" w:cstheme="minorHAnsi"/>
          <w:i/>
          <w:iCs/>
        </w:rPr>
        <w:t>role</w:t>
      </w:r>
      <w:proofErr w:type="gramEnd"/>
      <w:r w:rsidRPr="00F67850">
        <w:rPr>
          <w:rStyle w:val="normaltextrun"/>
          <w:rFonts w:asciiTheme="minorHAnsi" w:eastAsiaTheme="minorEastAsia" w:hAnsiTheme="minorHAnsi" w:cstheme="minorHAnsi"/>
          <w:i/>
          <w:iCs/>
        </w:rPr>
        <w:t xml:space="preserve"> I can play in </w:t>
      </w:r>
      <w:proofErr w:type="spellStart"/>
      <w:r w:rsidRPr="00F67850">
        <w:rPr>
          <w:rStyle w:val="normaltextrun"/>
          <w:rFonts w:asciiTheme="minorHAnsi" w:eastAsiaTheme="minorEastAsia" w:hAnsiTheme="minorHAnsi" w:cstheme="minorHAnsi"/>
          <w:i/>
          <w:iCs/>
        </w:rPr>
        <w:t>tamariki</w:t>
      </w:r>
      <w:proofErr w:type="spellEnd"/>
      <w:r w:rsidRPr="00F67850">
        <w:rPr>
          <w:rStyle w:val="normaltextrun"/>
          <w:rFonts w:asciiTheme="minorHAnsi" w:eastAsiaTheme="minorEastAsia" w:hAnsiTheme="minorHAnsi" w:cstheme="minorHAnsi"/>
          <w:i/>
          <w:iCs/>
        </w:rPr>
        <w:t xml:space="preserve"> [children’s] art experiences. Moving away from Piaget...</w:t>
      </w:r>
    </w:p>
    <w:p w14:paraId="7EEB04EB" w14:textId="45B8D37D" w:rsidR="679D6E1B" w:rsidRPr="00F67850" w:rsidRDefault="120913F3" w:rsidP="120913F3">
      <w:pPr>
        <w:spacing w:after="120" w:line="360" w:lineRule="auto"/>
        <w:rPr>
          <w:rFonts w:asciiTheme="minorHAnsi" w:eastAsiaTheme="minorEastAsia" w:hAnsiTheme="minorHAnsi" w:cstheme="minorHAnsi"/>
          <w:lang w:val="en-NZ"/>
        </w:rPr>
      </w:pPr>
      <w:r w:rsidRPr="00F67850">
        <w:rPr>
          <w:rFonts w:asciiTheme="minorHAnsi" w:eastAsiaTheme="minorEastAsia" w:hAnsiTheme="minorHAnsi" w:cstheme="minorHAnsi"/>
          <w:lang w:val="en-NZ"/>
        </w:rPr>
        <w:t>We therefore propose that when teachers are supported to critically engage with theoretical worldviews that position both children and teachers as co-constructors of knowledge, teachers may be empowered to overcome limiting low self-efficacy beliefs and embrace more empowering pedagogical perspectives.</w:t>
      </w:r>
    </w:p>
    <w:p w14:paraId="12997A09" w14:textId="6D6B867A" w:rsidR="679D6E1B" w:rsidRPr="00F67850" w:rsidRDefault="6F39CCAA" w:rsidP="120913F3">
      <w:pPr>
        <w:spacing w:after="120" w:line="360" w:lineRule="auto"/>
        <w:rPr>
          <w:rFonts w:asciiTheme="minorHAnsi" w:eastAsiaTheme="minorEastAsia" w:hAnsiTheme="minorHAnsi" w:cstheme="minorHAnsi"/>
        </w:rPr>
      </w:pPr>
      <w:r w:rsidRPr="00F67850">
        <w:rPr>
          <w:rFonts w:asciiTheme="minorHAnsi" w:eastAsiaTheme="minorEastAsia" w:hAnsiTheme="minorHAnsi" w:cstheme="minorHAnsi"/>
          <w:b/>
          <w:bCs/>
          <w:lang w:val="en-NZ"/>
        </w:rPr>
        <w:t xml:space="preserve">Part 2: Supportive conditions for improving self-efficacy </w:t>
      </w:r>
    </w:p>
    <w:p w14:paraId="3146B574" w14:textId="692D7A0D" w:rsidR="679D6E1B" w:rsidRPr="00F67850" w:rsidRDefault="6F39CCAA" w:rsidP="120913F3">
      <w:pPr>
        <w:spacing w:after="120" w:line="360" w:lineRule="auto"/>
        <w:rPr>
          <w:rFonts w:asciiTheme="minorHAnsi" w:eastAsiaTheme="minorEastAsia" w:hAnsiTheme="minorHAnsi" w:cstheme="minorHAnsi"/>
          <w:i/>
          <w:iCs/>
        </w:rPr>
      </w:pPr>
      <w:r w:rsidRPr="00F67850">
        <w:rPr>
          <w:rFonts w:asciiTheme="minorHAnsi" w:eastAsiaTheme="minorEastAsia" w:hAnsiTheme="minorHAnsi" w:cstheme="minorHAnsi"/>
          <w:lang w:val="en-NZ"/>
        </w:rPr>
        <w:t xml:space="preserve">This section discusses the conditions that appeared to support teachers to develop and maintain positive self-efficacy about visual arts in our studies. </w:t>
      </w:r>
    </w:p>
    <w:p w14:paraId="4FF876D2" w14:textId="2C33AE2A" w:rsidR="679D6E1B" w:rsidRPr="00F67850" w:rsidRDefault="6F39CCAA" w:rsidP="120913F3">
      <w:pPr>
        <w:spacing w:after="120" w:line="360" w:lineRule="auto"/>
        <w:rPr>
          <w:rFonts w:asciiTheme="minorHAnsi" w:eastAsiaTheme="minorEastAsia" w:hAnsiTheme="minorHAnsi" w:cstheme="minorHAnsi"/>
          <w:b/>
          <w:bCs/>
          <w:i/>
          <w:iCs/>
        </w:rPr>
      </w:pPr>
      <w:r w:rsidRPr="00F67850">
        <w:rPr>
          <w:rFonts w:asciiTheme="minorHAnsi" w:eastAsiaTheme="minorEastAsia" w:hAnsiTheme="minorHAnsi" w:cstheme="minorHAnsi"/>
          <w:b/>
          <w:bCs/>
          <w:i/>
          <w:iCs/>
          <w:lang w:val="en-NZ"/>
        </w:rPr>
        <w:t xml:space="preserve">Practical Experiences and Engagement with Materials </w:t>
      </w:r>
    </w:p>
    <w:p w14:paraId="23E1789A" w14:textId="0D9879DC" w:rsidR="679D6E1B" w:rsidRPr="00F67850" w:rsidRDefault="7B6EBC28" w:rsidP="120913F3">
      <w:pPr>
        <w:spacing w:after="120" w:line="360" w:lineRule="auto"/>
        <w:rPr>
          <w:rFonts w:asciiTheme="minorHAnsi" w:eastAsiaTheme="minorEastAsia" w:hAnsiTheme="minorHAnsi" w:cstheme="minorHAnsi"/>
        </w:rPr>
      </w:pPr>
      <w:r w:rsidRPr="00F67850">
        <w:rPr>
          <w:rFonts w:asciiTheme="minorHAnsi" w:eastAsiaTheme="minorEastAsia" w:hAnsiTheme="minorHAnsi" w:cstheme="minorHAnsi"/>
          <w:lang w:val="en-NZ"/>
        </w:rPr>
        <w:t xml:space="preserve">Practical experiences that foster success, mastery and the development of a growth mindset </w:t>
      </w:r>
      <w:proofErr w:type="gramStart"/>
      <w:r w:rsidRPr="00F67850">
        <w:rPr>
          <w:rFonts w:asciiTheme="minorHAnsi" w:eastAsiaTheme="minorEastAsia" w:hAnsiTheme="minorHAnsi" w:cstheme="minorHAnsi"/>
          <w:lang w:val="en-NZ"/>
        </w:rPr>
        <w:t>where</w:t>
      </w:r>
      <w:proofErr w:type="gramEnd"/>
      <w:r w:rsidRPr="00F67850">
        <w:rPr>
          <w:rFonts w:asciiTheme="minorHAnsi" w:eastAsiaTheme="minorEastAsia" w:hAnsiTheme="minorHAnsi" w:cstheme="minorHAnsi"/>
          <w:lang w:val="en-NZ"/>
        </w:rPr>
        <w:t xml:space="preserve"> noted by both Denee (2022) and </w:t>
      </w:r>
      <w:proofErr w:type="spellStart"/>
      <w:r w:rsidRPr="00F67850">
        <w:rPr>
          <w:rFonts w:asciiTheme="minorHAnsi" w:eastAsiaTheme="minorEastAsia" w:hAnsiTheme="minorHAnsi" w:cstheme="minorHAnsi"/>
          <w:lang w:val="en-NZ"/>
        </w:rPr>
        <w:t>Probine</w:t>
      </w:r>
      <w:proofErr w:type="spellEnd"/>
      <w:r w:rsidRPr="00F67850">
        <w:rPr>
          <w:rFonts w:asciiTheme="minorHAnsi" w:eastAsiaTheme="minorEastAsia" w:hAnsiTheme="minorHAnsi" w:cstheme="minorHAnsi"/>
          <w:lang w:val="en-NZ"/>
        </w:rPr>
        <w:t xml:space="preserve"> (2020) as conditions that may dispel preconceived beliefs about visual arts and foster self-efficacy. Both </w:t>
      </w:r>
      <w:r w:rsidRPr="00F67850">
        <w:rPr>
          <w:rFonts w:asciiTheme="minorHAnsi" w:eastAsiaTheme="minorEastAsia" w:hAnsiTheme="minorHAnsi" w:cstheme="minorHAnsi"/>
        </w:rPr>
        <w:t xml:space="preserve">studies found that practical art workshops contributed to teachers’ visual arts self-efficacy in two ways. Teachers become more confident to engage with visual arts materials and processes, and </w:t>
      </w:r>
      <w:r w:rsidRPr="00F67850">
        <w:rPr>
          <w:rFonts w:asciiTheme="minorHAnsi" w:eastAsiaTheme="minorEastAsia" w:hAnsiTheme="minorHAnsi" w:cstheme="minorHAnsi"/>
        </w:rPr>
        <w:lastRenderedPageBreak/>
        <w:t>teachers also developed toolkits of strategies and knowledge to use when working with children. From the practical workshop experiences in Denee’s study, the</w:t>
      </w:r>
      <w:r w:rsidRPr="00F67850">
        <w:rPr>
          <w:rFonts w:asciiTheme="minorHAnsi" w:eastAsiaTheme="minorEastAsia" w:hAnsiTheme="minorHAnsi" w:cstheme="minorHAnsi"/>
          <w:lang w:val="en-NZ"/>
        </w:rPr>
        <w:t xml:space="preserve"> PLC participants described a shift in their perspective about </w:t>
      </w:r>
      <w:proofErr w:type="gramStart"/>
      <w:r w:rsidRPr="00F67850">
        <w:rPr>
          <w:rFonts w:asciiTheme="minorHAnsi" w:eastAsiaTheme="minorEastAsia" w:hAnsiTheme="minorHAnsi" w:cstheme="minorHAnsi"/>
          <w:lang w:val="en-NZ"/>
        </w:rPr>
        <w:t>art-making</w:t>
      </w:r>
      <w:proofErr w:type="gramEnd"/>
      <w:r w:rsidRPr="00F67850">
        <w:rPr>
          <w:rFonts w:asciiTheme="minorHAnsi" w:eastAsiaTheme="minorEastAsia" w:hAnsiTheme="minorHAnsi" w:cstheme="minorHAnsi"/>
          <w:lang w:val="en-NZ"/>
        </w:rPr>
        <w:t>; from being something you had to be extremely talented at, to being a process anyone can engage in and enjoy. This shift of perspective made visual arts accessible to these participants as adults, which resulted in children benefiting from teachers who were willing and able to engage in the visual arts. One participant said, “anybody can do it, it doesn’t have to be, I’m the artist so I do art. Anybody can gain that knowledge just like they can gain knowledge in a lot of other things.” Whilst P</w:t>
      </w:r>
      <w:proofErr w:type="spellStart"/>
      <w:r w:rsidRPr="00F67850">
        <w:rPr>
          <w:rFonts w:asciiTheme="minorHAnsi" w:eastAsiaTheme="minorEastAsia" w:hAnsiTheme="minorHAnsi" w:cstheme="minorHAnsi"/>
        </w:rPr>
        <w:t>robine’s</w:t>
      </w:r>
      <w:proofErr w:type="spellEnd"/>
      <w:r w:rsidRPr="00F67850">
        <w:rPr>
          <w:rStyle w:val="normaltextrun"/>
          <w:rFonts w:asciiTheme="minorHAnsi" w:eastAsiaTheme="minorEastAsia" w:hAnsiTheme="minorHAnsi" w:cstheme="minorHAnsi"/>
          <w:lang w:val="en-NZ"/>
        </w:rPr>
        <w:t xml:space="preserve"> (2020) study focused on settings where rich practices in the visual arts were already established, at one setting several teachers revealed their lack of personal experience and confidence in engaging in visual arts practices, a position aligning with </w:t>
      </w:r>
      <w:r w:rsidR="3085B978" w:rsidRPr="00F67850">
        <w:rPr>
          <w:rStyle w:val="normaltextrun"/>
          <w:rFonts w:asciiTheme="minorHAnsi" w:eastAsiaTheme="minorEastAsia" w:hAnsiTheme="minorHAnsi" w:cstheme="minorHAnsi"/>
          <w:lang w:val="en-NZ"/>
        </w:rPr>
        <w:t>several studies (Bailey</w:t>
      </w:r>
      <w:r w:rsidR="2BB33DB7" w:rsidRPr="00F67850">
        <w:rPr>
          <w:rStyle w:val="normaltextrun"/>
          <w:rFonts w:asciiTheme="minorHAnsi" w:eastAsiaTheme="minorEastAsia" w:hAnsiTheme="minorHAnsi" w:cstheme="minorHAnsi"/>
          <w:lang w:val="en-NZ"/>
        </w:rPr>
        <w:t xml:space="preserve"> &amp; </w:t>
      </w:r>
      <w:r w:rsidRPr="00F67850">
        <w:rPr>
          <w:rStyle w:val="normaltextrun"/>
          <w:rFonts w:asciiTheme="minorHAnsi" w:eastAsiaTheme="minorEastAsia" w:hAnsiTheme="minorHAnsi" w:cstheme="minorHAnsi"/>
          <w:lang w:val="en-NZ"/>
        </w:rPr>
        <w:t xml:space="preserve">De </w:t>
      </w:r>
      <w:proofErr w:type="spellStart"/>
      <w:r w:rsidRPr="00F67850">
        <w:rPr>
          <w:rStyle w:val="normaltextrun"/>
          <w:rFonts w:asciiTheme="minorHAnsi" w:eastAsiaTheme="minorEastAsia" w:hAnsiTheme="minorHAnsi" w:cstheme="minorHAnsi"/>
          <w:lang w:val="en-NZ"/>
        </w:rPr>
        <w:t>Rijke</w:t>
      </w:r>
      <w:proofErr w:type="spellEnd"/>
      <w:r w:rsidRPr="00F67850">
        <w:rPr>
          <w:rStyle w:val="normaltextrun"/>
          <w:rFonts w:asciiTheme="minorHAnsi" w:eastAsiaTheme="minorEastAsia" w:hAnsiTheme="minorHAnsi" w:cstheme="minorHAnsi"/>
          <w:lang w:val="en-NZ"/>
        </w:rPr>
        <w:t xml:space="preserve">, 2014; Lindsay, </w:t>
      </w:r>
      <w:r w:rsidR="3085B978" w:rsidRPr="00F67850">
        <w:rPr>
          <w:rStyle w:val="normaltextrun"/>
          <w:rFonts w:asciiTheme="minorHAnsi" w:eastAsiaTheme="minorEastAsia" w:hAnsiTheme="minorHAnsi" w:cstheme="minorHAnsi"/>
          <w:lang w:val="en-NZ"/>
        </w:rPr>
        <w:t>2021</w:t>
      </w:r>
      <w:r w:rsidRPr="00F67850">
        <w:rPr>
          <w:rStyle w:val="normaltextrun"/>
          <w:rFonts w:asciiTheme="minorHAnsi" w:eastAsiaTheme="minorEastAsia" w:hAnsiTheme="minorHAnsi" w:cstheme="minorHAnsi"/>
          <w:lang w:val="en-NZ"/>
        </w:rPr>
        <w:t>; Smyth, 2017)</w:t>
      </w:r>
      <w:r w:rsidRPr="00F67850">
        <w:rPr>
          <w:rFonts w:asciiTheme="minorHAnsi" w:eastAsiaTheme="minorEastAsia" w:hAnsiTheme="minorHAnsi" w:cstheme="minorHAnsi"/>
        </w:rPr>
        <w:t xml:space="preserve">. Critically, this centre employed a full-time arts specialist who also conceptualised professional development opportunities for the teachers alongside their work with children. One of </w:t>
      </w:r>
      <w:proofErr w:type="spellStart"/>
      <w:r w:rsidRPr="00F67850">
        <w:rPr>
          <w:rFonts w:asciiTheme="minorHAnsi" w:eastAsiaTheme="minorEastAsia" w:hAnsiTheme="minorHAnsi" w:cstheme="minorHAnsi"/>
        </w:rPr>
        <w:t>Probine’s</w:t>
      </w:r>
      <w:proofErr w:type="spellEnd"/>
      <w:r w:rsidRPr="00F67850">
        <w:rPr>
          <w:rFonts w:asciiTheme="minorHAnsi" w:eastAsiaTheme="minorEastAsia" w:hAnsiTheme="minorHAnsi" w:cstheme="minorHAnsi"/>
        </w:rPr>
        <w:t xml:space="preserve"> participants explained how these opportunities had challenged their beliefs about how visual arts could be defined and were supporting to develop their personal artistry. </w:t>
      </w:r>
      <w:r w:rsidRPr="00F67850">
        <w:rPr>
          <w:rFonts w:asciiTheme="minorHAnsi" w:eastAsiaTheme="minorEastAsia" w:hAnsiTheme="minorHAnsi" w:cstheme="minorHAnsi"/>
          <w:lang w:val="en-NZ"/>
        </w:rPr>
        <w:t xml:space="preserve">  </w:t>
      </w:r>
    </w:p>
    <w:p w14:paraId="0091436A" w14:textId="0D7AF46E" w:rsidR="679D6E1B" w:rsidRPr="00F67850" w:rsidRDefault="7B6EBC28" w:rsidP="120913F3">
      <w:pPr>
        <w:spacing w:after="120" w:line="360" w:lineRule="auto"/>
        <w:rPr>
          <w:rFonts w:asciiTheme="minorHAnsi" w:eastAsiaTheme="minorEastAsia" w:hAnsiTheme="minorHAnsi" w:cstheme="minorHAnsi"/>
        </w:rPr>
      </w:pPr>
      <w:r w:rsidRPr="00F67850">
        <w:rPr>
          <w:rFonts w:asciiTheme="minorHAnsi" w:eastAsiaTheme="minorEastAsia" w:hAnsiTheme="minorHAnsi" w:cstheme="minorHAnsi"/>
          <w:lang w:val="en-NZ"/>
        </w:rPr>
        <w:t xml:space="preserve">Secondly, participants in both Denee’s (2022) and </w:t>
      </w:r>
      <w:proofErr w:type="spellStart"/>
      <w:r w:rsidRPr="00F67850">
        <w:rPr>
          <w:rFonts w:asciiTheme="minorHAnsi" w:eastAsiaTheme="minorEastAsia" w:hAnsiTheme="minorHAnsi" w:cstheme="minorHAnsi"/>
          <w:lang w:val="en-NZ"/>
        </w:rPr>
        <w:t>Probine’s</w:t>
      </w:r>
      <w:proofErr w:type="spellEnd"/>
      <w:r w:rsidRPr="00F67850">
        <w:rPr>
          <w:rFonts w:asciiTheme="minorHAnsi" w:eastAsiaTheme="minorEastAsia" w:hAnsiTheme="minorHAnsi" w:cstheme="minorHAnsi"/>
          <w:lang w:val="en-NZ"/>
        </w:rPr>
        <w:t xml:space="preserve"> (2020) research found that practical experiences with visual arts materials directly impacted teacher’s practice. Denee’s participants were clear that the practical visual arts workshops contributed to their confidence in using visual arts materials and processes with young children with one participant explaining: </w:t>
      </w:r>
    </w:p>
    <w:p w14:paraId="2C41CBA2" w14:textId="4E2F04CB" w:rsidR="679D6E1B" w:rsidRPr="00F67850" w:rsidRDefault="7B6EBC28" w:rsidP="120913F3">
      <w:pPr>
        <w:spacing w:after="120" w:line="360" w:lineRule="auto"/>
        <w:ind w:left="720"/>
        <w:rPr>
          <w:rFonts w:asciiTheme="minorHAnsi" w:eastAsiaTheme="minorEastAsia" w:hAnsiTheme="minorHAnsi" w:cstheme="minorHAnsi"/>
          <w:i/>
          <w:iCs/>
          <w:lang w:val="en-NZ"/>
        </w:rPr>
      </w:pPr>
      <w:r w:rsidRPr="00F67850">
        <w:rPr>
          <w:rFonts w:asciiTheme="minorHAnsi" w:eastAsiaTheme="minorEastAsia" w:hAnsiTheme="minorHAnsi" w:cstheme="minorHAnsi"/>
          <w:i/>
          <w:iCs/>
          <w:lang w:val="en-NZ"/>
        </w:rPr>
        <w:t xml:space="preserve">I think it was a really big thing, knowing that you </w:t>
      </w:r>
      <w:proofErr w:type="gramStart"/>
      <w:r w:rsidRPr="00F67850">
        <w:rPr>
          <w:rFonts w:asciiTheme="minorHAnsi" w:eastAsiaTheme="minorEastAsia" w:hAnsiTheme="minorHAnsi" w:cstheme="minorHAnsi"/>
          <w:i/>
          <w:iCs/>
          <w:lang w:val="en-NZ"/>
        </w:rPr>
        <w:t>actually knew</w:t>
      </w:r>
      <w:proofErr w:type="gramEnd"/>
      <w:r w:rsidRPr="00F67850">
        <w:rPr>
          <w:rFonts w:asciiTheme="minorHAnsi" w:eastAsiaTheme="minorEastAsia" w:hAnsiTheme="minorHAnsi" w:cstheme="minorHAnsi"/>
          <w:i/>
          <w:iCs/>
          <w:lang w:val="en-NZ"/>
        </w:rPr>
        <w:t xml:space="preserve"> what to say, or knew what to do, or knew how to start the lesson, and had some really good ideas that you could immediately put into practice, I think was really powerful.</w:t>
      </w:r>
    </w:p>
    <w:p w14:paraId="0CFC5703" w14:textId="5E472FC3" w:rsidR="679D6E1B" w:rsidRPr="00F67850" w:rsidRDefault="7B6EBC28" w:rsidP="120913F3">
      <w:pPr>
        <w:spacing w:after="120" w:line="360" w:lineRule="auto"/>
        <w:rPr>
          <w:rFonts w:asciiTheme="minorHAnsi" w:eastAsiaTheme="minorEastAsia" w:hAnsiTheme="minorHAnsi" w:cstheme="minorHAnsi"/>
        </w:rPr>
      </w:pPr>
      <w:r w:rsidRPr="00F67850">
        <w:rPr>
          <w:rFonts w:asciiTheme="minorHAnsi" w:eastAsiaTheme="minorEastAsia" w:hAnsiTheme="minorHAnsi" w:cstheme="minorHAnsi"/>
          <w:lang w:val="en-NZ"/>
        </w:rPr>
        <w:t xml:space="preserve">Similarly, </w:t>
      </w:r>
      <w:proofErr w:type="spellStart"/>
      <w:r w:rsidRPr="00F67850">
        <w:rPr>
          <w:rFonts w:asciiTheme="minorHAnsi" w:eastAsiaTheme="minorEastAsia" w:hAnsiTheme="minorHAnsi" w:cstheme="minorHAnsi"/>
          <w:lang w:val="en-NZ"/>
        </w:rPr>
        <w:t>Probine</w:t>
      </w:r>
      <w:proofErr w:type="spellEnd"/>
      <w:r w:rsidRPr="00F67850">
        <w:rPr>
          <w:rFonts w:asciiTheme="minorHAnsi" w:eastAsiaTheme="minorEastAsia" w:hAnsiTheme="minorHAnsi" w:cstheme="minorHAnsi"/>
          <w:lang w:val="en-NZ"/>
        </w:rPr>
        <w:t xml:space="preserve"> found that teachers who engaged in a personal arts practice outside of the centre where able to engage in authentic conversations with children about artmaking as they role-modelled enjoyment in artmaking as well as interpersonal strategies and approaches to solving problems (Clark &amp; de </w:t>
      </w:r>
      <w:proofErr w:type="spellStart"/>
      <w:r w:rsidRPr="00F67850">
        <w:rPr>
          <w:rFonts w:asciiTheme="minorHAnsi" w:eastAsiaTheme="minorEastAsia" w:hAnsiTheme="minorHAnsi" w:cstheme="minorHAnsi"/>
          <w:lang w:val="en-NZ"/>
        </w:rPr>
        <w:t>Lautour</w:t>
      </w:r>
      <w:proofErr w:type="spellEnd"/>
      <w:r w:rsidRPr="00F67850">
        <w:rPr>
          <w:rFonts w:asciiTheme="minorHAnsi" w:eastAsiaTheme="minorEastAsia" w:hAnsiTheme="minorHAnsi" w:cstheme="minorHAnsi"/>
          <w:lang w:val="en-NZ"/>
        </w:rPr>
        <w:t>, 2009).</w:t>
      </w:r>
    </w:p>
    <w:p w14:paraId="7EDB5512" w14:textId="40C24613" w:rsidR="679D6E1B" w:rsidRPr="00F67850" w:rsidRDefault="6F39CCAA" w:rsidP="120913F3">
      <w:pPr>
        <w:spacing w:after="120" w:line="360" w:lineRule="auto"/>
        <w:rPr>
          <w:rFonts w:asciiTheme="minorHAnsi" w:eastAsiaTheme="minorEastAsia" w:hAnsiTheme="minorHAnsi" w:cstheme="minorHAnsi"/>
          <w:lang w:val="en-US"/>
        </w:rPr>
      </w:pPr>
      <w:r w:rsidRPr="00F67850">
        <w:rPr>
          <w:rStyle w:val="normaltextrun"/>
          <w:rFonts w:asciiTheme="minorHAnsi" w:eastAsiaTheme="minorEastAsia" w:hAnsiTheme="minorHAnsi" w:cstheme="minorHAnsi"/>
          <w:b/>
          <w:bCs/>
          <w:i/>
          <w:iCs/>
        </w:rPr>
        <w:t xml:space="preserve">Sustained Professional Learning and Reflection </w:t>
      </w:r>
    </w:p>
    <w:p w14:paraId="7B9FC30C" w14:textId="785EAC71" w:rsidR="679D6E1B" w:rsidRPr="00F67850" w:rsidRDefault="6F39CCAA" w:rsidP="120913F3">
      <w:pPr>
        <w:spacing w:after="120" w:line="360" w:lineRule="auto"/>
        <w:rPr>
          <w:rFonts w:asciiTheme="minorHAnsi" w:eastAsiaTheme="minorEastAsia" w:hAnsiTheme="minorHAnsi" w:cstheme="minorHAnsi"/>
          <w:lang w:val="en-US"/>
        </w:rPr>
      </w:pPr>
      <w:r w:rsidRPr="00F67850">
        <w:rPr>
          <w:rStyle w:val="normaltextrun"/>
          <w:rFonts w:asciiTheme="minorHAnsi" w:eastAsiaTheme="minorEastAsia" w:hAnsiTheme="minorHAnsi" w:cstheme="minorHAnsi"/>
        </w:rPr>
        <w:lastRenderedPageBreak/>
        <w:t xml:space="preserve">As our three studies found, self-efficacy can be firmly entrenched in a lifetime of beliefs and assumptions, making it unlikely that a one-off professional learning event could shift teachers’ understanding about their own capability in visual arts. The value of sustained opportunities for dialogue and teachers’ visual arts engagement was revealed in both </w:t>
      </w:r>
      <w:proofErr w:type="spellStart"/>
      <w:r w:rsidRPr="00F67850">
        <w:rPr>
          <w:rStyle w:val="normaltextrun"/>
          <w:rFonts w:asciiTheme="minorHAnsi" w:eastAsiaTheme="minorEastAsia" w:hAnsiTheme="minorHAnsi" w:cstheme="minorHAnsi"/>
        </w:rPr>
        <w:t>Probine</w:t>
      </w:r>
      <w:proofErr w:type="spellEnd"/>
      <w:r w:rsidRPr="00F67850">
        <w:rPr>
          <w:rStyle w:val="normaltextrun"/>
          <w:rFonts w:asciiTheme="minorHAnsi" w:eastAsiaTheme="minorEastAsia" w:hAnsiTheme="minorHAnsi" w:cstheme="minorHAnsi"/>
        </w:rPr>
        <w:t xml:space="preserve"> (2020) and Denee’s (2022) study. Because </w:t>
      </w:r>
      <w:proofErr w:type="spellStart"/>
      <w:r w:rsidRPr="00F67850">
        <w:rPr>
          <w:rStyle w:val="normaltextrun"/>
          <w:rFonts w:asciiTheme="minorHAnsi" w:eastAsiaTheme="minorEastAsia" w:hAnsiTheme="minorHAnsi" w:cstheme="minorHAnsi"/>
        </w:rPr>
        <w:t>Probine’s</w:t>
      </w:r>
      <w:proofErr w:type="spellEnd"/>
      <w:r w:rsidRPr="00F67850">
        <w:rPr>
          <w:rStyle w:val="normaltextrun"/>
          <w:rFonts w:asciiTheme="minorHAnsi" w:eastAsiaTheme="minorEastAsia" w:hAnsiTheme="minorHAnsi" w:cstheme="minorHAnsi"/>
        </w:rPr>
        <w:t xml:space="preserve"> study focused on settings that had developed rich visual arts practices, these opportunities were often embedded in the centre’s daily practices, as more experienced teachers supported those still developing their theoretical, </w:t>
      </w:r>
      <w:proofErr w:type="gramStart"/>
      <w:r w:rsidRPr="00F67850">
        <w:rPr>
          <w:rStyle w:val="normaltextrun"/>
          <w:rFonts w:asciiTheme="minorHAnsi" w:eastAsiaTheme="minorEastAsia" w:hAnsiTheme="minorHAnsi" w:cstheme="minorHAnsi"/>
        </w:rPr>
        <w:t>pedagogical</w:t>
      </w:r>
      <w:proofErr w:type="gramEnd"/>
      <w:r w:rsidRPr="00F67850">
        <w:rPr>
          <w:rStyle w:val="normaltextrun"/>
          <w:rFonts w:asciiTheme="minorHAnsi" w:eastAsiaTheme="minorEastAsia" w:hAnsiTheme="minorHAnsi" w:cstheme="minorHAnsi"/>
        </w:rPr>
        <w:t xml:space="preserve"> and practical knowledge. Denee’s study focused on a professional learning intervention, and the network PLC model was chosen because of its sustained length and incorporation of reflection and practice. Denee found that when teachers had the opportunity to engage in sustained professional learning about visual arts, self-efficacy was increased. A sustained </w:t>
      </w:r>
      <w:proofErr w:type="gramStart"/>
      <w:r w:rsidRPr="00F67850">
        <w:rPr>
          <w:rStyle w:val="normaltextrun"/>
          <w:rFonts w:asciiTheme="minorHAnsi" w:eastAsiaTheme="minorEastAsia" w:hAnsiTheme="minorHAnsi" w:cstheme="minorHAnsi"/>
        </w:rPr>
        <w:t>period of time</w:t>
      </w:r>
      <w:proofErr w:type="gramEnd"/>
      <w:r w:rsidRPr="00F67850">
        <w:rPr>
          <w:rStyle w:val="normaltextrun"/>
          <w:rFonts w:asciiTheme="minorHAnsi" w:eastAsiaTheme="minorEastAsia" w:hAnsiTheme="minorHAnsi" w:cstheme="minorHAnsi"/>
        </w:rPr>
        <w:t xml:space="preserve"> allowed for multiple cycles of learning, practice and reflection, reflecting Taggart and Wilson’s (2005) cyclical approach to critical reflection. </w:t>
      </w:r>
    </w:p>
    <w:p w14:paraId="1B0FDA62" w14:textId="180CDDAF" w:rsidR="679D6E1B" w:rsidRPr="00F67850" w:rsidRDefault="7B6EBC28" w:rsidP="120913F3">
      <w:pPr>
        <w:spacing w:after="120" w:line="360" w:lineRule="auto"/>
        <w:rPr>
          <w:rFonts w:asciiTheme="minorHAnsi" w:eastAsiaTheme="minorEastAsia" w:hAnsiTheme="minorHAnsi" w:cstheme="minorHAnsi"/>
          <w:b/>
          <w:bCs/>
          <w:i/>
          <w:iCs/>
          <w:lang w:val="en-US"/>
        </w:rPr>
      </w:pPr>
      <w:r w:rsidRPr="00F67850">
        <w:rPr>
          <w:rStyle w:val="normaltextrun"/>
          <w:rFonts w:asciiTheme="minorHAnsi" w:eastAsiaTheme="minorEastAsia" w:hAnsiTheme="minorHAnsi" w:cstheme="minorHAnsi"/>
        </w:rPr>
        <w:t xml:space="preserve">Reflective learning has emerged from our studies as a powerful mode of shifting lifetime self-beliefs and developing positive self-efficacy around visual arts. Our findings suggest that reflective learning happens both individually and collectively, and can be planned for in ECE teams, in pre-service training, and in professional learning contexts. In Denee’s (2022) study, reflective learning was a major element of the professional learning intervention, with reflective dialogue included at every PLC meeting. Participants found the group dialogue offered new ideas and encouragement as well as opportunities to problem-solve and reflect on their visual arts pedagogy. For several of the teachers in </w:t>
      </w:r>
      <w:proofErr w:type="spellStart"/>
      <w:r w:rsidRPr="00F67850">
        <w:rPr>
          <w:rStyle w:val="normaltextrun"/>
          <w:rFonts w:asciiTheme="minorHAnsi" w:eastAsiaTheme="minorEastAsia" w:hAnsiTheme="minorHAnsi" w:cstheme="minorHAnsi"/>
        </w:rPr>
        <w:t>Probine’s</w:t>
      </w:r>
      <w:proofErr w:type="spellEnd"/>
      <w:r w:rsidRPr="00F67850">
        <w:rPr>
          <w:rStyle w:val="normaltextrun"/>
          <w:rFonts w:asciiTheme="minorHAnsi" w:eastAsiaTheme="minorEastAsia" w:hAnsiTheme="minorHAnsi" w:cstheme="minorHAnsi"/>
        </w:rPr>
        <w:t xml:space="preserve"> (2020) study, reflection about prior arts experience was a key part of the process of returning to the visual arts. All three centre’s involved in </w:t>
      </w:r>
      <w:proofErr w:type="spellStart"/>
      <w:r w:rsidRPr="00F67850">
        <w:rPr>
          <w:rStyle w:val="normaltextrun"/>
          <w:rFonts w:asciiTheme="minorHAnsi" w:eastAsiaTheme="minorEastAsia" w:hAnsiTheme="minorHAnsi" w:cstheme="minorHAnsi"/>
        </w:rPr>
        <w:t>Probine’s</w:t>
      </w:r>
      <w:proofErr w:type="spellEnd"/>
      <w:r w:rsidRPr="00F67850">
        <w:rPr>
          <w:rStyle w:val="normaltextrun"/>
          <w:rFonts w:asciiTheme="minorHAnsi" w:eastAsiaTheme="minorEastAsia" w:hAnsiTheme="minorHAnsi" w:cstheme="minorHAnsi"/>
        </w:rPr>
        <w:t xml:space="preserve"> study had spent time conducting thoughtful identity work including unpacking foundational values such as images of childhood, perceptions of knowledge and learning, the priorities for their unique settings and how these values and priorities could then inform their visual arts pedagogies. </w:t>
      </w:r>
      <w:proofErr w:type="spellStart"/>
      <w:r w:rsidRPr="00F67850">
        <w:rPr>
          <w:rStyle w:val="normaltextrun"/>
          <w:rFonts w:asciiTheme="minorHAnsi" w:eastAsiaTheme="minorEastAsia" w:hAnsiTheme="minorHAnsi" w:cstheme="minorHAnsi"/>
        </w:rPr>
        <w:t>Tesar</w:t>
      </w:r>
      <w:proofErr w:type="spellEnd"/>
      <w:r w:rsidRPr="00F67850">
        <w:rPr>
          <w:rStyle w:val="normaltextrun"/>
          <w:rFonts w:asciiTheme="minorHAnsi" w:eastAsiaTheme="minorEastAsia" w:hAnsiTheme="minorHAnsi" w:cstheme="minorHAnsi"/>
        </w:rPr>
        <w:t xml:space="preserve"> (2016) argues that institutional identity work such as this is critical, because it supports teachers to embrace a position of uncertainty, and to push beyond comfort zone limitations. Beauchamp and Thomas (2009) support this view, arguing that questioning, uncertainty and critical reflection should become everyday practices in early childhood settings. </w:t>
      </w:r>
    </w:p>
    <w:p w14:paraId="3F9432BB" w14:textId="3265A709" w:rsidR="679D6E1B" w:rsidRPr="00F67850" w:rsidRDefault="6F39CCAA" w:rsidP="120913F3">
      <w:pPr>
        <w:spacing w:after="120" w:line="360" w:lineRule="auto"/>
        <w:rPr>
          <w:rFonts w:asciiTheme="minorHAnsi" w:eastAsiaTheme="minorEastAsia" w:hAnsiTheme="minorHAnsi" w:cstheme="minorHAnsi"/>
          <w:b/>
          <w:bCs/>
          <w:i/>
          <w:iCs/>
          <w:lang w:val="en-US"/>
        </w:rPr>
      </w:pPr>
      <w:r w:rsidRPr="00F67850">
        <w:rPr>
          <w:rStyle w:val="normaltextrun"/>
          <w:rFonts w:asciiTheme="minorHAnsi" w:eastAsiaTheme="minorEastAsia" w:hAnsiTheme="minorHAnsi" w:cstheme="minorHAnsi"/>
          <w:b/>
          <w:bCs/>
          <w:i/>
          <w:iCs/>
        </w:rPr>
        <w:t xml:space="preserve">Leadership and Relational Trust </w:t>
      </w:r>
    </w:p>
    <w:p w14:paraId="72D403E2" w14:textId="6A671CDE" w:rsidR="679D6E1B" w:rsidRPr="00F67850" w:rsidRDefault="6F39CCAA" w:rsidP="120913F3">
      <w:pPr>
        <w:spacing w:after="120" w:line="360" w:lineRule="auto"/>
        <w:rPr>
          <w:rFonts w:asciiTheme="minorHAnsi" w:eastAsiaTheme="minorEastAsia" w:hAnsiTheme="minorHAnsi" w:cstheme="minorHAnsi"/>
          <w:lang w:val="en-US"/>
        </w:rPr>
      </w:pPr>
      <w:r w:rsidRPr="00F67850">
        <w:rPr>
          <w:rStyle w:val="normaltextrun"/>
          <w:rFonts w:asciiTheme="minorHAnsi" w:eastAsiaTheme="minorEastAsia" w:hAnsiTheme="minorHAnsi" w:cstheme="minorHAnsi"/>
        </w:rPr>
        <w:lastRenderedPageBreak/>
        <w:t xml:space="preserve">The leadership and centre culture of the early childhood setting are significant factors in enabling teachers to develop visual arts self-efficacy, according to our three studies. </w:t>
      </w:r>
      <w:r w:rsidRPr="00F67850">
        <w:rPr>
          <w:rStyle w:val="normaltextrun"/>
          <w:rFonts w:asciiTheme="minorHAnsi" w:eastAsiaTheme="minorEastAsia" w:hAnsiTheme="minorHAnsi" w:cstheme="minorHAnsi"/>
          <w:lang w:val="en-NZ"/>
        </w:rPr>
        <w:t xml:space="preserve">Our findings suggest that the art beliefs and confidence of positional leaders are critical influences on the provision of art education in ECE settings. Lindsay (2017) found that when leaders expressed positive visual arts self-efficacy and depth of understanding about art pedagogy, the service curriculum was more likely to have a well-developed approach to visual art education. Similarly, </w:t>
      </w:r>
      <w:proofErr w:type="spellStart"/>
      <w:r w:rsidRPr="00F67850">
        <w:rPr>
          <w:rStyle w:val="normaltextrun"/>
          <w:rFonts w:asciiTheme="minorHAnsi" w:eastAsiaTheme="minorEastAsia" w:hAnsiTheme="minorHAnsi" w:cstheme="minorHAnsi"/>
          <w:lang w:val="en-NZ"/>
        </w:rPr>
        <w:t>Probine</w:t>
      </w:r>
      <w:proofErr w:type="spellEnd"/>
      <w:r w:rsidRPr="00F67850">
        <w:rPr>
          <w:rStyle w:val="normaltextrun"/>
          <w:rFonts w:asciiTheme="minorHAnsi" w:eastAsiaTheme="minorEastAsia" w:hAnsiTheme="minorHAnsi" w:cstheme="minorHAnsi"/>
          <w:lang w:val="en-NZ"/>
        </w:rPr>
        <w:t xml:space="preserve"> (2016) found when the ECE positional leader demonstrated a commitment to visual arts as a tool for learning, the teachers developed “rich visual arts pedagogies that were strongly underpinned by sociocultural/constructivist theories” (p. 12). Conversely, when leaders lack confidence, skills and experience in art education, provision is likely to be lacking in quality (Lindsay, </w:t>
      </w:r>
      <w:r w:rsidR="65FD5A34" w:rsidRPr="00F67850">
        <w:rPr>
          <w:rStyle w:val="normaltextrun"/>
          <w:rFonts w:asciiTheme="minorHAnsi" w:eastAsiaTheme="minorEastAsia" w:hAnsiTheme="minorHAnsi" w:cstheme="minorHAnsi"/>
          <w:lang w:val="en-NZ"/>
        </w:rPr>
        <w:t>2016</w:t>
      </w:r>
      <w:r w:rsidRPr="00F67850">
        <w:rPr>
          <w:rStyle w:val="normaltextrun"/>
          <w:rFonts w:asciiTheme="minorHAnsi" w:eastAsiaTheme="minorEastAsia" w:hAnsiTheme="minorHAnsi" w:cstheme="minorHAnsi"/>
          <w:lang w:val="en-NZ"/>
        </w:rPr>
        <w:t>). This impact is unsurprising, as Denee’s previous (2018) research into effective leadership practices in ECE found that positional leaders hold power over resourcing, prioritising time and space, and pedagogical leadership for professional learning in ECE teams. If teachers view themselves as lacking artistic capacity, it is inevitable that teachers who become leaders may also lack confidence and skill for visual arts, perpetuating a negative cycle of influence (</w:t>
      </w:r>
      <w:proofErr w:type="spellStart"/>
      <w:r w:rsidRPr="00F67850">
        <w:rPr>
          <w:rStyle w:val="normaltextrun"/>
          <w:rFonts w:asciiTheme="minorHAnsi" w:eastAsiaTheme="minorEastAsia" w:hAnsiTheme="minorHAnsi" w:cstheme="minorHAnsi"/>
          <w:lang w:val="en-NZ"/>
        </w:rPr>
        <w:t>Garvis</w:t>
      </w:r>
      <w:proofErr w:type="spellEnd"/>
      <w:r w:rsidRPr="00F67850">
        <w:rPr>
          <w:rStyle w:val="normaltextrun"/>
          <w:rFonts w:asciiTheme="minorHAnsi" w:eastAsiaTheme="minorEastAsia" w:hAnsiTheme="minorHAnsi" w:cstheme="minorHAnsi"/>
          <w:lang w:val="en-NZ"/>
        </w:rPr>
        <w:t xml:space="preserve"> et al.,2011).  </w:t>
      </w:r>
    </w:p>
    <w:p w14:paraId="1CB56766" w14:textId="050BC080" w:rsidR="679D6E1B" w:rsidRPr="00F67850" w:rsidRDefault="3051F517" w:rsidP="120913F3">
      <w:pPr>
        <w:spacing w:after="120" w:line="360" w:lineRule="auto"/>
        <w:rPr>
          <w:rFonts w:asciiTheme="minorHAnsi" w:eastAsiaTheme="minorEastAsia" w:hAnsiTheme="minorHAnsi" w:cstheme="minorHAnsi"/>
          <w:lang w:val="en-US"/>
        </w:rPr>
      </w:pPr>
      <w:r w:rsidRPr="00F67850">
        <w:rPr>
          <w:rStyle w:val="normaltextrun"/>
          <w:rFonts w:asciiTheme="minorHAnsi" w:eastAsiaTheme="minorEastAsia" w:hAnsiTheme="minorHAnsi" w:cstheme="minorHAnsi"/>
        </w:rPr>
        <w:t>Relational trust was also found to be an important foundation for the development of teacher self-efficacy. Described by Bandura (1997) as part of the development of positive self-efficacy,</w:t>
      </w:r>
      <w:r w:rsidR="120913F3" w:rsidRPr="00F67850">
        <w:rPr>
          <w:rStyle w:val="normaltextrun"/>
          <w:rFonts w:asciiTheme="minorHAnsi" w:eastAsiaTheme="minorEastAsia" w:hAnsiTheme="minorHAnsi" w:cstheme="minorHAnsi"/>
        </w:rPr>
        <w:t xml:space="preserve"> r</w:t>
      </w:r>
      <w:r w:rsidRPr="00F67850">
        <w:rPr>
          <w:rStyle w:val="normaltextrun"/>
          <w:rFonts w:asciiTheme="minorHAnsi" w:eastAsiaTheme="minorEastAsia" w:hAnsiTheme="minorHAnsi" w:cstheme="minorHAnsi"/>
        </w:rPr>
        <w:t xml:space="preserve">elational trust provides a safe social environment in which to encounter challenges and strive for mastery. Across these three studies, relational trust was important in two different contexts, being the teaching team and the professional learning group. Creating a culture of trust, collegial dialogue and debate was particularly evident at two of the settings involved in </w:t>
      </w:r>
      <w:proofErr w:type="spellStart"/>
      <w:r w:rsidRPr="00F67850">
        <w:rPr>
          <w:rStyle w:val="normaltextrun"/>
          <w:rFonts w:asciiTheme="minorHAnsi" w:eastAsiaTheme="minorEastAsia" w:hAnsiTheme="minorHAnsi" w:cstheme="minorHAnsi"/>
        </w:rPr>
        <w:t>Probine’s</w:t>
      </w:r>
      <w:proofErr w:type="spellEnd"/>
      <w:r w:rsidRPr="00F67850">
        <w:rPr>
          <w:rStyle w:val="normaltextrun"/>
          <w:rFonts w:asciiTheme="minorHAnsi" w:eastAsiaTheme="minorEastAsia" w:hAnsiTheme="minorHAnsi" w:cstheme="minorHAnsi"/>
        </w:rPr>
        <w:t xml:space="preserve"> (2020) research wherein teachers talked about the value of working in an environment and where it was acceptable to ask questions, challenge practice and assume a position of ‘not-knowing’ (</w:t>
      </w:r>
      <w:r w:rsidR="6C450E02" w:rsidRPr="00F67850">
        <w:rPr>
          <w:rStyle w:val="normaltextrun"/>
          <w:rFonts w:asciiTheme="minorHAnsi" w:eastAsiaTheme="minorEastAsia" w:hAnsiTheme="minorHAnsi" w:cstheme="minorHAnsi"/>
        </w:rPr>
        <w:t xml:space="preserve">Rinaldi &amp; Moss, 2004). </w:t>
      </w:r>
      <w:r w:rsidRPr="00F67850">
        <w:rPr>
          <w:rStyle w:val="normaltextrun"/>
          <w:rFonts w:asciiTheme="minorHAnsi" w:eastAsiaTheme="minorEastAsia" w:hAnsiTheme="minorHAnsi" w:cstheme="minorHAnsi"/>
        </w:rPr>
        <w:t xml:space="preserve">Similarly, in the four participant ECE settings in Denee’s (2022) study, relational trust was a critical factor in enabling the participants to share and apply new learning in their ECE settings. The culture of trust and distributed leadership across these teams enabled the participants to disrupt habits and progress their visual arts pedagogy. Additionally, in Denee’s (2022) PLC project, the building of relational trust over time was a significant factor in individual and group </w:t>
      </w:r>
      <w:r w:rsidRPr="00F67850">
        <w:rPr>
          <w:rStyle w:val="normaltextrun"/>
          <w:rFonts w:asciiTheme="minorHAnsi" w:eastAsiaTheme="minorEastAsia" w:hAnsiTheme="minorHAnsi" w:cstheme="minorHAnsi"/>
        </w:rPr>
        <w:lastRenderedPageBreak/>
        <w:t>learning and visual arts</w:t>
      </w:r>
      <w:r w:rsidR="120913F3" w:rsidRPr="00F67850">
        <w:rPr>
          <w:rStyle w:val="normaltextrun"/>
          <w:rFonts w:asciiTheme="minorHAnsi" w:eastAsiaTheme="minorEastAsia" w:hAnsiTheme="minorHAnsi" w:cstheme="minorHAnsi"/>
        </w:rPr>
        <w:t xml:space="preserve"> </w:t>
      </w:r>
      <w:r w:rsidRPr="00F67850">
        <w:rPr>
          <w:rStyle w:val="normaltextrun"/>
          <w:rFonts w:asciiTheme="minorHAnsi" w:eastAsiaTheme="minorEastAsia" w:hAnsiTheme="minorHAnsi" w:cstheme="minorHAnsi"/>
        </w:rPr>
        <w:t xml:space="preserve">self-efficacy development. Participants reported their collegial sense of trust enabled them to safely share both challenges and experiences as a learning community and allowed them to go deeper in reflective discussions. Further, the participants explained that as the group trust developed, they felt more relaxed about trying new art materials and processes in the practical workshops. While previous professional learning research has highlighted the importance of relational trust (Nolan &amp; Molla, 2016), these studies have further demonstrated its specific importance to the development of visual arts self-efficacy in teachers. </w:t>
      </w:r>
    </w:p>
    <w:p w14:paraId="005DFBB1" w14:textId="060D7851" w:rsidR="00187545" w:rsidRPr="00F67850" w:rsidRDefault="3757E81D" w:rsidP="120913F3">
      <w:pPr>
        <w:pStyle w:val="Heading2"/>
        <w:spacing w:after="120" w:line="360" w:lineRule="auto"/>
        <w:jc w:val="left"/>
        <w:rPr>
          <w:rFonts w:asciiTheme="minorHAnsi" w:eastAsiaTheme="minorEastAsia" w:hAnsiTheme="minorHAnsi" w:cstheme="minorHAnsi"/>
          <w:color w:val="auto"/>
        </w:rPr>
      </w:pPr>
      <w:bookmarkStart w:id="8" w:name="_Educational_Applications_and"/>
      <w:bookmarkStart w:id="9" w:name="_Recommendations_for_Future"/>
      <w:bookmarkStart w:id="10" w:name="_Toc85893391"/>
      <w:bookmarkStart w:id="11" w:name="_Toc85894223"/>
      <w:bookmarkStart w:id="12" w:name="_Toc85894656"/>
      <w:bookmarkEnd w:id="8"/>
      <w:bookmarkEnd w:id="9"/>
      <w:r w:rsidRPr="00F67850">
        <w:rPr>
          <w:rFonts w:asciiTheme="minorHAnsi" w:eastAsiaTheme="minorEastAsia" w:hAnsiTheme="minorHAnsi" w:cstheme="minorHAnsi"/>
          <w:color w:val="auto"/>
        </w:rPr>
        <w:t xml:space="preserve">Recommendations </w:t>
      </w:r>
      <w:bookmarkEnd w:id="10"/>
      <w:bookmarkEnd w:id="11"/>
      <w:bookmarkEnd w:id="12"/>
    </w:p>
    <w:p w14:paraId="17AEE879" w14:textId="2329E67C" w:rsidR="6774A0D9" w:rsidRPr="00F67850" w:rsidRDefault="0FFA0922" w:rsidP="120913F3">
      <w:pPr>
        <w:spacing w:after="120" w:line="360" w:lineRule="auto"/>
        <w:rPr>
          <w:rFonts w:asciiTheme="minorHAnsi" w:eastAsia="Calibri" w:hAnsiTheme="minorHAnsi" w:cstheme="minorHAnsi"/>
        </w:rPr>
      </w:pPr>
      <w:r w:rsidRPr="00F67850">
        <w:rPr>
          <w:rFonts w:asciiTheme="minorHAnsi" w:eastAsia="Calibri" w:hAnsiTheme="minorHAnsi" w:cstheme="minorHAnsi"/>
        </w:rPr>
        <w:t xml:space="preserve">All three studies identified strategies that can support teachers to reconceptualise how they view themselves as art-makers, and to develop both personal confidence and rich pedagogical knowledge in order to develop rich, contextualised visual arts curriculum. There is great value in teachers developing an arts practice through pre-service training or through professional development, particularly when this is a sustained experience. It is critical that such experiences allow teachers to experience success and that they support the development of a growth mind-set, where the beliefs that only the talented can create visual arts are dispelled and the understanding that there are many ways of creating and exploring through the visual arts are broadened.  </w:t>
      </w:r>
    </w:p>
    <w:p w14:paraId="2331F93D" w14:textId="106A4B77" w:rsidR="6774A0D9" w:rsidRPr="00F67850" w:rsidRDefault="0FFA0922" w:rsidP="120913F3">
      <w:pPr>
        <w:spacing w:after="120" w:line="360" w:lineRule="auto"/>
        <w:rPr>
          <w:rStyle w:val="normaltextrun"/>
          <w:rFonts w:asciiTheme="minorHAnsi" w:eastAsiaTheme="minorEastAsia" w:hAnsiTheme="minorHAnsi" w:cstheme="minorHAnsi"/>
          <w:lang w:val="en-NZ"/>
        </w:rPr>
      </w:pPr>
      <w:r w:rsidRPr="00F67850">
        <w:rPr>
          <w:rFonts w:asciiTheme="minorHAnsi" w:eastAsia="Calibri" w:hAnsiTheme="minorHAnsi" w:cstheme="minorHAnsi"/>
        </w:rPr>
        <w:t>Because long-held beliefs can cause resistance to new ideas, reflection is a critical strategy in supporting teachers to unpack past negative experiences and to reframe these memories in terms of the teachers they aspire to be.</w:t>
      </w:r>
      <w:r w:rsidR="7B6EBC28" w:rsidRPr="00F67850">
        <w:rPr>
          <w:rStyle w:val="normaltextrun"/>
          <w:rFonts w:asciiTheme="minorHAnsi" w:eastAsiaTheme="minorEastAsia" w:hAnsiTheme="minorHAnsi" w:cstheme="minorHAnsi"/>
          <w:lang w:val="en-NZ"/>
        </w:rPr>
        <w:t xml:space="preserve"> </w:t>
      </w:r>
      <w:r w:rsidRPr="00F67850">
        <w:rPr>
          <w:rFonts w:asciiTheme="minorHAnsi" w:eastAsia="Calibri" w:hAnsiTheme="minorHAnsi" w:cstheme="minorHAnsi"/>
        </w:rPr>
        <w:t xml:space="preserve">Exposure to theoretical positions such as constructivist and sociocultural theories is a means by which teachers can be supported to reconceptualise their images of childhood, learning and knowledge. </w:t>
      </w:r>
      <w:r w:rsidR="7B6EBC28" w:rsidRPr="00F67850">
        <w:rPr>
          <w:rStyle w:val="normaltextrun"/>
          <w:rFonts w:asciiTheme="minorHAnsi" w:eastAsiaTheme="minorEastAsia" w:hAnsiTheme="minorHAnsi" w:cstheme="minorHAnsi"/>
          <w:lang w:val="en-NZ"/>
        </w:rPr>
        <w:t>Our findings further suggest that supporting teachers to question their own assumptions and biases about visual arts, and to think critically about creative and innovative teaching practices, is a particularly powerful strategy that can be intentionally fostered within ECE settings.</w:t>
      </w:r>
      <w:r w:rsidRPr="00F67850">
        <w:rPr>
          <w:rFonts w:asciiTheme="minorHAnsi" w:eastAsia="Calibri" w:hAnsiTheme="minorHAnsi" w:cstheme="minorHAnsi"/>
        </w:rPr>
        <w:t xml:space="preserve"> It is, however, essential that teaching teams undertake this work in a centre culture of trust, collegial debate and constructive dialogue. Such environments of trust foster experimentation and innovation. </w:t>
      </w:r>
    </w:p>
    <w:p w14:paraId="417194F6" w14:textId="69F0BA91" w:rsidR="313435B5" w:rsidRPr="00F67850" w:rsidRDefault="0FFA0922" w:rsidP="120913F3">
      <w:pPr>
        <w:spacing w:after="120" w:line="360" w:lineRule="auto"/>
        <w:rPr>
          <w:rFonts w:asciiTheme="minorHAnsi" w:eastAsia="Times New Roman" w:hAnsiTheme="minorHAnsi" w:cstheme="minorHAnsi"/>
        </w:rPr>
      </w:pPr>
      <w:r w:rsidRPr="00F67850">
        <w:rPr>
          <w:rFonts w:asciiTheme="minorHAnsi" w:eastAsia="Calibri" w:hAnsiTheme="minorHAnsi" w:cstheme="minorHAnsi"/>
        </w:rPr>
        <w:lastRenderedPageBreak/>
        <w:t xml:space="preserve"> A key factor in developing a culture of trust is the role of positional leader. Leadership plays a critical role in fostering a positive team culture where teachers feel safe to test and discuss new pedagogical ideas. Further, leaders are highly influential in terms of how an ECE service values and prioritises visual arts in the curriculum. Educational leaders play an important role in sustaining shared institutional values pertaining to the visual arts whilst simultaneously encouraging individual identity work. Across the whole team, colleagues may also enact teacher leadership to support and encourage colleagues to develop new skills, confidence and understanding about visual arts. </w:t>
      </w:r>
      <w:r w:rsidRPr="00F67850">
        <w:rPr>
          <w:rFonts w:asciiTheme="minorHAnsi" w:eastAsia="Times New Roman" w:hAnsiTheme="minorHAnsi" w:cstheme="minorHAnsi"/>
        </w:rPr>
        <w:t xml:space="preserve"> </w:t>
      </w:r>
    </w:p>
    <w:p w14:paraId="4B298386" w14:textId="77777777" w:rsidR="00187545" w:rsidRPr="00F67850" w:rsidRDefault="3757E81D" w:rsidP="120913F3">
      <w:pPr>
        <w:pStyle w:val="Heading2"/>
        <w:spacing w:after="120" w:line="360" w:lineRule="auto"/>
        <w:jc w:val="left"/>
        <w:rPr>
          <w:rFonts w:asciiTheme="minorHAnsi" w:eastAsiaTheme="minorEastAsia" w:hAnsiTheme="minorHAnsi" w:cstheme="minorHAnsi"/>
          <w:color w:val="auto"/>
        </w:rPr>
      </w:pPr>
      <w:bookmarkStart w:id="13" w:name="_Conclusion"/>
      <w:bookmarkStart w:id="14" w:name="_Toc85893393"/>
      <w:bookmarkStart w:id="15" w:name="_Toc85894225"/>
      <w:bookmarkStart w:id="16" w:name="_Toc85894657"/>
      <w:bookmarkEnd w:id="13"/>
      <w:r w:rsidRPr="00F67850">
        <w:rPr>
          <w:rFonts w:asciiTheme="minorHAnsi" w:eastAsiaTheme="minorEastAsia" w:hAnsiTheme="minorHAnsi" w:cstheme="minorHAnsi"/>
          <w:color w:val="auto"/>
        </w:rPr>
        <w:t>Conclusion</w:t>
      </w:r>
      <w:bookmarkEnd w:id="14"/>
      <w:bookmarkEnd w:id="15"/>
      <w:bookmarkEnd w:id="16"/>
    </w:p>
    <w:p w14:paraId="3EB21520" w14:textId="1A2B1227" w:rsidR="003279F3" w:rsidRPr="00F67850" w:rsidRDefault="4CC4BEC0" w:rsidP="120913F3">
      <w:pPr>
        <w:spacing w:after="120" w:line="360" w:lineRule="auto"/>
        <w:rPr>
          <w:rFonts w:asciiTheme="minorHAnsi" w:eastAsiaTheme="minorEastAsia" w:hAnsiTheme="minorHAnsi" w:cstheme="minorHAnsi"/>
          <w:color w:val="auto"/>
        </w:rPr>
      </w:pPr>
      <w:r w:rsidRPr="00F67850">
        <w:rPr>
          <w:rStyle w:val="normaltextrun"/>
          <w:rFonts w:asciiTheme="minorHAnsi" w:eastAsiaTheme="minorEastAsia" w:hAnsiTheme="minorHAnsi" w:cstheme="minorHAnsi"/>
        </w:rPr>
        <w:t xml:space="preserve">According to our three studies, teacher self-efficacy beliefs about their visual arts competence can be a barrier or an enabler to engaging with visual arts teaching and learning in the education setting; ultimately impacting the opportunities offered to children in this curriculum area. Visual arts self-efficacy has been shown to be influential across a teacher’s lifetime, and is affected by childhood experiences in family and education contexts, through teacher training, and by theoretical beliefs about education and art. </w:t>
      </w:r>
      <w:r w:rsidR="63004FF8" w:rsidRPr="00F67850">
        <w:rPr>
          <w:rFonts w:asciiTheme="minorHAnsi" w:eastAsiaTheme="minorEastAsia" w:hAnsiTheme="minorHAnsi" w:cstheme="minorHAnsi"/>
          <w:color w:val="auto"/>
        </w:rPr>
        <w:t>Although the research examining early childhood visual arts practices and effective professional learning strategies is limited, the three studies reported in this article indicate that it is possible to increase teacher self-efficacy</w:t>
      </w:r>
      <w:r w:rsidR="045F70F8" w:rsidRPr="00F67850">
        <w:rPr>
          <w:rFonts w:asciiTheme="minorHAnsi" w:eastAsiaTheme="minorEastAsia" w:hAnsiTheme="minorHAnsi" w:cstheme="minorHAnsi"/>
          <w:color w:val="auto"/>
        </w:rPr>
        <w:t>.</w:t>
      </w:r>
      <w:r w:rsidR="4AA81760" w:rsidRPr="00F67850">
        <w:rPr>
          <w:rFonts w:asciiTheme="minorHAnsi" w:eastAsiaTheme="minorEastAsia" w:hAnsiTheme="minorHAnsi" w:cstheme="minorHAnsi"/>
          <w:color w:val="auto"/>
        </w:rPr>
        <w:t xml:space="preserve"> </w:t>
      </w:r>
      <w:r w:rsidR="045F70F8" w:rsidRPr="00F67850">
        <w:rPr>
          <w:rFonts w:asciiTheme="minorHAnsi" w:eastAsiaTheme="minorEastAsia" w:hAnsiTheme="minorHAnsi" w:cstheme="minorHAnsi"/>
          <w:color w:val="auto"/>
        </w:rPr>
        <w:t xml:space="preserve">Overall, these findings highlight an opportunity for further research to examine how visual arts self-efficacy functions in ECE settings and how visual arts can be </w:t>
      </w:r>
      <w:r w:rsidR="53E21375" w:rsidRPr="00F67850">
        <w:rPr>
          <w:rFonts w:asciiTheme="minorHAnsi" w:eastAsiaTheme="minorEastAsia" w:hAnsiTheme="minorHAnsi" w:cstheme="minorHAnsi"/>
          <w:color w:val="auto"/>
        </w:rPr>
        <w:t xml:space="preserve">enhanced </w:t>
      </w:r>
      <w:r w:rsidR="045F70F8" w:rsidRPr="00F67850">
        <w:rPr>
          <w:rFonts w:asciiTheme="minorHAnsi" w:eastAsiaTheme="minorEastAsia" w:hAnsiTheme="minorHAnsi" w:cstheme="minorHAnsi"/>
          <w:color w:val="auto"/>
        </w:rPr>
        <w:t>to ensure children experience quality, intentional visual arts learning experiences.</w:t>
      </w:r>
    </w:p>
    <w:p w14:paraId="2728A4D8" w14:textId="6A827735" w:rsidR="481A3BF8" w:rsidRPr="00F67850" w:rsidRDefault="120913F3" w:rsidP="120913F3">
      <w:pPr>
        <w:spacing w:after="120" w:line="360" w:lineRule="auto"/>
        <w:rPr>
          <w:rStyle w:val="eop"/>
          <w:rFonts w:asciiTheme="minorHAnsi" w:eastAsiaTheme="minorEastAsia" w:hAnsiTheme="minorHAnsi" w:cstheme="minorHAnsi"/>
          <w:b/>
          <w:bCs/>
          <w:lang w:val="en-NZ"/>
        </w:rPr>
      </w:pPr>
      <w:r w:rsidRPr="00F67850">
        <w:rPr>
          <w:rStyle w:val="eop"/>
          <w:rFonts w:asciiTheme="minorHAnsi" w:eastAsiaTheme="minorEastAsia" w:hAnsiTheme="minorHAnsi" w:cstheme="minorHAnsi"/>
          <w:b/>
          <w:bCs/>
          <w:lang w:val="en-NZ"/>
        </w:rPr>
        <w:t xml:space="preserve">Ethics approval </w:t>
      </w:r>
    </w:p>
    <w:p w14:paraId="021E3703" w14:textId="081D8A36" w:rsidR="120913F3" w:rsidRPr="00F67850" w:rsidRDefault="120913F3" w:rsidP="120913F3">
      <w:pPr>
        <w:spacing w:after="120" w:line="360" w:lineRule="auto"/>
        <w:rPr>
          <w:rStyle w:val="eop"/>
          <w:rFonts w:asciiTheme="minorHAnsi" w:eastAsiaTheme="minorEastAsia" w:hAnsiTheme="minorHAnsi" w:cstheme="minorHAnsi"/>
          <w:lang w:val="en-NZ"/>
        </w:rPr>
      </w:pPr>
      <w:r w:rsidRPr="00F67850">
        <w:rPr>
          <w:rStyle w:val="eop"/>
          <w:rFonts w:asciiTheme="minorHAnsi" w:eastAsiaTheme="minorEastAsia" w:hAnsiTheme="minorHAnsi" w:cstheme="minorHAnsi"/>
          <w:lang w:val="en-NZ"/>
        </w:rPr>
        <w:t xml:space="preserve">All three studies were doctoral research projects which sought and received ethical approval by their institutes’ ethics committees. </w:t>
      </w:r>
    </w:p>
    <w:p w14:paraId="761F7D32" w14:textId="77777777" w:rsidR="004E74E1" w:rsidRPr="00F67850" w:rsidRDefault="2D9FC330" w:rsidP="120913F3">
      <w:pPr>
        <w:pStyle w:val="Heading2"/>
        <w:spacing w:after="120" w:line="360" w:lineRule="auto"/>
        <w:jc w:val="left"/>
        <w:rPr>
          <w:rFonts w:asciiTheme="minorHAnsi" w:eastAsiaTheme="minorEastAsia" w:hAnsiTheme="minorHAnsi" w:cstheme="minorHAnsi"/>
          <w:color w:val="auto"/>
          <w:sz w:val="24"/>
          <w:szCs w:val="24"/>
        </w:rPr>
      </w:pPr>
      <w:bookmarkStart w:id="17" w:name="_Toc85893395"/>
      <w:bookmarkStart w:id="18" w:name="_Toc85894227"/>
      <w:bookmarkStart w:id="19" w:name="_Toc85894658"/>
      <w:r w:rsidRPr="00F67850">
        <w:rPr>
          <w:rFonts w:asciiTheme="minorHAnsi" w:eastAsiaTheme="minorEastAsia" w:hAnsiTheme="minorHAnsi" w:cstheme="minorHAnsi"/>
          <w:color w:val="auto"/>
          <w:sz w:val="24"/>
          <w:szCs w:val="24"/>
        </w:rPr>
        <w:t>References</w:t>
      </w:r>
      <w:bookmarkEnd w:id="17"/>
      <w:bookmarkEnd w:id="18"/>
      <w:bookmarkEnd w:id="19"/>
    </w:p>
    <w:p w14:paraId="4CE6F9B3" w14:textId="79E827FE" w:rsidR="16A55139" w:rsidRPr="00F67850" w:rsidRDefault="6BD84D9D"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Bae, J. H. (2004). Learning to teach visual arts in an early childhood classroom: The teacher’s role as a guide. </w:t>
      </w:r>
      <w:r w:rsidRPr="00F67850">
        <w:rPr>
          <w:rFonts w:asciiTheme="minorHAnsi" w:eastAsiaTheme="minorEastAsia" w:hAnsiTheme="minorHAnsi" w:cstheme="minorHAnsi"/>
          <w:i/>
          <w:iCs/>
        </w:rPr>
        <w:t>Early Childhood Education, 31</w:t>
      </w:r>
      <w:r w:rsidRPr="00F67850">
        <w:rPr>
          <w:rFonts w:asciiTheme="minorHAnsi" w:eastAsiaTheme="minorEastAsia" w:hAnsiTheme="minorHAnsi" w:cstheme="minorHAnsi"/>
        </w:rPr>
        <w:t xml:space="preserve">(4), 247–254. </w:t>
      </w:r>
      <w:r w:rsidR="2BB33DB7" w:rsidRPr="00F67850">
        <w:rPr>
          <w:rFonts w:asciiTheme="minorHAnsi" w:eastAsiaTheme="minorEastAsia" w:hAnsiTheme="minorHAnsi" w:cstheme="minorHAnsi"/>
        </w:rPr>
        <w:t>https://doi.org/10.1023/B:ECEJ.0000024116.74292.56</w:t>
      </w:r>
    </w:p>
    <w:p w14:paraId="323597BB" w14:textId="7022134E" w:rsidR="16A55139" w:rsidRPr="00F67850" w:rsidRDefault="633FA90F"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lastRenderedPageBreak/>
        <w:t xml:space="preserve">Bailey, F., &amp; De </w:t>
      </w:r>
      <w:proofErr w:type="spellStart"/>
      <w:r w:rsidRPr="00F67850">
        <w:rPr>
          <w:rFonts w:asciiTheme="minorHAnsi" w:eastAsiaTheme="minorEastAsia" w:hAnsiTheme="minorHAnsi" w:cstheme="minorHAnsi"/>
        </w:rPr>
        <w:t>Rijke</w:t>
      </w:r>
      <w:proofErr w:type="spellEnd"/>
      <w:r w:rsidRPr="00F67850">
        <w:rPr>
          <w:rFonts w:asciiTheme="minorHAnsi" w:eastAsiaTheme="minorEastAsia" w:hAnsiTheme="minorHAnsi" w:cstheme="minorHAnsi"/>
        </w:rPr>
        <w:t xml:space="preserve">, V. (2014). Mud, </w:t>
      </w:r>
      <w:proofErr w:type="gramStart"/>
      <w:r w:rsidRPr="00F67850">
        <w:rPr>
          <w:rFonts w:asciiTheme="minorHAnsi" w:eastAsiaTheme="minorEastAsia" w:hAnsiTheme="minorHAnsi" w:cstheme="minorHAnsi"/>
        </w:rPr>
        <w:t>mess</w:t>
      </w:r>
      <w:proofErr w:type="gramEnd"/>
      <w:r w:rsidRPr="00F67850">
        <w:rPr>
          <w:rFonts w:asciiTheme="minorHAnsi" w:eastAsiaTheme="minorEastAsia" w:hAnsiTheme="minorHAnsi" w:cstheme="minorHAnsi"/>
        </w:rPr>
        <w:t xml:space="preserve"> and magic: Building student teachers’ confidence for art &amp; the outdoors in early years. </w:t>
      </w:r>
      <w:r w:rsidRPr="00F67850">
        <w:rPr>
          <w:rFonts w:asciiTheme="minorHAnsi" w:eastAsiaTheme="minorEastAsia" w:hAnsiTheme="minorHAnsi" w:cstheme="minorHAnsi"/>
          <w:i/>
          <w:iCs/>
        </w:rPr>
        <w:t>International Art in Early Childhood</w:t>
      </w:r>
      <w:r w:rsidRPr="00F67850">
        <w:rPr>
          <w:rFonts w:asciiTheme="minorHAnsi" w:eastAsiaTheme="minorEastAsia" w:hAnsiTheme="minorHAnsi" w:cstheme="minorHAnsi"/>
        </w:rPr>
        <w:t xml:space="preserve">, </w:t>
      </w:r>
      <w:r w:rsidRPr="00F67850">
        <w:rPr>
          <w:rFonts w:asciiTheme="minorHAnsi" w:eastAsiaTheme="minorEastAsia" w:hAnsiTheme="minorHAnsi" w:cstheme="minorHAnsi"/>
          <w:i/>
          <w:iCs/>
        </w:rPr>
        <w:t>1</w:t>
      </w:r>
      <w:r w:rsidRPr="00F67850">
        <w:rPr>
          <w:rFonts w:asciiTheme="minorHAnsi" w:eastAsiaTheme="minorEastAsia" w:hAnsiTheme="minorHAnsi" w:cstheme="minorHAnsi"/>
        </w:rPr>
        <w:t xml:space="preserve">, 1–16. </w:t>
      </w:r>
    </w:p>
    <w:p w14:paraId="1458BF35" w14:textId="5A0FFDBD" w:rsidR="16A55139" w:rsidRPr="00F67850" w:rsidRDefault="27558EAB" w:rsidP="120913F3">
      <w:pPr>
        <w:spacing w:after="120" w:line="360" w:lineRule="auto"/>
        <w:ind w:left="720" w:hanging="720"/>
        <w:rPr>
          <w:rFonts w:asciiTheme="minorHAnsi" w:eastAsiaTheme="minorEastAsia" w:hAnsiTheme="minorHAnsi" w:cstheme="minorHAnsi"/>
          <w:lang w:val="en-US"/>
        </w:rPr>
      </w:pPr>
      <w:r w:rsidRPr="00F67850">
        <w:rPr>
          <w:rFonts w:asciiTheme="minorHAnsi" w:eastAsiaTheme="minorEastAsia" w:hAnsiTheme="minorHAnsi" w:cstheme="minorHAnsi"/>
          <w:lang w:val="en-US"/>
        </w:rPr>
        <w:t xml:space="preserve">Bandura, A. (1997). </w:t>
      </w:r>
      <w:r w:rsidRPr="00F67850">
        <w:rPr>
          <w:rFonts w:asciiTheme="minorHAnsi" w:eastAsiaTheme="minorEastAsia" w:hAnsiTheme="minorHAnsi" w:cstheme="minorHAnsi"/>
          <w:i/>
          <w:iCs/>
          <w:lang w:val="en-US"/>
        </w:rPr>
        <w:t>Self-Efficacy: The Exercise of Control</w:t>
      </w:r>
      <w:r w:rsidRPr="00F67850">
        <w:rPr>
          <w:rFonts w:asciiTheme="minorHAnsi" w:eastAsiaTheme="minorEastAsia" w:hAnsiTheme="minorHAnsi" w:cstheme="minorHAnsi"/>
          <w:lang w:val="en-US"/>
        </w:rPr>
        <w:t xml:space="preserve">. New York: </w:t>
      </w:r>
      <w:proofErr w:type="spellStart"/>
      <w:r w:rsidRPr="00F67850">
        <w:rPr>
          <w:rFonts w:asciiTheme="minorHAnsi" w:eastAsiaTheme="minorEastAsia" w:hAnsiTheme="minorHAnsi" w:cstheme="minorHAnsi"/>
          <w:lang w:val="en-US"/>
        </w:rPr>
        <w:t>W.</w:t>
      </w:r>
      <w:proofErr w:type="gramStart"/>
      <w:r w:rsidRPr="00F67850">
        <w:rPr>
          <w:rFonts w:asciiTheme="minorHAnsi" w:eastAsiaTheme="minorEastAsia" w:hAnsiTheme="minorHAnsi" w:cstheme="minorHAnsi"/>
          <w:lang w:val="en-US"/>
        </w:rPr>
        <w:t>H.Freeman</w:t>
      </w:r>
      <w:proofErr w:type="spellEnd"/>
      <w:proofErr w:type="gramEnd"/>
      <w:r w:rsidRPr="00F67850">
        <w:rPr>
          <w:rFonts w:asciiTheme="minorHAnsi" w:eastAsiaTheme="minorEastAsia" w:hAnsiTheme="minorHAnsi" w:cstheme="minorHAnsi"/>
          <w:lang w:val="en-US"/>
        </w:rPr>
        <w:t xml:space="preserve"> and Company.</w:t>
      </w:r>
    </w:p>
    <w:p w14:paraId="7647D188" w14:textId="49D556AA" w:rsidR="16A55139" w:rsidRPr="00F67850" w:rsidRDefault="540A535B" w:rsidP="120913F3">
      <w:pPr>
        <w:spacing w:after="120" w:line="360" w:lineRule="auto"/>
        <w:ind w:left="720" w:hanging="720"/>
        <w:rPr>
          <w:rFonts w:asciiTheme="minorHAnsi" w:eastAsia="Calibri" w:hAnsiTheme="minorHAnsi" w:cstheme="minorHAnsi"/>
          <w:lang w:val="en-US"/>
        </w:rPr>
      </w:pPr>
      <w:r w:rsidRPr="00F67850">
        <w:rPr>
          <w:rFonts w:asciiTheme="minorHAnsi" w:eastAsiaTheme="minorEastAsia" w:hAnsiTheme="minorHAnsi" w:cstheme="minorHAnsi"/>
          <w:lang w:val="en-US"/>
        </w:rPr>
        <w:t xml:space="preserve">Bandura, A. (2012). On the Functional Properties of Perceived Self-Efficacy Revisited. </w:t>
      </w:r>
      <w:r w:rsidRPr="00F67850">
        <w:rPr>
          <w:rFonts w:asciiTheme="minorHAnsi" w:eastAsiaTheme="minorEastAsia" w:hAnsiTheme="minorHAnsi" w:cstheme="minorHAnsi"/>
          <w:i/>
          <w:iCs/>
          <w:lang w:val="en-US"/>
        </w:rPr>
        <w:t>Journal of management, 38</w:t>
      </w:r>
      <w:r w:rsidRPr="00F67850">
        <w:rPr>
          <w:rFonts w:asciiTheme="minorHAnsi" w:eastAsiaTheme="minorEastAsia" w:hAnsiTheme="minorHAnsi" w:cstheme="minorHAnsi"/>
          <w:lang w:val="en-US"/>
        </w:rPr>
        <w:t xml:space="preserve">(1), 9-44. </w:t>
      </w:r>
      <w:r w:rsidR="120913F3" w:rsidRPr="00F67850">
        <w:rPr>
          <w:rFonts w:asciiTheme="minorHAnsi" w:eastAsia="Calibri" w:hAnsiTheme="minorHAnsi" w:cstheme="minorHAnsi"/>
          <w:lang w:val="en-US"/>
        </w:rPr>
        <w:t xml:space="preserve">https://doi.org/10.1177/0149206311410606 </w:t>
      </w:r>
    </w:p>
    <w:p w14:paraId="6E06CA80" w14:textId="7A5B4D05" w:rsidR="16A55139" w:rsidRPr="00F67850" w:rsidRDefault="27558EAB" w:rsidP="120913F3">
      <w:pPr>
        <w:spacing w:after="120" w:line="360" w:lineRule="auto"/>
        <w:ind w:left="720" w:hanging="720"/>
        <w:rPr>
          <w:rFonts w:asciiTheme="minorHAnsi" w:eastAsiaTheme="minorEastAsia" w:hAnsiTheme="minorHAnsi" w:cstheme="minorHAnsi"/>
          <w:lang w:val="en-US"/>
        </w:rPr>
      </w:pPr>
      <w:r w:rsidRPr="00F67850">
        <w:rPr>
          <w:rFonts w:asciiTheme="minorHAnsi" w:eastAsiaTheme="minorEastAsia" w:hAnsiTheme="minorHAnsi" w:cstheme="minorHAnsi"/>
          <w:lang w:val="en-US"/>
        </w:rPr>
        <w:t xml:space="preserve">Barton, G., Baguley, M., &amp; MacDonald, A. (2013). Seeing the Bigger Picture: Investigating the State of the Arts in Teacher Education Programs in Australia. </w:t>
      </w:r>
      <w:r w:rsidRPr="00F67850">
        <w:rPr>
          <w:rFonts w:asciiTheme="minorHAnsi" w:eastAsiaTheme="minorEastAsia" w:hAnsiTheme="minorHAnsi" w:cstheme="minorHAnsi"/>
          <w:i/>
          <w:iCs/>
          <w:lang w:val="en-US"/>
        </w:rPr>
        <w:t>Australian Journal of Teacher Education, 38</w:t>
      </w:r>
      <w:r w:rsidRPr="00F67850">
        <w:rPr>
          <w:rFonts w:asciiTheme="minorHAnsi" w:eastAsiaTheme="minorEastAsia" w:hAnsiTheme="minorHAnsi" w:cstheme="minorHAnsi"/>
          <w:lang w:val="en-US"/>
        </w:rPr>
        <w:t xml:space="preserve">(7), 75-90. </w:t>
      </w:r>
      <w:r w:rsidR="120913F3" w:rsidRPr="00F67850">
        <w:rPr>
          <w:rFonts w:asciiTheme="minorHAnsi" w:eastAsiaTheme="minorEastAsia" w:hAnsiTheme="minorHAnsi" w:cstheme="minorHAnsi"/>
          <w:lang w:val="en-US"/>
        </w:rPr>
        <w:t>http://dx.doi.org/10.14221/ajte.2013v38n7.5</w:t>
      </w:r>
    </w:p>
    <w:p w14:paraId="4003E869" w14:textId="5B1627C2" w:rsidR="16A55139" w:rsidRPr="00F67850" w:rsidRDefault="697272A6"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Beauchamp, C., &amp; Thomas, L. (2009). Understanding teacher identity: An overview of issues in the literature and implications for teacher education. </w:t>
      </w:r>
      <w:r w:rsidRPr="00F67850">
        <w:rPr>
          <w:rFonts w:asciiTheme="minorHAnsi" w:eastAsiaTheme="minorEastAsia" w:hAnsiTheme="minorHAnsi" w:cstheme="minorHAnsi"/>
          <w:i/>
          <w:iCs/>
        </w:rPr>
        <w:t>Cambridge Journal of Education</w:t>
      </w:r>
      <w:r w:rsidRPr="00F67850">
        <w:rPr>
          <w:rFonts w:asciiTheme="minorHAnsi" w:eastAsiaTheme="minorEastAsia" w:hAnsiTheme="minorHAnsi" w:cstheme="minorHAnsi"/>
        </w:rPr>
        <w:t xml:space="preserve">, </w:t>
      </w:r>
      <w:r w:rsidRPr="00F67850">
        <w:rPr>
          <w:rFonts w:asciiTheme="minorHAnsi" w:eastAsiaTheme="minorEastAsia" w:hAnsiTheme="minorHAnsi" w:cstheme="minorHAnsi"/>
          <w:i/>
          <w:iCs/>
        </w:rPr>
        <w:t>39</w:t>
      </w:r>
      <w:r w:rsidRPr="00F67850">
        <w:rPr>
          <w:rFonts w:asciiTheme="minorHAnsi" w:eastAsiaTheme="minorEastAsia" w:hAnsiTheme="minorHAnsi" w:cstheme="minorHAnsi"/>
        </w:rPr>
        <w:t xml:space="preserve">(2), 175–189. </w:t>
      </w:r>
      <w:r w:rsidR="120913F3" w:rsidRPr="00F67850">
        <w:rPr>
          <w:rFonts w:asciiTheme="minorHAnsi" w:eastAsiaTheme="minorEastAsia" w:hAnsiTheme="minorHAnsi" w:cstheme="minorHAnsi"/>
        </w:rPr>
        <w:t>https://doi.org/10.1080/03057640902902252</w:t>
      </w:r>
    </w:p>
    <w:p w14:paraId="1F8854C7" w14:textId="4A52AC20" w:rsidR="681C78EE" w:rsidRPr="00F67850" w:rsidRDefault="27558EAB"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Braun, V., &amp; Clarke, V. (2006). Using thematic analysis in psychology. </w:t>
      </w:r>
      <w:r w:rsidRPr="00F67850">
        <w:rPr>
          <w:rFonts w:asciiTheme="minorHAnsi" w:eastAsiaTheme="minorEastAsia" w:hAnsiTheme="minorHAnsi" w:cstheme="minorHAnsi"/>
          <w:i/>
          <w:iCs/>
        </w:rPr>
        <w:t>Qualitative Research in Psychology</w:t>
      </w:r>
      <w:r w:rsidRPr="00F67850">
        <w:rPr>
          <w:rFonts w:asciiTheme="minorHAnsi" w:eastAsiaTheme="minorEastAsia" w:hAnsiTheme="minorHAnsi" w:cstheme="minorHAnsi"/>
        </w:rPr>
        <w:t>, 3(2), 77-101. https://doi.org/10.1191/1478088706qp063oa</w:t>
      </w:r>
    </w:p>
    <w:p w14:paraId="558411BF" w14:textId="5D4B142A" w:rsidR="16A55139" w:rsidRPr="00F67850" w:rsidRDefault="697272A6" w:rsidP="120913F3">
      <w:pPr>
        <w:spacing w:after="120" w:line="360" w:lineRule="auto"/>
        <w:ind w:left="709" w:hanging="709"/>
        <w:rPr>
          <w:rFonts w:asciiTheme="minorHAnsi" w:eastAsiaTheme="minorEastAsia" w:hAnsiTheme="minorHAnsi" w:cstheme="minorHAnsi"/>
          <w:color w:val="auto"/>
        </w:rPr>
      </w:pPr>
      <w:r w:rsidRPr="00F67850">
        <w:rPr>
          <w:rFonts w:asciiTheme="minorHAnsi" w:eastAsiaTheme="minorEastAsia" w:hAnsiTheme="minorHAnsi" w:cstheme="minorHAnsi"/>
        </w:rPr>
        <w:t xml:space="preserve">Brooks, M. (2017). Drawing to learn. In M. </w:t>
      </w:r>
      <w:proofErr w:type="spellStart"/>
      <w:r w:rsidRPr="00F67850">
        <w:rPr>
          <w:rFonts w:asciiTheme="minorHAnsi" w:eastAsiaTheme="minorEastAsia" w:hAnsiTheme="minorHAnsi" w:cstheme="minorHAnsi"/>
        </w:rPr>
        <w:t>Narey</w:t>
      </w:r>
      <w:proofErr w:type="spellEnd"/>
      <w:r w:rsidRPr="00F67850">
        <w:rPr>
          <w:rFonts w:asciiTheme="minorHAnsi" w:eastAsiaTheme="minorEastAsia" w:hAnsiTheme="minorHAnsi" w:cstheme="minorHAnsi"/>
        </w:rPr>
        <w:t xml:space="preserve"> (Ed.), </w:t>
      </w:r>
      <w:r w:rsidRPr="00F67850">
        <w:rPr>
          <w:rFonts w:asciiTheme="minorHAnsi" w:eastAsiaTheme="minorEastAsia" w:hAnsiTheme="minorHAnsi" w:cstheme="minorHAnsi"/>
          <w:i/>
          <w:iCs/>
        </w:rPr>
        <w:t>Multimodal perspectives of language, literacy, and learning in early childhood</w:t>
      </w:r>
      <w:r w:rsidRPr="00F67850">
        <w:rPr>
          <w:rFonts w:asciiTheme="minorHAnsi" w:eastAsiaTheme="minorEastAsia" w:hAnsiTheme="minorHAnsi" w:cstheme="minorHAnsi"/>
        </w:rPr>
        <w:t xml:space="preserve"> (pp. 25–44). Springer.</w:t>
      </w:r>
      <w:r w:rsidRPr="00F67850">
        <w:rPr>
          <w:rFonts w:asciiTheme="minorHAnsi" w:eastAsiaTheme="minorEastAsia" w:hAnsiTheme="minorHAnsi" w:cstheme="minorHAnsi"/>
          <w:color w:val="auto"/>
        </w:rPr>
        <w:t xml:space="preserve"> </w:t>
      </w:r>
      <w:r w:rsidR="120913F3" w:rsidRPr="00F67850">
        <w:rPr>
          <w:rFonts w:asciiTheme="minorHAnsi" w:eastAsiaTheme="minorEastAsia" w:hAnsiTheme="minorHAnsi" w:cstheme="minorHAnsi"/>
          <w:color w:val="auto"/>
        </w:rPr>
        <w:t>https://doi.org/10.1187%2Fcbe.14-08-0128</w:t>
      </w:r>
    </w:p>
    <w:p w14:paraId="34D94898" w14:textId="526091FE" w:rsidR="16A55139" w:rsidRPr="00F67850" w:rsidRDefault="27558EAB" w:rsidP="120913F3">
      <w:pPr>
        <w:spacing w:after="120" w:line="360" w:lineRule="auto"/>
        <w:ind w:left="720" w:hanging="720"/>
        <w:rPr>
          <w:rFonts w:asciiTheme="minorHAnsi" w:eastAsiaTheme="minorEastAsia" w:hAnsiTheme="minorHAnsi" w:cstheme="minorHAnsi"/>
          <w:lang w:val="en-US"/>
        </w:rPr>
      </w:pPr>
      <w:r w:rsidRPr="00F67850">
        <w:rPr>
          <w:rFonts w:asciiTheme="minorHAnsi" w:eastAsiaTheme="minorEastAsia" w:hAnsiTheme="minorHAnsi" w:cstheme="minorHAnsi"/>
          <w:lang w:val="en-US"/>
        </w:rPr>
        <w:t>Chen, C. (2008). Why Do Teachers Not Practice What They Believe Regarding Technology Integration?</w:t>
      </w:r>
      <w:r w:rsidRPr="00F67850">
        <w:rPr>
          <w:rFonts w:asciiTheme="minorHAnsi" w:eastAsiaTheme="minorEastAsia" w:hAnsiTheme="minorHAnsi" w:cstheme="minorHAnsi"/>
          <w:i/>
          <w:iCs/>
          <w:lang w:val="en-US"/>
        </w:rPr>
        <w:t xml:space="preserve"> The Journal of Educational Research, 102</w:t>
      </w:r>
      <w:r w:rsidRPr="00F67850">
        <w:rPr>
          <w:rFonts w:asciiTheme="minorHAnsi" w:eastAsiaTheme="minorEastAsia" w:hAnsiTheme="minorHAnsi" w:cstheme="minorHAnsi"/>
          <w:lang w:val="en-US"/>
        </w:rPr>
        <w:t xml:space="preserve">(1), 65-75. </w:t>
      </w:r>
      <w:r w:rsidR="120913F3" w:rsidRPr="00F67850">
        <w:rPr>
          <w:rFonts w:asciiTheme="minorHAnsi" w:eastAsiaTheme="minorEastAsia" w:hAnsiTheme="minorHAnsi" w:cstheme="minorHAnsi"/>
          <w:lang w:val="en-US"/>
        </w:rPr>
        <w:t>https://doi.org/10.3200/JOER.102.1.65-75</w:t>
      </w:r>
    </w:p>
    <w:p w14:paraId="5148D437" w14:textId="739484D4" w:rsidR="16A55139" w:rsidRPr="00F67850" w:rsidRDefault="697272A6" w:rsidP="120913F3">
      <w:pPr>
        <w:spacing w:after="120" w:line="360" w:lineRule="auto"/>
        <w:ind w:left="709" w:hanging="709"/>
        <w:rPr>
          <w:rFonts w:asciiTheme="minorHAnsi" w:eastAsiaTheme="minorEastAsia" w:hAnsiTheme="minorHAnsi" w:cstheme="minorHAnsi"/>
        </w:rPr>
      </w:pPr>
      <w:proofErr w:type="spellStart"/>
      <w:r w:rsidRPr="00F67850">
        <w:rPr>
          <w:rFonts w:asciiTheme="minorHAnsi" w:eastAsiaTheme="minorEastAsia" w:hAnsiTheme="minorHAnsi" w:cstheme="minorHAnsi"/>
        </w:rPr>
        <w:t>Clandinin</w:t>
      </w:r>
      <w:proofErr w:type="spellEnd"/>
      <w:r w:rsidRPr="00F67850">
        <w:rPr>
          <w:rFonts w:asciiTheme="minorHAnsi" w:eastAsiaTheme="minorEastAsia" w:hAnsiTheme="minorHAnsi" w:cstheme="minorHAnsi"/>
        </w:rPr>
        <w:t xml:space="preserve">, D. J. (2014). </w:t>
      </w:r>
      <w:r w:rsidRPr="00F67850">
        <w:rPr>
          <w:rFonts w:asciiTheme="minorHAnsi" w:eastAsiaTheme="minorEastAsia" w:hAnsiTheme="minorHAnsi" w:cstheme="minorHAnsi"/>
          <w:i/>
          <w:iCs/>
        </w:rPr>
        <w:t>Engaging in narrative inquiry</w:t>
      </w:r>
      <w:r w:rsidRPr="00F67850">
        <w:rPr>
          <w:rFonts w:asciiTheme="minorHAnsi" w:eastAsiaTheme="minorEastAsia" w:hAnsiTheme="minorHAnsi" w:cstheme="minorHAnsi"/>
        </w:rPr>
        <w:t>. Left Coast Press.</w:t>
      </w:r>
    </w:p>
    <w:p w14:paraId="104B4C3D" w14:textId="114040E2" w:rsidR="16A55139" w:rsidRPr="00F67850" w:rsidRDefault="27558EAB" w:rsidP="120913F3">
      <w:pPr>
        <w:spacing w:after="120" w:line="360" w:lineRule="auto"/>
        <w:ind w:left="720" w:hanging="720"/>
        <w:rPr>
          <w:rFonts w:asciiTheme="minorHAnsi" w:eastAsiaTheme="minorEastAsia" w:hAnsiTheme="minorHAnsi" w:cstheme="minorHAnsi"/>
          <w:lang w:val="en-US"/>
        </w:rPr>
      </w:pPr>
      <w:r w:rsidRPr="00F67850">
        <w:rPr>
          <w:rFonts w:asciiTheme="minorHAnsi" w:eastAsiaTheme="minorEastAsia" w:hAnsiTheme="minorHAnsi" w:cstheme="minorHAnsi"/>
          <w:lang w:val="en-US"/>
        </w:rPr>
        <w:t xml:space="preserve">Clark, B., &amp; de </w:t>
      </w:r>
      <w:proofErr w:type="spellStart"/>
      <w:r w:rsidRPr="00F67850">
        <w:rPr>
          <w:rFonts w:asciiTheme="minorHAnsi" w:eastAsiaTheme="minorEastAsia" w:hAnsiTheme="minorHAnsi" w:cstheme="minorHAnsi"/>
          <w:lang w:val="en-US"/>
        </w:rPr>
        <w:t>Lautour</w:t>
      </w:r>
      <w:proofErr w:type="spellEnd"/>
      <w:r w:rsidRPr="00F67850">
        <w:rPr>
          <w:rFonts w:asciiTheme="minorHAnsi" w:eastAsiaTheme="minorEastAsia" w:hAnsiTheme="minorHAnsi" w:cstheme="minorHAnsi"/>
          <w:lang w:val="en-US"/>
        </w:rPr>
        <w:t xml:space="preserve">, N. (2009). In early childhood education, should the adult's role in the visual arts be hands-on or hands-off, or is there a role which is somewhere in-between or somewhere beyond? </w:t>
      </w:r>
      <w:r w:rsidRPr="00F67850">
        <w:rPr>
          <w:rFonts w:asciiTheme="minorHAnsi" w:eastAsiaTheme="minorEastAsia" w:hAnsiTheme="minorHAnsi" w:cstheme="minorHAnsi"/>
          <w:i/>
          <w:iCs/>
          <w:lang w:val="en-US"/>
        </w:rPr>
        <w:t>Scope, 4</w:t>
      </w:r>
      <w:r w:rsidRPr="00F67850">
        <w:rPr>
          <w:rFonts w:asciiTheme="minorHAnsi" w:eastAsiaTheme="minorEastAsia" w:hAnsiTheme="minorHAnsi" w:cstheme="minorHAnsi"/>
          <w:lang w:val="en-US"/>
        </w:rPr>
        <w:t xml:space="preserve">(1), 115-119. </w:t>
      </w:r>
    </w:p>
    <w:p w14:paraId="6993ABAA" w14:textId="7823B3FD" w:rsidR="16A55139" w:rsidRPr="00F67850" w:rsidRDefault="27558EAB" w:rsidP="120913F3">
      <w:pPr>
        <w:spacing w:after="120" w:line="360" w:lineRule="auto"/>
        <w:ind w:left="720" w:hanging="720"/>
        <w:rPr>
          <w:rFonts w:asciiTheme="minorHAnsi" w:eastAsiaTheme="minorEastAsia" w:hAnsiTheme="minorHAnsi" w:cstheme="minorHAnsi"/>
          <w:lang w:val="en-US"/>
        </w:rPr>
      </w:pPr>
      <w:r w:rsidRPr="00F67850">
        <w:rPr>
          <w:rFonts w:asciiTheme="minorHAnsi" w:eastAsiaTheme="minorEastAsia" w:hAnsiTheme="minorHAnsi" w:cstheme="minorHAnsi"/>
          <w:lang w:val="en-US"/>
        </w:rPr>
        <w:t xml:space="preserve">Collins, A. (2016). Generalist Pre-Service Teacher Education, Self-Efficacy and Arts Education: An Impossible Expectation? </w:t>
      </w:r>
      <w:r w:rsidRPr="00F67850">
        <w:rPr>
          <w:rFonts w:asciiTheme="minorHAnsi" w:eastAsiaTheme="minorEastAsia" w:hAnsiTheme="minorHAnsi" w:cstheme="minorHAnsi"/>
          <w:i/>
          <w:iCs/>
          <w:lang w:val="en-US"/>
        </w:rPr>
        <w:t xml:space="preserve">International Journal of Education &amp; the Arts, 17 </w:t>
      </w:r>
      <w:r w:rsidRPr="00F67850">
        <w:rPr>
          <w:rFonts w:asciiTheme="minorHAnsi" w:eastAsiaTheme="minorEastAsia" w:hAnsiTheme="minorHAnsi" w:cstheme="minorHAnsi"/>
          <w:lang w:val="en-US"/>
        </w:rPr>
        <w:t xml:space="preserve">(24-27), 1-23. </w:t>
      </w:r>
    </w:p>
    <w:p w14:paraId="5722791D" w14:textId="5A5DBB30" w:rsidR="16A55139" w:rsidRPr="00F67850" w:rsidRDefault="27558EAB" w:rsidP="120913F3">
      <w:pPr>
        <w:spacing w:after="120" w:line="360" w:lineRule="auto"/>
        <w:ind w:left="720" w:hanging="720"/>
        <w:rPr>
          <w:rFonts w:asciiTheme="minorHAnsi" w:eastAsiaTheme="minorEastAsia" w:hAnsiTheme="minorHAnsi" w:cstheme="minorHAnsi"/>
          <w:lang w:val="en-US"/>
        </w:rPr>
      </w:pPr>
      <w:proofErr w:type="spellStart"/>
      <w:r w:rsidRPr="00F67850">
        <w:rPr>
          <w:rFonts w:asciiTheme="minorHAnsi" w:eastAsiaTheme="minorEastAsia" w:hAnsiTheme="minorHAnsi" w:cstheme="minorHAnsi"/>
          <w:lang w:val="en-US"/>
        </w:rPr>
        <w:lastRenderedPageBreak/>
        <w:t>Cutcher</w:t>
      </w:r>
      <w:proofErr w:type="spellEnd"/>
      <w:r w:rsidRPr="00F67850">
        <w:rPr>
          <w:rFonts w:asciiTheme="minorHAnsi" w:eastAsiaTheme="minorEastAsia" w:hAnsiTheme="minorHAnsi" w:cstheme="minorHAnsi"/>
          <w:lang w:val="en-US"/>
        </w:rPr>
        <w:t xml:space="preserve">, A., &amp; Boyd, W. (2018). Preschool Children, Painting and Palimpsest: Collaboration as Pedagogy, Practice and Learning. </w:t>
      </w:r>
      <w:r w:rsidRPr="00F67850">
        <w:rPr>
          <w:rFonts w:asciiTheme="minorHAnsi" w:eastAsiaTheme="minorEastAsia" w:hAnsiTheme="minorHAnsi" w:cstheme="minorHAnsi"/>
          <w:i/>
          <w:iCs/>
          <w:lang w:val="en-US"/>
        </w:rPr>
        <w:t xml:space="preserve">International Journal of Art &amp; Design Education, 37(1), </w:t>
      </w:r>
      <w:r w:rsidR="120913F3" w:rsidRPr="00F67850">
        <w:rPr>
          <w:rFonts w:asciiTheme="minorHAnsi" w:eastAsia="Calibri" w:hAnsiTheme="minorHAnsi" w:cstheme="minorHAnsi"/>
          <w:lang w:val="en-US"/>
        </w:rPr>
        <w:t>53-64.</w:t>
      </w:r>
      <w:r w:rsidRPr="00F67850">
        <w:rPr>
          <w:rFonts w:asciiTheme="minorHAnsi" w:eastAsiaTheme="minorEastAsia" w:hAnsiTheme="minorHAnsi" w:cstheme="minorHAnsi"/>
          <w:lang w:val="en-US"/>
        </w:rPr>
        <w:t xml:space="preserve"> </w:t>
      </w:r>
      <w:r w:rsidR="120913F3" w:rsidRPr="00F67850">
        <w:rPr>
          <w:rFonts w:asciiTheme="minorHAnsi" w:eastAsiaTheme="minorEastAsia" w:hAnsiTheme="minorHAnsi" w:cstheme="minorHAnsi"/>
          <w:lang w:val="en-US"/>
        </w:rPr>
        <w:t>https://doi.org/10.1111/jade.12113</w:t>
      </w:r>
    </w:p>
    <w:p w14:paraId="6E403475" w14:textId="736AB187" w:rsidR="16A55139" w:rsidRPr="00F67850" w:rsidRDefault="27558EAB" w:rsidP="120913F3">
      <w:pPr>
        <w:spacing w:after="120" w:line="360" w:lineRule="auto"/>
        <w:ind w:left="720" w:hanging="720"/>
        <w:rPr>
          <w:rFonts w:asciiTheme="minorHAnsi" w:eastAsiaTheme="minorEastAsia" w:hAnsiTheme="minorHAnsi" w:cstheme="minorHAnsi"/>
          <w:lang w:val="en-US"/>
        </w:rPr>
      </w:pPr>
      <w:proofErr w:type="spellStart"/>
      <w:r w:rsidRPr="00F67850">
        <w:rPr>
          <w:rFonts w:asciiTheme="minorHAnsi" w:eastAsiaTheme="minorEastAsia" w:hAnsiTheme="minorHAnsi" w:cstheme="minorHAnsi"/>
          <w:lang w:val="en-US"/>
        </w:rPr>
        <w:t>Cutcher</w:t>
      </w:r>
      <w:proofErr w:type="spellEnd"/>
      <w:r w:rsidRPr="00F67850">
        <w:rPr>
          <w:rFonts w:asciiTheme="minorHAnsi" w:eastAsiaTheme="minorEastAsia" w:hAnsiTheme="minorHAnsi" w:cstheme="minorHAnsi"/>
          <w:lang w:val="en-US"/>
        </w:rPr>
        <w:t xml:space="preserve">, A., &amp; Cook, P. (2016). One Must Also be an Artist: Online Delivery of Teacher Education. </w:t>
      </w:r>
      <w:r w:rsidRPr="00F67850">
        <w:rPr>
          <w:rFonts w:asciiTheme="minorHAnsi" w:eastAsiaTheme="minorEastAsia" w:hAnsiTheme="minorHAnsi" w:cstheme="minorHAnsi"/>
          <w:i/>
          <w:iCs/>
          <w:lang w:val="en-US"/>
        </w:rPr>
        <w:t>International Journal of Education &amp; the Arts, 17</w:t>
      </w:r>
      <w:r w:rsidRPr="00F67850">
        <w:rPr>
          <w:rFonts w:asciiTheme="minorHAnsi" w:eastAsiaTheme="minorEastAsia" w:hAnsiTheme="minorHAnsi" w:cstheme="minorHAnsi"/>
          <w:lang w:val="en-US"/>
        </w:rPr>
        <w:t xml:space="preserve">(13), 1-18. </w:t>
      </w:r>
    </w:p>
    <w:p w14:paraId="47F6CAD0" w14:textId="361BF2B6" w:rsidR="18B22091" w:rsidRPr="00F67850" w:rsidRDefault="2BB33DB7"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Davis, S. (2017). Drama and arts-based professional learning: Exploring face-to-face, </w:t>
      </w:r>
      <w:proofErr w:type="gramStart"/>
      <w:r w:rsidRPr="00F67850">
        <w:rPr>
          <w:rFonts w:asciiTheme="minorHAnsi" w:eastAsiaTheme="minorEastAsia" w:hAnsiTheme="minorHAnsi" w:cstheme="minorHAnsi"/>
        </w:rPr>
        <w:t>online</w:t>
      </w:r>
      <w:proofErr w:type="gramEnd"/>
      <w:r w:rsidRPr="00F67850">
        <w:rPr>
          <w:rFonts w:asciiTheme="minorHAnsi" w:eastAsiaTheme="minorEastAsia" w:hAnsiTheme="minorHAnsi" w:cstheme="minorHAnsi"/>
        </w:rPr>
        <w:t xml:space="preserve"> and transmedia models. </w:t>
      </w:r>
      <w:r w:rsidRPr="00F67850">
        <w:rPr>
          <w:rFonts w:asciiTheme="minorHAnsi" w:eastAsiaTheme="minorEastAsia" w:hAnsiTheme="minorHAnsi" w:cstheme="minorHAnsi"/>
          <w:i/>
          <w:iCs/>
        </w:rPr>
        <w:t>Teaching Education</w:t>
      </w:r>
      <w:r w:rsidRPr="00F67850">
        <w:rPr>
          <w:rFonts w:asciiTheme="minorHAnsi" w:eastAsiaTheme="minorEastAsia" w:hAnsiTheme="minorHAnsi" w:cstheme="minorHAnsi"/>
        </w:rPr>
        <w:t>, 28(4), 333-348. https://doi.org/10.1080/10476210.2017.1296830</w:t>
      </w:r>
    </w:p>
    <w:p w14:paraId="2EA6A477" w14:textId="5B10B60A" w:rsidR="16A55139" w:rsidRPr="00F67850" w:rsidRDefault="697272A6"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Deans, J., &amp; Brown, R. (2008). Reflection, </w:t>
      </w:r>
      <w:proofErr w:type="gramStart"/>
      <w:r w:rsidRPr="00F67850">
        <w:rPr>
          <w:rFonts w:asciiTheme="minorHAnsi" w:eastAsiaTheme="minorEastAsia" w:hAnsiTheme="minorHAnsi" w:cstheme="minorHAnsi"/>
        </w:rPr>
        <w:t>renewal</w:t>
      </w:r>
      <w:proofErr w:type="gramEnd"/>
      <w:r w:rsidRPr="00F67850">
        <w:rPr>
          <w:rFonts w:asciiTheme="minorHAnsi" w:eastAsiaTheme="minorEastAsia" w:hAnsiTheme="minorHAnsi" w:cstheme="minorHAnsi"/>
        </w:rPr>
        <w:t xml:space="preserve"> and relationship building: An ongoing journey in early childhood arts education. </w:t>
      </w:r>
      <w:r w:rsidRPr="00F67850">
        <w:rPr>
          <w:rFonts w:asciiTheme="minorHAnsi" w:eastAsiaTheme="minorEastAsia" w:hAnsiTheme="minorHAnsi" w:cstheme="minorHAnsi"/>
          <w:i/>
          <w:iCs/>
        </w:rPr>
        <w:t>Contemporary Issues in Early Childhood</w:t>
      </w:r>
      <w:r w:rsidRPr="00F67850">
        <w:rPr>
          <w:rFonts w:asciiTheme="minorHAnsi" w:eastAsiaTheme="minorEastAsia" w:hAnsiTheme="minorHAnsi" w:cstheme="minorHAnsi"/>
        </w:rPr>
        <w:t xml:space="preserve">, </w:t>
      </w:r>
      <w:r w:rsidRPr="00F67850">
        <w:rPr>
          <w:rFonts w:asciiTheme="minorHAnsi" w:eastAsiaTheme="minorEastAsia" w:hAnsiTheme="minorHAnsi" w:cstheme="minorHAnsi"/>
          <w:i/>
          <w:iCs/>
        </w:rPr>
        <w:t>9</w:t>
      </w:r>
      <w:r w:rsidRPr="00F67850">
        <w:rPr>
          <w:rFonts w:asciiTheme="minorHAnsi" w:eastAsiaTheme="minorEastAsia" w:hAnsiTheme="minorHAnsi" w:cstheme="minorHAnsi"/>
        </w:rPr>
        <w:t xml:space="preserve">(4), 339–353. </w:t>
      </w:r>
      <w:r w:rsidR="120913F3" w:rsidRPr="00F67850">
        <w:rPr>
          <w:rFonts w:asciiTheme="minorHAnsi" w:eastAsiaTheme="minorEastAsia" w:hAnsiTheme="minorHAnsi" w:cstheme="minorHAnsi"/>
        </w:rPr>
        <w:t>https://doi.org/10.2304%2Fciec.2008.9.4.339</w:t>
      </w:r>
    </w:p>
    <w:p w14:paraId="4D8F69B3" w14:textId="1FF60CC7" w:rsidR="313435B5" w:rsidRPr="00F67850" w:rsidRDefault="0CC5F48D"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Denee, R. (2018). Professional learning and distributed leadership: A symbiotic relationship. </w:t>
      </w:r>
      <w:r w:rsidRPr="00F67850">
        <w:rPr>
          <w:rFonts w:asciiTheme="minorHAnsi" w:eastAsiaTheme="minorEastAsia" w:hAnsiTheme="minorHAnsi" w:cstheme="minorHAnsi"/>
          <w:i/>
          <w:iCs/>
        </w:rPr>
        <w:t>The New Zealand Annual Review of Education,</w:t>
      </w:r>
      <w:r w:rsidRPr="00F67850">
        <w:rPr>
          <w:rFonts w:asciiTheme="minorHAnsi" w:eastAsiaTheme="minorEastAsia" w:hAnsiTheme="minorHAnsi" w:cstheme="minorHAnsi"/>
        </w:rPr>
        <w:t xml:space="preserve"> 23, 63-78.</w:t>
      </w:r>
      <w:r w:rsidR="2C93E96D" w:rsidRPr="00F67850">
        <w:rPr>
          <w:rFonts w:asciiTheme="minorHAnsi" w:eastAsiaTheme="minorEastAsia" w:hAnsiTheme="minorHAnsi" w:cstheme="minorHAnsi"/>
        </w:rPr>
        <w:t xml:space="preserve"> </w:t>
      </w:r>
      <w:r w:rsidR="120913F3" w:rsidRPr="00F67850">
        <w:rPr>
          <w:rFonts w:asciiTheme="minorHAnsi" w:eastAsiaTheme="minorEastAsia" w:hAnsiTheme="minorHAnsi" w:cstheme="minorHAnsi"/>
        </w:rPr>
        <w:t>http://dx.doi.org/10.26686/nzaroe.v23i0.5284</w:t>
      </w:r>
    </w:p>
    <w:p w14:paraId="22CD5AF6" w14:textId="3736751B" w:rsidR="313435B5" w:rsidRPr="00F67850" w:rsidRDefault="0CC5F48D"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Denee, R. (2022). </w:t>
      </w:r>
      <w:r w:rsidRPr="00F67850">
        <w:rPr>
          <w:rFonts w:asciiTheme="minorHAnsi" w:eastAsiaTheme="minorEastAsia" w:hAnsiTheme="minorHAnsi" w:cstheme="minorHAnsi"/>
          <w:i/>
          <w:iCs/>
        </w:rPr>
        <w:t>Visual arts in ECE: Strengthening intentional teaching through a network professional learning community</w:t>
      </w:r>
      <w:r w:rsidRPr="00F67850">
        <w:rPr>
          <w:rFonts w:asciiTheme="minorHAnsi" w:eastAsiaTheme="minorEastAsia" w:hAnsiTheme="minorHAnsi" w:cstheme="minorHAnsi"/>
        </w:rPr>
        <w:t xml:space="preserve"> [Doctoral thesis, </w:t>
      </w:r>
      <w:proofErr w:type="spellStart"/>
      <w:r w:rsidRPr="00F67850">
        <w:rPr>
          <w:rFonts w:asciiTheme="minorHAnsi" w:eastAsiaTheme="minorEastAsia" w:hAnsiTheme="minorHAnsi" w:cstheme="minorHAnsi"/>
        </w:rPr>
        <w:t>Te</w:t>
      </w:r>
      <w:proofErr w:type="spellEnd"/>
      <w:r w:rsidRPr="00F67850">
        <w:rPr>
          <w:rFonts w:asciiTheme="minorHAnsi" w:eastAsiaTheme="minorEastAsia" w:hAnsiTheme="minorHAnsi" w:cstheme="minorHAnsi"/>
        </w:rPr>
        <w:t xml:space="preserve"> Herenga Waka-Victoria University of Wellington]. Wellington.</w:t>
      </w:r>
    </w:p>
    <w:p w14:paraId="05CAAB6F" w14:textId="3012F831" w:rsidR="681C78EE" w:rsidRPr="00F67850" w:rsidRDefault="27558EAB" w:rsidP="120913F3">
      <w:pPr>
        <w:spacing w:after="120" w:line="360" w:lineRule="auto"/>
        <w:ind w:left="720" w:hanging="720"/>
        <w:rPr>
          <w:rFonts w:asciiTheme="minorHAnsi" w:eastAsiaTheme="minorEastAsia" w:hAnsiTheme="minorHAnsi" w:cstheme="minorHAnsi"/>
          <w:color w:val="auto"/>
          <w:lang w:val="en-US"/>
        </w:rPr>
      </w:pPr>
      <w:r w:rsidRPr="00F67850">
        <w:rPr>
          <w:rFonts w:asciiTheme="minorHAnsi" w:eastAsiaTheme="minorEastAsia" w:hAnsiTheme="minorHAnsi" w:cstheme="minorHAnsi"/>
          <w:lang w:val="en-US"/>
        </w:rPr>
        <w:t>Ewing, R. (Ed</w:t>
      </w:r>
      <w:r w:rsidR="6FE995B1" w:rsidRPr="00F67850">
        <w:rPr>
          <w:rFonts w:asciiTheme="minorHAnsi" w:eastAsiaTheme="minorEastAsia" w:hAnsiTheme="minorHAnsi" w:cstheme="minorHAnsi"/>
          <w:lang w:val="en-US"/>
        </w:rPr>
        <w:t>.).</w:t>
      </w:r>
      <w:r w:rsidRPr="00F67850">
        <w:rPr>
          <w:rFonts w:asciiTheme="minorHAnsi" w:eastAsiaTheme="minorEastAsia" w:hAnsiTheme="minorHAnsi" w:cstheme="minorHAnsi"/>
          <w:lang w:val="en-US"/>
        </w:rPr>
        <w:t xml:space="preserve"> (2013). </w:t>
      </w:r>
      <w:r w:rsidRPr="00F67850">
        <w:rPr>
          <w:rFonts w:asciiTheme="minorHAnsi" w:eastAsiaTheme="minorEastAsia" w:hAnsiTheme="minorHAnsi" w:cstheme="minorHAnsi"/>
          <w:i/>
          <w:iCs/>
          <w:lang w:val="en-US"/>
        </w:rPr>
        <w:t>Creative Arts in the Lives of Young Children: Play, imagination and learning</w:t>
      </w:r>
      <w:r w:rsidRPr="00F67850">
        <w:rPr>
          <w:rFonts w:asciiTheme="minorHAnsi" w:eastAsiaTheme="minorEastAsia" w:hAnsiTheme="minorHAnsi" w:cstheme="minorHAnsi"/>
          <w:lang w:val="en-US"/>
        </w:rPr>
        <w:t xml:space="preserve">. </w:t>
      </w:r>
      <w:proofErr w:type="spellStart"/>
      <w:r w:rsidRPr="00F67850">
        <w:rPr>
          <w:rFonts w:asciiTheme="minorHAnsi" w:eastAsiaTheme="minorEastAsia" w:hAnsiTheme="minorHAnsi" w:cstheme="minorHAnsi"/>
          <w:lang w:val="en-US"/>
        </w:rPr>
        <w:t>Camberwell</w:t>
      </w:r>
      <w:proofErr w:type="spellEnd"/>
      <w:r w:rsidRPr="00F67850">
        <w:rPr>
          <w:rFonts w:asciiTheme="minorHAnsi" w:eastAsiaTheme="minorEastAsia" w:hAnsiTheme="minorHAnsi" w:cstheme="minorHAnsi"/>
          <w:lang w:val="en-US"/>
        </w:rPr>
        <w:t>: ACER Press.</w:t>
      </w:r>
      <w:r w:rsidRPr="00F67850">
        <w:rPr>
          <w:rFonts w:asciiTheme="minorHAnsi" w:eastAsiaTheme="minorEastAsia" w:hAnsiTheme="minorHAnsi" w:cstheme="minorHAnsi"/>
          <w:color w:val="auto"/>
          <w:lang w:val="en-US"/>
        </w:rPr>
        <w:t xml:space="preserve"> </w:t>
      </w:r>
    </w:p>
    <w:p w14:paraId="075A348D" w14:textId="66CC1F6E" w:rsidR="18B22091" w:rsidRPr="00F67850" w:rsidRDefault="2BB33DB7"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Fleer, M. (2011). Final report: Baseline evaluation of the early years learning framework (EYLF). Monash University for the Department of Education Employment and Workplace Relations (DEEWR). http://foi.deewr.gov.au/system/files/doc/other/baseline_evaluation_of_the_eylf_qualitative_report.pdf</w:t>
      </w:r>
    </w:p>
    <w:p w14:paraId="00BB026B" w14:textId="69785A80" w:rsidR="681C78EE" w:rsidRPr="00F67850" w:rsidRDefault="27558EAB" w:rsidP="120913F3">
      <w:pPr>
        <w:spacing w:after="120" w:line="360" w:lineRule="auto"/>
        <w:ind w:left="709" w:hanging="709"/>
        <w:rPr>
          <w:rFonts w:asciiTheme="minorHAnsi" w:eastAsiaTheme="minorEastAsia" w:hAnsiTheme="minorHAnsi" w:cstheme="minorHAnsi"/>
        </w:rPr>
      </w:pPr>
      <w:proofErr w:type="spellStart"/>
      <w:r w:rsidRPr="00F67850">
        <w:rPr>
          <w:rFonts w:asciiTheme="minorHAnsi" w:eastAsiaTheme="minorEastAsia" w:hAnsiTheme="minorHAnsi" w:cstheme="minorHAnsi"/>
        </w:rPr>
        <w:t>Garvis</w:t>
      </w:r>
      <w:proofErr w:type="spellEnd"/>
      <w:r w:rsidRPr="00F67850">
        <w:rPr>
          <w:rFonts w:asciiTheme="minorHAnsi" w:eastAsiaTheme="minorEastAsia" w:hAnsiTheme="minorHAnsi" w:cstheme="minorHAnsi"/>
        </w:rPr>
        <w:t xml:space="preserve">, S. (2012). Exploring current arts practice in kindergartens and preparatory classrooms. </w:t>
      </w:r>
      <w:r w:rsidRPr="00F67850">
        <w:rPr>
          <w:rFonts w:asciiTheme="minorHAnsi" w:eastAsiaTheme="minorEastAsia" w:hAnsiTheme="minorHAnsi" w:cstheme="minorHAnsi"/>
          <w:i/>
          <w:iCs/>
        </w:rPr>
        <w:t>Australasian Journal of Early Childhood</w:t>
      </w:r>
      <w:r w:rsidRPr="00F67850">
        <w:rPr>
          <w:rFonts w:asciiTheme="minorHAnsi" w:eastAsiaTheme="minorEastAsia" w:hAnsiTheme="minorHAnsi" w:cstheme="minorHAnsi"/>
        </w:rPr>
        <w:t>, 37(4), 86-93. DOI: 10.1177/183693911203700412</w:t>
      </w:r>
    </w:p>
    <w:p w14:paraId="55C3D051" w14:textId="7F94254C" w:rsidR="681C78EE" w:rsidRPr="00F67850" w:rsidRDefault="27558EAB" w:rsidP="120913F3">
      <w:pPr>
        <w:spacing w:after="120" w:line="360" w:lineRule="auto"/>
        <w:ind w:left="709" w:hanging="709"/>
        <w:rPr>
          <w:rFonts w:asciiTheme="minorHAnsi" w:eastAsiaTheme="minorEastAsia" w:hAnsiTheme="minorHAnsi" w:cstheme="minorHAnsi"/>
        </w:rPr>
      </w:pPr>
      <w:proofErr w:type="spellStart"/>
      <w:r w:rsidRPr="00F67850">
        <w:rPr>
          <w:rFonts w:asciiTheme="minorHAnsi" w:eastAsiaTheme="minorEastAsia" w:hAnsiTheme="minorHAnsi" w:cstheme="minorHAnsi"/>
        </w:rPr>
        <w:lastRenderedPageBreak/>
        <w:t>Garvis</w:t>
      </w:r>
      <w:proofErr w:type="spellEnd"/>
      <w:r w:rsidRPr="00F67850">
        <w:rPr>
          <w:rFonts w:asciiTheme="minorHAnsi" w:eastAsiaTheme="minorEastAsia" w:hAnsiTheme="minorHAnsi" w:cstheme="minorHAnsi"/>
        </w:rPr>
        <w:t xml:space="preserve">, S., &amp; </w:t>
      </w:r>
      <w:proofErr w:type="spellStart"/>
      <w:r w:rsidRPr="00F67850">
        <w:rPr>
          <w:rFonts w:asciiTheme="minorHAnsi" w:eastAsiaTheme="minorEastAsia" w:hAnsiTheme="minorHAnsi" w:cstheme="minorHAnsi"/>
        </w:rPr>
        <w:t>Pendergast</w:t>
      </w:r>
      <w:proofErr w:type="spellEnd"/>
      <w:r w:rsidRPr="00F67850">
        <w:rPr>
          <w:rFonts w:asciiTheme="minorHAnsi" w:eastAsiaTheme="minorEastAsia" w:hAnsiTheme="minorHAnsi" w:cstheme="minorHAnsi"/>
        </w:rPr>
        <w:t>, D. (2011). An investigation of early childhood teacher self-efficacy beliefs in the teaching of arts education.</w:t>
      </w:r>
      <w:r w:rsidRPr="00F67850">
        <w:rPr>
          <w:rFonts w:asciiTheme="minorHAnsi" w:eastAsiaTheme="minorEastAsia" w:hAnsiTheme="minorHAnsi" w:cstheme="minorHAnsi"/>
          <w:i/>
          <w:iCs/>
        </w:rPr>
        <w:t xml:space="preserve"> International Journal of Education &amp; the Arts,</w:t>
      </w:r>
      <w:r w:rsidRPr="00F67850">
        <w:rPr>
          <w:rFonts w:asciiTheme="minorHAnsi" w:eastAsiaTheme="minorEastAsia" w:hAnsiTheme="minorHAnsi" w:cstheme="minorHAnsi"/>
        </w:rPr>
        <w:t xml:space="preserve"> 12(9), 1-15.</w:t>
      </w:r>
    </w:p>
    <w:p w14:paraId="57740858" w14:textId="71E41C9D" w:rsidR="16A55139" w:rsidRPr="00F67850" w:rsidRDefault="2BB33DB7" w:rsidP="120913F3">
      <w:pPr>
        <w:spacing w:after="120" w:line="360" w:lineRule="auto"/>
        <w:ind w:left="709" w:hanging="709"/>
        <w:rPr>
          <w:rFonts w:asciiTheme="minorHAnsi" w:eastAsiaTheme="minorEastAsia" w:hAnsiTheme="minorHAnsi" w:cstheme="minorHAnsi"/>
        </w:rPr>
      </w:pPr>
      <w:proofErr w:type="spellStart"/>
      <w:r w:rsidRPr="00F67850">
        <w:rPr>
          <w:rFonts w:asciiTheme="minorHAnsi" w:eastAsiaTheme="minorEastAsia" w:hAnsiTheme="minorHAnsi" w:cstheme="minorHAnsi"/>
        </w:rPr>
        <w:t>Garvis</w:t>
      </w:r>
      <w:proofErr w:type="spellEnd"/>
      <w:r w:rsidRPr="00F67850">
        <w:rPr>
          <w:rFonts w:asciiTheme="minorHAnsi" w:eastAsiaTheme="minorEastAsia" w:hAnsiTheme="minorHAnsi" w:cstheme="minorHAnsi"/>
        </w:rPr>
        <w:t xml:space="preserve">, S., Twigg, D., </w:t>
      </w:r>
      <w:proofErr w:type="spellStart"/>
      <w:r w:rsidRPr="00F67850">
        <w:rPr>
          <w:rFonts w:asciiTheme="minorHAnsi" w:eastAsiaTheme="minorEastAsia" w:hAnsiTheme="minorHAnsi" w:cstheme="minorHAnsi"/>
        </w:rPr>
        <w:t>Pendergast</w:t>
      </w:r>
      <w:proofErr w:type="spellEnd"/>
      <w:r w:rsidRPr="00F67850">
        <w:rPr>
          <w:rFonts w:asciiTheme="minorHAnsi" w:eastAsiaTheme="minorEastAsia" w:hAnsiTheme="minorHAnsi" w:cstheme="minorHAnsi"/>
        </w:rPr>
        <w:t xml:space="preserve">, D. (2011). Breaking the negative cycle: The formation of self-efficacy beliefs in the arts. A focus on professional experience in pre-service teacher education. Australasian Journal of Early Childhood, 36(2), 36–41. </w:t>
      </w:r>
      <w:r w:rsidR="120913F3" w:rsidRPr="00F67850">
        <w:rPr>
          <w:rFonts w:asciiTheme="minorHAnsi" w:eastAsiaTheme="minorEastAsia" w:hAnsiTheme="minorHAnsi" w:cstheme="minorHAnsi"/>
        </w:rPr>
        <w:t>https://doi.org/10.1177%2F183693911103600206</w:t>
      </w:r>
    </w:p>
    <w:p w14:paraId="0A73137A" w14:textId="04FB7F8E" w:rsidR="6774A0D9" w:rsidRPr="00F67850" w:rsidRDefault="0FFA0922"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Horsley, K., &amp; Penn, H. (2014). Remembering childhood: Do our memories and experiences influence our understanding and our practice with young children? </w:t>
      </w:r>
      <w:r w:rsidRPr="00F67850">
        <w:rPr>
          <w:rFonts w:asciiTheme="minorHAnsi" w:eastAsiaTheme="minorEastAsia" w:hAnsiTheme="minorHAnsi" w:cstheme="minorHAnsi"/>
          <w:i/>
          <w:iCs/>
        </w:rPr>
        <w:t>Management in Education, 28</w:t>
      </w:r>
      <w:r w:rsidRPr="00F67850">
        <w:rPr>
          <w:rFonts w:asciiTheme="minorHAnsi" w:eastAsiaTheme="minorEastAsia" w:hAnsiTheme="minorHAnsi" w:cstheme="minorHAnsi"/>
        </w:rPr>
        <w:t xml:space="preserve">(4), 175-179). </w:t>
      </w:r>
      <w:r w:rsidR="120913F3" w:rsidRPr="00F67850">
        <w:rPr>
          <w:rFonts w:asciiTheme="minorHAnsi" w:eastAsiaTheme="minorEastAsia" w:hAnsiTheme="minorHAnsi" w:cstheme="minorHAnsi"/>
        </w:rPr>
        <w:t>https://doi.org/10.1177%2F0892020614550469</w:t>
      </w:r>
    </w:p>
    <w:p w14:paraId="0A45397E" w14:textId="3AF80D7A" w:rsidR="16A55139" w:rsidRPr="00F67850" w:rsidRDefault="2BB33DB7"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Kenny, A., &amp; Morrissey, D. (2021). Negotiating teacher-artist identities: “Disturbance” through partnership. </w:t>
      </w:r>
      <w:r w:rsidRPr="00F67850">
        <w:rPr>
          <w:rFonts w:asciiTheme="minorHAnsi" w:eastAsiaTheme="minorEastAsia" w:hAnsiTheme="minorHAnsi" w:cstheme="minorHAnsi"/>
          <w:i/>
          <w:iCs/>
        </w:rPr>
        <w:t>Arts Education Policy Review</w:t>
      </w:r>
      <w:r w:rsidRPr="00F67850">
        <w:rPr>
          <w:rFonts w:asciiTheme="minorHAnsi" w:eastAsiaTheme="minorEastAsia" w:hAnsiTheme="minorHAnsi" w:cstheme="minorHAnsi"/>
        </w:rPr>
        <w:t>, 122(2), 93-100. DOI:</w:t>
      </w:r>
      <w:r w:rsidR="18B22091" w:rsidRPr="00F67850">
        <w:rPr>
          <w:rFonts w:asciiTheme="minorHAnsi" w:hAnsiTheme="minorHAnsi" w:cstheme="minorHAnsi"/>
        </w:rPr>
        <w:br/>
      </w:r>
      <w:r w:rsidRPr="00F67850">
        <w:rPr>
          <w:rFonts w:asciiTheme="minorHAnsi" w:eastAsiaTheme="minorEastAsia" w:hAnsiTheme="minorHAnsi" w:cstheme="minorHAnsi"/>
        </w:rPr>
        <w:t>10.1080/10632913.2020.1744052</w:t>
      </w:r>
    </w:p>
    <w:p w14:paraId="4186B9B3" w14:textId="1A989B53" w:rsidR="6774A0D9" w:rsidRPr="00F67850" w:rsidRDefault="0FFA0922"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Kind, S., de </w:t>
      </w:r>
      <w:proofErr w:type="spellStart"/>
      <w:r w:rsidRPr="00F67850">
        <w:rPr>
          <w:rFonts w:asciiTheme="minorHAnsi" w:eastAsiaTheme="minorEastAsia" w:hAnsiTheme="minorHAnsi" w:cstheme="minorHAnsi"/>
        </w:rPr>
        <w:t>Cosson</w:t>
      </w:r>
      <w:proofErr w:type="spellEnd"/>
      <w:r w:rsidRPr="00F67850">
        <w:rPr>
          <w:rFonts w:asciiTheme="minorHAnsi" w:eastAsiaTheme="minorEastAsia" w:hAnsiTheme="minorHAnsi" w:cstheme="minorHAnsi"/>
        </w:rPr>
        <w:t xml:space="preserve">, A., Irwin, R. L., &amp; </w:t>
      </w:r>
      <w:proofErr w:type="spellStart"/>
      <w:r w:rsidRPr="00F67850">
        <w:rPr>
          <w:rFonts w:asciiTheme="minorHAnsi" w:eastAsiaTheme="minorEastAsia" w:hAnsiTheme="minorHAnsi" w:cstheme="minorHAnsi"/>
        </w:rPr>
        <w:t>Grauer</w:t>
      </w:r>
      <w:proofErr w:type="spellEnd"/>
      <w:r w:rsidRPr="00F67850">
        <w:rPr>
          <w:rFonts w:asciiTheme="minorHAnsi" w:eastAsiaTheme="minorEastAsia" w:hAnsiTheme="minorHAnsi" w:cstheme="minorHAnsi"/>
        </w:rPr>
        <w:t xml:space="preserve">, K. (2007). Artist-Teacher partnerships in learning: The in/between spaces of artist teacher professional development. </w:t>
      </w:r>
      <w:r w:rsidRPr="00F67850">
        <w:rPr>
          <w:rFonts w:asciiTheme="minorHAnsi" w:eastAsiaTheme="minorEastAsia" w:hAnsiTheme="minorHAnsi" w:cstheme="minorHAnsi"/>
          <w:i/>
          <w:iCs/>
        </w:rPr>
        <w:t>Canadian Journal of Education, 30</w:t>
      </w:r>
      <w:r w:rsidRPr="00F67850">
        <w:rPr>
          <w:rFonts w:asciiTheme="minorHAnsi" w:eastAsiaTheme="minorEastAsia" w:hAnsiTheme="minorHAnsi" w:cstheme="minorHAnsi"/>
        </w:rPr>
        <w:t>(3), 839-864.</w:t>
      </w:r>
    </w:p>
    <w:p w14:paraId="5DFE28B7" w14:textId="286BB6BB" w:rsidR="16A55139" w:rsidRPr="00F67850" w:rsidRDefault="697272A6"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Kindler, A. M. (1996). Myths, habits, research, and policy: The four pillars of early childhood art education. </w:t>
      </w:r>
      <w:r w:rsidRPr="00F67850">
        <w:rPr>
          <w:rFonts w:asciiTheme="minorHAnsi" w:eastAsiaTheme="minorEastAsia" w:hAnsiTheme="minorHAnsi" w:cstheme="minorHAnsi"/>
          <w:i/>
          <w:iCs/>
        </w:rPr>
        <w:t>Arts Education Policy Review, 97</w:t>
      </w:r>
      <w:r w:rsidRPr="00F67850">
        <w:rPr>
          <w:rFonts w:asciiTheme="minorHAnsi" w:eastAsiaTheme="minorEastAsia" w:hAnsiTheme="minorHAnsi" w:cstheme="minorHAnsi"/>
        </w:rPr>
        <w:t>(4), 24–30.</w:t>
      </w:r>
    </w:p>
    <w:p w14:paraId="5A487E5A" w14:textId="6733460C" w:rsidR="681C78EE" w:rsidRPr="00F67850" w:rsidRDefault="27558EAB" w:rsidP="120913F3">
      <w:pPr>
        <w:spacing w:after="120" w:line="360" w:lineRule="auto"/>
        <w:ind w:left="709" w:hanging="709"/>
        <w:rPr>
          <w:rFonts w:asciiTheme="minorHAnsi" w:eastAsiaTheme="minorEastAsia" w:hAnsiTheme="minorHAnsi" w:cstheme="minorHAnsi"/>
          <w:color w:val="3A3A3A"/>
        </w:rPr>
      </w:pPr>
      <w:r w:rsidRPr="00F67850">
        <w:rPr>
          <w:rFonts w:asciiTheme="minorHAnsi" w:eastAsiaTheme="minorEastAsia" w:hAnsiTheme="minorHAnsi" w:cstheme="minorHAnsi"/>
        </w:rPr>
        <w:t xml:space="preserve">Klopper, C., &amp; Power, B. (2010). Illuminating the gap: An overview of classroom-based arts education research in Australia. </w:t>
      </w:r>
      <w:r w:rsidRPr="00F67850">
        <w:rPr>
          <w:rFonts w:asciiTheme="minorHAnsi" w:eastAsiaTheme="minorEastAsia" w:hAnsiTheme="minorHAnsi" w:cstheme="minorHAnsi"/>
          <w:i/>
          <w:iCs/>
        </w:rPr>
        <w:t>International Journal of Education through Art</w:t>
      </w:r>
      <w:r w:rsidRPr="00F67850">
        <w:rPr>
          <w:rFonts w:asciiTheme="minorHAnsi" w:eastAsiaTheme="minorEastAsia" w:hAnsiTheme="minorHAnsi" w:cstheme="minorHAnsi"/>
        </w:rPr>
        <w:t xml:space="preserve">, 6(3), 293-308. </w:t>
      </w:r>
      <w:r w:rsidR="2BB33DB7" w:rsidRPr="00F67850">
        <w:rPr>
          <w:rFonts w:asciiTheme="minorHAnsi" w:eastAsiaTheme="minorEastAsia" w:hAnsiTheme="minorHAnsi" w:cstheme="minorHAnsi"/>
        </w:rPr>
        <w:t>https://doi.org/</w:t>
      </w:r>
      <w:r w:rsidR="6FE995B1" w:rsidRPr="00F67850">
        <w:rPr>
          <w:rFonts w:asciiTheme="minorHAnsi" w:eastAsiaTheme="minorEastAsia" w:hAnsiTheme="minorHAnsi" w:cstheme="minorHAnsi"/>
          <w:color w:val="3A3A3A"/>
        </w:rPr>
        <w:t>10.1386/eta.6.3.293_1</w:t>
      </w:r>
    </w:p>
    <w:p w14:paraId="4EAA6CCA" w14:textId="034D37C6" w:rsidR="16A55139" w:rsidRPr="00F67850" w:rsidRDefault="2BB33DB7" w:rsidP="120913F3">
      <w:pPr>
        <w:spacing w:after="120" w:line="360" w:lineRule="auto"/>
        <w:ind w:left="720" w:hanging="720"/>
        <w:rPr>
          <w:rFonts w:asciiTheme="minorHAnsi" w:eastAsiaTheme="minorEastAsia" w:hAnsiTheme="minorHAnsi" w:cstheme="minorHAnsi"/>
        </w:rPr>
      </w:pPr>
      <w:r w:rsidRPr="00F67850">
        <w:rPr>
          <w:rFonts w:asciiTheme="minorHAnsi" w:eastAsiaTheme="minorEastAsia" w:hAnsiTheme="minorHAnsi" w:cstheme="minorHAnsi"/>
        </w:rPr>
        <w:t>Lindsay, G. (2017).</w:t>
      </w:r>
      <w:r w:rsidRPr="00F67850">
        <w:rPr>
          <w:rFonts w:asciiTheme="minorHAnsi" w:eastAsiaTheme="minorEastAsia" w:hAnsiTheme="minorHAnsi" w:cstheme="minorHAnsi"/>
          <w:b/>
          <w:bCs/>
        </w:rPr>
        <w:t xml:space="preserve"> </w:t>
      </w:r>
      <w:r w:rsidRPr="00F67850">
        <w:rPr>
          <w:rFonts w:asciiTheme="minorHAnsi" w:eastAsiaTheme="minorEastAsia" w:hAnsiTheme="minorHAnsi" w:cstheme="minorHAnsi"/>
          <w:i/>
          <w:iCs/>
        </w:rPr>
        <w:t xml:space="preserve">Art is Experience: An Exploration of the Visual Arts Beliefs and Pedagogy of Australian Early Childhood Educators. </w:t>
      </w:r>
      <w:r w:rsidRPr="00F67850">
        <w:rPr>
          <w:rFonts w:asciiTheme="minorHAnsi" w:eastAsiaTheme="minorEastAsia" w:hAnsiTheme="minorHAnsi" w:cstheme="minorHAnsi"/>
        </w:rPr>
        <w:t xml:space="preserve">(Doctoral Dissertation). </w:t>
      </w:r>
      <w:r w:rsidRPr="00F67850">
        <w:rPr>
          <w:rFonts w:asciiTheme="minorHAnsi" w:eastAsiaTheme="minorEastAsia" w:hAnsiTheme="minorHAnsi" w:cstheme="minorHAnsi"/>
          <w:b/>
          <w:bCs/>
        </w:rPr>
        <w:t xml:space="preserve"> </w:t>
      </w:r>
      <w:r w:rsidRPr="00F67850">
        <w:rPr>
          <w:rFonts w:asciiTheme="minorHAnsi" w:eastAsiaTheme="minorEastAsia" w:hAnsiTheme="minorHAnsi" w:cstheme="minorHAnsi"/>
        </w:rPr>
        <w:t>https://ro.uow.edu.au/theses1/170/</w:t>
      </w:r>
    </w:p>
    <w:p w14:paraId="1066DF3B" w14:textId="21BD4D70" w:rsidR="16A55139" w:rsidRPr="00F67850" w:rsidRDefault="2BB33DB7" w:rsidP="120913F3">
      <w:pPr>
        <w:spacing w:after="120" w:line="360" w:lineRule="auto"/>
        <w:ind w:left="720" w:hanging="720"/>
        <w:rPr>
          <w:rFonts w:asciiTheme="minorHAnsi" w:eastAsiaTheme="minorEastAsia" w:hAnsiTheme="minorHAnsi" w:cstheme="minorHAnsi"/>
          <w:b/>
          <w:bCs/>
        </w:rPr>
      </w:pPr>
      <w:r w:rsidRPr="00F67850">
        <w:rPr>
          <w:rFonts w:asciiTheme="minorHAnsi" w:eastAsiaTheme="minorEastAsia" w:hAnsiTheme="minorHAnsi" w:cstheme="minorHAnsi"/>
        </w:rPr>
        <w:t xml:space="preserve">Lindsay, G. (2016). Do visual art experiences in early childhood settings foster educative growth or stagnation? </w:t>
      </w:r>
      <w:r w:rsidRPr="00F67850">
        <w:rPr>
          <w:rFonts w:asciiTheme="minorHAnsi" w:eastAsiaTheme="minorEastAsia" w:hAnsiTheme="minorHAnsi" w:cstheme="minorHAnsi"/>
          <w:i/>
          <w:iCs/>
        </w:rPr>
        <w:t>International Art in Early Childhood Research Journal, 5</w:t>
      </w:r>
      <w:r w:rsidRPr="00F67850">
        <w:rPr>
          <w:rFonts w:asciiTheme="minorHAnsi" w:eastAsiaTheme="minorEastAsia" w:hAnsiTheme="minorHAnsi" w:cstheme="minorHAnsi"/>
        </w:rPr>
        <w:t xml:space="preserve">(1), 1-14. </w:t>
      </w:r>
    </w:p>
    <w:p w14:paraId="3FAF9DB3" w14:textId="484F9A4F" w:rsidR="16A55139" w:rsidRPr="00F67850" w:rsidRDefault="2BB33DB7" w:rsidP="120913F3">
      <w:pPr>
        <w:spacing w:after="120" w:line="360" w:lineRule="auto"/>
        <w:ind w:left="720" w:hanging="720"/>
        <w:rPr>
          <w:rFonts w:asciiTheme="minorHAnsi" w:eastAsiaTheme="minorEastAsia" w:hAnsiTheme="minorHAnsi" w:cstheme="minorHAnsi"/>
        </w:rPr>
      </w:pPr>
      <w:r w:rsidRPr="00F67850">
        <w:rPr>
          <w:rFonts w:asciiTheme="minorHAnsi" w:eastAsiaTheme="minorEastAsia" w:hAnsiTheme="minorHAnsi" w:cstheme="minorHAnsi"/>
        </w:rPr>
        <w:t xml:space="preserve">Lindsay, G. (2021). Visual Arts Pedagogy in Early Childhood Contexts: The baggage of self-efficacy beliefs, pedagogical knowledge and limited pre-service training. </w:t>
      </w:r>
      <w:r w:rsidRPr="00F67850">
        <w:rPr>
          <w:rFonts w:asciiTheme="minorHAnsi" w:eastAsiaTheme="minorEastAsia" w:hAnsiTheme="minorHAnsi" w:cstheme="minorHAnsi"/>
          <w:i/>
          <w:iCs/>
        </w:rPr>
        <w:t xml:space="preserve">Australasian </w:t>
      </w:r>
      <w:r w:rsidRPr="00F67850">
        <w:rPr>
          <w:rFonts w:asciiTheme="minorHAnsi" w:eastAsiaTheme="minorEastAsia" w:hAnsiTheme="minorHAnsi" w:cstheme="minorHAnsi"/>
          <w:i/>
          <w:iCs/>
        </w:rPr>
        <w:lastRenderedPageBreak/>
        <w:t xml:space="preserve">Journal of Early Childhood. 41(6). </w:t>
      </w:r>
      <w:r w:rsidRPr="00F67850">
        <w:rPr>
          <w:rFonts w:asciiTheme="minorHAnsi" w:eastAsiaTheme="minorEastAsia" w:hAnsiTheme="minorHAnsi" w:cstheme="minorHAnsi"/>
        </w:rPr>
        <w:t>80-92. https://doi.org/10.1177/1836939120979061</w:t>
      </w:r>
    </w:p>
    <w:p w14:paraId="15342DD3" w14:textId="27227104" w:rsidR="16A55139" w:rsidRPr="00F67850" w:rsidRDefault="3ADAA2F2" w:rsidP="120913F3">
      <w:pPr>
        <w:spacing w:after="120" w:line="360" w:lineRule="auto"/>
        <w:ind w:left="720" w:hanging="720"/>
        <w:rPr>
          <w:rFonts w:asciiTheme="minorHAnsi" w:eastAsiaTheme="minorEastAsia" w:hAnsiTheme="minorHAnsi" w:cstheme="minorHAnsi"/>
          <w:color w:val="222222"/>
        </w:rPr>
      </w:pPr>
      <w:r w:rsidRPr="00F67850">
        <w:rPr>
          <w:rFonts w:asciiTheme="minorHAnsi" w:eastAsiaTheme="minorEastAsia" w:hAnsiTheme="minorHAnsi" w:cstheme="minorHAnsi"/>
          <w:color w:val="222222"/>
        </w:rPr>
        <w:t xml:space="preserve">Lummis, G. W., Morris, J., &amp; </w:t>
      </w:r>
      <w:proofErr w:type="spellStart"/>
      <w:r w:rsidRPr="00F67850">
        <w:rPr>
          <w:rFonts w:asciiTheme="minorHAnsi" w:eastAsiaTheme="minorEastAsia" w:hAnsiTheme="minorHAnsi" w:cstheme="minorHAnsi"/>
          <w:color w:val="222222"/>
        </w:rPr>
        <w:t>Paolino</w:t>
      </w:r>
      <w:proofErr w:type="spellEnd"/>
      <w:r w:rsidRPr="00F67850">
        <w:rPr>
          <w:rFonts w:asciiTheme="minorHAnsi" w:eastAsiaTheme="minorEastAsia" w:hAnsiTheme="minorHAnsi" w:cstheme="minorHAnsi"/>
          <w:color w:val="222222"/>
        </w:rPr>
        <w:t xml:space="preserve">, A. (2014). An investigation of Western Australian pre-service primary teachers' experiences and self-efficacy in The Arts. </w:t>
      </w:r>
      <w:r w:rsidRPr="00F67850">
        <w:rPr>
          <w:rFonts w:asciiTheme="minorHAnsi" w:eastAsiaTheme="minorEastAsia" w:hAnsiTheme="minorHAnsi" w:cstheme="minorHAnsi"/>
          <w:i/>
          <w:iCs/>
          <w:color w:val="222222"/>
        </w:rPr>
        <w:t>Australian Journal of Teacher Education</w:t>
      </w:r>
      <w:r w:rsidRPr="00F67850">
        <w:rPr>
          <w:rFonts w:asciiTheme="minorHAnsi" w:eastAsiaTheme="minorEastAsia" w:hAnsiTheme="minorHAnsi" w:cstheme="minorHAnsi"/>
          <w:color w:val="222222"/>
        </w:rPr>
        <w:t xml:space="preserve">, </w:t>
      </w:r>
      <w:r w:rsidRPr="00F67850">
        <w:rPr>
          <w:rFonts w:asciiTheme="minorHAnsi" w:eastAsiaTheme="minorEastAsia" w:hAnsiTheme="minorHAnsi" w:cstheme="minorHAnsi"/>
          <w:i/>
          <w:iCs/>
          <w:color w:val="222222"/>
        </w:rPr>
        <w:t>39</w:t>
      </w:r>
      <w:r w:rsidRPr="00F67850">
        <w:rPr>
          <w:rFonts w:asciiTheme="minorHAnsi" w:eastAsiaTheme="minorEastAsia" w:hAnsiTheme="minorHAnsi" w:cstheme="minorHAnsi"/>
          <w:color w:val="222222"/>
        </w:rPr>
        <w:t>(5), 50-64.</w:t>
      </w:r>
    </w:p>
    <w:p w14:paraId="58AEFBF4" w14:textId="1F14A249" w:rsidR="16A55139" w:rsidRPr="00F67850" w:rsidRDefault="3827A396"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McArdle, F. (2012). New maps for learning for quality art education: What pre-service teachers should learn and be able to do. </w:t>
      </w:r>
      <w:r w:rsidRPr="00F67850">
        <w:rPr>
          <w:rFonts w:asciiTheme="minorHAnsi" w:eastAsiaTheme="minorEastAsia" w:hAnsiTheme="minorHAnsi" w:cstheme="minorHAnsi"/>
          <w:i/>
          <w:iCs/>
        </w:rPr>
        <w:t>Australian Educational Researcher, 39</w:t>
      </w:r>
      <w:r w:rsidRPr="00F67850">
        <w:rPr>
          <w:rFonts w:asciiTheme="minorHAnsi" w:eastAsiaTheme="minorEastAsia" w:hAnsiTheme="minorHAnsi" w:cstheme="minorHAnsi"/>
        </w:rPr>
        <w:t>(1), 91–106.</w:t>
      </w:r>
      <w:r w:rsidR="1D9B3E4B" w:rsidRPr="00F67850">
        <w:rPr>
          <w:rFonts w:asciiTheme="minorHAnsi" w:eastAsiaTheme="minorEastAsia" w:hAnsiTheme="minorHAnsi" w:cstheme="minorHAnsi"/>
        </w:rPr>
        <w:t xml:space="preserve"> </w:t>
      </w:r>
      <w:r w:rsidR="2BB33DB7" w:rsidRPr="00F67850">
        <w:rPr>
          <w:rFonts w:asciiTheme="minorHAnsi" w:eastAsiaTheme="minorEastAsia" w:hAnsiTheme="minorHAnsi" w:cstheme="minorHAnsi"/>
        </w:rPr>
        <w:t>https://doi.org/10.1007/s13384-012-0051-2</w:t>
      </w:r>
    </w:p>
    <w:p w14:paraId="3AA4644C" w14:textId="36D9BF9B" w:rsidR="16A55139" w:rsidRPr="00F67850" w:rsidRDefault="3827A396"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McArdle, F. (2016). “Art education” in the early years: Learning about, through and with art. </w:t>
      </w:r>
      <w:r w:rsidRPr="00F67850">
        <w:rPr>
          <w:rFonts w:asciiTheme="minorHAnsi" w:eastAsiaTheme="minorEastAsia" w:hAnsiTheme="minorHAnsi" w:cstheme="minorHAnsi"/>
          <w:i/>
          <w:iCs/>
        </w:rPr>
        <w:t>International</w:t>
      </w:r>
      <w:r w:rsidRPr="00F67850">
        <w:rPr>
          <w:rFonts w:asciiTheme="minorHAnsi" w:eastAsiaTheme="minorEastAsia" w:hAnsiTheme="minorHAnsi" w:cstheme="minorHAnsi"/>
        </w:rPr>
        <w:t xml:space="preserve"> </w:t>
      </w:r>
      <w:r w:rsidRPr="00F67850">
        <w:rPr>
          <w:rFonts w:asciiTheme="minorHAnsi" w:eastAsiaTheme="minorEastAsia" w:hAnsiTheme="minorHAnsi" w:cstheme="minorHAnsi"/>
          <w:i/>
          <w:iCs/>
        </w:rPr>
        <w:t>Art in Early Childhood Research Journal, 5</w:t>
      </w:r>
      <w:r w:rsidRPr="00F67850">
        <w:rPr>
          <w:rFonts w:asciiTheme="minorHAnsi" w:eastAsiaTheme="minorEastAsia" w:hAnsiTheme="minorHAnsi" w:cstheme="minorHAnsi"/>
        </w:rPr>
        <w:t xml:space="preserve">(1), 1–15. </w:t>
      </w:r>
    </w:p>
    <w:p w14:paraId="6A2CBD49" w14:textId="7E14B797" w:rsidR="16A55139" w:rsidRPr="00F67850" w:rsidRDefault="697272A6" w:rsidP="120913F3">
      <w:pPr>
        <w:spacing w:after="120" w:line="360" w:lineRule="auto"/>
        <w:rPr>
          <w:rFonts w:asciiTheme="minorHAnsi" w:eastAsiaTheme="minorEastAsia" w:hAnsiTheme="minorHAnsi" w:cstheme="minorHAnsi"/>
          <w:color w:val="222222"/>
        </w:rPr>
      </w:pPr>
      <w:proofErr w:type="spellStart"/>
      <w:r w:rsidRPr="00F67850">
        <w:rPr>
          <w:rFonts w:asciiTheme="minorHAnsi" w:eastAsiaTheme="minorEastAsia" w:hAnsiTheme="minorHAnsi" w:cstheme="minorHAnsi"/>
        </w:rPr>
        <w:t>Moilanen</w:t>
      </w:r>
      <w:proofErr w:type="spellEnd"/>
      <w:r w:rsidRPr="00F67850">
        <w:rPr>
          <w:rFonts w:asciiTheme="minorHAnsi" w:eastAsiaTheme="minorEastAsia" w:hAnsiTheme="minorHAnsi" w:cstheme="minorHAnsi"/>
        </w:rPr>
        <w:t xml:space="preserve">, J. H., &amp; </w:t>
      </w:r>
      <w:proofErr w:type="spellStart"/>
      <w:r w:rsidRPr="00F67850">
        <w:rPr>
          <w:rFonts w:asciiTheme="minorHAnsi" w:eastAsiaTheme="minorEastAsia" w:hAnsiTheme="minorHAnsi" w:cstheme="minorHAnsi"/>
        </w:rPr>
        <w:t>Mertala</w:t>
      </w:r>
      <w:proofErr w:type="spellEnd"/>
      <w:r w:rsidRPr="00F67850">
        <w:rPr>
          <w:rFonts w:asciiTheme="minorHAnsi" w:eastAsiaTheme="minorEastAsia" w:hAnsiTheme="minorHAnsi" w:cstheme="minorHAnsi"/>
        </w:rPr>
        <w:t xml:space="preserve">, P. O. (2020). The Meaningful Memories of Visual Arts Education </w:t>
      </w:r>
      <w:r w:rsidR="3B95BC7D" w:rsidRPr="00F67850">
        <w:rPr>
          <w:rFonts w:asciiTheme="minorHAnsi" w:hAnsiTheme="minorHAnsi" w:cstheme="minorHAnsi"/>
        </w:rPr>
        <w:br/>
      </w:r>
      <w:r w:rsidRPr="00F67850">
        <w:rPr>
          <w:rFonts w:asciiTheme="minorHAnsi" w:eastAsiaTheme="minorEastAsia" w:hAnsiTheme="minorHAnsi" w:cstheme="minorHAnsi"/>
        </w:rPr>
        <w:t xml:space="preserve">            for Preservice Generalist Teachers: What is Remembered, </w:t>
      </w:r>
      <w:proofErr w:type="gramStart"/>
      <w:r w:rsidRPr="00F67850">
        <w:rPr>
          <w:rFonts w:asciiTheme="minorHAnsi" w:eastAsiaTheme="minorEastAsia" w:hAnsiTheme="minorHAnsi" w:cstheme="minorHAnsi"/>
        </w:rPr>
        <w:t>Why</w:t>
      </w:r>
      <w:proofErr w:type="gramEnd"/>
      <w:r w:rsidRPr="00F67850">
        <w:rPr>
          <w:rFonts w:asciiTheme="minorHAnsi" w:eastAsiaTheme="minorEastAsia" w:hAnsiTheme="minorHAnsi" w:cstheme="minorHAnsi"/>
        </w:rPr>
        <w:t xml:space="preserve">, and from </w:t>
      </w:r>
      <w:r w:rsidR="3B95BC7D" w:rsidRPr="00F67850">
        <w:rPr>
          <w:rFonts w:asciiTheme="minorHAnsi" w:hAnsiTheme="minorHAnsi" w:cstheme="minorHAnsi"/>
        </w:rPr>
        <w:br/>
      </w:r>
      <w:r w:rsidRPr="00F67850">
        <w:rPr>
          <w:rFonts w:asciiTheme="minorHAnsi" w:eastAsiaTheme="minorEastAsia" w:hAnsiTheme="minorHAnsi" w:cstheme="minorHAnsi"/>
        </w:rPr>
        <w:t xml:space="preserve">            Where? </w:t>
      </w:r>
      <w:r w:rsidRPr="00F67850">
        <w:rPr>
          <w:rFonts w:asciiTheme="minorHAnsi" w:eastAsiaTheme="minorEastAsia" w:hAnsiTheme="minorHAnsi" w:cstheme="minorHAnsi"/>
          <w:i/>
          <w:iCs/>
        </w:rPr>
        <w:t>International</w:t>
      </w:r>
      <w:r w:rsidRPr="00F67850">
        <w:rPr>
          <w:rFonts w:asciiTheme="minorHAnsi" w:eastAsiaTheme="minorEastAsia" w:hAnsiTheme="minorHAnsi" w:cstheme="minorHAnsi"/>
          <w:i/>
          <w:iCs/>
          <w:color w:val="222222"/>
        </w:rPr>
        <w:t xml:space="preserve"> Journal of Education &amp; the Arts</w:t>
      </w:r>
      <w:r w:rsidRPr="00F67850">
        <w:rPr>
          <w:rFonts w:asciiTheme="minorHAnsi" w:eastAsiaTheme="minorEastAsia" w:hAnsiTheme="minorHAnsi" w:cstheme="minorHAnsi"/>
          <w:color w:val="222222"/>
        </w:rPr>
        <w:t xml:space="preserve">, </w:t>
      </w:r>
      <w:r w:rsidRPr="00F67850">
        <w:rPr>
          <w:rFonts w:asciiTheme="minorHAnsi" w:eastAsiaTheme="minorEastAsia" w:hAnsiTheme="minorHAnsi" w:cstheme="minorHAnsi"/>
          <w:i/>
          <w:iCs/>
          <w:color w:val="222222"/>
        </w:rPr>
        <w:t>21</w:t>
      </w:r>
      <w:r w:rsidRPr="00F67850">
        <w:rPr>
          <w:rFonts w:asciiTheme="minorHAnsi" w:eastAsiaTheme="minorEastAsia" w:hAnsiTheme="minorHAnsi" w:cstheme="minorHAnsi"/>
          <w:color w:val="222222"/>
        </w:rPr>
        <w:t>(12), 1-24.</w:t>
      </w:r>
    </w:p>
    <w:p w14:paraId="1FFB7DE0" w14:textId="26055E48" w:rsidR="681C78EE" w:rsidRPr="00F67850" w:rsidRDefault="27558EAB" w:rsidP="120913F3">
      <w:pPr>
        <w:spacing w:after="120" w:line="360" w:lineRule="auto"/>
        <w:ind w:left="720" w:hanging="720"/>
        <w:rPr>
          <w:rFonts w:asciiTheme="minorHAnsi" w:eastAsiaTheme="minorEastAsia" w:hAnsiTheme="minorHAnsi" w:cstheme="minorHAnsi"/>
          <w:color w:val="222222"/>
        </w:rPr>
      </w:pPr>
      <w:r w:rsidRPr="00F67850">
        <w:rPr>
          <w:rFonts w:asciiTheme="minorHAnsi" w:eastAsiaTheme="minorEastAsia" w:hAnsiTheme="minorHAnsi" w:cstheme="minorHAnsi"/>
          <w:color w:val="222222"/>
        </w:rPr>
        <w:t xml:space="preserve">Nolan, A., &amp; Molla, T. (2016). Teacher professional learning in Early Childhood education: Insights from a mentoring program. </w:t>
      </w:r>
      <w:r w:rsidRPr="00F67850">
        <w:rPr>
          <w:rFonts w:asciiTheme="minorHAnsi" w:eastAsiaTheme="minorEastAsia" w:hAnsiTheme="minorHAnsi" w:cstheme="minorHAnsi"/>
          <w:i/>
          <w:iCs/>
          <w:color w:val="222222"/>
        </w:rPr>
        <w:t>Early Years</w:t>
      </w:r>
      <w:r w:rsidRPr="00F67850">
        <w:rPr>
          <w:rFonts w:asciiTheme="minorHAnsi" w:eastAsiaTheme="minorEastAsia" w:hAnsiTheme="minorHAnsi" w:cstheme="minorHAnsi"/>
          <w:color w:val="222222"/>
        </w:rPr>
        <w:t xml:space="preserve">, 1-13. </w:t>
      </w:r>
      <w:r w:rsidR="6FE995B1" w:rsidRPr="00F67850">
        <w:rPr>
          <w:rFonts w:asciiTheme="minorHAnsi" w:eastAsiaTheme="minorEastAsia" w:hAnsiTheme="minorHAnsi" w:cstheme="minorHAnsi"/>
          <w:color w:val="222222"/>
        </w:rPr>
        <w:t xml:space="preserve"> </w:t>
      </w:r>
      <w:r w:rsidR="2BB33DB7" w:rsidRPr="00F67850">
        <w:rPr>
          <w:rFonts w:asciiTheme="minorHAnsi" w:eastAsiaTheme="minorEastAsia" w:hAnsiTheme="minorHAnsi" w:cstheme="minorHAnsi"/>
        </w:rPr>
        <w:t>https://doi.org/</w:t>
      </w:r>
      <w:r w:rsidRPr="00F67850">
        <w:rPr>
          <w:rFonts w:asciiTheme="minorHAnsi" w:eastAsiaTheme="minorEastAsia" w:hAnsiTheme="minorHAnsi" w:cstheme="minorHAnsi"/>
          <w:color w:val="222222"/>
        </w:rPr>
        <w:t>10.1080/09575146.2016.1259212</w:t>
      </w:r>
    </w:p>
    <w:p w14:paraId="0454A71E" w14:textId="7AC5B8C0" w:rsidR="120913F3" w:rsidRPr="00F67850" w:rsidRDefault="120913F3" w:rsidP="120913F3">
      <w:pPr>
        <w:spacing w:after="120" w:line="360" w:lineRule="auto"/>
        <w:ind w:left="709" w:hanging="709"/>
        <w:rPr>
          <w:rFonts w:asciiTheme="minorHAnsi" w:hAnsiTheme="minorHAnsi" w:cstheme="minorHAnsi"/>
        </w:rPr>
      </w:pPr>
      <w:proofErr w:type="spellStart"/>
      <w:r w:rsidRPr="00F67850">
        <w:rPr>
          <w:rFonts w:asciiTheme="minorHAnsi" w:eastAsia="Calibri" w:hAnsiTheme="minorHAnsi" w:cstheme="minorHAnsi"/>
        </w:rPr>
        <w:t>Pajares</w:t>
      </w:r>
      <w:proofErr w:type="spellEnd"/>
      <w:r w:rsidRPr="00F67850">
        <w:rPr>
          <w:rFonts w:asciiTheme="minorHAnsi" w:eastAsia="Calibri" w:hAnsiTheme="minorHAnsi" w:cstheme="minorHAnsi"/>
        </w:rPr>
        <w:t xml:space="preserve">, M. F. (2011). Teachers' Beliefs and Educational Research: Cleaning up a Messy Construct. </w:t>
      </w:r>
      <w:r w:rsidRPr="00F67850">
        <w:rPr>
          <w:rFonts w:asciiTheme="minorHAnsi" w:eastAsia="Calibri" w:hAnsiTheme="minorHAnsi" w:cstheme="minorHAnsi"/>
          <w:i/>
          <w:iCs/>
        </w:rPr>
        <w:t>Review of Educational Research, 62</w:t>
      </w:r>
      <w:r w:rsidRPr="00F67850">
        <w:rPr>
          <w:rFonts w:asciiTheme="minorHAnsi" w:eastAsia="Calibri" w:hAnsiTheme="minorHAnsi" w:cstheme="minorHAnsi"/>
        </w:rPr>
        <w:t>(3), 307-332.</w:t>
      </w:r>
    </w:p>
    <w:p w14:paraId="2AE8CE1A" w14:textId="3C5CE9B8" w:rsidR="18B22091" w:rsidRPr="00F67850" w:rsidRDefault="2BB33DB7" w:rsidP="120913F3">
      <w:pPr>
        <w:spacing w:after="120" w:line="360" w:lineRule="auto"/>
        <w:ind w:left="709" w:hanging="709"/>
        <w:rPr>
          <w:rFonts w:asciiTheme="minorHAnsi" w:eastAsiaTheme="minorEastAsia" w:hAnsiTheme="minorHAnsi" w:cstheme="minorHAnsi"/>
          <w:color w:val="auto"/>
        </w:rPr>
      </w:pPr>
      <w:proofErr w:type="spellStart"/>
      <w:r w:rsidRPr="00F67850">
        <w:rPr>
          <w:rFonts w:asciiTheme="minorHAnsi" w:eastAsiaTheme="minorEastAsia" w:hAnsiTheme="minorHAnsi" w:cstheme="minorHAnsi"/>
          <w:color w:val="auto"/>
        </w:rPr>
        <w:t>Pavlou</w:t>
      </w:r>
      <w:proofErr w:type="spellEnd"/>
      <w:r w:rsidRPr="00F67850">
        <w:rPr>
          <w:rFonts w:asciiTheme="minorHAnsi" w:eastAsiaTheme="minorEastAsia" w:hAnsiTheme="minorHAnsi" w:cstheme="minorHAnsi"/>
          <w:color w:val="auto"/>
        </w:rPr>
        <w:t xml:space="preserve">, V. (2021). Reflective visual journals as a means for promoting generalist preservice teachers’ professional identity in art education. </w:t>
      </w:r>
      <w:r w:rsidRPr="00F67850">
        <w:rPr>
          <w:rFonts w:asciiTheme="minorHAnsi" w:eastAsiaTheme="minorEastAsia" w:hAnsiTheme="minorHAnsi" w:cstheme="minorHAnsi"/>
          <w:i/>
          <w:iCs/>
          <w:color w:val="auto"/>
        </w:rPr>
        <w:t>International Journal of Education through Art</w:t>
      </w:r>
      <w:r w:rsidRPr="00F67850">
        <w:rPr>
          <w:rFonts w:asciiTheme="minorHAnsi" w:eastAsiaTheme="minorEastAsia" w:hAnsiTheme="minorHAnsi" w:cstheme="minorHAnsi"/>
          <w:color w:val="auto"/>
        </w:rPr>
        <w:t>, 17(2), 253-270. https://doi.org/10.1386/eta_00064_1</w:t>
      </w:r>
    </w:p>
    <w:p w14:paraId="3209C177" w14:textId="470E0CFB" w:rsidR="16A55139" w:rsidRPr="00F67850" w:rsidRDefault="3827A396" w:rsidP="120913F3">
      <w:pPr>
        <w:spacing w:after="120" w:line="360" w:lineRule="auto"/>
        <w:ind w:left="709" w:hanging="709"/>
        <w:rPr>
          <w:rFonts w:asciiTheme="minorHAnsi" w:eastAsiaTheme="minorEastAsia" w:hAnsiTheme="minorHAnsi" w:cstheme="minorHAnsi"/>
        </w:rPr>
      </w:pPr>
      <w:proofErr w:type="spellStart"/>
      <w:r w:rsidRPr="00F67850">
        <w:rPr>
          <w:rFonts w:asciiTheme="minorHAnsi" w:eastAsiaTheme="minorEastAsia" w:hAnsiTheme="minorHAnsi" w:cstheme="minorHAnsi"/>
        </w:rPr>
        <w:t>Pillen</w:t>
      </w:r>
      <w:proofErr w:type="spellEnd"/>
      <w:r w:rsidRPr="00F67850">
        <w:rPr>
          <w:rFonts w:asciiTheme="minorHAnsi" w:eastAsiaTheme="minorEastAsia" w:hAnsiTheme="minorHAnsi" w:cstheme="minorHAnsi"/>
        </w:rPr>
        <w:t xml:space="preserve">, M. T., Den </w:t>
      </w:r>
      <w:proofErr w:type="spellStart"/>
      <w:r w:rsidRPr="00F67850">
        <w:rPr>
          <w:rFonts w:asciiTheme="minorHAnsi" w:eastAsiaTheme="minorEastAsia" w:hAnsiTheme="minorHAnsi" w:cstheme="minorHAnsi"/>
        </w:rPr>
        <w:t>Brok</w:t>
      </w:r>
      <w:proofErr w:type="spellEnd"/>
      <w:r w:rsidRPr="00F67850">
        <w:rPr>
          <w:rFonts w:asciiTheme="minorHAnsi" w:eastAsiaTheme="minorEastAsia" w:hAnsiTheme="minorHAnsi" w:cstheme="minorHAnsi"/>
        </w:rPr>
        <w:t xml:space="preserve">, P. J., &amp; </w:t>
      </w:r>
      <w:proofErr w:type="spellStart"/>
      <w:r w:rsidRPr="00F67850">
        <w:rPr>
          <w:rFonts w:asciiTheme="minorHAnsi" w:eastAsiaTheme="minorEastAsia" w:hAnsiTheme="minorHAnsi" w:cstheme="minorHAnsi"/>
        </w:rPr>
        <w:t>Beijaard</w:t>
      </w:r>
      <w:proofErr w:type="spellEnd"/>
      <w:r w:rsidRPr="00F67850">
        <w:rPr>
          <w:rFonts w:asciiTheme="minorHAnsi" w:eastAsiaTheme="minorEastAsia" w:hAnsiTheme="minorHAnsi" w:cstheme="minorHAnsi"/>
        </w:rPr>
        <w:t xml:space="preserve">, D. (2013). Profiles and change in beginning teachers' professional identity tensions. </w:t>
      </w:r>
      <w:r w:rsidRPr="00F67850">
        <w:rPr>
          <w:rFonts w:asciiTheme="minorHAnsi" w:eastAsiaTheme="minorEastAsia" w:hAnsiTheme="minorHAnsi" w:cstheme="minorHAnsi"/>
          <w:i/>
          <w:iCs/>
        </w:rPr>
        <w:t>Teaching and Teacher Education, 34</w:t>
      </w:r>
      <w:r w:rsidRPr="00F67850">
        <w:rPr>
          <w:rFonts w:asciiTheme="minorHAnsi" w:eastAsiaTheme="minorEastAsia" w:hAnsiTheme="minorHAnsi" w:cstheme="minorHAnsi"/>
        </w:rPr>
        <w:t xml:space="preserve">, 86–97. </w:t>
      </w:r>
      <w:r w:rsidR="120913F3" w:rsidRPr="00F67850">
        <w:rPr>
          <w:rFonts w:asciiTheme="minorHAnsi" w:eastAsiaTheme="minorEastAsia" w:hAnsiTheme="minorHAnsi" w:cstheme="minorHAnsi"/>
        </w:rPr>
        <w:t>https://doi.org/10.1016/j.tate.2013.04.003</w:t>
      </w:r>
    </w:p>
    <w:p w14:paraId="54C3FDE1" w14:textId="0A7E07F2" w:rsidR="16A55139" w:rsidRPr="00D67BFA" w:rsidRDefault="3827A396" w:rsidP="120913F3">
      <w:pPr>
        <w:spacing w:after="120" w:line="360" w:lineRule="auto"/>
        <w:ind w:left="709" w:hanging="709"/>
        <w:rPr>
          <w:rFonts w:asciiTheme="minorHAnsi" w:eastAsiaTheme="minorEastAsia" w:hAnsiTheme="minorHAnsi" w:cstheme="minorHAnsi"/>
        </w:rPr>
      </w:pPr>
      <w:proofErr w:type="spellStart"/>
      <w:r w:rsidRPr="00D67BFA">
        <w:rPr>
          <w:rFonts w:asciiTheme="minorHAnsi" w:eastAsiaTheme="minorEastAsia" w:hAnsiTheme="minorHAnsi" w:cstheme="minorHAnsi"/>
        </w:rPr>
        <w:t>Probine</w:t>
      </w:r>
      <w:proofErr w:type="spellEnd"/>
      <w:r w:rsidRPr="00D67BFA">
        <w:rPr>
          <w:rFonts w:asciiTheme="minorHAnsi" w:eastAsiaTheme="minorEastAsia" w:hAnsiTheme="minorHAnsi" w:cstheme="minorHAnsi"/>
        </w:rPr>
        <w:t xml:space="preserve">, S. (2020). </w:t>
      </w:r>
      <w:r w:rsidRPr="00D67BFA">
        <w:rPr>
          <w:rFonts w:asciiTheme="minorHAnsi" w:eastAsiaTheme="minorEastAsia" w:hAnsiTheme="minorHAnsi" w:cstheme="minorHAnsi"/>
          <w:i/>
          <w:iCs/>
        </w:rPr>
        <w:t xml:space="preserve">Examining the in-between: Contextual factors on how young children learn through the visual arts </w:t>
      </w:r>
      <w:r w:rsidRPr="00D67BFA">
        <w:rPr>
          <w:rFonts w:asciiTheme="minorHAnsi" w:eastAsiaTheme="minorEastAsia" w:hAnsiTheme="minorHAnsi" w:cstheme="minorHAnsi"/>
        </w:rPr>
        <w:t>(Unpublished doctoral thesis). University of Auckland.</w:t>
      </w:r>
    </w:p>
    <w:p w14:paraId="200379DA" w14:textId="406656BE" w:rsidR="00D67BFA" w:rsidRPr="00D67BFA" w:rsidRDefault="00D67BFA" w:rsidP="120913F3">
      <w:pPr>
        <w:spacing w:after="120" w:line="360" w:lineRule="auto"/>
        <w:ind w:left="709" w:hanging="709"/>
        <w:rPr>
          <w:rFonts w:asciiTheme="minorHAnsi" w:eastAsiaTheme="minorEastAsia" w:hAnsiTheme="minorHAnsi" w:cstheme="minorHAnsi"/>
        </w:rPr>
      </w:pPr>
      <w:proofErr w:type="spellStart"/>
      <w:r w:rsidRPr="00D67BFA">
        <w:rPr>
          <w:rFonts w:asciiTheme="minorHAnsi" w:hAnsiTheme="minorHAnsi" w:cstheme="minorHAnsi"/>
          <w:color w:val="auto"/>
          <w:lang w:val="en-NZ"/>
        </w:rPr>
        <w:t>Probine</w:t>
      </w:r>
      <w:proofErr w:type="spellEnd"/>
      <w:r w:rsidRPr="00D67BFA">
        <w:rPr>
          <w:rFonts w:asciiTheme="minorHAnsi" w:hAnsiTheme="minorHAnsi" w:cstheme="minorHAnsi"/>
          <w:color w:val="auto"/>
          <w:lang w:val="en-NZ"/>
        </w:rPr>
        <w:t xml:space="preserve">, S. (2016). Choosing the good things’: Reconceptualising and reopening discourses surrounding visual arts pedagogies in early childhood education. </w:t>
      </w:r>
      <w:r w:rsidRPr="00D67BFA">
        <w:rPr>
          <w:rFonts w:asciiTheme="minorHAnsi" w:hAnsiTheme="minorHAnsi" w:cstheme="minorHAnsi"/>
          <w:i/>
          <w:iCs/>
          <w:color w:val="auto"/>
          <w:lang w:val="en-NZ"/>
        </w:rPr>
        <w:t>International Art in Early Childhood Research Journal, 5</w:t>
      </w:r>
      <w:r w:rsidRPr="00D67BFA">
        <w:rPr>
          <w:rFonts w:asciiTheme="minorHAnsi" w:hAnsiTheme="minorHAnsi" w:cstheme="minorHAnsi"/>
          <w:color w:val="auto"/>
          <w:lang w:val="en-NZ"/>
        </w:rPr>
        <w:t>(1), 1-11.</w:t>
      </w:r>
    </w:p>
    <w:p w14:paraId="135148E2" w14:textId="066BADC9" w:rsidR="16A55139" w:rsidRPr="00F67850" w:rsidRDefault="697272A6" w:rsidP="120913F3">
      <w:pPr>
        <w:spacing w:after="120" w:line="360" w:lineRule="auto"/>
        <w:ind w:left="709" w:hanging="709"/>
        <w:rPr>
          <w:rFonts w:asciiTheme="minorHAnsi" w:eastAsiaTheme="minorEastAsia" w:hAnsiTheme="minorHAnsi" w:cstheme="minorHAnsi"/>
        </w:rPr>
      </w:pPr>
      <w:r w:rsidRPr="00D67BFA">
        <w:rPr>
          <w:rFonts w:asciiTheme="minorHAnsi" w:eastAsiaTheme="minorEastAsia" w:hAnsiTheme="minorHAnsi" w:cstheme="minorHAnsi"/>
        </w:rPr>
        <w:lastRenderedPageBreak/>
        <w:t xml:space="preserve">Richards, R., &amp; </w:t>
      </w:r>
      <w:proofErr w:type="spellStart"/>
      <w:r w:rsidRPr="00D67BFA">
        <w:rPr>
          <w:rFonts w:asciiTheme="minorHAnsi" w:eastAsiaTheme="minorEastAsia" w:hAnsiTheme="minorHAnsi" w:cstheme="minorHAnsi"/>
        </w:rPr>
        <w:t>Terreni</w:t>
      </w:r>
      <w:proofErr w:type="spellEnd"/>
      <w:r w:rsidRPr="00D67BFA">
        <w:rPr>
          <w:rFonts w:asciiTheme="minorHAnsi" w:eastAsiaTheme="minorEastAsia" w:hAnsiTheme="minorHAnsi" w:cstheme="minorHAnsi"/>
        </w:rPr>
        <w:t>, L. (2013). Actively</w:t>
      </w:r>
      <w:r w:rsidRPr="00F67850">
        <w:rPr>
          <w:rFonts w:asciiTheme="minorHAnsi" w:eastAsiaTheme="minorEastAsia" w:hAnsiTheme="minorHAnsi" w:cstheme="minorHAnsi"/>
        </w:rPr>
        <w:t xml:space="preserve"> engaging through the visual arts: Recognising children’s artistic experiences and repertoires. In B. Clark, A. Grey, &amp; L. </w:t>
      </w:r>
      <w:proofErr w:type="spellStart"/>
      <w:r w:rsidRPr="00F67850">
        <w:rPr>
          <w:rFonts w:asciiTheme="minorHAnsi" w:eastAsiaTheme="minorEastAsia" w:hAnsiTheme="minorHAnsi" w:cstheme="minorHAnsi"/>
        </w:rPr>
        <w:t>Terreni</w:t>
      </w:r>
      <w:proofErr w:type="spellEnd"/>
      <w:r w:rsidRPr="00F67850">
        <w:rPr>
          <w:rFonts w:asciiTheme="minorHAnsi" w:eastAsiaTheme="minorEastAsia" w:hAnsiTheme="minorHAnsi" w:cstheme="minorHAnsi"/>
        </w:rPr>
        <w:t xml:space="preserve"> (Eds.), </w:t>
      </w:r>
      <w:r w:rsidRPr="00F67850">
        <w:rPr>
          <w:rFonts w:asciiTheme="minorHAnsi" w:eastAsiaTheme="minorEastAsia" w:hAnsiTheme="minorHAnsi" w:cstheme="minorHAnsi"/>
          <w:i/>
          <w:iCs/>
        </w:rPr>
        <w:t xml:space="preserve">Kia </w:t>
      </w:r>
      <w:proofErr w:type="spellStart"/>
      <w:r w:rsidRPr="00F67850">
        <w:rPr>
          <w:rFonts w:asciiTheme="minorHAnsi" w:eastAsiaTheme="minorEastAsia" w:hAnsiTheme="minorHAnsi" w:cstheme="minorHAnsi"/>
          <w:i/>
          <w:iCs/>
        </w:rPr>
        <w:t>tipu</w:t>
      </w:r>
      <w:proofErr w:type="spellEnd"/>
      <w:r w:rsidRPr="00F67850">
        <w:rPr>
          <w:rFonts w:asciiTheme="minorHAnsi" w:eastAsiaTheme="minorEastAsia" w:hAnsiTheme="minorHAnsi" w:cstheme="minorHAnsi"/>
          <w:i/>
          <w:iCs/>
        </w:rPr>
        <w:t xml:space="preserve"> </w:t>
      </w:r>
      <w:proofErr w:type="spellStart"/>
      <w:r w:rsidRPr="00F67850">
        <w:rPr>
          <w:rFonts w:asciiTheme="minorHAnsi" w:eastAsiaTheme="minorEastAsia" w:hAnsiTheme="minorHAnsi" w:cstheme="minorHAnsi"/>
          <w:i/>
          <w:iCs/>
        </w:rPr>
        <w:t>te</w:t>
      </w:r>
      <w:proofErr w:type="spellEnd"/>
      <w:r w:rsidRPr="00F67850">
        <w:rPr>
          <w:rFonts w:asciiTheme="minorHAnsi" w:eastAsiaTheme="minorEastAsia" w:hAnsiTheme="minorHAnsi" w:cstheme="minorHAnsi"/>
          <w:i/>
          <w:iCs/>
        </w:rPr>
        <w:t xml:space="preserve"> </w:t>
      </w:r>
      <w:proofErr w:type="spellStart"/>
      <w:r w:rsidRPr="00F67850">
        <w:rPr>
          <w:rFonts w:asciiTheme="minorHAnsi" w:eastAsiaTheme="minorEastAsia" w:hAnsiTheme="minorHAnsi" w:cstheme="minorHAnsi"/>
          <w:i/>
          <w:iCs/>
        </w:rPr>
        <w:t>wairua</w:t>
      </w:r>
      <w:proofErr w:type="spellEnd"/>
      <w:r w:rsidRPr="00F67850">
        <w:rPr>
          <w:rFonts w:asciiTheme="minorHAnsi" w:eastAsiaTheme="minorEastAsia" w:hAnsiTheme="minorHAnsi" w:cstheme="minorHAnsi"/>
          <w:i/>
          <w:iCs/>
        </w:rPr>
        <w:t xml:space="preserve"> </w:t>
      </w:r>
      <w:proofErr w:type="spellStart"/>
      <w:r w:rsidRPr="00F67850">
        <w:rPr>
          <w:rFonts w:asciiTheme="minorHAnsi" w:eastAsiaTheme="minorEastAsia" w:hAnsiTheme="minorHAnsi" w:cstheme="minorHAnsi"/>
          <w:i/>
          <w:iCs/>
        </w:rPr>
        <w:t>toi</w:t>
      </w:r>
      <w:proofErr w:type="spellEnd"/>
      <w:r w:rsidRPr="00F67850">
        <w:rPr>
          <w:rFonts w:asciiTheme="minorHAnsi" w:eastAsiaTheme="minorEastAsia" w:hAnsiTheme="minorHAnsi" w:cstheme="minorHAnsi"/>
          <w:i/>
          <w:iCs/>
        </w:rPr>
        <w:t xml:space="preserve"> – fostering the creative spirit: Arts in early childhood education,</w:t>
      </w:r>
      <w:r w:rsidRPr="00F67850">
        <w:rPr>
          <w:rFonts w:asciiTheme="minorHAnsi" w:eastAsiaTheme="minorEastAsia" w:hAnsiTheme="minorHAnsi" w:cstheme="minorHAnsi"/>
        </w:rPr>
        <w:t xml:space="preserve"> (pp. 39–51). Pearson.</w:t>
      </w:r>
    </w:p>
    <w:p w14:paraId="3CA578EB" w14:textId="44A80677" w:rsidR="6774A0D9" w:rsidRPr="00F67850" w:rsidRDefault="0FFA0922" w:rsidP="120913F3">
      <w:pPr>
        <w:spacing w:after="120" w:line="360" w:lineRule="auto"/>
        <w:ind w:left="709" w:hanging="709"/>
        <w:jc w:val="both"/>
        <w:rPr>
          <w:rFonts w:asciiTheme="minorHAnsi" w:eastAsiaTheme="minorEastAsia" w:hAnsiTheme="minorHAnsi" w:cstheme="minorHAnsi"/>
        </w:rPr>
      </w:pPr>
      <w:r w:rsidRPr="00F67850">
        <w:rPr>
          <w:rFonts w:asciiTheme="minorHAnsi" w:eastAsiaTheme="minorEastAsia" w:hAnsiTheme="minorHAnsi" w:cstheme="minorHAnsi"/>
        </w:rPr>
        <w:t xml:space="preserve">Rinaldi, C., &amp; Moss, P. (2004). What is Reggio? </w:t>
      </w:r>
      <w:r w:rsidRPr="00F67850">
        <w:rPr>
          <w:rFonts w:asciiTheme="minorHAnsi" w:eastAsiaTheme="minorEastAsia" w:hAnsiTheme="minorHAnsi" w:cstheme="minorHAnsi"/>
          <w:i/>
          <w:iCs/>
        </w:rPr>
        <w:t>Children in Europe, 6</w:t>
      </w:r>
      <w:r w:rsidRPr="00F67850">
        <w:rPr>
          <w:rFonts w:asciiTheme="minorHAnsi" w:eastAsiaTheme="minorEastAsia" w:hAnsiTheme="minorHAnsi" w:cstheme="minorHAnsi"/>
        </w:rPr>
        <w:t>, 2–3.</w:t>
      </w:r>
    </w:p>
    <w:p w14:paraId="66549026" w14:textId="1C1E192C" w:rsidR="18B22091" w:rsidRPr="00F67850" w:rsidRDefault="2BB33DB7" w:rsidP="120913F3">
      <w:pPr>
        <w:spacing w:after="120" w:line="360" w:lineRule="auto"/>
        <w:ind w:left="720" w:hanging="720"/>
        <w:rPr>
          <w:rFonts w:asciiTheme="minorHAnsi" w:eastAsiaTheme="minorEastAsia" w:hAnsiTheme="minorHAnsi" w:cstheme="minorHAnsi"/>
          <w:lang w:val="en-US"/>
        </w:rPr>
      </w:pPr>
      <w:r w:rsidRPr="00F67850">
        <w:rPr>
          <w:rFonts w:asciiTheme="minorHAnsi" w:eastAsiaTheme="minorEastAsia" w:hAnsiTheme="minorHAnsi" w:cstheme="minorHAnsi"/>
          <w:lang w:val="en-US"/>
        </w:rPr>
        <w:t xml:space="preserve">Sheridan, K. (2009). Studio Thinking in Early Childhood. In M. </w:t>
      </w:r>
      <w:proofErr w:type="spellStart"/>
      <w:r w:rsidRPr="00F67850">
        <w:rPr>
          <w:rFonts w:asciiTheme="minorHAnsi" w:eastAsiaTheme="minorEastAsia" w:hAnsiTheme="minorHAnsi" w:cstheme="minorHAnsi"/>
          <w:lang w:val="en-US"/>
        </w:rPr>
        <w:t>Narey</w:t>
      </w:r>
      <w:proofErr w:type="spellEnd"/>
      <w:r w:rsidRPr="00F67850">
        <w:rPr>
          <w:rFonts w:asciiTheme="minorHAnsi" w:eastAsiaTheme="minorEastAsia" w:hAnsiTheme="minorHAnsi" w:cstheme="minorHAnsi"/>
          <w:lang w:val="en-US"/>
        </w:rPr>
        <w:t xml:space="preserve"> (Ed.), </w:t>
      </w:r>
      <w:r w:rsidRPr="00F67850">
        <w:rPr>
          <w:rFonts w:asciiTheme="minorHAnsi" w:eastAsiaTheme="minorEastAsia" w:hAnsiTheme="minorHAnsi" w:cstheme="minorHAnsi"/>
          <w:i/>
          <w:iCs/>
          <w:lang w:val="en-US"/>
        </w:rPr>
        <w:t>Making Meaning: Constructing Multimodal Perspectives of Language, Literacy, and Learning through Arts-based Early Childhood Education</w:t>
      </w:r>
      <w:r w:rsidRPr="00F67850">
        <w:rPr>
          <w:rFonts w:asciiTheme="minorHAnsi" w:eastAsiaTheme="minorEastAsia" w:hAnsiTheme="minorHAnsi" w:cstheme="minorHAnsi"/>
          <w:lang w:val="en-US"/>
        </w:rPr>
        <w:t xml:space="preserve"> (pp. 71-88). New York: Springer Science and Business Media.</w:t>
      </w:r>
    </w:p>
    <w:p w14:paraId="6BBFCD52" w14:textId="1474CC14" w:rsidR="18B22091" w:rsidRPr="00F67850" w:rsidRDefault="2BB33DB7" w:rsidP="120913F3">
      <w:pPr>
        <w:spacing w:after="120" w:line="360" w:lineRule="auto"/>
        <w:ind w:left="720" w:hanging="720"/>
        <w:rPr>
          <w:rFonts w:asciiTheme="minorHAnsi" w:eastAsiaTheme="minorEastAsia" w:hAnsiTheme="minorHAnsi" w:cstheme="minorHAnsi"/>
          <w:lang w:val="en-US"/>
        </w:rPr>
      </w:pPr>
      <w:r w:rsidRPr="00F67850">
        <w:rPr>
          <w:rFonts w:asciiTheme="minorHAnsi" w:eastAsiaTheme="minorEastAsia" w:hAnsiTheme="minorHAnsi" w:cstheme="minorHAnsi"/>
          <w:lang w:val="en-US"/>
        </w:rPr>
        <w:t xml:space="preserve">Sheridan, S. M., Edwards, C. P., Marvin, C. A., &amp; </w:t>
      </w:r>
      <w:proofErr w:type="spellStart"/>
      <w:r w:rsidRPr="00F67850">
        <w:rPr>
          <w:rFonts w:asciiTheme="minorHAnsi" w:eastAsiaTheme="minorEastAsia" w:hAnsiTheme="minorHAnsi" w:cstheme="minorHAnsi"/>
          <w:lang w:val="en-US"/>
        </w:rPr>
        <w:t>Knoche</w:t>
      </w:r>
      <w:proofErr w:type="spellEnd"/>
      <w:r w:rsidRPr="00F67850">
        <w:rPr>
          <w:rFonts w:asciiTheme="minorHAnsi" w:eastAsiaTheme="minorEastAsia" w:hAnsiTheme="minorHAnsi" w:cstheme="minorHAnsi"/>
          <w:lang w:val="en-US"/>
        </w:rPr>
        <w:t xml:space="preserve">, L. L. (2009). Professional development in early childhood programs: Process issues and research needs. </w:t>
      </w:r>
      <w:r w:rsidRPr="00F67850">
        <w:rPr>
          <w:rFonts w:asciiTheme="minorHAnsi" w:eastAsiaTheme="minorEastAsia" w:hAnsiTheme="minorHAnsi" w:cstheme="minorHAnsi"/>
          <w:i/>
          <w:iCs/>
          <w:lang w:val="en-US"/>
        </w:rPr>
        <w:t>Early Education and Development</w:t>
      </w:r>
      <w:r w:rsidRPr="00F67850">
        <w:rPr>
          <w:rFonts w:asciiTheme="minorHAnsi" w:eastAsiaTheme="minorEastAsia" w:hAnsiTheme="minorHAnsi" w:cstheme="minorHAnsi"/>
          <w:lang w:val="en-US"/>
        </w:rPr>
        <w:t>, 20(3), 377-401. https://doi.org/10.1080/10409280802582795</w:t>
      </w:r>
    </w:p>
    <w:p w14:paraId="1BABDD5D" w14:textId="57F74715" w:rsidR="18B22091" w:rsidRPr="00F67850" w:rsidRDefault="2BB33DB7"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Smyth, J., Davis, D. (2016). Visual arts education: The potential for teacher delight and despair. </w:t>
      </w:r>
      <w:r w:rsidRPr="00F67850">
        <w:rPr>
          <w:rFonts w:asciiTheme="minorHAnsi" w:eastAsiaTheme="minorEastAsia" w:hAnsiTheme="minorHAnsi" w:cstheme="minorHAnsi"/>
          <w:i/>
          <w:iCs/>
        </w:rPr>
        <w:t>International Art in Early Childhood Research Journal</w:t>
      </w:r>
      <w:r w:rsidRPr="00F67850">
        <w:rPr>
          <w:rFonts w:asciiTheme="minorHAnsi" w:eastAsiaTheme="minorEastAsia" w:hAnsiTheme="minorHAnsi" w:cstheme="minorHAnsi"/>
        </w:rPr>
        <w:t>, 5(1), 1–11.</w:t>
      </w:r>
    </w:p>
    <w:p w14:paraId="1BF6DBDF" w14:textId="155E10C2" w:rsidR="681C78EE" w:rsidRPr="00F67850" w:rsidRDefault="27558EAB"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Taggart, G. L., &amp; Wilson, A. P. (2005). </w:t>
      </w:r>
      <w:r w:rsidRPr="00F67850">
        <w:rPr>
          <w:rFonts w:asciiTheme="minorHAnsi" w:eastAsiaTheme="minorEastAsia" w:hAnsiTheme="minorHAnsi" w:cstheme="minorHAnsi"/>
          <w:i/>
          <w:iCs/>
        </w:rPr>
        <w:t>Promoting reflective thinking in teachers: 50 action strategies</w:t>
      </w:r>
      <w:r w:rsidRPr="00F67850">
        <w:rPr>
          <w:rFonts w:asciiTheme="minorHAnsi" w:eastAsiaTheme="minorEastAsia" w:hAnsiTheme="minorHAnsi" w:cstheme="minorHAnsi"/>
        </w:rPr>
        <w:t>. Corwin Press.</w:t>
      </w:r>
    </w:p>
    <w:p w14:paraId="29A0B478" w14:textId="74C13100" w:rsidR="681C78EE" w:rsidRPr="00F67850" w:rsidRDefault="27558EAB"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Takahashi, S. (2011). Co-constructing efficacy: A “communities of practice” perspective on teachers’ efficacy beliefs. </w:t>
      </w:r>
      <w:r w:rsidRPr="00F67850">
        <w:rPr>
          <w:rFonts w:asciiTheme="minorHAnsi" w:eastAsiaTheme="minorEastAsia" w:hAnsiTheme="minorHAnsi" w:cstheme="minorHAnsi"/>
          <w:i/>
          <w:iCs/>
        </w:rPr>
        <w:t>Teaching and Teacher Education,</w:t>
      </w:r>
      <w:r w:rsidRPr="00F67850">
        <w:rPr>
          <w:rFonts w:asciiTheme="minorHAnsi" w:eastAsiaTheme="minorEastAsia" w:hAnsiTheme="minorHAnsi" w:cstheme="minorHAnsi"/>
        </w:rPr>
        <w:t xml:space="preserve"> 27(4), 732-741. DOI: 10.1016/j.tate.2010.12.002</w:t>
      </w:r>
    </w:p>
    <w:p w14:paraId="262DA41B" w14:textId="14446934" w:rsidR="6774A0D9" w:rsidRPr="00F67850" w:rsidRDefault="0FFA0922" w:rsidP="120913F3">
      <w:pPr>
        <w:spacing w:after="120" w:line="360" w:lineRule="auto"/>
        <w:ind w:left="709" w:hanging="709"/>
        <w:jc w:val="both"/>
        <w:rPr>
          <w:rFonts w:asciiTheme="minorHAnsi" w:eastAsiaTheme="minorEastAsia" w:hAnsiTheme="minorHAnsi" w:cstheme="minorHAnsi"/>
        </w:rPr>
      </w:pPr>
      <w:proofErr w:type="spellStart"/>
      <w:r w:rsidRPr="00F67850">
        <w:rPr>
          <w:rFonts w:asciiTheme="minorHAnsi" w:eastAsiaTheme="minorEastAsia" w:hAnsiTheme="minorHAnsi" w:cstheme="minorHAnsi"/>
        </w:rPr>
        <w:t>Tesar</w:t>
      </w:r>
      <w:proofErr w:type="spellEnd"/>
      <w:r w:rsidRPr="00F67850">
        <w:rPr>
          <w:rFonts w:asciiTheme="minorHAnsi" w:eastAsiaTheme="minorEastAsia" w:hAnsiTheme="minorHAnsi" w:cstheme="minorHAnsi"/>
        </w:rPr>
        <w:t xml:space="preserve">, M. (2016). On ethics, </w:t>
      </w:r>
      <w:proofErr w:type="gramStart"/>
      <w:r w:rsidRPr="00F67850">
        <w:rPr>
          <w:rFonts w:asciiTheme="minorHAnsi" w:eastAsiaTheme="minorEastAsia" w:hAnsiTheme="minorHAnsi" w:cstheme="minorHAnsi"/>
        </w:rPr>
        <w:t>policy</w:t>
      </w:r>
      <w:proofErr w:type="gramEnd"/>
      <w:r w:rsidRPr="00F67850">
        <w:rPr>
          <w:rFonts w:asciiTheme="minorHAnsi" w:eastAsiaTheme="minorEastAsia" w:hAnsiTheme="minorHAnsi" w:cstheme="minorHAnsi"/>
        </w:rPr>
        <w:t xml:space="preserve"> and the philosophy of education. </w:t>
      </w:r>
      <w:r w:rsidRPr="00F67850">
        <w:rPr>
          <w:rFonts w:asciiTheme="minorHAnsi" w:eastAsiaTheme="minorEastAsia" w:hAnsiTheme="minorHAnsi" w:cstheme="minorHAnsi"/>
          <w:i/>
          <w:iCs/>
        </w:rPr>
        <w:t>Policy Futures in Education, 14</w:t>
      </w:r>
      <w:r w:rsidRPr="00F67850">
        <w:rPr>
          <w:rFonts w:asciiTheme="minorHAnsi" w:eastAsiaTheme="minorEastAsia" w:hAnsiTheme="minorHAnsi" w:cstheme="minorHAnsi"/>
        </w:rPr>
        <w:t xml:space="preserve">(6), 593–596. </w:t>
      </w:r>
      <w:r w:rsidR="120913F3" w:rsidRPr="00F67850">
        <w:rPr>
          <w:rFonts w:asciiTheme="minorHAnsi" w:eastAsiaTheme="minorEastAsia" w:hAnsiTheme="minorHAnsi" w:cstheme="minorHAnsi"/>
        </w:rPr>
        <w:t>https://doi.org/10.1177%2F1478210316665293</w:t>
      </w:r>
    </w:p>
    <w:p w14:paraId="48797F77" w14:textId="0E0FFD8E" w:rsidR="18B22091" w:rsidRPr="00F67850" w:rsidRDefault="2BB33DB7"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Tobin, K. (2018). Methodological bricolage. In S. M. Ritchie &amp; K. Tobin (Eds.), </w:t>
      </w:r>
      <w:r w:rsidRPr="00F67850">
        <w:rPr>
          <w:rFonts w:asciiTheme="minorHAnsi" w:eastAsiaTheme="minorEastAsia" w:hAnsiTheme="minorHAnsi" w:cstheme="minorHAnsi"/>
          <w:i/>
          <w:iCs/>
        </w:rPr>
        <w:t>Eventful learning: Learner emotions</w:t>
      </w:r>
      <w:r w:rsidRPr="00F67850">
        <w:rPr>
          <w:rFonts w:asciiTheme="minorHAnsi" w:eastAsiaTheme="minorEastAsia" w:hAnsiTheme="minorHAnsi" w:cstheme="minorHAnsi"/>
        </w:rPr>
        <w:t xml:space="preserve"> (Vol. 61, pp. 31-55). </w:t>
      </w:r>
      <w:proofErr w:type="spellStart"/>
      <w:r w:rsidRPr="00F67850">
        <w:rPr>
          <w:rFonts w:asciiTheme="minorHAnsi" w:eastAsiaTheme="minorEastAsia" w:hAnsiTheme="minorHAnsi" w:cstheme="minorHAnsi"/>
        </w:rPr>
        <w:t>Koninklijke</w:t>
      </w:r>
      <w:proofErr w:type="spellEnd"/>
      <w:r w:rsidRPr="00F67850">
        <w:rPr>
          <w:rFonts w:asciiTheme="minorHAnsi" w:eastAsiaTheme="minorEastAsia" w:hAnsiTheme="minorHAnsi" w:cstheme="minorHAnsi"/>
        </w:rPr>
        <w:t xml:space="preserve"> Brill NV. https://doi.org/10.1163/9789004377912_003</w:t>
      </w:r>
    </w:p>
    <w:p w14:paraId="067BD0F5" w14:textId="1B56A6F3" w:rsidR="18B22091" w:rsidRPr="00F67850" w:rsidRDefault="2BB33DB7"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Twigg, D., </w:t>
      </w:r>
      <w:proofErr w:type="spellStart"/>
      <w:r w:rsidRPr="00F67850">
        <w:rPr>
          <w:rFonts w:asciiTheme="minorHAnsi" w:eastAsiaTheme="minorEastAsia" w:hAnsiTheme="minorHAnsi" w:cstheme="minorHAnsi"/>
        </w:rPr>
        <w:t>Garvis</w:t>
      </w:r>
      <w:proofErr w:type="spellEnd"/>
      <w:r w:rsidRPr="00F67850">
        <w:rPr>
          <w:rFonts w:asciiTheme="minorHAnsi" w:eastAsiaTheme="minorEastAsia" w:hAnsiTheme="minorHAnsi" w:cstheme="minorHAnsi"/>
        </w:rPr>
        <w:t xml:space="preserve">, S. (2010). Exploring art in early childhood education. </w:t>
      </w:r>
      <w:r w:rsidRPr="00F67850">
        <w:rPr>
          <w:rFonts w:asciiTheme="minorHAnsi" w:eastAsiaTheme="minorEastAsia" w:hAnsiTheme="minorHAnsi" w:cstheme="minorHAnsi"/>
          <w:i/>
          <w:iCs/>
        </w:rPr>
        <w:t>The International Journal of the Arts in Society</w:t>
      </w:r>
      <w:r w:rsidRPr="00F67850">
        <w:rPr>
          <w:rFonts w:asciiTheme="minorHAnsi" w:eastAsiaTheme="minorEastAsia" w:hAnsiTheme="minorHAnsi" w:cstheme="minorHAnsi"/>
        </w:rPr>
        <w:t xml:space="preserve">, 5(2), 193–204. </w:t>
      </w:r>
      <w:r w:rsidR="120913F3" w:rsidRPr="00F67850">
        <w:rPr>
          <w:rFonts w:asciiTheme="minorHAnsi" w:eastAsiaTheme="minorEastAsia" w:hAnsiTheme="minorHAnsi" w:cstheme="minorHAnsi"/>
        </w:rPr>
        <w:t>https://doi.org/10.18848/1833-1866/CGP/v05i02/35830</w:t>
      </w:r>
    </w:p>
    <w:p w14:paraId="599DED77" w14:textId="26D2CC69" w:rsidR="6774A0D9" w:rsidRPr="00F67850" w:rsidRDefault="0FFA0922" w:rsidP="120913F3">
      <w:pPr>
        <w:spacing w:after="120" w:line="360" w:lineRule="auto"/>
        <w:ind w:left="709" w:hanging="709"/>
        <w:jc w:val="both"/>
        <w:rPr>
          <w:rFonts w:asciiTheme="minorHAnsi" w:eastAsiaTheme="minorEastAsia" w:hAnsiTheme="minorHAnsi" w:cstheme="minorHAnsi"/>
        </w:rPr>
      </w:pPr>
      <w:r w:rsidRPr="00F67850">
        <w:rPr>
          <w:rFonts w:asciiTheme="minorHAnsi" w:eastAsiaTheme="minorEastAsia" w:hAnsiTheme="minorHAnsi" w:cstheme="minorHAnsi"/>
        </w:rPr>
        <w:t xml:space="preserve">Vygotsky, L. S. (1962). </w:t>
      </w:r>
      <w:r w:rsidRPr="00F67850">
        <w:rPr>
          <w:rFonts w:asciiTheme="minorHAnsi" w:eastAsiaTheme="minorEastAsia" w:hAnsiTheme="minorHAnsi" w:cstheme="minorHAnsi"/>
          <w:i/>
          <w:iCs/>
        </w:rPr>
        <w:t>Thought and language</w:t>
      </w:r>
      <w:r w:rsidRPr="00F67850">
        <w:rPr>
          <w:rFonts w:asciiTheme="minorHAnsi" w:eastAsiaTheme="minorEastAsia" w:hAnsiTheme="minorHAnsi" w:cstheme="minorHAnsi"/>
        </w:rPr>
        <w:t>. Cambridge, MA: Harvard University Press.</w:t>
      </w:r>
    </w:p>
    <w:p w14:paraId="3ACF29CE" w14:textId="7CDA73C8" w:rsidR="6774A0D9" w:rsidRPr="00F67850" w:rsidRDefault="6774A0D9" w:rsidP="120913F3">
      <w:pPr>
        <w:spacing w:after="120" w:line="360" w:lineRule="auto"/>
        <w:ind w:left="709" w:hanging="709"/>
        <w:jc w:val="both"/>
        <w:rPr>
          <w:rFonts w:asciiTheme="minorHAnsi" w:eastAsia="Arial" w:hAnsiTheme="minorHAnsi" w:cstheme="minorHAnsi"/>
          <w:sz w:val="20"/>
          <w:szCs w:val="20"/>
        </w:rPr>
      </w:pPr>
    </w:p>
    <w:p w14:paraId="21ED943B" w14:textId="18BE6C64" w:rsidR="18B22091" w:rsidRPr="00F67850" w:rsidRDefault="2BB33DB7" w:rsidP="120913F3">
      <w:pPr>
        <w:spacing w:after="120" w:line="360" w:lineRule="auto"/>
        <w:ind w:left="709" w:hanging="709"/>
        <w:rPr>
          <w:rFonts w:asciiTheme="minorHAnsi" w:eastAsiaTheme="minorEastAsia" w:hAnsiTheme="minorHAnsi" w:cstheme="minorHAnsi"/>
        </w:rPr>
      </w:pPr>
      <w:r w:rsidRPr="00F67850">
        <w:rPr>
          <w:rFonts w:asciiTheme="minorHAnsi" w:eastAsiaTheme="minorEastAsia" w:hAnsiTheme="minorHAnsi" w:cstheme="minorHAnsi"/>
        </w:rPr>
        <w:t xml:space="preserve">Yin, R. (2009). </w:t>
      </w:r>
      <w:r w:rsidRPr="00F67850">
        <w:rPr>
          <w:rFonts w:asciiTheme="minorHAnsi" w:eastAsiaTheme="minorEastAsia" w:hAnsiTheme="minorHAnsi" w:cstheme="minorHAnsi"/>
          <w:i/>
          <w:iCs/>
        </w:rPr>
        <w:t>Case study research: Designs and methods (4th ed.)</w:t>
      </w:r>
      <w:r w:rsidRPr="00F67850">
        <w:rPr>
          <w:rFonts w:asciiTheme="minorHAnsi" w:eastAsiaTheme="minorEastAsia" w:hAnsiTheme="minorHAnsi" w:cstheme="minorHAnsi"/>
        </w:rPr>
        <w:t>. SAGE Publications Inc.</w:t>
      </w:r>
    </w:p>
    <w:p w14:paraId="1707C0D9" w14:textId="2BBA7F2F" w:rsidR="004E74E1" w:rsidRPr="00F67850" w:rsidRDefault="004E74E1" w:rsidP="120913F3">
      <w:pPr>
        <w:spacing w:after="120" w:line="360" w:lineRule="auto"/>
        <w:ind w:left="709" w:hanging="709"/>
        <w:rPr>
          <w:rFonts w:asciiTheme="minorHAnsi" w:eastAsiaTheme="minorEastAsia" w:hAnsiTheme="minorHAnsi" w:cstheme="minorHAnsi"/>
          <w:sz w:val="22"/>
          <w:szCs w:val="22"/>
        </w:rPr>
      </w:pPr>
    </w:p>
    <w:sectPr w:rsidR="004E74E1" w:rsidRPr="00F67850" w:rsidSect="003279F3">
      <w:headerReference w:type="even" r:id="rId8"/>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97D92" w14:textId="77777777" w:rsidR="00F765BB" w:rsidRDefault="00F765BB" w:rsidP="00BB1E13">
      <w:pPr>
        <w:spacing w:line="240" w:lineRule="auto"/>
      </w:pPr>
      <w:r>
        <w:separator/>
      </w:r>
    </w:p>
  </w:endnote>
  <w:endnote w:type="continuationSeparator" w:id="0">
    <w:p w14:paraId="4098A5F9" w14:textId="77777777" w:rsidR="00F765BB" w:rsidRDefault="00F765BB" w:rsidP="00BB1E13">
      <w:pPr>
        <w:spacing w:line="240" w:lineRule="auto"/>
      </w:pPr>
      <w:r>
        <w:continuationSeparator/>
      </w:r>
    </w:p>
  </w:endnote>
  <w:endnote w:type="continuationNotice" w:id="1">
    <w:p w14:paraId="70F91E25" w14:textId="77777777" w:rsidR="00F765BB" w:rsidRDefault="00F765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BBD05" w14:textId="77777777" w:rsidR="00F765BB" w:rsidRDefault="00F765BB" w:rsidP="00BB1E13">
      <w:pPr>
        <w:spacing w:line="240" w:lineRule="auto"/>
      </w:pPr>
      <w:r>
        <w:separator/>
      </w:r>
    </w:p>
  </w:footnote>
  <w:footnote w:type="continuationSeparator" w:id="0">
    <w:p w14:paraId="6CD77333" w14:textId="77777777" w:rsidR="00F765BB" w:rsidRDefault="00F765BB" w:rsidP="00BB1E13">
      <w:pPr>
        <w:spacing w:line="240" w:lineRule="auto"/>
      </w:pPr>
      <w:r>
        <w:continuationSeparator/>
      </w:r>
    </w:p>
  </w:footnote>
  <w:footnote w:type="continuationNotice" w:id="1">
    <w:p w14:paraId="507BBFDC" w14:textId="77777777" w:rsidR="00F765BB" w:rsidRDefault="00F765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78FE" w14:textId="77777777" w:rsidR="003279F3" w:rsidRDefault="003279F3" w:rsidP="00187545">
    <w:pPr>
      <w:pStyle w:val="Header"/>
      <w:rPr>
        <w:rStyle w:val="PageNumber"/>
      </w:rPr>
    </w:pPr>
    <w:r>
      <w:rPr>
        <w:rStyle w:val="PageNumber"/>
      </w:rPr>
      <w:fldChar w:fldCharType="begin"/>
    </w:r>
    <w:r>
      <w:rPr>
        <w:rStyle w:val="PageNumber"/>
      </w:rPr>
      <w:instrText xml:space="preserve"> PAGE </w:instrText>
    </w:r>
    <w:r>
      <w:rPr>
        <w:rStyle w:val="PageNumber"/>
      </w:rPr>
      <w:fldChar w:fldCharType="end"/>
    </w:r>
  </w:p>
  <w:p w14:paraId="38029A2A" w14:textId="77777777" w:rsidR="003279F3" w:rsidRDefault="003279F3" w:rsidP="00187545">
    <w:pPr>
      <w:pStyle w:val="Header"/>
    </w:pPr>
  </w:p>
  <w:p w14:paraId="56E11AB1" w14:textId="77777777" w:rsidR="003279F3" w:rsidRDefault="003279F3" w:rsidP="00187545"/>
  <w:p w14:paraId="14C9E58D" w14:textId="77777777" w:rsidR="003279F3" w:rsidRDefault="003279F3" w:rsidP="00187545"/>
  <w:p w14:paraId="2077FF42" w14:textId="77777777" w:rsidR="003279F3" w:rsidRDefault="003279F3" w:rsidP="00187545"/>
  <w:p w14:paraId="368840D2" w14:textId="77777777" w:rsidR="003279F3" w:rsidRDefault="003279F3" w:rsidP="00187545"/>
  <w:p w14:paraId="242B9AD2" w14:textId="77777777" w:rsidR="003279F3" w:rsidRDefault="003279F3" w:rsidP="00187545"/>
  <w:p w14:paraId="37DF3EA9" w14:textId="77777777" w:rsidR="003279F3" w:rsidRDefault="003279F3" w:rsidP="00187545"/>
  <w:p w14:paraId="0A73A11B" w14:textId="77777777" w:rsidR="003279F3" w:rsidRDefault="003279F3" w:rsidP="00187545"/>
  <w:p w14:paraId="10F835C5" w14:textId="77777777" w:rsidR="003279F3" w:rsidRDefault="003279F3" w:rsidP="00187545"/>
  <w:p w14:paraId="1D337972" w14:textId="77777777" w:rsidR="003279F3" w:rsidRDefault="003279F3" w:rsidP="00187545"/>
</w:hdr>
</file>

<file path=word/intelligence.xml><?xml version="1.0" encoding="utf-8"?>
<int:Intelligence xmlns:int="http://schemas.microsoft.com/office/intelligence/2019/intelligence">
  <int:IntelligenceSettings/>
  <int:Manifest>
    <int:ParagraphRange paragraphId="950422888" textId="1831998163" start="612" length="7" invalidationStart="612" invalidationLength="7" id="ocOhpFmy"/>
    <int:WordHash hashCode="gi/0e8CvsZUL+M" id="FeOKDvOB"/>
    <int:WordHash hashCode="SvyUK6CIFfXr3z" id="HtumKv9F"/>
    <int:ParagraphRange paragraphId="452419604" textId="941067221" start="293" length="5" invalidationStart="293" invalidationLength="5" id="x7lJrC6g"/>
  </int:Manifest>
  <int:Observations>
    <int:Content id="ocOhpFmy">
      <int:Rejection type="LegacyProofing"/>
    </int:Content>
    <int:Content id="FeOKDvOB">
      <int:Rejection type="LegacyProofing"/>
    </int:Content>
    <int:Content id="HtumKv9F">
      <int:Rejection type="AugLoop_Text_Critique"/>
    </int:Content>
    <int:Content id="x7lJrC6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F4DF1"/>
    <w:multiLevelType w:val="hybridMultilevel"/>
    <w:tmpl w:val="B41E8AB6"/>
    <w:styleLink w:val="ImportedStyle2"/>
    <w:lvl w:ilvl="0" w:tplc="EE7C9CD8">
      <w:start w:val="1"/>
      <w:numFmt w:val="bullet"/>
      <w:lvlText w:val="¾"/>
      <w:lvlJc w:val="left"/>
      <w:pPr>
        <w:ind w:left="340" w:hanging="3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6ADB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6748A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B8B00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3A28C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3E1C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C4A0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CB2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0821E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4233277"/>
    <w:multiLevelType w:val="hybridMultilevel"/>
    <w:tmpl w:val="BEAAF986"/>
    <w:lvl w:ilvl="0" w:tplc="42FC51F0">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4A2002AC"/>
    <w:multiLevelType w:val="hybridMultilevel"/>
    <w:tmpl w:val="FFFFFFFF"/>
    <w:lvl w:ilvl="0" w:tplc="5FBE5FCE">
      <w:start w:val="1"/>
      <w:numFmt w:val="decimal"/>
      <w:lvlText w:val="%1."/>
      <w:lvlJc w:val="left"/>
      <w:pPr>
        <w:ind w:left="720" w:hanging="360"/>
      </w:pPr>
    </w:lvl>
    <w:lvl w:ilvl="1" w:tplc="B8D0B1FC">
      <w:start w:val="1"/>
      <w:numFmt w:val="lowerLetter"/>
      <w:lvlText w:val="%2."/>
      <w:lvlJc w:val="left"/>
      <w:pPr>
        <w:ind w:left="1440" w:hanging="360"/>
      </w:pPr>
    </w:lvl>
    <w:lvl w:ilvl="2" w:tplc="C6983C50">
      <w:start w:val="1"/>
      <w:numFmt w:val="lowerRoman"/>
      <w:lvlText w:val="%3."/>
      <w:lvlJc w:val="right"/>
      <w:pPr>
        <w:ind w:left="2160" w:hanging="180"/>
      </w:pPr>
    </w:lvl>
    <w:lvl w:ilvl="3" w:tplc="32382030">
      <w:start w:val="1"/>
      <w:numFmt w:val="decimal"/>
      <w:lvlText w:val="%4."/>
      <w:lvlJc w:val="left"/>
      <w:pPr>
        <w:ind w:left="2880" w:hanging="360"/>
      </w:pPr>
    </w:lvl>
    <w:lvl w:ilvl="4" w:tplc="27BCAC20">
      <w:start w:val="1"/>
      <w:numFmt w:val="lowerLetter"/>
      <w:lvlText w:val="%5."/>
      <w:lvlJc w:val="left"/>
      <w:pPr>
        <w:ind w:left="3600" w:hanging="360"/>
      </w:pPr>
    </w:lvl>
    <w:lvl w:ilvl="5" w:tplc="D1B80356">
      <w:start w:val="1"/>
      <w:numFmt w:val="lowerRoman"/>
      <w:lvlText w:val="%6."/>
      <w:lvlJc w:val="right"/>
      <w:pPr>
        <w:ind w:left="4320" w:hanging="180"/>
      </w:pPr>
    </w:lvl>
    <w:lvl w:ilvl="6" w:tplc="529454D8">
      <w:start w:val="1"/>
      <w:numFmt w:val="decimal"/>
      <w:lvlText w:val="%7."/>
      <w:lvlJc w:val="left"/>
      <w:pPr>
        <w:ind w:left="5040" w:hanging="360"/>
      </w:pPr>
    </w:lvl>
    <w:lvl w:ilvl="7" w:tplc="5F7EFA1E">
      <w:start w:val="1"/>
      <w:numFmt w:val="lowerLetter"/>
      <w:lvlText w:val="%8."/>
      <w:lvlJc w:val="left"/>
      <w:pPr>
        <w:ind w:left="5760" w:hanging="360"/>
      </w:pPr>
    </w:lvl>
    <w:lvl w:ilvl="8" w:tplc="0E009648">
      <w:start w:val="1"/>
      <w:numFmt w:val="lowerRoman"/>
      <w:lvlText w:val="%9."/>
      <w:lvlJc w:val="right"/>
      <w:pPr>
        <w:ind w:left="6480" w:hanging="180"/>
      </w:pPr>
    </w:lvl>
  </w:abstractNum>
  <w:abstractNum w:abstractNumId="3" w15:restartNumberingAfterBreak="0">
    <w:nsid w:val="50AC1E6C"/>
    <w:multiLevelType w:val="hybridMultilevel"/>
    <w:tmpl w:val="9AAEA634"/>
    <w:lvl w:ilvl="0" w:tplc="B8DC7272">
      <w:start w:val="1"/>
      <w:numFmt w:val="bullet"/>
      <w:lvlText w:val="-"/>
      <w:lvlJc w:val="left"/>
      <w:pPr>
        <w:ind w:left="720" w:hanging="360"/>
      </w:pPr>
      <w:rPr>
        <w:rFonts w:ascii="Calibri" w:hAnsi="Calibri" w:hint="default"/>
      </w:rPr>
    </w:lvl>
    <w:lvl w:ilvl="1" w:tplc="08DAE612">
      <w:start w:val="1"/>
      <w:numFmt w:val="bullet"/>
      <w:lvlText w:val="o"/>
      <w:lvlJc w:val="left"/>
      <w:pPr>
        <w:ind w:left="1440" w:hanging="360"/>
      </w:pPr>
      <w:rPr>
        <w:rFonts w:ascii="Courier New" w:hAnsi="Courier New" w:hint="default"/>
      </w:rPr>
    </w:lvl>
    <w:lvl w:ilvl="2" w:tplc="E1ECA5E4">
      <w:start w:val="1"/>
      <w:numFmt w:val="bullet"/>
      <w:lvlText w:val=""/>
      <w:lvlJc w:val="left"/>
      <w:pPr>
        <w:ind w:left="2160" w:hanging="360"/>
      </w:pPr>
      <w:rPr>
        <w:rFonts w:ascii="Wingdings" w:hAnsi="Wingdings" w:hint="default"/>
      </w:rPr>
    </w:lvl>
    <w:lvl w:ilvl="3" w:tplc="88269B44">
      <w:start w:val="1"/>
      <w:numFmt w:val="bullet"/>
      <w:lvlText w:val=""/>
      <w:lvlJc w:val="left"/>
      <w:pPr>
        <w:ind w:left="2880" w:hanging="360"/>
      </w:pPr>
      <w:rPr>
        <w:rFonts w:ascii="Symbol" w:hAnsi="Symbol" w:hint="default"/>
      </w:rPr>
    </w:lvl>
    <w:lvl w:ilvl="4" w:tplc="29A62FA6">
      <w:start w:val="1"/>
      <w:numFmt w:val="bullet"/>
      <w:lvlText w:val="o"/>
      <w:lvlJc w:val="left"/>
      <w:pPr>
        <w:ind w:left="3600" w:hanging="360"/>
      </w:pPr>
      <w:rPr>
        <w:rFonts w:ascii="Courier New" w:hAnsi="Courier New" w:hint="default"/>
      </w:rPr>
    </w:lvl>
    <w:lvl w:ilvl="5" w:tplc="8004B3F4">
      <w:start w:val="1"/>
      <w:numFmt w:val="bullet"/>
      <w:lvlText w:val=""/>
      <w:lvlJc w:val="left"/>
      <w:pPr>
        <w:ind w:left="4320" w:hanging="360"/>
      </w:pPr>
      <w:rPr>
        <w:rFonts w:ascii="Wingdings" w:hAnsi="Wingdings" w:hint="default"/>
      </w:rPr>
    </w:lvl>
    <w:lvl w:ilvl="6" w:tplc="3E883EDC">
      <w:start w:val="1"/>
      <w:numFmt w:val="bullet"/>
      <w:lvlText w:val=""/>
      <w:lvlJc w:val="left"/>
      <w:pPr>
        <w:ind w:left="5040" w:hanging="360"/>
      </w:pPr>
      <w:rPr>
        <w:rFonts w:ascii="Symbol" w:hAnsi="Symbol" w:hint="default"/>
      </w:rPr>
    </w:lvl>
    <w:lvl w:ilvl="7" w:tplc="FA74E73E">
      <w:start w:val="1"/>
      <w:numFmt w:val="bullet"/>
      <w:lvlText w:val="o"/>
      <w:lvlJc w:val="left"/>
      <w:pPr>
        <w:ind w:left="5760" w:hanging="360"/>
      </w:pPr>
      <w:rPr>
        <w:rFonts w:ascii="Courier New" w:hAnsi="Courier New" w:hint="default"/>
      </w:rPr>
    </w:lvl>
    <w:lvl w:ilvl="8" w:tplc="B4BC466A">
      <w:start w:val="1"/>
      <w:numFmt w:val="bullet"/>
      <w:lvlText w:val=""/>
      <w:lvlJc w:val="left"/>
      <w:pPr>
        <w:ind w:left="6480" w:hanging="360"/>
      </w:pPr>
      <w:rPr>
        <w:rFonts w:ascii="Wingdings" w:hAnsi="Wingdings" w:hint="default"/>
      </w:rPr>
    </w:lvl>
  </w:abstractNum>
  <w:abstractNum w:abstractNumId="4" w15:restartNumberingAfterBreak="0">
    <w:nsid w:val="696E66DF"/>
    <w:multiLevelType w:val="hybridMultilevel"/>
    <w:tmpl w:val="9B2EAF28"/>
    <w:lvl w:ilvl="0" w:tplc="367A3DCA">
      <w:start w:val="1"/>
      <w:numFmt w:val="decimal"/>
      <w:lvlText w:val="%1."/>
      <w:lvlJc w:val="left"/>
      <w:pPr>
        <w:ind w:left="720" w:hanging="360"/>
      </w:pPr>
    </w:lvl>
    <w:lvl w:ilvl="1" w:tplc="BCB295BA">
      <w:start w:val="1"/>
      <w:numFmt w:val="lowerLetter"/>
      <w:lvlText w:val="%2."/>
      <w:lvlJc w:val="left"/>
      <w:pPr>
        <w:ind w:left="1440" w:hanging="360"/>
      </w:pPr>
    </w:lvl>
    <w:lvl w:ilvl="2" w:tplc="8828CD88">
      <w:start w:val="1"/>
      <w:numFmt w:val="lowerRoman"/>
      <w:lvlText w:val="%3."/>
      <w:lvlJc w:val="right"/>
      <w:pPr>
        <w:ind w:left="2160" w:hanging="180"/>
      </w:pPr>
    </w:lvl>
    <w:lvl w:ilvl="3" w:tplc="97449466">
      <w:start w:val="1"/>
      <w:numFmt w:val="decimal"/>
      <w:lvlText w:val="%4."/>
      <w:lvlJc w:val="left"/>
      <w:pPr>
        <w:ind w:left="2880" w:hanging="360"/>
      </w:pPr>
    </w:lvl>
    <w:lvl w:ilvl="4" w:tplc="9E2EFAFE">
      <w:start w:val="1"/>
      <w:numFmt w:val="lowerLetter"/>
      <w:lvlText w:val="%5."/>
      <w:lvlJc w:val="left"/>
      <w:pPr>
        <w:ind w:left="3600" w:hanging="360"/>
      </w:pPr>
    </w:lvl>
    <w:lvl w:ilvl="5" w:tplc="71F8A73C">
      <w:start w:val="1"/>
      <w:numFmt w:val="lowerRoman"/>
      <w:lvlText w:val="%6."/>
      <w:lvlJc w:val="right"/>
      <w:pPr>
        <w:ind w:left="4320" w:hanging="180"/>
      </w:pPr>
    </w:lvl>
    <w:lvl w:ilvl="6" w:tplc="3C60924C">
      <w:start w:val="1"/>
      <w:numFmt w:val="decimal"/>
      <w:lvlText w:val="%7."/>
      <w:lvlJc w:val="left"/>
      <w:pPr>
        <w:ind w:left="5040" w:hanging="360"/>
      </w:pPr>
    </w:lvl>
    <w:lvl w:ilvl="7" w:tplc="FE9075B2">
      <w:start w:val="1"/>
      <w:numFmt w:val="lowerLetter"/>
      <w:lvlText w:val="%8."/>
      <w:lvlJc w:val="left"/>
      <w:pPr>
        <w:ind w:left="5760" w:hanging="360"/>
      </w:pPr>
    </w:lvl>
    <w:lvl w:ilvl="8" w:tplc="928EC1C8">
      <w:start w:val="1"/>
      <w:numFmt w:val="lowerRoman"/>
      <w:lvlText w:val="%9."/>
      <w:lvlJc w:val="right"/>
      <w:pPr>
        <w:ind w:left="6480" w:hanging="180"/>
      </w:pPr>
    </w:lvl>
  </w:abstractNum>
  <w:num w:numId="1" w16cid:durableId="1910187911">
    <w:abstractNumId w:val="2"/>
  </w:num>
  <w:num w:numId="2" w16cid:durableId="751783824">
    <w:abstractNumId w:val="4"/>
  </w:num>
  <w:num w:numId="3" w16cid:durableId="672101336">
    <w:abstractNumId w:val="3"/>
  </w:num>
  <w:num w:numId="4" w16cid:durableId="1280841919">
    <w:abstractNumId w:val="0"/>
  </w:num>
  <w:num w:numId="5" w16cid:durableId="50432484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545"/>
    <w:rsid w:val="00000FCF"/>
    <w:rsid w:val="00017EB4"/>
    <w:rsid w:val="0001FBD3"/>
    <w:rsid w:val="00023D2E"/>
    <w:rsid w:val="00040133"/>
    <w:rsid w:val="00041E32"/>
    <w:rsid w:val="00047499"/>
    <w:rsid w:val="0005373B"/>
    <w:rsid w:val="000600C4"/>
    <w:rsid w:val="00071859"/>
    <w:rsid w:val="00074EA7"/>
    <w:rsid w:val="0008389C"/>
    <w:rsid w:val="00084E88"/>
    <w:rsid w:val="00092090"/>
    <w:rsid w:val="000A2E50"/>
    <w:rsid w:val="000B1C97"/>
    <w:rsid w:val="000B4AEC"/>
    <w:rsid w:val="000B7DE4"/>
    <w:rsid w:val="000C451D"/>
    <w:rsid w:val="000D22B7"/>
    <w:rsid w:val="000D3429"/>
    <w:rsid w:val="000D4907"/>
    <w:rsid w:val="000D5A98"/>
    <w:rsid w:val="000E4422"/>
    <w:rsid w:val="000F4DC1"/>
    <w:rsid w:val="000F70A4"/>
    <w:rsid w:val="000FE8C4"/>
    <w:rsid w:val="00104838"/>
    <w:rsid w:val="001130AC"/>
    <w:rsid w:val="00120D49"/>
    <w:rsid w:val="00121A8E"/>
    <w:rsid w:val="00124F9C"/>
    <w:rsid w:val="001308DB"/>
    <w:rsid w:val="00135F70"/>
    <w:rsid w:val="00137F65"/>
    <w:rsid w:val="00141169"/>
    <w:rsid w:val="00152891"/>
    <w:rsid w:val="0016D070"/>
    <w:rsid w:val="00187545"/>
    <w:rsid w:val="00192A76"/>
    <w:rsid w:val="001948FF"/>
    <w:rsid w:val="001A3710"/>
    <w:rsid w:val="001A6F48"/>
    <w:rsid w:val="001A70E6"/>
    <w:rsid w:val="001B2292"/>
    <w:rsid w:val="001B5AC8"/>
    <w:rsid w:val="001B65EC"/>
    <w:rsid w:val="001B691C"/>
    <w:rsid w:val="001C10B6"/>
    <w:rsid w:val="001C347E"/>
    <w:rsid w:val="001D2216"/>
    <w:rsid w:val="001D4819"/>
    <w:rsid w:val="001E096F"/>
    <w:rsid w:val="001F4508"/>
    <w:rsid w:val="001F5913"/>
    <w:rsid w:val="00205201"/>
    <w:rsid w:val="00217D4C"/>
    <w:rsid w:val="00227162"/>
    <w:rsid w:val="0023311A"/>
    <w:rsid w:val="00241182"/>
    <w:rsid w:val="00242C52"/>
    <w:rsid w:val="002444DB"/>
    <w:rsid w:val="002503C1"/>
    <w:rsid w:val="00255F8E"/>
    <w:rsid w:val="0026670D"/>
    <w:rsid w:val="002767F2"/>
    <w:rsid w:val="0028312B"/>
    <w:rsid w:val="00283658"/>
    <w:rsid w:val="00284BAA"/>
    <w:rsid w:val="0028566C"/>
    <w:rsid w:val="002923F8"/>
    <w:rsid w:val="002B1EE0"/>
    <w:rsid w:val="002B227E"/>
    <w:rsid w:val="002D205A"/>
    <w:rsid w:val="002E3D30"/>
    <w:rsid w:val="002F362C"/>
    <w:rsid w:val="002F4768"/>
    <w:rsid w:val="002F7AFC"/>
    <w:rsid w:val="0030150B"/>
    <w:rsid w:val="00301E6A"/>
    <w:rsid w:val="003061C7"/>
    <w:rsid w:val="00308DF8"/>
    <w:rsid w:val="00310CAC"/>
    <w:rsid w:val="003118D6"/>
    <w:rsid w:val="00317397"/>
    <w:rsid w:val="00320B21"/>
    <w:rsid w:val="00321D25"/>
    <w:rsid w:val="00326622"/>
    <w:rsid w:val="003279F3"/>
    <w:rsid w:val="0032B881"/>
    <w:rsid w:val="00334523"/>
    <w:rsid w:val="003350D1"/>
    <w:rsid w:val="003403BC"/>
    <w:rsid w:val="00343B06"/>
    <w:rsid w:val="00347889"/>
    <w:rsid w:val="003554F4"/>
    <w:rsid w:val="003720EF"/>
    <w:rsid w:val="00372176"/>
    <w:rsid w:val="00376918"/>
    <w:rsid w:val="00386208"/>
    <w:rsid w:val="00393A32"/>
    <w:rsid w:val="00396452"/>
    <w:rsid w:val="003B0CF1"/>
    <w:rsid w:val="003B20EF"/>
    <w:rsid w:val="003B489F"/>
    <w:rsid w:val="003B5F55"/>
    <w:rsid w:val="003C5EAC"/>
    <w:rsid w:val="003E0FF6"/>
    <w:rsid w:val="003E57A9"/>
    <w:rsid w:val="003F70DC"/>
    <w:rsid w:val="00402EEC"/>
    <w:rsid w:val="00403C36"/>
    <w:rsid w:val="004236A8"/>
    <w:rsid w:val="00425B07"/>
    <w:rsid w:val="00425CAA"/>
    <w:rsid w:val="00437064"/>
    <w:rsid w:val="004409BC"/>
    <w:rsid w:val="00443DD1"/>
    <w:rsid w:val="00447E7F"/>
    <w:rsid w:val="004518CF"/>
    <w:rsid w:val="00465012"/>
    <w:rsid w:val="004718B1"/>
    <w:rsid w:val="00475A0E"/>
    <w:rsid w:val="00481088"/>
    <w:rsid w:val="00497723"/>
    <w:rsid w:val="004B0874"/>
    <w:rsid w:val="004B397C"/>
    <w:rsid w:val="004B3D4D"/>
    <w:rsid w:val="004B700A"/>
    <w:rsid w:val="004D9BB3"/>
    <w:rsid w:val="004E6263"/>
    <w:rsid w:val="004E74E1"/>
    <w:rsid w:val="004F3B72"/>
    <w:rsid w:val="004F70A8"/>
    <w:rsid w:val="005007EA"/>
    <w:rsid w:val="005103AD"/>
    <w:rsid w:val="00513CAC"/>
    <w:rsid w:val="005233F1"/>
    <w:rsid w:val="005274B0"/>
    <w:rsid w:val="005348F0"/>
    <w:rsid w:val="0053682B"/>
    <w:rsid w:val="00544162"/>
    <w:rsid w:val="0055148C"/>
    <w:rsid w:val="0055727A"/>
    <w:rsid w:val="00561592"/>
    <w:rsid w:val="00574318"/>
    <w:rsid w:val="00574BFA"/>
    <w:rsid w:val="0057512E"/>
    <w:rsid w:val="0058521A"/>
    <w:rsid w:val="005A5311"/>
    <w:rsid w:val="005A7F5A"/>
    <w:rsid w:val="005B01ED"/>
    <w:rsid w:val="005B48FA"/>
    <w:rsid w:val="005B58ED"/>
    <w:rsid w:val="005C3633"/>
    <w:rsid w:val="005C8C74"/>
    <w:rsid w:val="005D205A"/>
    <w:rsid w:val="005D6E19"/>
    <w:rsid w:val="005E04E7"/>
    <w:rsid w:val="005E586D"/>
    <w:rsid w:val="005E79F0"/>
    <w:rsid w:val="005F2A9A"/>
    <w:rsid w:val="00606317"/>
    <w:rsid w:val="0062306D"/>
    <w:rsid w:val="00624D09"/>
    <w:rsid w:val="006323CA"/>
    <w:rsid w:val="00637B38"/>
    <w:rsid w:val="006428CE"/>
    <w:rsid w:val="00652BC4"/>
    <w:rsid w:val="006565DA"/>
    <w:rsid w:val="00671CE7"/>
    <w:rsid w:val="006724BC"/>
    <w:rsid w:val="00673235"/>
    <w:rsid w:val="006A2C52"/>
    <w:rsid w:val="006C0C95"/>
    <w:rsid w:val="006C2CAA"/>
    <w:rsid w:val="006C7703"/>
    <w:rsid w:val="006D1F0F"/>
    <w:rsid w:val="006E75C8"/>
    <w:rsid w:val="006F15F1"/>
    <w:rsid w:val="006F5483"/>
    <w:rsid w:val="00710EE2"/>
    <w:rsid w:val="00711D1F"/>
    <w:rsid w:val="00732125"/>
    <w:rsid w:val="00735769"/>
    <w:rsid w:val="00741014"/>
    <w:rsid w:val="00751A1D"/>
    <w:rsid w:val="00769EFB"/>
    <w:rsid w:val="007716E4"/>
    <w:rsid w:val="00772EF8"/>
    <w:rsid w:val="007754B5"/>
    <w:rsid w:val="00787C35"/>
    <w:rsid w:val="0079513B"/>
    <w:rsid w:val="007A1C53"/>
    <w:rsid w:val="007A2656"/>
    <w:rsid w:val="007A35DC"/>
    <w:rsid w:val="007A7317"/>
    <w:rsid w:val="007A7D27"/>
    <w:rsid w:val="007AB5DB"/>
    <w:rsid w:val="007B48E8"/>
    <w:rsid w:val="007B60CA"/>
    <w:rsid w:val="007C02D8"/>
    <w:rsid w:val="007D3C19"/>
    <w:rsid w:val="007D4C96"/>
    <w:rsid w:val="007D6F07"/>
    <w:rsid w:val="007F4B1F"/>
    <w:rsid w:val="00804D11"/>
    <w:rsid w:val="00805F5C"/>
    <w:rsid w:val="008069FF"/>
    <w:rsid w:val="00808DCD"/>
    <w:rsid w:val="008215C8"/>
    <w:rsid w:val="008231D9"/>
    <w:rsid w:val="008373ED"/>
    <w:rsid w:val="008416E7"/>
    <w:rsid w:val="00846D8A"/>
    <w:rsid w:val="00856193"/>
    <w:rsid w:val="00864850"/>
    <w:rsid w:val="0086C355"/>
    <w:rsid w:val="00875693"/>
    <w:rsid w:val="00875CDA"/>
    <w:rsid w:val="008853D9"/>
    <w:rsid w:val="008860FF"/>
    <w:rsid w:val="008B0803"/>
    <w:rsid w:val="008B48F2"/>
    <w:rsid w:val="008B7CAB"/>
    <w:rsid w:val="008C7AE0"/>
    <w:rsid w:val="008D7621"/>
    <w:rsid w:val="008DF6F2"/>
    <w:rsid w:val="008E2320"/>
    <w:rsid w:val="008E238E"/>
    <w:rsid w:val="008E7825"/>
    <w:rsid w:val="0091784A"/>
    <w:rsid w:val="00919513"/>
    <w:rsid w:val="009302A8"/>
    <w:rsid w:val="009321D5"/>
    <w:rsid w:val="009375DB"/>
    <w:rsid w:val="00940CA8"/>
    <w:rsid w:val="00945751"/>
    <w:rsid w:val="009549BD"/>
    <w:rsid w:val="00961E33"/>
    <w:rsid w:val="00964000"/>
    <w:rsid w:val="009641B0"/>
    <w:rsid w:val="00973AF1"/>
    <w:rsid w:val="009758BB"/>
    <w:rsid w:val="009808C8"/>
    <w:rsid w:val="009946D3"/>
    <w:rsid w:val="00996684"/>
    <w:rsid w:val="009A1D47"/>
    <w:rsid w:val="009B0C3A"/>
    <w:rsid w:val="009B2541"/>
    <w:rsid w:val="009C43CD"/>
    <w:rsid w:val="009C71F9"/>
    <w:rsid w:val="009E2731"/>
    <w:rsid w:val="00A01E3D"/>
    <w:rsid w:val="00A07D5B"/>
    <w:rsid w:val="00A102FA"/>
    <w:rsid w:val="00A12A03"/>
    <w:rsid w:val="00A440FF"/>
    <w:rsid w:val="00A44E33"/>
    <w:rsid w:val="00A6648F"/>
    <w:rsid w:val="00A70A5F"/>
    <w:rsid w:val="00A75CA8"/>
    <w:rsid w:val="00A77CA3"/>
    <w:rsid w:val="00A853CD"/>
    <w:rsid w:val="00A85DC8"/>
    <w:rsid w:val="00A94F98"/>
    <w:rsid w:val="00AA3AE3"/>
    <w:rsid w:val="00AA4EDB"/>
    <w:rsid w:val="00AB09AF"/>
    <w:rsid w:val="00AC113B"/>
    <w:rsid w:val="00AE6B00"/>
    <w:rsid w:val="00AE73AA"/>
    <w:rsid w:val="00AF17B4"/>
    <w:rsid w:val="00AF2E7E"/>
    <w:rsid w:val="00B039EE"/>
    <w:rsid w:val="00B23AA3"/>
    <w:rsid w:val="00B24813"/>
    <w:rsid w:val="00B24955"/>
    <w:rsid w:val="00B26051"/>
    <w:rsid w:val="00B26637"/>
    <w:rsid w:val="00B37034"/>
    <w:rsid w:val="00B61C80"/>
    <w:rsid w:val="00B622C7"/>
    <w:rsid w:val="00B63C40"/>
    <w:rsid w:val="00B675EC"/>
    <w:rsid w:val="00B81E48"/>
    <w:rsid w:val="00B850ED"/>
    <w:rsid w:val="00B90388"/>
    <w:rsid w:val="00B92F4B"/>
    <w:rsid w:val="00B94B47"/>
    <w:rsid w:val="00B963F4"/>
    <w:rsid w:val="00B96A26"/>
    <w:rsid w:val="00BA0052"/>
    <w:rsid w:val="00BA28B4"/>
    <w:rsid w:val="00BB1E13"/>
    <w:rsid w:val="00BB30AC"/>
    <w:rsid w:val="00BC4A2A"/>
    <w:rsid w:val="00BD2121"/>
    <w:rsid w:val="00BD59C7"/>
    <w:rsid w:val="00BE6CF9"/>
    <w:rsid w:val="00BF2FA8"/>
    <w:rsid w:val="00BF64F8"/>
    <w:rsid w:val="00BF66A7"/>
    <w:rsid w:val="00C01255"/>
    <w:rsid w:val="00C06DF9"/>
    <w:rsid w:val="00C12BA5"/>
    <w:rsid w:val="00C15C51"/>
    <w:rsid w:val="00C23541"/>
    <w:rsid w:val="00C24A21"/>
    <w:rsid w:val="00C3006A"/>
    <w:rsid w:val="00C332C7"/>
    <w:rsid w:val="00C3639D"/>
    <w:rsid w:val="00C41F87"/>
    <w:rsid w:val="00C42938"/>
    <w:rsid w:val="00C42B04"/>
    <w:rsid w:val="00C50C7D"/>
    <w:rsid w:val="00C55EA6"/>
    <w:rsid w:val="00C6099D"/>
    <w:rsid w:val="00C64F60"/>
    <w:rsid w:val="00C740BB"/>
    <w:rsid w:val="00C77714"/>
    <w:rsid w:val="00C9296B"/>
    <w:rsid w:val="00C93C7B"/>
    <w:rsid w:val="00CA4C11"/>
    <w:rsid w:val="00CB28EC"/>
    <w:rsid w:val="00CC0647"/>
    <w:rsid w:val="00CD0725"/>
    <w:rsid w:val="00CD459F"/>
    <w:rsid w:val="00CE0D7B"/>
    <w:rsid w:val="00D063DA"/>
    <w:rsid w:val="00D06747"/>
    <w:rsid w:val="00D10641"/>
    <w:rsid w:val="00D107E8"/>
    <w:rsid w:val="00D20BCC"/>
    <w:rsid w:val="00D3097C"/>
    <w:rsid w:val="00D3661F"/>
    <w:rsid w:val="00D40FAB"/>
    <w:rsid w:val="00D41FA2"/>
    <w:rsid w:val="00D437C4"/>
    <w:rsid w:val="00D633E2"/>
    <w:rsid w:val="00D67BFA"/>
    <w:rsid w:val="00D6E927"/>
    <w:rsid w:val="00D70AB4"/>
    <w:rsid w:val="00D77678"/>
    <w:rsid w:val="00D8257E"/>
    <w:rsid w:val="00D86994"/>
    <w:rsid w:val="00D92436"/>
    <w:rsid w:val="00D96F0E"/>
    <w:rsid w:val="00DA43D0"/>
    <w:rsid w:val="00DC1110"/>
    <w:rsid w:val="00DC205B"/>
    <w:rsid w:val="00DD31D4"/>
    <w:rsid w:val="00DD3A44"/>
    <w:rsid w:val="00DE4BBA"/>
    <w:rsid w:val="00DE5A50"/>
    <w:rsid w:val="00DF7A51"/>
    <w:rsid w:val="00E05F92"/>
    <w:rsid w:val="00E17B6C"/>
    <w:rsid w:val="00E230F3"/>
    <w:rsid w:val="00E26368"/>
    <w:rsid w:val="00E31C52"/>
    <w:rsid w:val="00E52D25"/>
    <w:rsid w:val="00E53F90"/>
    <w:rsid w:val="00E76363"/>
    <w:rsid w:val="00E9596D"/>
    <w:rsid w:val="00E96358"/>
    <w:rsid w:val="00E9658D"/>
    <w:rsid w:val="00EA5CFA"/>
    <w:rsid w:val="00EB1849"/>
    <w:rsid w:val="00EC5A63"/>
    <w:rsid w:val="00ED03D7"/>
    <w:rsid w:val="00ED1852"/>
    <w:rsid w:val="00ED55B0"/>
    <w:rsid w:val="00EE077B"/>
    <w:rsid w:val="00EE765E"/>
    <w:rsid w:val="00EF7F3F"/>
    <w:rsid w:val="00F017BB"/>
    <w:rsid w:val="00F10769"/>
    <w:rsid w:val="00F1199E"/>
    <w:rsid w:val="00F1797C"/>
    <w:rsid w:val="00F21ACA"/>
    <w:rsid w:val="00F227FD"/>
    <w:rsid w:val="00F4316B"/>
    <w:rsid w:val="00F45B17"/>
    <w:rsid w:val="00F5679F"/>
    <w:rsid w:val="00F57B08"/>
    <w:rsid w:val="00F60044"/>
    <w:rsid w:val="00F60EB6"/>
    <w:rsid w:val="00F6275A"/>
    <w:rsid w:val="00F67850"/>
    <w:rsid w:val="00F745E2"/>
    <w:rsid w:val="00F746A6"/>
    <w:rsid w:val="00F765BB"/>
    <w:rsid w:val="00F81702"/>
    <w:rsid w:val="00FA00C2"/>
    <w:rsid w:val="00FA1225"/>
    <w:rsid w:val="00FB06DC"/>
    <w:rsid w:val="00FB535F"/>
    <w:rsid w:val="00FBC049"/>
    <w:rsid w:val="00FC1465"/>
    <w:rsid w:val="00FC2CCF"/>
    <w:rsid w:val="00FD5A61"/>
    <w:rsid w:val="00FF2C08"/>
    <w:rsid w:val="00FF44CC"/>
    <w:rsid w:val="01030E2E"/>
    <w:rsid w:val="011C368B"/>
    <w:rsid w:val="01363965"/>
    <w:rsid w:val="01567C7D"/>
    <w:rsid w:val="015C2B27"/>
    <w:rsid w:val="016B3F65"/>
    <w:rsid w:val="016F87EB"/>
    <w:rsid w:val="017BA588"/>
    <w:rsid w:val="0194BDEF"/>
    <w:rsid w:val="01A8E046"/>
    <w:rsid w:val="01AF86AC"/>
    <w:rsid w:val="01B409A4"/>
    <w:rsid w:val="01BF0CD3"/>
    <w:rsid w:val="01C6B731"/>
    <w:rsid w:val="01C9F0B8"/>
    <w:rsid w:val="01D1C000"/>
    <w:rsid w:val="01D42E2D"/>
    <w:rsid w:val="01F60BF3"/>
    <w:rsid w:val="01F745BE"/>
    <w:rsid w:val="020D3BE0"/>
    <w:rsid w:val="021F1969"/>
    <w:rsid w:val="02273B00"/>
    <w:rsid w:val="022BBAC4"/>
    <w:rsid w:val="024DC728"/>
    <w:rsid w:val="02583256"/>
    <w:rsid w:val="025B4359"/>
    <w:rsid w:val="025BE6B5"/>
    <w:rsid w:val="025D69EC"/>
    <w:rsid w:val="0260E938"/>
    <w:rsid w:val="0272B988"/>
    <w:rsid w:val="027CE77B"/>
    <w:rsid w:val="02849172"/>
    <w:rsid w:val="02960D09"/>
    <w:rsid w:val="029A0F4A"/>
    <w:rsid w:val="02C3279B"/>
    <w:rsid w:val="02CD47B3"/>
    <w:rsid w:val="02CFA4D3"/>
    <w:rsid w:val="02D68661"/>
    <w:rsid w:val="02D86019"/>
    <w:rsid w:val="02DD7BEB"/>
    <w:rsid w:val="02E26E83"/>
    <w:rsid w:val="03098CE8"/>
    <w:rsid w:val="030F5944"/>
    <w:rsid w:val="031147CA"/>
    <w:rsid w:val="031FFCFF"/>
    <w:rsid w:val="0322B545"/>
    <w:rsid w:val="0324160B"/>
    <w:rsid w:val="032D2CA0"/>
    <w:rsid w:val="03345036"/>
    <w:rsid w:val="033695BA"/>
    <w:rsid w:val="0339DB0A"/>
    <w:rsid w:val="033BF28F"/>
    <w:rsid w:val="03464C24"/>
    <w:rsid w:val="0346814E"/>
    <w:rsid w:val="03494F68"/>
    <w:rsid w:val="0349B6AD"/>
    <w:rsid w:val="034A68A5"/>
    <w:rsid w:val="036088B4"/>
    <w:rsid w:val="0360DF16"/>
    <w:rsid w:val="036D9061"/>
    <w:rsid w:val="03866E5D"/>
    <w:rsid w:val="03994DAE"/>
    <w:rsid w:val="03A2A734"/>
    <w:rsid w:val="03A49844"/>
    <w:rsid w:val="03B8517B"/>
    <w:rsid w:val="03B8E5F9"/>
    <w:rsid w:val="03BD7D12"/>
    <w:rsid w:val="03C78B25"/>
    <w:rsid w:val="03CA8F19"/>
    <w:rsid w:val="03D15999"/>
    <w:rsid w:val="03D60927"/>
    <w:rsid w:val="03DB09FE"/>
    <w:rsid w:val="03E1C08A"/>
    <w:rsid w:val="03E740AA"/>
    <w:rsid w:val="03F7B716"/>
    <w:rsid w:val="03FEB0A1"/>
    <w:rsid w:val="040E89E9"/>
    <w:rsid w:val="04124A91"/>
    <w:rsid w:val="041C77B5"/>
    <w:rsid w:val="041F04CE"/>
    <w:rsid w:val="041F8DD2"/>
    <w:rsid w:val="04212CF9"/>
    <w:rsid w:val="042B72EE"/>
    <w:rsid w:val="04351A3D"/>
    <w:rsid w:val="043D278B"/>
    <w:rsid w:val="044B232E"/>
    <w:rsid w:val="044CB483"/>
    <w:rsid w:val="045F70F8"/>
    <w:rsid w:val="047AEC92"/>
    <w:rsid w:val="047D586D"/>
    <w:rsid w:val="04809641"/>
    <w:rsid w:val="048BFB80"/>
    <w:rsid w:val="049748ED"/>
    <w:rsid w:val="04975C61"/>
    <w:rsid w:val="04BFFD63"/>
    <w:rsid w:val="04C0AA67"/>
    <w:rsid w:val="04C6168D"/>
    <w:rsid w:val="04CDE512"/>
    <w:rsid w:val="04D5025A"/>
    <w:rsid w:val="04DF5A13"/>
    <w:rsid w:val="04E15B6E"/>
    <w:rsid w:val="04F292C2"/>
    <w:rsid w:val="04FA798A"/>
    <w:rsid w:val="0504D2C3"/>
    <w:rsid w:val="0505866C"/>
    <w:rsid w:val="050629A4"/>
    <w:rsid w:val="05087F18"/>
    <w:rsid w:val="050C8A0E"/>
    <w:rsid w:val="050CA9A9"/>
    <w:rsid w:val="050FF7A5"/>
    <w:rsid w:val="051C9599"/>
    <w:rsid w:val="052F53BA"/>
    <w:rsid w:val="053224CC"/>
    <w:rsid w:val="053CB7DA"/>
    <w:rsid w:val="0540EBCD"/>
    <w:rsid w:val="054D55B4"/>
    <w:rsid w:val="0561E078"/>
    <w:rsid w:val="0588A729"/>
    <w:rsid w:val="05998EC8"/>
    <w:rsid w:val="05AF3CA6"/>
    <w:rsid w:val="05BC3234"/>
    <w:rsid w:val="05BF2869"/>
    <w:rsid w:val="05C21215"/>
    <w:rsid w:val="05D61FEC"/>
    <w:rsid w:val="05F96E42"/>
    <w:rsid w:val="06132C3C"/>
    <w:rsid w:val="062AE32B"/>
    <w:rsid w:val="0631EB4C"/>
    <w:rsid w:val="0642875E"/>
    <w:rsid w:val="0649BFCB"/>
    <w:rsid w:val="064C0522"/>
    <w:rsid w:val="06660BAA"/>
    <w:rsid w:val="06739351"/>
    <w:rsid w:val="067B0B58"/>
    <w:rsid w:val="0680F02A"/>
    <w:rsid w:val="06857269"/>
    <w:rsid w:val="06874D3B"/>
    <w:rsid w:val="068F684D"/>
    <w:rsid w:val="069FCF7C"/>
    <w:rsid w:val="06A0776C"/>
    <w:rsid w:val="06A7BD02"/>
    <w:rsid w:val="06E87B4B"/>
    <w:rsid w:val="06E9368B"/>
    <w:rsid w:val="070FD53B"/>
    <w:rsid w:val="071D4965"/>
    <w:rsid w:val="0721A1D5"/>
    <w:rsid w:val="076313B0"/>
    <w:rsid w:val="076997EE"/>
    <w:rsid w:val="07702AB4"/>
    <w:rsid w:val="0771F04D"/>
    <w:rsid w:val="07724FB2"/>
    <w:rsid w:val="077B077F"/>
    <w:rsid w:val="079083DE"/>
    <w:rsid w:val="07B033E3"/>
    <w:rsid w:val="07BE79D4"/>
    <w:rsid w:val="07D0A2C8"/>
    <w:rsid w:val="07D36D70"/>
    <w:rsid w:val="07DE75C8"/>
    <w:rsid w:val="07E7D583"/>
    <w:rsid w:val="07F2A4BB"/>
    <w:rsid w:val="07F9FE00"/>
    <w:rsid w:val="07FDB874"/>
    <w:rsid w:val="080F63B2"/>
    <w:rsid w:val="0818F1EF"/>
    <w:rsid w:val="0819BD47"/>
    <w:rsid w:val="0830B9F9"/>
    <w:rsid w:val="08336851"/>
    <w:rsid w:val="08453389"/>
    <w:rsid w:val="08479867"/>
    <w:rsid w:val="0864F7BA"/>
    <w:rsid w:val="086917AB"/>
    <w:rsid w:val="086F8DBA"/>
    <w:rsid w:val="08AFE5FE"/>
    <w:rsid w:val="08BBDF41"/>
    <w:rsid w:val="08BDB041"/>
    <w:rsid w:val="08C361A0"/>
    <w:rsid w:val="08C42CF5"/>
    <w:rsid w:val="08C5BDE8"/>
    <w:rsid w:val="08C61B32"/>
    <w:rsid w:val="08D69A93"/>
    <w:rsid w:val="08E8D0C3"/>
    <w:rsid w:val="08EC34FE"/>
    <w:rsid w:val="08F10796"/>
    <w:rsid w:val="08F6536F"/>
    <w:rsid w:val="08F6C92B"/>
    <w:rsid w:val="08F7AD24"/>
    <w:rsid w:val="090403BD"/>
    <w:rsid w:val="090494F4"/>
    <w:rsid w:val="0905684F"/>
    <w:rsid w:val="090BFB15"/>
    <w:rsid w:val="090E2013"/>
    <w:rsid w:val="0915DEA2"/>
    <w:rsid w:val="091FB29E"/>
    <w:rsid w:val="0935242F"/>
    <w:rsid w:val="093C5210"/>
    <w:rsid w:val="093DC33F"/>
    <w:rsid w:val="0944D71F"/>
    <w:rsid w:val="0946CE51"/>
    <w:rsid w:val="0951B007"/>
    <w:rsid w:val="096738D3"/>
    <w:rsid w:val="097076CD"/>
    <w:rsid w:val="0974C4F8"/>
    <w:rsid w:val="09936DE7"/>
    <w:rsid w:val="099BA434"/>
    <w:rsid w:val="09A3EACE"/>
    <w:rsid w:val="09BF95A8"/>
    <w:rsid w:val="09C09CA2"/>
    <w:rsid w:val="09D163C1"/>
    <w:rsid w:val="09D2F83A"/>
    <w:rsid w:val="09D8F78F"/>
    <w:rsid w:val="09EF1B86"/>
    <w:rsid w:val="09FB2380"/>
    <w:rsid w:val="0A02F2F2"/>
    <w:rsid w:val="0A1976A7"/>
    <w:rsid w:val="0A1DA44C"/>
    <w:rsid w:val="0A2A0153"/>
    <w:rsid w:val="0A3F2039"/>
    <w:rsid w:val="0A434C35"/>
    <w:rsid w:val="0A481A6B"/>
    <w:rsid w:val="0A4E8944"/>
    <w:rsid w:val="0A609E5A"/>
    <w:rsid w:val="0A6309B3"/>
    <w:rsid w:val="0A6B10B4"/>
    <w:rsid w:val="0A7981D8"/>
    <w:rsid w:val="0A7AD796"/>
    <w:rsid w:val="0A835128"/>
    <w:rsid w:val="0A83B724"/>
    <w:rsid w:val="0A869787"/>
    <w:rsid w:val="0A8730DA"/>
    <w:rsid w:val="0A87F691"/>
    <w:rsid w:val="0A88F283"/>
    <w:rsid w:val="0A8D3C29"/>
    <w:rsid w:val="0A92998C"/>
    <w:rsid w:val="0A9C61C8"/>
    <w:rsid w:val="0AA9910F"/>
    <w:rsid w:val="0AAAB4B5"/>
    <w:rsid w:val="0ABF2DF1"/>
    <w:rsid w:val="0ABFBB28"/>
    <w:rsid w:val="0AE840EC"/>
    <w:rsid w:val="0AEAC489"/>
    <w:rsid w:val="0AF07B56"/>
    <w:rsid w:val="0B06757F"/>
    <w:rsid w:val="0B17C82F"/>
    <w:rsid w:val="0B1F05DE"/>
    <w:rsid w:val="0B20E3AA"/>
    <w:rsid w:val="0B253B9D"/>
    <w:rsid w:val="0B255363"/>
    <w:rsid w:val="0B3B38F0"/>
    <w:rsid w:val="0B3F1CF9"/>
    <w:rsid w:val="0B4086FD"/>
    <w:rsid w:val="0B489FAE"/>
    <w:rsid w:val="0B4FD6C9"/>
    <w:rsid w:val="0B67AE40"/>
    <w:rsid w:val="0B70B244"/>
    <w:rsid w:val="0B96F3E1"/>
    <w:rsid w:val="0B9D7DE9"/>
    <w:rsid w:val="0BA60098"/>
    <w:rsid w:val="0BB21F14"/>
    <w:rsid w:val="0BF7E8AD"/>
    <w:rsid w:val="0C188B75"/>
    <w:rsid w:val="0C1A9039"/>
    <w:rsid w:val="0C2B73B8"/>
    <w:rsid w:val="0C383229"/>
    <w:rsid w:val="0C610D97"/>
    <w:rsid w:val="0C650A48"/>
    <w:rsid w:val="0C8694EA"/>
    <w:rsid w:val="0C91D679"/>
    <w:rsid w:val="0C98A085"/>
    <w:rsid w:val="0CA94F17"/>
    <w:rsid w:val="0CB06F2E"/>
    <w:rsid w:val="0CBD1D0F"/>
    <w:rsid w:val="0CC1D7F0"/>
    <w:rsid w:val="0CC5F48D"/>
    <w:rsid w:val="0CC65A5F"/>
    <w:rsid w:val="0CD91A18"/>
    <w:rsid w:val="0CE9DE23"/>
    <w:rsid w:val="0D11C4E6"/>
    <w:rsid w:val="0D1BF5A8"/>
    <w:rsid w:val="0D214BA6"/>
    <w:rsid w:val="0D32522D"/>
    <w:rsid w:val="0D3FCFBA"/>
    <w:rsid w:val="0D4FBAC3"/>
    <w:rsid w:val="0D5ED189"/>
    <w:rsid w:val="0D727C65"/>
    <w:rsid w:val="0D759B16"/>
    <w:rsid w:val="0D7F45F9"/>
    <w:rsid w:val="0D89150C"/>
    <w:rsid w:val="0D8CAEF9"/>
    <w:rsid w:val="0D912164"/>
    <w:rsid w:val="0D93B90E"/>
    <w:rsid w:val="0D97326A"/>
    <w:rsid w:val="0D9D31BF"/>
    <w:rsid w:val="0DB7E613"/>
    <w:rsid w:val="0DC707E9"/>
    <w:rsid w:val="0DC74419"/>
    <w:rsid w:val="0DDDA656"/>
    <w:rsid w:val="0DE009B8"/>
    <w:rsid w:val="0DE6BE0A"/>
    <w:rsid w:val="0DEA7F3E"/>
    <w:rsid w:val="0E0EF2F5"/>
    <w:rsid w:val="0E0F4C7E"/>
    <w:rsid w:val="0E259220"/>
    <w:rsid w:val="0E3492CE"/>
    <w:rsid w:val="0E3CF4E9"/>
    <w:rsid w:val="0E42DE2E"/>
    <w:rsid w:val="0E61C725"/>
    <w:rsid w:val="0E6989D1"/>
    <w:rsid w:val="0E6EB638"/>
    <w:rsid w:val="0E7324AD"/>
    <w:rsid w:val="0E841EB1"/>
    <w:rsid w:val="0E8B778D"/>
    <w:rsid w:val="0E90844E"/>
    <w:rsid w:val="0E91D2F2"/>
    <w:rsid w:val="0EA59E7F"/>
    <w:rsid w:val="0EBDFD41"/>
    <w:rsid w:val="0EC5A6E1"/>
    <w:rsid w:val="0ED1FE5C"/>
    <w:rsid w:val="0EEA5DC9"/>
    <w:rsid w:val="0EECB4F9"/>
    <w:rsid w:val="0EFB9661"/>
    <w:rsid w:val="0EFE8A6F"/>
    <w:rsid w:val="0F033E09"/>
    <w:rsid w:val="0F0AAB49"/>
    <w:rsid w:val="0F101AF8"/>
    <w:rsid w:val="0F200003"/>
    <w:rsid w:val="0F287F5A"/>
    <w:rsid w:val="0F2CF1C5"/>
    <w:rsid w:val="0F336E79"/>
    <w:rsid w:val="0F379B52"/>
    <w:rsid w:val="0F390220"/>
    <w:rsid w:val="0F3BA1F9"/>
    <w:rsid w:val="0F4E84AF"/>
    <w:rsid w:val="0F519D73"/>
    <w:rsid w:val="0F5B67B4"/>
    <w:rsid w:val="0F6118E6"/>
    <w:rsid w:val="0F614D2B"/>
    <w:rsid w:val="0F72879D"/>
    <w:rsid w:val="0F7372D3"/>
    <w:rsid w:val="0F79E030"/>
    <w:rsid w:val="0F9A8A23"/>
    <w:rsid w:val="0FACD1F4"/>
    <w:rsid w:val="0FAE5A38"/>
    <w:rsid w:val="0FB03B09"/>
    <w:rsid w:val="0FB08BC2"/>
    <w:rsid w:val="0FB50B7C"/>
    <w:rsid w:val="0FB975B8"/>
    <w:rsid w:val="0FBB393F"/>
    <w:rsid w:val="0FBE35AC"/>
    <w:rsid w:val="0FD372B6"/>
    <w:rsid w:val="0FD9E6A2"/>
    <w:rsid w:val="0FE89265"/>
    <w:rsid w:val="0FF31444"/>
    <w:rsid w:val="0FFA0922"/>
    <w:rsid w:val="1002AF6B"/>
    <w:rsid w:val="10081E71"/>
    <w:rsid w:val="100A9CF1"/>
    <w:rsid w:val="100F1158"/>
    <w:rsid w:val="102076AD"/>
    <w:rsid w:val="102647B9"/>
    <w:rsid w:val="103564CC"/>
    <w:rsid w:val="103C520B"/>
    <w:rsid w:val="103CEAD5"/>
    <w:rsid w:val="104AEEA7"/>
    <w:rsid w:val="105E5A7F"/>
    <w:rsid w:val="1066A8E6"/>
    <w:rsid w:val="108AA874"/>
    <w:rsid w:val="10A4A0DA"/>
    <w:rsid w:val="10AF99C9"/>
    <w:rsid w:val="10BE1DA9"/>
    <w:rsid w:val="10C51F5D"/>
    <w:rsid w:val="10C66E28"/>
    <w:rsid w:val="10CCDE56"/>
    <w:rsid w:val="10E1329C"/>
    <w:rsid w:val="10E606B3"/>
    <w:rsid w:val="10E6AA5B"/>
    <w:rsid w:val="10ED6DD4"/>
    <w:rsid w:val="10F0D106"/>
    <w:rsid w:val="10F5FD72"/>
    <w:rsid w:val="10F6725E"/>
    <w:rsid w:val="10FC197B"/>
    <w:rsid w:val="11002A34"/>
    <w:rsid w:val="110B7DE9"/>
    <w:rsid w:val="1117AA7A"/>
    <w:rsid w:val="113F1221"/>
    <w:rsid w:val="11544233"/>
    <w:rsid w:val="115A060D"/>
    <w:rsid w:val="115CA398"/>
    <w:rsid w:val="115E6077"/>
    <w:rsid w:val="11672210"/>
    <w:rsid w:val="1175B703"/>
    <w:rsid w:val="1177C063"/>
    <w:rsid w:val="11857E93"/>
    <w:rsid w:val="11AD6A6E"/>
    <w:rsid w:val="11BC0840"/>
    <w:rsid w:val="11D00A22"/>
    <w:rsid w:val="11D97F71"/>
    <w:rsid w:val="11E2381D"/>
    <w:rsid w:val="120913F3"/>
    <w:rsid w:val="120CBC6B"/>
    <w:rsid w:val="12338168"/>
    <w:rsid w:val="123D7FDA"/>
    <w:rsid w:val="1252F81C"/>
    <w:rsid w:val="125FD49B"/>
    <w:rsid w:val="1264547C"/>
    <w:rsid w:val="1265B8AF"/>
    <w:rsid w:val="12693C8D"/>
    <w:rsid w:val="1285A865"/>
    <w:rsid w:val="1289D1BD"/>
    <w:rsid w:val="128D2ADA"/>
    <w:rsid w:val="12954335"/>
    <w:rsid w:val="1299658C"/>
    <w:rsid w:val="129AB53C"/>
    <w:rsid w:val="129B206F"/>
    <w:rsid w:val="129BFA95"/>
    <w:rsid w:val="12C851AA"/>
    <w:rsid w:val="12D850DE"/>
    <w:rsid w:val="12D8B125"/>
    <w:rsid w:val="12DF69F0"/>
    <w:rsid w:val="12E80E46"/>
    <w:rsid w:val="12F4EDD3"/>
    <w:rsid w:val="12F5D66E"/>
    <w:rsid w:val="1328FEFE"/>
    <w:rsid w:val="13339127"/>
    <w:rsid w:val="13344D16"/>
    <w:rsid w:val="135D369B"/>
    <w:rsid w:val="136A632B"/>
    <w:rsid w:val="136CF9FB"/>
    <w:rsid w:val="136DEB55"/>
    <w:rsid w:val="136FEFD9"/>
    <w:rsid w:val="13754FD2"/>
    <w:rsid w:val="138060ED"/>
    <w:rsid w:val="138661EE"/>
    <w:rsid w:val="138A7A19"/>
    <w:rsid w:val="139703A6"/>
    <w:rsid w:val="13A88CCC"/>
    <w:rsid w:val="13BA57D7"/>
    <w:rsid w:val="13E38C1B"/>
    <w:rsid w:val="13EAAF2A"/>
    <w:rsid w:val="13F283F6"/>
    <w:rsid w:val="13FD9044"/>
    <w:rsid w:val="1402FA92"/>
    <w:rsid w:val="140F29E3"/>
    <w:rsid w:val="141A5E1F"/>
    <w:rsid w:val="142E1320"/>
    <w:rsid w:val="1436859D"/>
    <w:rsid w:val="14409865"/>
    <w:rsid w:val="14567F79"/>
    <w:rsid w:val="1463D00D"/>
    <w:rsid w:val="146E253B"/>
    <w:rsid w:val="1475FAD5"/>
    <w:rsid w:val="1476B2E3"/>
    <w:rsid w:val="147ABC34"/>
    <w:rsid w:val="147E3479"/>
    <w:rsid w:val="1481CB5B"/>
    <w:rsid w:val="1491A6CF"/>
    <w:rsid w:val="1499E651"/>
    <w:rsid w:val="149EC2D2"/>
    <w:rsid w:val="14AE09DE"/>
    <w:rsid w:val="14C3589B"/>
    <w:rsid w:val="14CB402C"/>
    <w:rsid w:val="14CF6188"/>
    <w:rsid w:val="14EE8AFB"/>
    <w:rsid w:val="14F13DFC"/>
    <w:rsid w:val="14FBDC6E"/>
    <w:rsid w:val="1504A15A"/>
    <w:rsid w:val="150932AD"/>
    <w:rsid w:val="15147306"/>
    <w:rsid w:val="1532D407"/>
    <w:rsid w:val="1533BA81"/>
    <w:rsid w:val="15354D0C"/>
    <w:rsid w:val="1539BBB3"/>
    <w:rsid w:val="1546A2B7"/>
    <w:rsid w:val="15470E48"/>
    <w:rsid w:val="154BE5B3"/>
    <w:rsid w:val="154CE2DE"/>
    <w:rsid w:val="154DE9D5"/>
    <w:rsid w:val="155EDBE5"/>
    <w:rsid w:val="15622323"/>
    <w:rsid w:val="15624641"/>
    <w:rsid w:val="156E7021"/>
    <w:rsid w:val="15830AEC"/>
    <w:rsid w:val="15892838"/>
    <w:rsid w:val="158FCA55"/>
    <w:rsid w:val="15912784"/>
    <w:rsid w:val="15A7417D"/>
    <w:rsid w:val="15C0DEF7"/>
    <w:rsid w:val="15C482D8"/>
    <w:rsid w:val="15CA7061"/>
    <w:rsid w:val="15CF8A9E"/>
    <w:rsid w:val="15D37F93"/>
    <w:rsid w:val="15F4BD7B"/>
    <w:rsid w:val="15F9F16C"/>
    <w:rsid w:val="16128344"/>
    <w:rsid w:val="16183D2E"/>
    <w:rsid w:val="1618D9AD"/>
    <w:rsid w:val="161935EE"/>
    <w:rsid w:val="161EA974"/>
    <w:rsid w:val="161F2A3B"/>
    <w:rsid w:val="161FAF08"/>
    <w:rsid w:val="162E122B"/>
    <w:rsid w:val="16393A77"/>
    <w:rsid w:val="164F4FE6"/>
    <w:rsid w:val="16545CD4"/>
    <w:rsid w:val="1672F2EC"/>
    <w:rsid w:val="167DEB97"/>
    <w:rsid w:val="167E20C6"/>
    <w:rsid w:val="168C63BA"/>
    <w:rsid w:val="1695A338"/>
    <w:rsid w:val="169D6E34"/>
    <w:rsid w:val="16A55139"/>
    <w:rsid w:val="16A55E8B"/>
    <w:rsid w:val="16A74BD5"/>
    <w:rsid w:val="16BA18C4"/>
    <w:rsid w:val="16DA2DDE"/>
    <w:rsid w:val="16DF21E8"/>
    <w:rsid w:val="16E9356B"/>
    <w:rsid w:val="17023315"/>
    <w:rsid w:val="170354FF"/>
    <w:rsid w:val="170DC893"/>
    <w:rsid w:val="1715614A"/>
    <w:rsid w:val="171C25A8"/>
    <w:rsid w:val="171F9A5C"/>
    <w:rsid w:val="1724F899"/>
    <w:rsid w:val="173A9B54"/>
    <w:rsid w:val="174288DA"/>
    <w:rsid w:val="174354CC"/>
    <w:rsid w:val="1765F402"/>
    <w:rsid w:val="176FEDA7"/>
    <w:rsid w:val="17A2754A"/>
    <w:rsid w:val="17A49A4B"/>
    <w:rsid w:val="17C657AD"/>
    <w:rsid w:val="17D327EA"/>
    <w:rsid w:val="17D38B81"/>
    <w:rsid w:val="17DE0D47"/>
    <w:rsid w:val="17EC3196"/>
    <w:rsid w:val="17F11977"/>
    <w:rsid w:val="18123520"/>
    <w:rsid w:val="182B05E0"/>
    <w:rsid w:val="183F39B9"/>
    <w:rsid w:val="18498C1B"/>
    <w:rsid w:val="184A9E7E"/>
    <w:rsid w:val="185179A1"/>
    <w:rsid w:val="185F9D54"/>
    <w:rsid w:val="1862AEAD"/>
    <w:rsid w:val="1863B09A"/>
    <w:rsid w:val="186A74C9"/>
    <w:rsid w:val="186B00DA"/>
    <w:rsid w:val="186B5B43"/>
    <w:rsid w:val="18712217"/>
    <w:rsid w:val="187513A5"/>
    <w:rsid w:val="187D10EC"/>
    <w:rsid w:val="1888B1A0"/>
    <w:rsid w:val="18A04B8A"/>
    <w:rsid w:val="18A90536"/>
    <w:rsid w:val="18B1859B"/>
    <w:rsid w:val="18B22091"/>
    <w:rsid w:val="18C696F1"/>
    <w:rsid w:val="18CBD0B3"/>
    <w:rsid w:val="18CF161F"/>
    <w:rsid w:val="18D16C16"/>
    <w:rsid w:val="18D28591"/>
    <w:rsid w:val="18DAB916"/>
    <w:rsid w:val="18DE593B"/>
    <w:rsid w:val="18E0A2B2"/>
    <w:rsid w:val="18F87FB9"/>
    <w:rsid w:val="18FE0A8D"/>
    <w:rsid w:val="19004186"/>
    <w:rsid w:val="19059217"/>
    <w:rsid w:val="19068154"/>
    <w:rsid w:val="19079A19"/>
    <w:rsid w:val="190927F8"/>
    <w:rsid w:val="19113809"/>
    <w:rsid w:val="1928440C"/>
    <w:rsid w:val="192B30EF"/>
    <w:rsid w:val="1931BFE4"/>
    <w:rsid w:val="194A0697"/>
    <w:rsid w:val="194A4AEB"/>
    <w:rsid w:val="19553C7E"/>
    <w:rsid w:val="19574FCA"/>
    <w:rsid w:val="195AEF45"/>
    <w:rsid w:val="19746A3B"/>
    <w:rsid w:val="197C80FE"/>
    <w:rsid w:val="19876040"/>
    <w:rsid w:val="198A372E"/>
    <w:rsid w:val="198B1353"/>
    <w:rsid w:val="198D4F21"/>
    <w:rsid w:val="199AE37A"/>
    <w:rsid w:val="19A456EB"/>
    <w:rsid w:val="19C1FC1E"/>
    <w:rsid w:val="19CC781F"/>
    <w:rsid w:val="19DE896C"/>
    <w:rsid w:val="19E49156"/>
    <w:rsid w:val="19F4ADE3"/>
    <w:rsid w:val="19FD14EC"/>
    <w:rsid w:val="1A01364B"/>
    <w:rsid w:val="1A10D535"/>
    <w:rsid w:val="1A10E406"/>
    <w:rsid w:val="1A13C131"/>
    <w:rsid w:val="1A3E26EA"/>
    <w:rsid w:val="1A432537"/>
    <w:rsid w:val="1A44CC74"/>
    <w:rsid w:val="1A45C218"/>
    <w:rsid w:val="1A4891BF"/>
    <w:rsid w:val="1A600520"/>
    <w:rsid w:val="1A76D135"/>
    <w:rsid w:val="1A792D7D"/>
    <w:rsid w:val="1A8C6294"/>
    <w:rsid w:val="1A94501A"/>
    <w:rsid w:val="1ABA3B32"/>
    <w:rsid w:val="1ABD85B0"/>
    <w:rsid w:val="1ABFF712"/>
    <w:rsid w:val="1AD239B4"/>
    <w:rsid w:val="1ADA97B2"/>
    <w:rsid w:val="1AE211FE"/>
    <w:rsid w:val="1AE51F2D"/>
    <w:rsid w:val="1AF3202B"/>
    <w:rsid w:val="1AF9ED79"/>
    <w:rsid w:val="1B0004A1"/>
    <w:rsid w:val="1B02A718"/>
    <w:rsid w:val="1B174BCB"/>
    <w:rsid w:val="1B189586"/>
    <w:rsid w:val="1B2DE0A6"/>
    <w:rsid w:val="1B2F2497"/>
    <w:rsid w:val="1B3EA30C"/>
    <w:rsid w:val="1B4837B3"/>
    <w:rsid w:val="1B493687"/>
    <w:rsid w:val="1B51847E"/>
    <w:rsid w:val="1B5F3AD3"/>
    <w:rsid w:val="1B62A1B9"/>
    <w:rsid w:val="1B723662"/>
    <w:rsid w:val="1B88A695"/>
    <w:rsid w:val="1B8B86D1"/>
    <w:rsid w:val="1B92D940"/>
    <w:rsid w:val="1B9889D6"/>
    <w:rsid w:val="1BA7D654"/>
    <w:rsid w:val="1BA8C2D9"/>
    <w:rsid w:val="1BA9E86D"/>
    <w:rsid w:val="1BAD391B"/>
    <w:rsid w:val="1BBD506B"/>
    <w:rsid w:val="1BD90D7B"/>
    <w:rsid w:val="1BDB200F"/>
    <w:rsid w:val="1BEB14F9"/>
    <w:rsid w:val="1BF24C70"/>
    <w:rsid w:val="1C06B6E1"/>
    <w:rsid w:val="1C0DFEFE"/>
    <w:rsid w:val="1C1EFBCD"/>
    <w:rsid w:val="1C236D58"/>
    <w:rsid w:val="1C30A7A3"/>
    <w:rsid w:val="1C36A714"/>
    <w:rsid w:val="1C392505"/>
    <w:rsid w:val="1C3D32D9"/>
    <w:rsid w:val="1C3ECC22"/>
    <w:rsid w:val="1C52F5ED"/>
    <w:rsid w:val="1C5E999E"/>
    <w:rsid w:val="1C61915E"/>
    <w:rsid w:val="1C6DB97C"/>
    <w:rsid w:val="1C7564B0"/>
    <w:rsid w:val="1C77B3E5"/>
    <w:rsid w:val="1C7DE25F"/>
    <w:rsid w:val="1C8CDD40"/>
    <w:rsid w:val="1C8EF08C"/>
    <w:rsid w:val="1C977290"/>
    <w:rsid w:val="1CA30673"/>
    <w:rsid w:val="1CA6A873"/>
    <w:rsid w:val="1CB9AE6C"/>
    <w:rsid w:val="1CBEF611"/>
    <w:rsid w:val="1CCD845F"/>
    <w:rsid w:val="1CCE7005"/>
    <w:rsid w:val="1CDAC3AD"/>
    <w:rsid w:val="1CE27DDC"/>
    <w:rsid w:val="1CE63780"/>
    <w:rsid w:val="1CEF60AC"/>
    <w:rsid w:val="1CF581E6"/>
    <w:rsid w:val="1D0C53ED"/>
    <w:rsid w:val="1D2746A0"/>
    <w:rsid w:val="1D296E42"/>
    <w:rsid w:val="1D38BD48"/>
    <w:rsid w:val="1D3ECC66"/>
    <w:rsid w:val="1D679ACA"/>
    <w:rsid w:val="1D69C42B"/>
    <w:rsid w:val="1D7088B9"/>
    <w:rsid w:val="1D803281"/>
    <w:rsid w:val="1D8A9E0B"/>
    <w:rsid w:val="1D9B3E4B"/>
    <w:rsid w:val="1DA28742"/>
    <w:rsid w:val="1DA4607C"/>
    <w:rsid w:val="1DA50586"/>
    <w:rsid w:val="1DAD5FF0"/>
    <w:rsid w:val="1DB413D5"/>
    <w:rsid w:val="1DBE2DE3"/>
    <w:rsid w:val="1DCEAC8F"/>
    <w:rsid w:val="1DD73188"/>
    <w:rsid w:val="1DE3C593"/>
    <w:rsid w:val="1DE60C84"/>
    <w:rsid w:val="1E11A819"/>
    <w:rsid w:val="1E1399FC"/>
    <w:rsid w:val="1E156D3A"/>
    <w:rsid w:val="1E19B2C0"/>
    <w:rsid w:val="1E302D75"/>
    <w:rsid w:val="1E357CF5"/>
    <w:rsid w:val="1E3A47DA"/>
    <w:rsid w:val="1E3A9ABB"/>
    <w:rsid w:val="1E59CA53"/>
    <w:rsid w:val="1E6954C0"/>
    <w:rsid w:val="1E6BB1A5"/>
    <w:rsid w:val="1E6C75A0"/>
    <w:rsid w:val="1E99355D"/>
    <w:rsid w:val="1E9ACA16"/>
    <w:rsid w:val="1EB9C9C1"/>
    <w:rsid w:val="1EC860D2"/>
    <w:rsid w:val="1EC97E10"/>
    <w:rsid w:val="1ED02A98"/>
    <w:rsid w:val="1EDA9E19"/>
    <w:rsid w:val="1EE78D13"/>
    <w:rsid w:val="1EEFDD0C"/>
    <w:rsid w:val="1EF4F7AB"/>
    <w:rsid w:val="1EFE426A"/>
    <w:rsid w:val="1F028564"/>
    <w:rsid w:val="1F074EB4"/>
    <w:rsid w:val="1F079EC2"/>
    <w:rsid w:val="1F10C5CD"/>
    <w:rsid w:val="1F1183E4"/>
    <w:rsid w:val="1F252F46"/>
    <w:rsid w:val="1F481D3B"/>
    <w:rsid w:val="1F4C902C"/>
    <w:rsid w:val="1F4CFD12"/>
    <w:rsid w:val="1F4E66B1"/>
    <w:rsid w:val="1F7987D2"/>
    <w:rsid w:val="1F83B8FE"/>
    <w:rsid w:val="1F89449E"/>
    <w:rsid w:val="1F8AC843"/>
    <w:rsid w:val="1F921A30"/>
    <w:rsid w:val="1F936835"/>
    <w:rsid w:val="1F978807"/>
    <w:rsid w:val="1F9B32A3"/>
    <w:rsid w:val="1FB58321"/>
    <w:rsid w:val="1FCAB274"/>
    <w:rsid w:val="1FCD7940"/>
    <w:rsid w:val="1FE15A38"/>
    <w:rsid w:val="1FE2CEE4"/>
    <w:rsid w:val="1FFCC2D4"/>
    <w:rsid w:val="201BA8D6"/>
    <w:rsid w:val="201DD2EA"/>
    <w:rsid w:val="20291079"/>
    <w:rsid w:val="2034CEFF"/>
    <w:rsid w:val="203A8ACC"/>
    <w:rsid w:val="20421524"/>
    <w:rsid w:val="204AEA5A"/>
    <w:rsid w:val="204DEF76"/>
    <w:rsid w:val="2051077A"/>
    <w:rsid w:val="205C8B86"/>
    <w:rsid w:val="20705E0A"/>
    <w:rsid w:val="207C33FC"/>
    <w:rsid w:val="2087ACD1"/>
    <w:rsid w:val="208822D1"/>
    <w:rsid w:val="20909C7C"/>
    <w:rsid w:val="209D7E04"/>
    <w:rsid w:val="20A6B521"/>
    <w:rsid w:val="20B54172"/>
    <w:rsid w:val="20CACD68"/>
    <w:rsid w:val="20CB8258"/>
    <w:rsid w:val="20CBADDC"/>
    <w:rsid w:val="20D3F3F0"/>
    <w:rsid w:val="20E019F3"/>
    <w:rsid w:val="20EA3712"/>
    <w:rsid w:val="20EE55E6"/>
    <w:rsid w:val="20F14663"/>
    <w:rsid w:val="20FFB36E"/>
    <w:rsid w:val="210D9825"/>
    <w:rsid w:val="2110AD72"/>
    <w:rsid w:val="21139ED7"/>
    <w:rsid w:val="211E2B7A"/>
    <w:rsid w:val="21266710"/>
    <w:rsid w:val="21350281"/>
    <w:rsid w:val="21399AAB"/>
    <w:rsid w:val="213C6EE4"/>
    <w:rsid w:val="214948DB"/>
    <w:rsid w:val="214F18DF"/>
    <w:rsid w:val="21569385"/>
    <w:rsid w:val="215EB5C2"/>
    <w:rsid w:val="21611DBC"/>
    <w:rsid w:val="216653C3"/>
    <w:rsid w:val="217E9F45"/>
    <w:rsid w:val="2195517F"/>
    <w:rsid w:val="21AA60A1"/>
    <w:rsid w:val="21AB054F"/>
    <w:rsid w:val="21AC199B"/>
    <w:rsid w:val="21B47807"/>
    <w:rsid w:val="21B77937"/>
    <w:rsid w:val="21C329D7"/>
    <w:rsid w:val="21DDE585"/>
    <w:rsid w:val="21E83EBE"/>
    <w:rsid w:val="21FB6FBE"/>
    <w:rsid w:val="220FAD8E"/>
    <w:rsid w:val="222B3315"/>
    <w:rsid w:val="22366806"/>
    <w:rsid w:val="2245FA83"/>
    <w:rsid w:val="224BA72E"/>
    <w:rsid w:val="22697B7A"/>
    <w:rsid w:val="226B1705"/>
    <w:rsid w:val="226D97AA"/>
    <w:rsid w:val="226E5C9B"/>
    <w:rsid w:val="22766A15"/>
    <w:rsid w:val="22860773"/>
    <w:rsid w:val="2289C887"/>
    <w:rsid w:val="228A4561"/>
    <w:rsid w:val="2294396D"/>
    <w:rsid w:val="22AE7C5F"/>
    <w:rsid w:val="22B09295"/>
    <w:rsid w:val="22B8E370"/>
    <w:rsid w:val="22C2D954"/>
    <w:rsid w:val="22C5A630"/>
    <w:rsid w:val="22CB4CF7"/>
    <w:rsid w:val="22CE4AF6"/>
    <w:rsid w:val="22D3EE26"/>
    <w:rsid w:val="22D6AFA1"/>
    <w:rsid w:val="22D6DB82"/>
    <w:rsid w:val="22D8C068"/>
    <w:rsid w:val="22DBC6D3"/>
    <w:rsid w:val="22DBFB63"/>
    <w:rsid w:val="22EB3F1C"/>
    <w:rsid w:val="22ED1683"/>
    <w:rsid w:val="22EFE81F"/>
    <w:rsid w:val="2313E7BE"/>
    <w:rsid w:val="2315E9F7"/>
    <w:rsid w:val="2322968C"/>
    <w:rsid w:val="232BE548"/>
    <w:rsid w:val="234E5C02"/>
    <w:rsid w:val="2351C9B5"/>
    <w:rsid w:val="235411DA"/>
    <w:rsid w:val="2366E67D"/>
    <w:rsid w:val="236AB936"/>
    <w:rsid w:val="2373234A"/>
    <w:rsid w:val="2378F9FE"/>
    <w:rsid w:val="23887A3A"/>
    <w:rsid w:val="238A6A9E"/>
    <w:rsid w:val="239A8433"/>
    <w:rsid w:val="239BD1F5"/>
    <w:rsid w:val="23B3D4BE"/>
    <w:rsid w:val="23D3827C"/>
    <w:rsid w:val="23DB3646"/>
    <w:rsid w:val="23E87338"/>
    <w:rsid w:val="23EB50B8"/>
    <w:rsid w:val="240108C1"/>
    <w:rsid w:val="240413CF"/>
    <w:rsid w:val="24054BDB"/>
    <w:rsid w:val="24109546"/>
    <w:rsid w:val="241170D2"/>
    <w:rsid w:val="24222682"/>
    <w:rsid w:val="2423DF43"/>
    <w:rsid w:val="242C1DC6"/>
    <w:rsid w:val="24393FD7"/>
    <w:rsid w:val="243D35D8"/>
    <w:rsid w:val="244B7C23"/>
    <w:rsid w:val="245C9323"/>
    <w:rsid w:val="2465C4B9"/>
    <w:rsid w:val="24674E38"/>
    <w:rsid w:val="246CB132"/>
    <w:rsid w:val="248B0AD9"/>
    <w:rsid w:val="24A74A55"/>
    <w:rsid w:val="24A8A397"/>
    <w:rsid w:val="24A9EF2D"/>
    <w:rsid w:val="24B1174D"/>
    <w:rsid w:val="24B587E0"/>
    <w:rsid w:val="24B7764F"/>
    <w:rsid w:val="24CB8952"/>
    <w:rsid w:val="24CF64CB"/>
    <w:rsid w:val="24D5932D"/>
    <w:rsid w:val="24E914F0"/>
    <w:rsid w:val="24EA2C63"/>
    <w:rsid w:val="24F4D392"/>
    <w:rsid w:val="24FF7F69"/>
    <w:rsid w:val="24FFA528"/>
    <w:rsid w:val="25019891"/>
    <w:rsid w:val="250748D3"/>
    <w:rsid w:val="250C0398"/>
    <w:rsid w:val="251BE39E"/>
    <w:rsid w:val="2524789D"/>
    <w:rsid w:val="252F4E67"/>
    <w:rsid w:val="25463B98"/>
    <w:rsid w:val="254FA51F"/>
    <w:rsid w:val="255B7562"/>
    <w:rsid w:val="2565A635"/>
    <w:rsid w:val="257CB737"/>
    <w:rsid w:val="257E6843"/>
    <w:rsid w:val="258836B7"/>
    <w:rsid w:val="25A929E3"/>
    <w:rsid w:val="25AC65A7"/>
    <w:rsid w:val="25B58DBF"/>
    <w:rsid w:val="25B743C7"/>
    <w:rsid w:val="25CF153B"/>
    <w:rsid w:val="25D702C1"/>
    <w:rsid w:val="25EA8ABF"/>
    <w:rsid w:val="25F08432"/>
    <w:rsid w:val="25FD46F2"/>
    <w:rsid w:val="2602A9B9"/>
    <w:rsid w:val="260391A1"/>
    <w:rsid w:val="2612CECB"/>
    <w:rsid w:val="261E8901"/>
    <w:rsid w:val="26277630"/>
    <w:rsid w:val="2627EF00"/>
    <w:rsid w:val="26297667"/>
    <w:rsid w:val="262A3A4C"/>
    <w:rsid w:val="2635E4F8"/>
    <w:rsid w:val="26427B8D"/>
    <w:rsid w:val="264A5DAD"/>
    <w:rsid w:val="26633DED"/>
    <w:rsid w:val="2663FF71"/>
    <w:rsid w:val="26759EC2"/>
    <w:rsid w:val="2679DA58"/>
    <w:rsid w:val="268D2172"/>
    <w:rsid w:val="2690023F"/>
    <w:rsid w:val="26989755"/>
    <w:rsid w:val="269A0DD6"/>
    <w:rsid w:val="269C646F"/>
    <w:rsid w:val="269F518B"/>
    <w:rsid w:val="26A6E7CD"/>
    <w:rsid w:val="26A93BAF"/>
    <w:rsid w:val="26AAC40C"/>
    <w:rsid w:val="26B30DCD"/>
    <w:rsid w:val="26B3739C"/>
    <w:rsid w:val="26B818A6"/>
    <w:rsid w:val="26BBAFE1"/>
    <w:rsid w:val="26BD06C2"/>
    <w:rsid w:val="26BE0C56"/>
    <w:rsid w:val="26CBCD0A"/>
    <w:rsid w:val="26D224F5"/>
    <w:rsid w:val="26D3AAA5"/>
    <w:rsid w:val="26D86440"/>
    <w:rsid w:val="26E1DEAD"/>
    <w:rsid w:val="26E51628"/>
    <w:rsid w:val="26EC4958"/>
    <w:rsid w:val="271B45AC"/>
    <w:rsid w:val="27483608"/>
    <w:rsid w:val="27558EAB"/>
    <w:rsid w:val="2767231F"/>
    <w:rsid w:val="2772D322"/>
    <w:rsid w:val="27817EC9"/>
    <w:rsid w:val="278D2491"/>
    <w:rsid w:val="2795A91A"/>
    <w:rsid w:val="27975065"/>
    <w:rsid w:val="2798DFD7"/>
    <w:rsid w:val="27A57CF0"/>
    <w:rsid w:val="27A8DC2F"/>
    <w:rsid w:val="27B7A277"/>
    <w:rsid w:val="27BB30ED"/>
    <w:rsid w:val="27C6CFAE"/>
    <w:rsid w:val="27C8828C"/>
    <w:rsid w:val="27DC7B1B"/>
    <w:rsid w:val="27E8B80F"/>
    <w:rsid w:val="28047F52"/>
    <w:rsid w:val="280D3BBC"/>
    <w:rsid w:val="28109F1D"/>
    <w:rsid w:val="2815AAB9"/>
    <w:rsid w:val="282475CE"/>
    <w:rsid w:val="283ABD42"/>
    <w:rsid w:val="28413280"/>
    <w:rsid w:val="286E386E"/>
    <w:rsid w:val="287391EF"/>
    <w:rsid w:val="2881D869"/>
    <w:rsid w:val="288745E1"/>
    <w:rsid w:val="289BAE61"/>
    <w:rsid w:val="289F1205"/>
    <w:rsid w:val="28A56008"/>
    <w:rsid w:val="28B7160D"/>
    <w:rsid w:val="28DCD92E"/>
    <w:rsid w:val="28E044E4"/>
    <w:rsid w:val="28F25C92"/>
    <w:rsid w:val="2918AA0A"/>
    <w:rsid w:val="291E52D6"/>
    <w:rsid w:val="291F572F"/>
    <w:rsid w:val="2931297E"/>
    <w:rsid w:val="29314730"/>
    <w:rsid w:val="29515802"/>
    <w:rsid w:val="29545AC0"/>
    <w:rsid w:val="296724F5"/>
    <w:rsid w:val="29745B86"/>
    <w:rsid w:val="297EEB91"/>
    <w:rsid w:val="2981FE6F"/>
    <w:rsid w:val="2985C6CD"/>
    <w:rsid w:val="298A52B4"/>
    <w:rsid w:val="29958181"/>
    <w:rsid w:val="29984D45"/>
    <w:rsid w:val="299FCBEC"/>
    <w:rsid w:val="29A181D7"/>
    <w:rsid w:val="29A7D887"/>
    <w:rsid w:val="29BE2E6A"/>
    <w:rsid w:val="29C02000"/>
    <w:rsid w:val="29CF04DA"/>
    <w:rsid w:val="29D33038"/>
    <w:rsid w:val="29D8728A"/>
    <w:rsid w:val="29D8A06F"/>
    <w:rsid w:val="29E5575E"/>
    <w:rsid w:val="29E7EDA0"/>
    <w:rsid w:val="29F28ECE"/>
    <w:rsid w:val="2A036DCC"/>
    <w:rsid w:val="2A0DB3C1"/>
    <w:rsid w:val="2A2554C2"/>
    <w:rsid w:val="2A35DFA0"/>
    <w:rsid w:val="2A377EC2"/>
    <w:rsid w:val="2A42BD85"/>
    <w:rsid w:val="2A57D88B"/>
    <w:rsid w:val="2A5D96A5"/>
    <w:rsid w:val="2A6B135C"/>
    <w:rsid w:val="2A79429F"/>
    <w:rsid w:val="2A7CF850"/>
    <w:rsid w:val="2A8F6FAF"/>
    <w:rsid w:val="2A97B553"/>
    <w:rsid w:val="2A9AA983"/>
    <w:rsid w:val="2A9EB83D"/>
    <w:rsid w:val="2AC3F555"/>
    <w:rsid w:val="2ACBF745"/>
    <w:rsid w:val="2AD4641E"/>
    <w:rsid w:val="2AD67AE1"/>
    <w:rsid w:val="2ADF000B"/>
    <w:rsid w:val="2AE07CF1"/>
    <w:rsid w:val="2B004B3F"/>
    <w:rsid w:val="2B04F1CD"/>
    <w:rsid w:val="2B184DC4"/>
    <w:rsid w:val="2B1B4070"/>
    <w:rsid w:val="2B1E2C10"/>
    <w:rsid w:val="2B22C80A"/>
    <w:rsid w:val="2B2BB421"/>
    <w:rsid w:val="2B44DF39"/>
    <w:rsid w:val="2B475189"/>
    <w:rsid w:val="2B533216"/>
    <w:rsid w:val="2B55BE4F"/>
    <w:rsid w:val="2B6AE7FC"/>
    <w:rsid w:val="2B7FF721"/>
    <w:rsid w:val="2B892F42"/>
    <w:rsid w:val="2B9077E5"/>
    <w:rsid w:val="2B917D79"/>
    <w:rsid w:val="2B9F3E2D"/>
    <w:rsid w:val="2BA59618"/>
    <w:rsid w:val="2BB16BD2"/>
    <w:rsid w:val="2BB1A510"/>
    <w:rsid w:val="2BB33DB7"/>
    <w:rsid w:val="2BB60286"/>
    <w:rsid w:val="2BC6D429"/>
    <w:rsid w:val="2BC8552C"/>
    <w:rsid w:val="2BD5FAB9"/>
    <w:rsid w:val="2BD77702"/>
    <w:rsid w:val="2BE1F66A"/>
    <w:rsid w:val="2BE61C18"/>
    <w:rsid w:val="2BEEB6CF"/>
    <w:rsid w:val="2BF97259"/>
    <w:rsid w:val="2C2E06B1"/>
    <w:rsid w:val="2C3E56BF"/>
    <w:rsid w:val="2C50933D"/>
    <w:rsid w:val="2C5D501E"/>
    <w:rsid w:val="2C5FC5B6"/>
    <w:rsid w:val="2C667A51"/>
    <w:rsid w:val="2C69B54C"/>
    <w:rsid w:val="2C7C4D52"/>
    <w:rsid w:val="2C7E5606"/>
    <w:rsid w:val="2C7FA2AE"/>
    <w:rsid w:val="2C93E96D"/>
    <w:rsid w:val="2CA79CD6"/>
    <w:rsid w:val="2CAAEA3E"/>
    <w:rsid w:val="2CBF2DE1"/>
    <w:rsid w:val="2CC1F376"/>
    <w:rsid w:val="2CD52080"/>
    <w:rsid w:val="2CD7C892"/>
    <w:rsid w:val="2CF7C0C2"/>
    <w:rsid w:val="2D0129F3"/>
    <w:rsid w:val="2D131BE2"/>
    <w:rsid w:val="2D179FFC"/>
    <w:rsid w:val="2D17DDD5"/>
    <w:rsid w:val="2D21EAAA"/>
    <w:rsid w:val="2D265E0B"/>
    <w:rsid w:val="2D2C4846"/>
    <w:rsid w:val="2D3219B2"/>
    <w:rsid w:val="2D3A604C"/>
    <w:rsid w:val="2D470312"/>
    <w:rsid w:val="2D4A1471"/>
    <w:rsid w:val="2D4DD0FF"/>
    <w:rsid w:val="2D5021E8"/>
    <w:rsid w:val="2D64258D"/>
    <w:rsid w:val="2D668747"/>
    <w:rsid w:val="2D66A4CD"/>
    <w:rsid w:val="2D68FAB3"/>
    <w:rsid w:val="2D7A0584"/>
    <w:rsid w:val="2D7B2531"/>
    <w:rsid w:val="2D7FAEEC"/>
    <w:rsid w:val="2D8BD96B"/>
    <w:rsid w:val="2D8E120F"/>
    <w:rsid w:val="2D9FC330"/>
    <w:rsid w:val="2DA1525D"/>
    <w:rsid w:val="2DA2B41E"/>
    <w:rsid w:val="2DA7E1E5"/>
    <w:rsid w:val="2DB45CB8"/>
    <w:rsid w:val="2DC09FA4"/>
    <w:rsid w:val="2DCFAFF5"/>
    <w:rsid w:val="2DD6F5E0"/>
    <w:rsid w:val="2DF0C04D"/>
    <w:rsid w:val="2DFB9617"/>
    <w:rsid w:val="2E0FED44"/>
    <w:rsid w:val="2E2F305D"/>
    <w:rsid w:val="2E3C155F"/>
    <w:rsid w:val="2E48B475"/>
    <w:rsid w:val="2E557F5E"/>
    <w:rsid w:val="2E55B6B3"/>
    <w:rsid w:val="2E654F83"/>
    <w:rsid w:val="2E6EBF2D"/>
    <w:rsid w:val="2E79846A"/>
    <w:rsid w:val="2E79FE9D"/>
    <w:rsid w:val="2E8C514B"/>
    <w:rsid w:val="2E8E560A"/>
    <w:rsid w:val="2E9C0D9E"/>
    <w:rsid w:val="2EA288BE"/>
    <w:rsid w:val="2EAEEC43"/>
    <w:rsid w:val="2EB12217"/>
    <w:rsid w:val="2EB9196C"/>
    <w:rsid w:val="2EC0126E"/>
    <w:rsid w:val="2EC18462"/>
    <w:rsid w:val="2ECDCF5E"/>
    <w:rsid w:val="2ECFED8B"/>
    <w:rsid w:val="2EE48340"/>
    <w:rsid w:val="2EEF5DE3"/>
    <w:rsid w:val="2EF5DF4A"/>
    <w:rsid w:val="2EF68765"/>
    <w:rsid w:val="2F06F4E8"/>
    <w:rsid w:val="2F09B61D"/>
    <w:rsid w:val="2F0B552E"/>
    <w:rsid w:val="2F0E83C5"/>
    <w:rsid w:val="2F0F706E"/>
    <w:rsid w:val="2F104562"/>
    <w:rsid w:val="2F18D0A2"/>
    <w:rsid w:val="2F23997D"/>
    <w:rsid w:val="2F27BD6F"/>
    <w:rsid w:val="2F4C1AB2"/>
    <w:rsid w:val="2F520EFF"/>
    <w:rsid w:val="2F5397FE"/>
    <w:rsid w:val="2F7BC883"/>
    <w:rsid w:val="2F862BA1"/>
    <w:rsid w:val="2F8B5D61"/>
    <w:rsid w:val="2F94232A"/>
    <w:rsid w:val="2F996ED6"/>
    <w:rsid w:val="2FB7204F"/>
    <w:rsid w:val="2FBBDB9A"/>
    <w:rsid w:val="2FC33E9B"/>
    <w:rsid w:val="2FDAD7EB"/>
    <w:rsid w:val="2FEF058D"/>
    <w:rsid w:val="2FF6368D"/>
    <w:rsid w:val="2FF9C3C9"/>
    <w:rsid w:val="2FFC173E"/>
    <w:rsid w:val="3007A0D0"/>
    <w:rsid w:val="30187066"/>
    <w:rsid w:val="301AD3AF"/>
    <w:rsid w:val="302F48D4"/>
    <w:rsid w:val="304DCF26"/>
    <w:rsid w:val="3051F517"/>
    <w:rsid w:val="30543BB4"/>
    <w:rsid w:val="30672B44"/>
    <w:rsid w:val="306FE7CD"/>
    <w:rsid w:val="3071A7FA"/>
    <w:rsid w:val="3072AF50"/>
    <w:rsid w:val="307CE8A6"/>
    <w:rsid w:val="308053A1"/>
    <w:rsid w:val="3085B978"/>
    <w:rsid w:val="308E6F5A"/>
    <w:rsid w:val="3090FB8D"/>
    <w:rsid w:val="30947E78"/>
    <w:rsid w:val="309C1405"/>
    <w:rsid w:val="309E36DA"/>
    <w:rsid w:val="30A96BDC"/>
    <w:rsid w:val="30B1A580"/>
    <w:rsid w:val="30B24507"/>
    <w:rsid w:val="30C42155"/>
    <w:rsid w:val="30CC9034"/>
    <w:rsid w:val="30D5E493"/>
    <w:rsid w:val="30DA215F"/>
    <w:rsid w:val="30FA128E"/>
    <w:rsid w:val="30FD553A"/>
    <w:rsid w:val="310A081D"/>
    <w:rsid w:val="310FEFA5"/>
    <w:rsid w:val="311FC65B"/>
    <w:rsid w:val="312FD32D"/>
    <w:rsid w:val="313435B5"/>
    <w:rsid w:val="31344DCE"/>
    <w:rsid w:val="3139EB74"/>
    <w:rsid w:val="315650F8"/>
    <w:rsid w:val="315B4982"/>
    <w:rsid w:val="31638CF5"/>
    <w:rsid w:val="3168C651"/>
    <w:rsid w:val="3180D611"/>
    <w:rsid w:val="3184C274"/>
    <w:rsid w:val="3189F321"/>
    <w:rsid w:val="319175D9"/>
    <w:rsid w:val="31ABA71F"/>
    <w:rsid w:val="31CF92BA"/>
    <w:rsid w:val="31E23C5C"/>
    <w:rsid w:val="31E68D05"/>
    <w:rsid w:val="31E99F87"/>
    <w:rsid w:val="31F32F29"/>
    <w:rsid w:val="31FBDCF1"/>
    <w:rsid w:val="31FDE168"/>
    <w:rsid w:val="3226F9CC"/>
    <w:rsid w:val="322D800C"/>
    <w:rsid w:val="32323998"/>
    <w:rsid w:val="32373E39"/>
    <w:rsid w:val="3239F86A"/>
    <w:rsid w:val="323BCE7D"/>
    <w:rsid w:val="324247E0"/>
    <w:rsid w:val="325E649A"/>
    <w:rsid w:val="326AD7F6"/>
    <w:rsid w:val="326EEE3D"/>
    <w:rsid w:val="3274C380"/>
    <w:rsid w:val="3275F1C0"/>
    <w:rsid w:val="3278956A"/>
    <w:rsid w:val="327B5308"/>
    <w:rsid w:val="32937EF0"/>
    <w:rsid w:val="329FA387"/>
    <w:rsid w:val="32B1CC39"/>
    <w:rsid w:val="32B9B169"/>
    <w:rsid w:val="32BA6661"/>
    <w:rsid w:val="32BB8659"/>
    <w:rsid w:val="32C2FE23"/>
    <w:rsid w:val="32EEE432"/>
    <w:rsid w:val="32FCD392"/>
    <w:rsid w:val="3308C2BD"/>
    <w:rsid w:val="331C2598"/>
    <w:rsid w:val="3323449C"/>
    <w:rsid w:val="3326A64F"/>
    <w:rsid w:val="332DFB21"/>
    <w:rsid w:val="333F264E"/>
    <w:rsid w:val="33615792"/>
    <w:rsid w:val="3361BF1A"/>
    <w:rsid w:val="336BE175"/>
    <w:rsid w:val="3373242C"/>
    <w:rsid w:val="33734925"/>
    <w:rsid w:val="337B1A27"/>
    <w:rsid w:val="339127B5"/>
    <w:rsid w:val="33916DD3"/>
    <w:rsid w:val="33969F45"/>
    <w:rsid w:val="339D32BD"/>
    <w:rsid w:val="33BCAF3F"/>
    <w:rsid w:val="33C1EF1D"/>
    <w:rsid w:val="33C3C79E"/>
    <w:rsid w:val="33D2127B"/>
    <w:rsid w:val="33DEA4D7"/>
    <w:rsid w:val="33E94708"/>
    <w:rsid w:val="33E9FBF2"/>
    <w:rsid w:val="33F193CC"/>
    <w:rsid w:val="33FA6A3B"/>
    <w:rsid w:val="3409B95A"/>
    <w:rsid w:val="340E26C6"/>
    <w:rsid w:val="3419391C"/>
    <w:rsid w:val="341F8BD5"/>
    <w:rsid w:val="345581CA"/>
    <w:rsid w:val="3464F301"/>
    <w:rsid w:val="347F2831"/>
    <w:rsid w:val="348D89EC"/>
    <w:rsid w:val="3494FAC5"/>
    <w:rsid w:val="34A7F398"/>
    <w:rsid w:val="34B876D3"/>
    <w:rsid w:val="34C61142"/>
    <w:rsid w:val="34E2D1A1"/>
    <w:rsid w:val="34F53775"/>
    <w:rsid w:val="34FE6201"/>
    <w:rsid w:val="350017ED"/>
    <w:rsid w:val="3507F404"/>
    <w:rsid w:val="350E71DB"/>
    <w:rsid w:val="35134EC8"/>
    <w:rsid w:val="35295094"/>
    <w:rsid w:val="352D3C16"/>
    <w:rsid w:val="35385FBF"/>
    <w:rsid w:val="3555CCC9"/>
    <w:rsid w:val="355649B3"/>
    <w:rsid w:val="355924ED"/>
    <w:rsid w:val="357CDCFF"/>
    <w:rsid w:val="3580E527"/>
    <w:rsid w:val="3582915B"/>
    <w:rsid w:val="359C4F55"/>
    <w:rsid w:val="35AD291A"/>
    <w:rsid w:val="35C70DBB"/>
    <w:rsid w:val="35D215CD"/>
    <w:rsid w:val="35D2EAAE"/>
    <w:rsid w:val="35D3BC00"/>
    <w:rsid w:val="35E17688"/>
    <w:rsid w:val="35EA74D7"/>
    <w:rsid w:val="35ED268B"/>
    <w:rsid w:val="35EF2504"/>
    <w:rsid w:val="35F7653C"/>
    <w:rsid w:val="35F97A07"/>
    <w:rsid w:val="3611FA73"/>
    <w:rsid w:val="3624CFC7"/>
    <w:rsid w:val="362A79E6"/>
    <w:rsid w:val="363616B9"/>
    <w:rsid w:val="363B2D7F"/>
    <w:rsid w:val="363F0E76"/>
    <w:rsid w:val="3640F12E"/>
    <w:rsid w:val="3643C3F9"/>
    <w:rsid w:val="3644CB2B"/>
    <w:rsid w:val="36464D34"/>
    <w:rsid w:val="36543A9A"/>
    <w:rsid w:val="365D7D6A"/>
    <w:rsid w:val="3673206D"/>
    <w:rsid w:val="3682B59F"/>
    <w:rsid w:val="3685BDC9"/>
    <w:rsid w:val="3695C566"/>
    <w:rsid w:val="369EAF38"/>
    <w:rsid w:val="36A9FA7E"/>
    <w:rsid w:val="36B8AC87"/>
    <w:rsid w:val="36C56681"/>
    <w:rsid w:val="36CAF386"/>
    <w:rsid w:val="36D37072"/>
    <w:rsid w:val="36D3D614"/>
    <w:rsid w:val="36D9BD0F"/>
    <w:rsid w:val="36E4A725"/>
    <w:rsid w:val="36EA9881"/>
    <w:rsid w:val="36FB9364"/>
    <w:rsid w:val="370B5589"/>
    <w:rsid w:val="3718AD60"/>
    <w:rsid w:val="372930D0"/>
    <w:rsid w:val="374962E3"/>
    <w:rsid w:val="374EE11A"/>
    <w:rsid w:val="37576B6B"/>
    <w:rsid w:val="3757E81D"/>
    <w:rsid w:val="37601DFA"/>
    <w:rsid w:val="37767175"/>
    <w:rsid w:val="3783F8E0"/>
    <w:rsid w:val="37909F50"/>
    <w:rsid w:val="379BE83B"/>
    <w:rsid w:val="37A3F493"/>
    <w:rsid w:val="37C201C1"/>
    <w:rsid w:val="37C4C2F6"/>
    <w:rsid w:val="37C95B4A"/>
    <w:rsid w:val="37CB1288"/>
    <w:rsid w:val="37D681FE"/>
    <w:rsid w:val="37DB9660"/>
    <w:rsid w:val="37DC33E0"/>
    <w:rsid w:val="37DC6BB3"/>
    <w:rsid w:val="37DD5974"/>
    <w:rsid w:val="37EA8419"/>
    <w:rsid w:val="37EF898C"/>
    <w:rsid w:val="37F7C0AF"/>
    <w:rsid w:val="3803A16B"/>
    <w:rsid w:val="38048609"/>
    <w:rsid w:val="38094DF9"/>
    <w:rsid w:val="3812B266"/>
    <w:rsid w:val="3827A396"/>
    <w:rsid w:val="382C0749"/>
    <w:rsid w:val="382F4688"/>
    <w:rsid w:val="384560F1"/>
    <w:rsid w:val="38544B52"/>
    <w:rsid w:val="385904CB"/>
    <w:rsid w:val="385C515C"/>
    <w:rsid w:val="386C5499"/>
    <w:rsid w:val="38876313"/>
    <w:rsid w:val="3889D5B3"/>
    <w:rsid w:val="388C6932"/>
    <w:rsid w:val="38993C83"/>
    <w:rsid w:val="389FFAF9"/>
    <w:rsid w:val="38B57758"/>
    <w:rsid w:val="38C4A5B1"/>
    <w:rsid w:val="38F560FA"/>
    <w:rsid w:val="38FAEA7E"/>
    <w:rsid w:val="3909FBDE"/>
    <w:rsid w:val="3912BADE"/>
    <w:rsid w:val="39186E39"/>
    <w:rsid w:val="3922AAC9"/>
    <w:rsid w:val="39313A18"/>
    <w:rsid w:val="39434D63"/>
    <w:rsid w:val="3955D12B"/>
    <w:rsid w:val="395EB3B6"/>
    <w:rsid w:val="396B0063"/>
    <w:rsid w:val="396B4BF5"/>
    <w:rsid w:val="3972525F"/>
    <w:rsid w:val="397B64BB"/>
    <w:rsid w:val="39815233"/>
    <w:rsid w:val="39937FA8"/>
    <w:rsid w:val="39949BCD"/>
    <w:rsid w:val="39A266EF"/>
    <w:rsid w:val="39B6E4A7"/>
    <w:rsid w:val="39BD1B6D"/>
    <w:rsid w:val="39BD5E8B"/>
    <w:rsid w:val="39CFD4AB"/>
    <w:rsid w:val="39E265B0"/>
    <w:rsid w:val="39F3B1E0"/>
    <w:rsid w:val="39FD0795"/>
    <w:rsid w:val="3A0CDA3D"/>
    <w:rsid w:val="3A1963DB"/>
    <w:rsid w:val="3A1AE1A3"/>
    <w:rsid w:val="3A296AAC"/>
    <w:rsid w:val="3A2F28AD"/>
    <w:rsid w:val="3A333426"/>
    <w:rsid w:val="3A3BCBE5"/>
    <w:rsid w:val="3A54564A"/>
    <w:rsid w:val="3A5A1E5A"/>
    <w:rsid w:val="3A6FB74A"/>
    <w:rsid w:val="3A76852D"/>
    <w:rsid w:val="3A80A01E"/>
    <w:rsid w:val="3A8F9898"/>
    <w:rsid w:val="3A9F22AC"/>
    <w:rsid w:val="3AB43E9A"/>
    <w:rsid w:val="3ABE7B2A"/>
    <w:rsid w:val="3AC52F0F"/>
    <w:rsid w:val="3AC58F83"/>
    <w:rsid w:val="3AC84012"/>
    <w:rsid w:val="3AD5A108"/>
    <w:rsid w:val="3AD769F8"/>
    <w:rsid w:val="3AD892DD"/>
    <w:rsid w:val="3AD922B5"/>
    <w:rsid w:val="3ADAA2F2"/>
    <w:rsid w:val="3ADB9555"/>
    <w:rsid w:val="3AEA6A82"/>
    <w:rsid w:val="3B1A22AB"/>
    <w:rsid w:val="3B306C2E"/>
    <w:rsid w:val="3B3E6A21"/>
    <w:rsid w:val="3B43A4CE"/>
    <w:rsid w:val="3B4CE218"/>
    <w:rsid w:val="3B58EBCE"/>
    <w:rsid w:val="3B5CC0A2"/>
    <w:rsid w:val="3B619D4F"/>
    <w:rsid w:val="3B6BA50C"/>
    <w:rsid w:val="3B6D4024"/>
    <w:rsid w:val="3B814256"/>
    <w:rsid w:val="3B822666"/>
    <w:rsid w:val="3B8C1DAA"/>
    <w:rsid w:val="3B95BC7D"/>
    <w:rsid w:val="3B99864C"/>
    <w:rsid w:val="3B9E7552"/>
    <w:rsid w:val="3BA844A2"/>
    <w:rsid w:val="3BABCCCD"/>
    <w:rsid w:val="3BB38DD3"/>
    <w:rsid w:val="3BDCF7F3"/>
    <w:rsid w:val="3BF0E1AE"/>
    <w:rsid w:val="3C0CC83A"/>
    <w:rsid w:val="3C12558E"/>
    <w:rsid w:val="3C1A0C10"/>
    <w:rsid w:val="3C1CD406"/>
    <w:rsid w:val="3C3B0A04"/>
    <w:rsid w:val="3C42E093"/>
    <w:rsid w:val="3C46283E"/>
    <w:rsid w:val="3C4A1403"/>
    <w:rsid w:val="3C4D7E63"/>
    <w:rsid w:val="3C5540FB"/>
    <w:rsid w:val="3C64AEA9"/>
    <w:rsid w:val="3C712E94"/>
    <w:rsid w:val="3C74633E"/>
    <w:rsid w:val="3C7C41AE"/>
    <w:rsid w:val="3C8743E1"/>
    <w:rsid w:val="3C8D83FB"/>
    <w:rsid w:val="3C9BCF18"/>
    <w:rsid w:val="3CA419A5"/>
    <w:rsid w:val="3CA9DF81"/>
    <w:rsid w:val="3CAA7F06"/>
    <w:rsid w:val="3CBFB2F7"/>
    <w:rsid w:val="3CBFE943"/>
    <w:rsid w:val="3CD86F37"/>
    <w:rsid w:val="3CE2FB95"/>
    <w:rsid w:val="3CF4FF4D"/>
    <w:rsid w:val="3CF93F13"/>
    <w:rsid w:val="3D03DF57"/>
    <w:rsid w:val="3D0CBB51"/>
    <w:rsid w:val="3D10C77D"/>
    <w:rsid w:val="3D1EF9BD"/>
    <w:rsid w:val="3D2460E1"/>
    <w:rsid w:val="3D2D5911"/>
    <w:rsid w:val="3D3A350A"/>
    <w:rsid w:val="3D479D2E"/>
    <w:rsid w:val="3D4E9FAB"/>
    <w:rsid w:val="3D512C8D"/>
    <w:rsid w:val="3D669618"/>
    <w:rsid w:val="3D78FBCF"/>
    <w:rsid w:val="3D7F427B"/>
    <w:rsid w:val="3D8CB20F"/>
    <w:rsid w:val="3D90EE2E"/>
    <w:rsid w:val="3DA0037B"/>
    <w:rsid w:val="3DC44138"/>
    <w:rsid w:val="3DC540C3"/>
    <w:rsid w:val="3DC61802"/>
    <w:rsid w:val="3DCF62C8"/>
    <w:rsid w:val="3DF29A3E"/>
    <w:rsid w:val="3DF475F3"/>
    <w:rsid w:val="3DF67A9E"/>
    <w:rsid w:val="3DF763FC"/>
    <w:rsid w:val="3DFE1692"/>
    <w:rsid w:val="3E007F0A"/>
    <w:rsid w:val="3E0259DC"/>
    <w:rsid w:val="3E040881"/>
    <w:rsid w:val="3E06E7B1"/>
    <w:rsid w:val="3E0A3BE5"/>
    <w:rsid w:val="3E19A767"/>
    <w:rsid w:val="3E20A42D"/>
    <w:rsid w:val="3E21A957"/>
    <w:rsid w:val="3E260A77"/>
    <w:rsid w:val="3E362F03"/>
    <w:rsid w:val="3E4E4FAE"/>
    <w:rsid w:val="3E5BB9A4"/>
    <w:rsid w:val="3E75D812"/>
    <w:rsid w:val="3E93CE62"/>
    <w:rsid w:val="3E971F72"/>
    <w:rsid w:val="3EC03142"/>
    <w:rsid w:val="3EC33C13"/>
    <w:rsid w:val="3EC72303"/>
    <w:rsid w:val="3ECE0C02"/>
    <w:rsid w:val="3EDA0356"/>
    <w:rsid w:val="3EDA28DB"/>
    <w:rsid w:val="3EDE2051"/>
    <w:rsid w:val="3EF441FD"/>
    <w:rsid w:val="3F075F2D"/>
    <w:rsid w:val="3F2848AD"/>
    <w:rsid w:val="3F29D335"/>
    <w:rsid w:val="3F2BF9AF"/>
    <w:rsid w:val="3F580AAC"/>
    <w:rsid w:val="3F622E8C"/>
    <w:rsid w:val="3F7F9656"/>
    <w:rsid w:val="3F8BCB6A"/>
    <w:rsid w:val="3F8E6EEA"/>
    <w:rsid w:val="3F9408D1"/>
    <w:rsid w:val="3F981827"/>
    <w:rsid w:val="3F9FD8E2"/>
    <w:rsid w:val="3FABCFD1"/>
    <w:rsid w:val="3FAD6D9C"/>
    <w:rsid w:val="3FC9C85E"/>
    <w:rsid w:val="3FCE8B33"/>
    <w:rsid w:val="3FD46566"/>
    <w:rsid w:val="3FD634B0"/>
    <w:rsid w:val="3FE54E3A"/>
    <w:rsid w:val="3FE77D98"/>
    <w:rsid w:val="3FF293C5"/>
    <w:rsid w:val="3FF31608"/>
    <w:rsid w:val="3FF789AC"/>
    <w:rsid w:val="40039BCB"/>
    <w:rsid w:val="40110C18"/>
    <w:rsid w:val="402BD502"/>
    <w:rsid w:val="4030DFD5"/>
    <w:rsid w:val="403FDA9A"/>
    <w:rsid w:val="404E68A5"/>
    <w:rsid w:val="404EE46D"/>
    <w:rsid w:val="405C609E"/>
    <w:rsid w:val="405D786D"/>
    <w:rsid w:val="406DBAD2"/>
    <w:rsid w:val="407726A4"/>
    <w:rsid w:val="4078B72A"/>
    <w:rsid w:val="407DFA0A"/>
    <w:rsid w:val="407F9577"/>
    <w:rsid w:val="40830089"/>
    <w:rsid w:val="4083AD31"/>
    <w:rsid w:val="40A2C96B"/>
    <w:rsid w:val="40BFC81D"/>
    <w:rsid w:val="40C92150"/>
    <w:rsid w:val="40CCB8E2"/>
    <w:rsid w:val="40CFB6D0"/>
    <w:rsid w:val="40CFB796"/>
    <w:rsid w:val="40E5C6B1"/>
    <w:rsid w:val="40F58165"/>
    <w:rsid w:val="40F70DFB"/>
    <w:rsid w:val="40FE0EDD"/>
    <w:rsid w:val="410BF0B0"/>
    <w:rsid w:val="410F89C1"/>
    <w:rsid w:val="4131D7AB"/>
    <w:rsid w:val="41381FCC"/>
    <w:rsid w:val="413BA943"/>
    <w:rsid w:val="41427A84"/>
    <w:rsid w:val="4159629B"/>
    <w:rsid w:val="41711201"/>
    <w:rsid w:val="417F0C07"/>
    <w:rsid w:val="418E6426"/>
    <w:rsid w:val="4190ED61"/>
    <w:rsid w:val="41935A0D"/>
    <w:rsid w:val="419644DE"/>
    <w:rsid w:val="419F6C2C"/>
    <w:rsid w:val="41A5EC0D"/>
    <w:rsid w:val="41B1F0D3"/>
    <w:rsid w:val="41CB61AB"/>
    <w:rsid w:val="41E5B248"/>
    <w:rsid w:val="41F7D204"/>
    <w:rsid w:val="41FE1B08"/>
    <w:rsid w:val="41FE5DC9"/>
    <w:rsid w:val="42091A88"/>
    <w:rsid w:val="420952F3"/>
    <w:rsid w:val="420ECB7E"/>
    <w:rsid w:val="4220EA71"/>
    <w:rsid w:val="423261F3"/>
    <w:rsid w:val="423A3A92"/>
    <w:rsid w:val="42606344"/>
    <w:rsid w:val="42712737"/>
    <w:rsid w:val="42770A9E"/>
    <w:rsid w:val="427CC2CE"/>
    <w:rsid w:val="4292DE5C"/>
    <w:rsid w:val="429EA633"/>
    <w:rsid w:val="42A1CCC4"/>
    <w:rsid w:val="42A7CCF8"/>
    <w:rsid w:val="42B6ACD6"/>
    <w:rsid w:val="42B6AD19"/>
    <w:rsid w:val="42BCD129"/>
    <w:rsid w:val="42C9EBC1"/>
    <w:rsid w:val="42CC410B"/>
    <w:rsid w:val="42D583C4"/>
    <w:rsid w:val="42D7FE76"/>
    <w:rsid w:val="42E615B4"/>
    <w:rsid w:val="42EF20E8"/>
    <w:rsid w:val="42F077C9"/>
    <w:rsid w:val="42F84CAD"/>
    <w:rsid w:val="430466A7"/>
    <w:rsid w:val="4306FC0F"/>
    <w:rsid w:val="430B3295"/>
    <w:rsid w:val="43117223"/>
    <w:rsid w:val="431A7C47"/>
    <w:rsid w:val="431EE687"/>
    <w:rsid w:val="431F4CC6"/>
    <w:rsid w:val="4376DA58"/>
    <w:rsid w:val="4379824A"/>
    <w:rsid w:val="438182A9"/>
    <w:rsid w:val="43877498"/>
    <w:rsid w:val="43B65162"/>
    <w:rsid w:val="43C3F5C6"/>
    <w:rsid w:val="43C87DC0"/>
    <w:rsid w:val="43D2D309"/>
    <w:rsid w:val="43ED4524"/>
    <w:rsid w:val="43FEB1A7"/>
    <w:rsid w:val="43FF6AD2"/>
    <w:rsid w:val="440FD650"/>
    <w:rsid w:val="4419E636"/>
    <w:rsid w:val="4421F35A"/>
    <w:rsid w:val="44479846"/>
    <w:rsid w:val="4469A332"/>
    <w:rsid w:val="446AA774"/>
    <w:rsid w:val="44787D17"/>
    <w:rsid w:val="44921996"/>
    <w:rsid w:val="44941D0E"/>
    <w:rsid w:val="4497FE68"/>
    <w:rsid w:val="4498E647"/>
    <w:rsid w:val="44A1C65E"/>
    <w:rsid w:val="44C1B7E9"/>
    <w:rsid w:val="44C88E23"/>
    <w:rsid w:val="44D1FB9D"/>
    <w:rsid w:val="44D70CEE"/>
    <w:rsid w:val="44F345F8"/>
    <w:rsid w:val="44F7933A"/>
    <w:rsid w:val="450C2E05"/>
    <w:rsid w:val="450E2802"/>
    <w:rsid w:val="45104A35"/>
    <w:rsid w:val="451DC39B"/>
    <w:rsid w:val="45324A29"/>
    <w:rsid w:val="45352417"/>
    <w:rsid w:val="4535FAE1"/>
    <w:rsid w:val="4535FE8B"/>
    <w:rsid w:val="454147BC"/>
    <w:rsid w:val="454DEEB5"/>
    <w:rsid w:val="455221C3"/>
    <w:rsid w:val="455ACF72"/>
    <w:rsid w:val="456DFF82"/>
    <w:rsid w:val="45745F66"/>
    <w:rsid w:val="4589FF96"/>
    <w:rsid w:val="45A328B9"/>
    <w:rsid w:val="45C8F288"/>
    <w:rsid w:val="45CFC52E"/>
    <w:rsid w:val="45DFCCB5"/>
    <w:rsid w:val="45E05F8A"/>
    <w:rsid w:val="45F0AA44"/>
    <w:rsid w:val="45F59751"/>
    <w:rsid w:val="45FE6F6A"/>
    <w:rsid w:val="4603BE69"/>
    <w:rsid w:val="46070EB0"/>
    <w:rsid w:val="46093F0F"/>
    <w:rsid w:val="460CDF93"/>
    <w:rsid w:val="461A297C"/>
    <w:rsid w:val="46227224"/>
    <w:rsid w:val="4625E2E4"/>
    <w:rsid w:val="462E1A7F"/>
    <w:rsid w:val="46306EEE"/>
    <w:rsid w:val="464140E8"/>
    <w:rsid w:val="4650707D"/>
    <w:rsid w:val="4655DF2E"/>
    <w:rsid w:val="46568749"/>
    <w:rsid w:val="465A101D"/>
    <w:rsid w:val="4661D549"/>
    <w:rsid w:val="46620FFB"/>
    <w:rsid w:val="4662F758"/>
    <w:rsid w:val="46799710"/>
    <w:rsid w:val="46833C0B"/>
    <w:rsid w:val="46ACFAC7"/>
    <w:rsid w:val="46C9555A"/>
    <w:rsid w:val="46DC2D7A"/>
    <w:rsid w:val="46E5730A"/>
    <w:rsid w:val="46F42AA5"/>
    <w:rsid w:val="46F89B01"/>
    <w:rsid w:val="470A73CB"/>
    <w:rsid w:val="470D978C"/>
    <w:rsid w:val="470F0877"/>
    <w:rsid w:val="4724DF4F"/>
    <w:rsid w:val="473364B1"/>
    <w:rsid w:val="47348259"/>
    <w:rsid w:val="47370B94"/>
    <w:rsid w:val="473D19C1"/>
    <w:rsid w:val="4760954C"/>
    <w:rsid w:val="4789A876"/>
    <w:rsid w:val="479644B7"/>
    <w:rsid w:val="47A50F70"/>
    <w:rsid w:val="47A93951"/>
    <w:rsid w:val="47AF40A2"/>
    <w:rsid w:val="47B065DA"/>
    <w:rsid w:val="47D08709"/>
    <w:rsid w:val="47D96720"/>
    <w:rsid w:val="47DCF529"/>
    <w:rsid w:val="47E79ECC"/>
    <w:rsid w:val="47EA0C2D"/>
    <w:rsid w:val="47F6691B"/>
    <w:rsid w:val="47FBC633"/>
    <w:rsid w:val="47FE19D2"/>
    <w:rsid w:val="480F201C"/>
    <w:rsid w:val="481A3BF8"/>
    <w:rsid w:val="48217AD2"/>
    <w:rsid w:val="4830229F"/>
    <w:rsid w:val="4832187C"/>
    <w:rsid w:val="483C9750"/>
    <w:rsid w:val="48427DC6"/>
    <w:rsid w:val="485F796F"/>
    <w:rsid w:val="487DBDE4"/>
    <w:rsid w:val="48805832"/>
    <w:rsid w:val="48917F69"/>
    <w:rsid w:val="4894DC22"/>
    <w:rsid w:val="4899EB58"/>
    <w:rsid w:val="48A97C16"/>
    <w:rsid w:val="48BF80C3"/>
    <w:rsid w:val="48C4BE80"/>
    <w:rsid w:val="48E17FD2"/>
    <w:rsid w:val="48F20972"/>
    <w:rsid w:val="4905A417"/>
    <w:rsid w:val="49107D4B"/>
    <w:rsid w:val="4936BBF7"/>
    <w:rsid w:val="4939BDE9"/>
    <w:rsid w:val="493EAF72"/>
    <w:rsid w:val="4940DFD1"/>
    <w:rsid w:val="494EE753"/>
    <w:rsid w:val="49507C0C"/>
    <w:rsid w:val="495D44BE"/>
    <w:rsid w:val="4967AC85"/>
    <w:rsid w:val="49697450"/>
    <w:rsid w:val="496E70DE"/>
    <w:rsid w:val="496F758C"/>
    <w:rsid w:val="4978C58A"/>
    <w:rsid w:val="49814206"/>
    <w:rsid w:val="4988018C"/>
    <w:rsid w:val="498A7A27"/>
    <w:rsid w:val="498E280B"/>
    <w:rsid w:val="4992397C"/>
    <w:rsid w:val="4999B5FC"/>
    <w:rsid w:val="49B09770"/>
    <w:rsid w:val="49CB045D"/>
    <w:rsid w:val="49CBF300"/>
    <w:rsid w:val="49D4345E"/>
    <w:rsid w:val="49D44FC5"/>
    <w:rsid w:val="49D792D0"/>
    <w:rsid w:val="49DEA660"/>
    <w:rsid w:val="49E7CDBF"/>
    <w:rsid w:val="49EEB4FE"/>
    <w:rsid w:val="49F9ECA1"/>
    <w:rsid w:val="4A1FE600"/>
    <w:rsid w:val="4A2AC9CB"/>
    <w:rsid w:val="4A2C8D93"/>
    <w:rsid w:val="4A2EAE0A"/>
    <w:rsid w:val="4A3A3A93"/>
    <w:rsid w:val="4A427F58"/>
    <w:rsid w:val="4A46F395"/>
    <w:rsid w:val="4A6751DA"/>
    <w:rsid w:val="4A7FC9ED"/>
    <w:rsid w:val="4A8927BA"/>
    <w:rsid w:val="4AA1B89F"/>
    <w:rsid w:val="4AA44812"/>
    <w:rsid w:val="4AA81760"/>
    <w:rsid w:val="4AACDEA9"/>
    <w:rsid w:val="4ABD33FC"/>
    <w:rsid w:val="4ACE371C"/>
    <w:rsid w:val="4AD9464B"/>
    <w:rsid w:val="4ADA7FD3"/>
    <w:rsid w:val="4AE6E164"/>
    <w:rsid w:val="4AF433F9"/>
    <w:rsid w:val="4AFECBEA"/>
    <w:rsid w:val="4B13C37D"/>
    <w:rsid w:val="4B166474"/>
    <w:rsid w:val="4B21ACEF"/>
    <w:rsid w:val="4B23D1ED"/>
    <w:rsid w:val="4B30F96D"/>
    <w:rsid w:val="4B4C5E9F"/>
    <w:rsid w:val="4B5B1D03"/>
    <w:rsid w:val="4B623094"/>
    <w:rsid w:val="4B736331"/>
    <w:rsid w:val="4B76FD1E"/>
    <w:rsid w:val="4B7F8D51"/>
    <w:rsid w:val="4B86C0AB"/>
    <w:rsid w:val="4B971267"/>
    <w:rsid w:val="4B9ECABE"/>
    <w:rsid w:val="4BA01B37"/>
    <w:rsid w:val="4BA23438"/>
    <w:rsid w:val="4BA72570"/>
    <w:rsid w:val="4BAB6EFB"/>
    <w:rsid w:val="4BBD9A79"/>
    <w:rsid w:val="4BC63F6E"/>
    <w:rsid w:val="4BCC4BEE"/>
    <w:rsid w:val="4BD132C0"/>
    <w:rsid w:val="4BDF87C5"/>
    <w:rsid w:val="4BFE71C5"/>
    <w:rsid w:val="4C038940"/>
    <w:rsid w:val="4C04C487"/>
    <w:rsid w:val="4C06D5D4"/>
    <w:rsid w:val="4C0A7CB7"/>
    <w:rsid w:val="4C29167F"/>
    <w:rsid w:val="4C4310B2"/>
    <w:rsid w:val="4C48AF0A"/>
    <w:rsid w:val="4C509034"/>
    <w:rsid w:val="4C6EC95C"/>
    <w:rsid w:val="4C797C45"/>
    <w:rsid w:val="4C8F2309"/>
    <w:rsid w:val="4C9163A4"/>
    <w:rsid w:val="4C9F4D47"/>
    <w:rsid w:val="4CA289D1"/>
    <w:rsid w:val="4CA611A0"/>
    <w:rsid w:val="4CBFA24E"/>
    <w:rsid w:val="4CC4BEC0"/>
    <w:rsid w:val="4CD4AC74"/>
    <w:rsid w:val="4CFA8606"/>
    <w:rsid w:val="4D02789C"/>
    <w:rsid w:val="4D062D30"/>
    <w:rsid w:val="4D0D9266"/>
    <w:rsid w:val="4D13109D"/>
    <w:rsid w:val="4D1F6E81"/>
    <w:rsid w:val="4D20C00C"/>
    <w:rsid w:val="4D2805E1"/>
    <w:rsid w:val="4D2D8395"/>
    <w:rsid w:val="4D325B00"/>
    <w:rsid w:val="4D4B09EB"/>
    <w:rsid w:val="4D596435"/>
    <w:rsid w:val="4D8316C9"/>
    <w:rsid w:val="4D863144"/>
    <w:rsid w:val="4D8684D8"/>
    <w:rsid w:val="4D86AC52"/>
    <w:rsid w:val="4D8C5604"/>
    <w:rsid w:val="4D8D7276"/>
    <w:rsid w:val="4DAE3A9E"/>
    <w:rsid w:val="4DB3E406"/>
    <w:rsid w:val="4DBD4987"/>
    <w:rsid w:val="4DBEA623"/>
    <w:rsid w:val="4DDC705C"/>
    <w:rsid w:val="4DF4D4BE"/>
    <w:rsid w:val="4DF69AC8"/>
    <w:rsid w:val="4E00E721"/>
    <w:rsid w:val="4E09814F"/>
    <w:rsid w:val="4E187AD5"/>
    <w:rsid w:val="4E229D3C"/>
    <w:rsid w:val="4E26C2E4"/>
    <w:rsid w:val="4E27FD35"/>
    <w:rsid w:val="4E307DEA"/>
    <w:rsid w:val="4E352565"/>
    <w:rsid w:val="4E3EB57D"/>
    <w:rsid w:val="4E42ECDA"/>
    <w:rsid w:val="4E4C3A1A"/>
    <w:rsid w:val="4E5111E8"/>
    <w:rsid w:val="4E7F1CAE"/>
    <w:rsid w:val="4E88D534"/>
    <w:rsid w:val="4E90B87B"/>
    <w:rsid w:val="4E915CD1"/>
    <w:rsid w:val="4EA1C557"/>
    <w:rsid w:val="4EA525FB"/>
    <w:rsid w:val="4EA86BCE"/>
    <w:rsid w:val="4EAE525F"/>
    <w:rsid w:val="4ECEB329"/>
    <w:rsid w:val="4ED2536A"/>
    <w:rsid w:val="4ED9D4FA"/>
    <w:rsid w:val="4EE0C083"/>
    <w:rsid w:val="4F09518F"/>
    <w:rsid w:val="4F1267B7"/>
    <w:rsid w:val="4F17D9DA"/>
    <w:rsid w:val="4F25707D"/>
    <w:rsid w:val="4F3681E2"/>
    <w:rsid w:val="4F50C156"/>
    <w:rsid w:val="4F531D4C"/>
    <w:rsid w:val="4F5782D3"/>
    <w:rsid w:val="4F5AAA9B"/>
    <w:rsid w:val="4F7BA6B9"/>
    <w:rsid w:val="4FA49B58"/>
    <w:rsid w:val="4FBB44C1"/>
    <w:rsid w:val="4FC3CD96"/>
    <w:rsid w:val="4FCEDEB1"/>
    <w:rsid w:val="4FD6EE09"/>
    <w:rsid w:val="4FDD685C"/>
    <w:rsid w:val="4FE058C6"/>
    <w:rsid w:val="4FE2C951"/>
    <w:rsid w:val="4FE80A7B"/>
    <w:rsid w:val="4FF35830"/>
    <w:rsid w:val="4FF6E3AB"/>
    <w:rsid w:val="4FFF9193"/>
    <w:rsid w:val="5002E37F"/>
    <w:rsid w:val="50067FA1"/>
    <w:rsid w:val="5010EACF"/>
    <w:rsid w:val="5019BF95"/>
    <w:rsid w:val="503AC1C6"/>
    <w:rsid w:val="5049A847"/>
    <w:rsid w:val="504A9470"/>
    <w:rsid w:val="505FFF24"/>
    <w:rsid w:val="50669D76"/>
    <w:rsid w:val="506A8B54"/>
    <w:rsid w:val="506E2653"/>
    <w:rsid w:val="5075A55B"/>
    <w:rsid w:val="50774B2A"/>
    <w:rsid w:val="5077AD22"/>
    <w:rsid w:val="50787412"/>
    <w:rsid w:val="507DCF68"/>
    <w:rsid w:val="5092B293"/>
    <w:rsid w:val="50A83E86"/>
    <w:rsid w:val="50A9DBFD"/>
    <w:rsid w:val="50D60C46"/>
    <w:rsid w:val="50DB649F"/>
    <w:rsid w:val="50DD2826"/>
    <w:rsid w:val="50DDA0F6"/>
    <w:rsid w:val="50DDEDDA"/>
    <w:rsid w:val="50ED4037"/>
    <w:rsid w:val="50EF76DC"/>
    <w:rsid w:val="50F78D9F"/>
    <w:rsid w:val="51085A5A"/>
    <w:rsid w:val="51115B77"/>
    <w:rsid w:val="511189E2"/>
    <w:rsid w:val="513D13F9"/>
    <w:rsid w:val="513FD3A5"/>
    <w:rsid w:val="51426594"/>
    <w:rsid w:val="514655E9"/>
    <w:rsid w:val="5146BFCF"/>
    <w:rsid w:val="514870CF"/>
    <w:rsid w:val="51547B5A"/>
    <w:rsid w:val="515E40F2"/>
    <w:rsid w:val="5164438A"/>
    <w:rsid w:val="5171C6B8"/>
    <w:rsid w:val="5175FAF4"/>
    <w:rsid w:val="51788A24"/>
    <w:rsid w:val="517A1489"/>
    <w:rsid w:val="517A17B0"/>
    <w:rsid w:val="5183D76F"/>
    <w:rsid w:val="51B35903"/>
    <w:rsid w:val="51BA1E3E"/>
    <w:rsid w:val="51C07530"/>
    <w:rsid w:val="51C40C12"/>
    <w:rsid w:val="51E10389"/>
    <w:rsid w:val="51EECD3D"/>
    <w:rsid w:val="5209F42C"/>
    <w:rsid w:val="521175BC"/>
    <w:rsid w:val="5211A23F"/>
    <w:rsid w:val="52131B8B"/>
    <w:rsid w:val="521DDF39"/>
    <w:rsid w:val="52209792"/>
    <w:rsid w:val="5221ECFA"/>
    <w:rsid w:val="5225F877"/>
    <w:rsid w:val="52302771"/>
    <w:rsid w:val="5239E882"/>
    <w:rsid w:val="523D8EE2"/>
    <w:rsid w:val="52429DC1"/>
    <w:rsid w:val="524A0879"/>
    <w:rsid w:val="52610108"/>
    <w:rsid w:val="52869D8B"/>
    <w:rsid w:val="52ADAC45"/>
    <w:rsid w:val="52B41FDA"/>
    <w:rsid w:val="52CC695B"/>
    <w:rsid w:val="52D571D8"/>
    <w:rsid w:val="52DDB343"/>
    <w:rsid w:val="52E420FC"/>
    <w:rsid w:val="52F75E52"/>
    <w:rsid w:val="53042704"/>
    <w:rsid w:val="530BEC1B"/>
    <w:rsid w:val="53155C10"/>
    <w:rsid w:val="53165DFD"/>
    <w:rsid w:val="531D2ED4"/>
    <w:rsid w:val="532409D8"/>
    <w:rsid w:val="532B626B"/>
    <w:rsid w:val="532D5C54"/>
    <w:rsid w:val="5339D77A"/>
    <w:rsid w:val="5340765D"/>
    <w:rsid w:val="53516057"/>
    <w:rsid w:val="536A866D"/>
    <w:rsid w:val="539AAC18"/>
    <w:rsid w:val="53A4B177"/>
    <w:rsid w:val="53AEEBEC"/>
    <w:rsid w:val="53B17C6E"/>
    <w:rsid w:val="53C9C2F7"/>
    <w:rsid w:val="53CEFEAD"/>
    <w:rsid w:val="53D91567"/>
    <w:rsid w:val="53E21375"/>
    <w:rsid w:val="53E38B9D"/>
    <w:rsid w:val="53F6545C"/>
    <w:rsid w:val="54010543"/>
    <w:rsid w:val="5407E9E1"/>
    <w:rsid w:val="540A535B"/>
    <w:rsid w:val="540FDCBA"/>
    <w:rsid w:val="54142F6E"/>
    <w:rsid w:val="541C6F8D"/>
    <w:rsid w:val="541F15DB"/>
    <w:rsid w:val="5423E9AC"/>
    <w:rsid w:val="544595B6"/>
    <w:rsid w:val="5448A299"/>
    <w:rsid w:val="5462CA69"/>
    <w:rsid w:val="546DC8AC"/>
    <w:rsid w:val="547B90ED"/>
    <w:rsid w:val="5487ECB6"/>
    <w:rsid w:val="548FDA3C"/>
    <w:rsid w:val="54971F08"/>
    <w:rsid w:val="54A8B174"/>
    <w:rsid w:val="54AE4285"/>
    <w:rsid w:val="54BD03E5"/>
    <w:rsid w:val="54C02D8A"/>
    <w:rsid w:val="54C6FAE4"/>
    <w:rsid w:val="54E2A76B"/>
    <w:rsid w:val="5527393E"/>
    <w:rsid w:val="552AF992"/>
    <w:rsid w:val="553DFC77"/>
    <w:rsid w:val="5555E4F8"/>
    <w:rsid w:val="555A36CD"/>
    <w:rsid w:val="55699833"/>
    <w:rsid w:val="557D068A"/>
    <w:rsid w:val="5581DF17"/>
    <w:rsid w:val="558F488D"/>
    <w:rsid w:val="55A5AD4F"/>
    <w:rsid w:val="55B7C8B3"/>
    <w:rsid w:val="55CB3ED0"/>
    <w:rsid w:val="55D2DB73"/>
    <w:rsid w:val="55EA1829"/>
    <w:rsid w:val="55F07CCC"/>
    <w:rsid w:val="55F76FC3"/>
    <w:rsid w:val="55FAB741"/>
    <w:rsid w:val="5615D6B7"/>
    <w:rsid w:val="56422333"/>
    <w:rsid w:val="564481D5"/>
    <w:rsid w:val="565C8D50"/>
    <w:rsid w:val="56820454"/>
    <w:rsid w:val="5687BDEF"/>
    <w:rsid w:val="5693E719"/>
    <w:rsid w:val="56AF982B"/>
    <w:rsid w:val="56B474AC"/>
    <w:rsid w:val="56C8A760"/>
    <w:rsid w:val="56CDB140"/>
    <w:rsid w:val="56DDFCAE"/>
    <w:rsid w:val="56E51F09"/>
    <w:rsid w:val="56ECE1A1"/>
    <w:rsid w:val="56EF3E86"/>
    <w:rsid w:val="5721B951"/>
    <w:rsid w:val="573E9D65"/>
    <w:rsid w:val="5743195C"/>
    <w:rsid w:val="5743A9D3"/>
    <w:rsid w:val="575293A9"/>
    <w:rsid w:val="57567424"/>
    <w:rsid w:val="575C6C61"/>
    <w:rsid w:val="575CB48F"/>
    <w:rsid w:val="57630158"/>
    <w:rsid w:val="5787431E"/>
    <w:rsid w:val="5789C002"/>
    <w:rsid w:val="5794CF82"/>
    <w:rsid w:val="579B3C1C"/>
    <w:rsid w:val="57A9CDD4"/>
    <w:rsid w:val="57AD1F2C"/>
    <w:rsid w:val="57AFA9F7"/>
    <w:rsid w:val="57B5976D"/>
    <w:rsid w:val="57DA7D76"/>
    <w:rsid w:val="57F179C9"/>
    <w:rsid w:val="57FA28BA"/>
    <w:rsid w:val="5802EC43"/>
    <w:rsid w:val="581F7D81"/>
    <w:rsid w:val="582C4240"/>
    <w:rsid w:val="582FB6B4"/>
    <w:rsid w:val="583378C1"/>
    <w:rsid w:val="583DC005"/>
    <w:rsid w:val="584CA284"/>
    <w:rsid w:val="5891D78F"/>
    <w:rsid w:val="589404B6"/>
    <w:rsid w:val="5898A037"/>
    <w:rsid w:val="58B95008"/>
    <w:rsid w:val="58CA6D8B"/>
    <w:rsid w:val="58FDBB0D"/>
    <w:rsid w:val="5911D92E"/>
    <w:rsid w:val="591B8C21"/>
    <w:rsid w:val="5934E885"/>
    <w:rsid w:val="59424604"/>
    <w:rsid w:val="5943FFED"/>
    <w:rsid w:val="59514274"/>
    <w:rsid w:val="5957A590"/>
    <w:rsid w:val="596AAFDC"/>
    <w:rsid w:val="597B0E35"/>
    <w:rsid w:val="59810CD9"/>
    <w:rsid w:val="59934B5C"/>
    <w:rsid w:val="599EC2DF"/>
    <w:rsid w:val="599EC4F7"/>
    <w:rsid w:val="59AC395B"/>
    <w:rsid w:val="59D7EEEE"/>
    <w:rsid w:val="59F10506"/>
    <w:rsid w:val="59F8F99E"/>
    <w:rsid w:val="5A406FFC"/>
    <w:rsid w:val="5A4F4932"/>
    <w:rsid w:val="5A5D15CA"/>
    <w:rsid w:val="5A5E0308"/>
    <w:rsid w:val="5A6F4AE8"/>
    <w:rsid w:val="5A7ADE08"/>
    <w:rsid w:val="5A8F416E"/>
    <w:rsid w:val="5A90538D"/>
    <w:rsid w:val="5AC3E0FE"/>
    <w:rsid w:val="5AC507ED"/>
    <w:rsid w:val="5ADEE168"/>
    <w:rsid w:val="5AEB344A"/>
    <w:rsid w:val="5AED382F"/>
    <w:rsid w:val="5B20618D"/>
    <w:rsid w:val="5B465416"/>
    <w:rsid w:val="5B465543"/>
    <w:rsid w:val="5B47D827"/>
    <w:rsid w:val="5B4C8C77"/>
    <w:rsid w:val="5B561C86"/>
    <w:rsid w:val="5B6237F1"/>
    <w:rsid w:val="5B9232D8"/>
    <w:rsid w:val="5B969AFF"/>
    <w:rsid w:val="5BB411B9"/>
    <w:rsid w:val="5BC97851"/>
    <w:rsid w:val="5BD3CF50"/>
    <w:rsid w:val="5BF0C821"/>
    <w:rsid w:val="5C05706B"/>
    <w:rsid w:val="5C2C85A0"/>
    <w:rsid w:val="5C3016B7"/>
    <w:rsid w:val="5C314CA8"/>
    <w:rsid w:val="5C34AD0C"/>
    <w:rsid w:val="5C4087E4"/>
    <w:rsid w:val="5C4E7959"/>
    <w:rsid w:val="5C6B1BB8"/>
    <w:rsid w:val="5C794A16"/>
    <w:rsid w:val="5C7BA0AF"/>
    <w:rsid w:val="5C810A0A"/>
    <w:rsid w:val="5C890890"/>
    <w:rsid w:val="5C8CC6F3"/>
    <w:rsid w:val="5C955EED"/>
    <w:rsid w:val="5CAFE5CB"/>
    <w:rsid w:val="5CD0262B"/>
    <w:rsid w:val="5CD244B1"/>
    <w:rsid w:val="5CD6C69A"/>
    <w:rsid w:val="5CF7C3D8"/>
    <w:rsid w:val="5D1265C4"/>
    <w:rsid w:val="5D169A2D"/>
    <w:rsid w:val="5D257D13"/>
    <w:rsid w:val="5D2C5D51"/>
    <w:rsid w:val="5D2D4DE2"/>
    <w:rsid w:val="5D333CD7"/>
    <w:rsid w:val="5D3ECFF4"/>
    <w:rsid w:val="5D40FBD2"/>
    <w:rsid w:val="5D5CD76A"/>
    <w:rsid w:val="5D61B662"/>
    <w:rsid w:val="5D630172"/>
    <w:rsid w:val="5D6BAE41"/>
    <w:rsid w:val="5D6D3BB4"/>
    <w:rsid w:val="5D785393"/>
    <w:rsid w:val="5D7FE169"/>
    <w:rsid w:val="5D84B930"/>
    <w:rsid w:val="5D8988E5"/>
    <w:rsid w:val="5DA2E615"/>
    <w:rsid w:val="5DA546ED"/>
    <w:rsid w:val="5DA61A39"/>
    <w:rsid w:val="5DADE57D"/>
    <w:rsid w:val="5DB322CB"/>
    <w:rsid w:val="5DB7C765"/>
    <w:rsid w:val="5DEEFE0A"/>
    <w:rsid w:val="5DF215BD"/>
    <w:rsid w:val="5E027F13"/>
    <w:rsid w:val="5E046CC3"/>
    <w:rsid w:val="5E177110"/>
    <w:rsid w:val="5E1C68BB"/>
    <w:rsid w:val="5E1CAC40"/>
    <w:rsid w:val="5E25D0AD"/>
    <w:rsid w:val="5E27929F"/>
    <w:rsid w:val="5E312B71"/>
    <w:rsid w:val="5E326CF5"/>
    <w:rsid w:val="5E3C9376"/>
    <w:rsid w:val="5E52E4B3"/>
    <w:rsid w:val="5E6BF68C"/>
    <w:rsid w:val="5E72178C"/>
    <w:rsid w:val="5E72361A"/>
    <w:rsid w:val="5E7EFFA7"/>
    <w:rsid w:val="5E8F97EB"/>
    <w:rsid w:val="5E95DCFB"/>
    <w:rsid w:val="5E9BDF10"/>
    <w:rsid w:val="5E9C72F0"/>
    <w:rsid w:val="5EA1BAFF"/>
    <w:rsid w:val="5EA4A266"/>
    <w:rsid w:val="5EBC156E"/>
    <w:rsid w:val="5EBEB342"/>
    <w:rsid w:val="5EC12B9B"/>
    <w:rsid w:val="5EC91E43"/>
    <w:rsid w:val="5EE2304A"/>
    <w:rsid w:val="5EF7E64A"/>
    <w:rsid w:val="5EFFD88A"/>
    <w:rsid w:val="5F011913"/>
    <w:rsid w:val="5F04566C"/>
    <w:rsid w:val="5F0B33C0"/>
    <w:rsid w:val="5F0DAB06"/>
    <w:rsid w:val="5F10FCC6"/>
    <w:rsid w:val="5F178144"/>
    <w:rsid w:val="5F1F178A"/>
    <w:rsid w:val="5F2291EF"/>
    <w:rsid w:val="5F255946"/>
    <w:rsid w:val="5F339700"/>
    <w:rsid w:val="5F3CF50D"/>
    <w:rsid w:val="5F3D056E"/>
    <w:rsid w:val="5F44E32A"/>
    <w:rsid w:val="5F5A7699"/>
    <w:rsid w:val="5F6438B1"/>
    <w:rsid w:val="5F73F79A"/>
    <w:rsid w:val="5F7828A6"/>
    <w:rsid w:val="5F8DB783"/>
    <w:rsid w:val="5FA05EB3"/>
    <w:rsid w:val="5FAD57BC"/>
    <w:rsid w:val="5FCE32A5"/>
    <w:rsid w:val="5FD17EE3"/>
    <w:rsid w:val="5FDBB8A8"/>
    <w:rsid w:val="5FDF9A02"/>
    <w:rsid w:val="5FE68446"/>
    <w:rsid w:val="5FEF1B10"/>
    <w:rsid w:val="5FF7DFE9"/>
    <w:rsid w:val="60050FA0"/>
    <w:rsid w:val="601577D8"/>
    <w:rsid w:val="601654E2"/>
    <w:rsid w:val="601A1EA6"/>
    <w:rsid w:val="604AA508"/>
    <w:rsid w:val="60518E73"/>
    <w:rsid w:val="6053F1BC"/>
    <w:rsid w:val="60595D38"/>
    <w:rsid w:val="60663879"/>
    <w:rsid w:val="60710E2C"/>
    <w:rsid w:val="60770411"/>
    <w:rsid w:val="608FB491"/>
    <w:rsid w:val="609B5F0F"/>
    <w:rsid w:val="609CE974"/>
    <w:rsid w:val="609D3822"/>
    <w:rsid w:val="60A6BC34"/>
    <w:rsid w:val="60AB3385"/>
    <w:rsid w:val="60AD5745"/>
    <w:rsid w:val="60B7822B"/>
    <w:rsid w:val="60BBFB00"/>
    <w:rsid w:val="60CF6761"/>
    <w:rsid w:val="60E5E311"/>
    <w:rsid w:val="60E82AE5"/>
    <w:rsid w:val="60EA7A0B"/>
    <w:rsid w:val="60F7D579"/>
    <w:rsid w:val="60F975EF"/>
    <w:rsid w:val="60FE386B"/>
    <w:rsid w:val="610A7DF5"/>
    <w:rsid w:val="611756CA"/>
    <w:rsid w:val="611E6462"/>
    <w:rsid w:val="612C93FB"/>
    <w:rsid w:val="613792B4"/>
    <w:rsid w:val="6145BC58"/>
    <w:rsid w:val="615F3361"/>
    <w:rsid w:val="61603816"/>
    <w:rsid w:val="6168CC33"/>
    <w:rsid w:val="616E5E7D"/>
    <w:rsid w:val="6170B9B9"/>
    <w:rsid w:val="6175C1C1"/>
    <w:rsid w:val="617C2A4B"/>
    <w:rsid w:val="617FE5E4"/>
    <w:rsid w:val="61894B3B"/>
    <w:rsid w:val="619603A3"/>
    <w:rsid w:val="619A3A77"/>
    <w:rsid w:val="61C31ACB"/>
    <w:rsid w:val="61C8F40A"/>
    <w:rsid w:val="61E0FE5D"/>
    <w:rsid w:val="61E4C52C"/>
    <w:rsid w:val="61F3246D"/>
    <w:rsid w:val="61FDE699"/>
    <w:rsid w:val="621BC2A1"/>
    <w:rsid w:val="6221A255"/>
    <w:rsid w:val="6221E0E6"/>
    <w:rsid w:val="622B84F2"/>
    <w:rsid w:val="622E7CEE"/>
    <w:rsid w:val="62372F70"/>
    <w:rsid w:val="6253528C"/>
    <w:rsid w:val="6283726C"/>
    <w:rsid w:val="6288B453"/>
    <w:rsid w:val="6292E92E"/>
    <w:rsid w:val="62AFC968"/>
    <w:rsid w:val="62B22B0C"/>
    <w:rsid w:val="62BE98A0"/>
    <w:rsid w:val="62C06D26"/>
    <w:rsid w:val="62C8645C"/>
    <w:rsid w:val="62D1AC5D"/>
    <w:rsid w:val="62D72331"/>
    <w:rsid w:val="62D74020"/>
    <w:rsid w:val="62E2AA24"/>
    <w:rsid w:val="62EAE233"/>
    <w:rsid w:val="62FE20DB"/>
    <w:rsid w:val="63004FF8"/>
    <w:rsid w:val="630767F7"/>
    <w:rsid w:val="631822A3"/>
    <w:rsid w:val="6320A2B9"/>
    <w:rsid w:val="63265F4C"/>
    <w:rsid w:val="63375966"/>
    <w:rsid w:val="633FA90F"/>
    <w:rsid w:val="6340381A"/>
    <w:rsid w:val="63411CBC"/>
    <w:rsid w:val="634836F3"/>
    <w:rsid w:val="63490A42"/>
    <w:rsid w:val="634D189A"/>
    <w:rsid w:val="635CD7E0"/>
    <w:rsid w:val="635EEB2C"/>
    <w:rsid w:val="6374F2D6"/>
    <w:rsid w:val="639FDBE4"/>
    <w:rsid w:val="63C5CCDD"/>
    <w:rsid w:val="63CFFC8D"/>
    <w:rsid w:val="63D85CBF"/>
    <w:rsid w:val="63E2BFDD"/>
    <w:rsid w:val="63EC9948"/>
    <w:rsid w:val="64070823"/>
    <w:rsid w:val="64147F06"/>
    <w:rsid w:val="6416AD05"/>
    <w:rsid w:val="641C0D5D"/>
    <w:rsid w:val="6421C70C"/>
    <w:rsid w:val="6422644F"/>
    <w:rsid w:val="6425BBC8"/>
    <w:rsid w:val="642DB637"/>
    <w:rsid w:val="643A3A82"/>
    <w:rsid w:val="6451A7D8"/>
    <w:rsid w:val="6458C0AA"/>
    <w:rsid w:val="64668C52"/>
    <w:rsid w:val="646A4497"/>
    <w:rsid w:val="6473915E"/>
    <w:rsid w:val="6480C8DF"/>
    <w:rsid w:val="648A508B"/>
    <w:rsid w:val="648C1BEF"/>
    <w:rsid w:val="649794F4"/>
    <w:rsid w:val="649BB94D"/>
    <w:rsid w:val="64AB8341"/>
    <w:rsid w:val="64B4D832"/>
    <w:rsid w:val="65054B74"/>
    <w:rsid w:val="65058748"/>
    <w:rsid w:val="6510E950"/>
    <w:rsid w:val="65158477"/>
    <w:rsid w:val="6515D137"/>
    <w:rsid w:val="651D77B2"/>
    <w:rsid w:val="6520C860"/>
    <w:rsid w:val="65299998"/>
    <w:rsid w:val="653A8DBE"/>
    <w:rsid w:val="654EE61D"/>
    <w:rsid w:val="65529B91"/>
    <w:rsid w:val="655373DC"/>
    <w:rsid w:val="6554EB99"/>
    <w:rsid w:val="6555C3C8"/>
    <w:rsid w:val="656325B4"/>
    <w:rsid w:val="656CB126"/>
    <w:rsid w:val="6577AF69"/>
    <w:rsid w:val="65788FD6"/>
    <w:rsid w:val="65794F5A"/>
    <w:rsid w:val="657EC7C9"/>
    <w:rsid w:val="6588DCFD"/>
    <w:rsid w:val="659A74A2"/>
    <w:rsid w:val="659E4EF8"/>
    <w:rsid w:val="65A13D97"/>
    <w:rsid w:val="65A83513"/>
    <w:rsid w:val="65BA057A"/>
    <w:rsid w:val="65C77EE0"/>
    <w:rsid w:val="65C87950"/>
    <w:rsid w:val="65CACC23"/>
    <w:rsid w:val="65CE5D3D"/>
    <w:rsid w:val="65E55ECA"/>
    <w:rsid w:val="65EF22AE"/>
    <w:rsid w:val="65FD5A34"/>
    <w:rsid w:val="6607B1E2"/>
    <w:rsid w:val="660EC3F3"/>
    <w:rsid w:val="66138AE0"/>
    <w:rsid w:val="662282F5"/>
    <w:rsid w:val="6632A484"/>
    <w:rsid w:val="663A1F50"/>
    <w:rsid w:val="663AB626"/>
    <w:rsid w:val="66442ADC"/>
    <w:rsid w:val="66466784"/>
    <w:rsid w:val="6646DB55"/>
    <w:rsid w:val="66566F0E"/>
    <w:rsid w:val="665AF7FD"/>
    <w:rsid w:val="668495E4"/>
    <w:rsid w:val="66A30261"/>
    <w:rsid w:val="66A7EA85"/>
    <w:rsid w:val="66AE7058"/>
    <w:rsid w:val="66B1A198"/>
    <w:rsid w:val="66B520D3"/>
    <w:rsid w:val="66BA0A47"/>
    <w:rsid w:val="66C1AF70"/>
    <w:rsid w:val="66CD1BA0"/>
    <w:rsid w:val="66CD24D8"/>
    <w:rsid w:val="66D529A6"/>
    <w:rsid w:val="66E5B3A2"/>
    <w:rsid w:val="6709E3B8"/>
    <w:rsid w:val="671645A5"/>
    <w:rsid w:val="671A609F"/>
    <w:rsid w:val="6726C3AF"/>
    <w:rsid w:val="6728B872"/>
    <w:rsid w:val="672BA12B"/>
    <w:rsid w:val="67325011"/>
    <w:rsid w:val="67364503"/>
    <w:rsid w:val="6743CCEB"/>
    <w:rsid w:val="6748CA21"/>
    <w:rsid w:val="674B227C"/>
    <w:rsid w:val="674B24DA"/>
    <w:rsid w:val="676030FC"/>
    <w:rsid w:val="676449B1"/>
    <w:rsid w:val="676A2D9E"/>
    <w:rsid w:val="6774A0D9"/>
    <w:rsid w:val="67823D1D"/>
    <w:rsid w:val="6791734E"/>
    <w:rsid w:val="6795E050"/>
    <w:rsid w:val="679D6E1B"/>
    <w:rsid w:val="67A35824"/>
    <w:rsid w:val="67B869A1"/>
    <w:rsid w:val="67BE5356"/>
    <w:rsid w:val="67C1F14D"/>
    <w:rsid w:val="67CA931E"/>
    <w:rsid w:val="67CE74E5"/>
    <w:rsid w:val="67D28B3C"/>
    <w:rsid w:val="67D4980D"/>
    <w:rsid w:val="67D7AD06"/>
    <w:rsid w:val="67DFFB3D"/>
    <w:rsid w:val="67E57475"/>
    <w:rsid w:val="67ECB49B"/>
    <w:rsid w:val="67FE6C62"/>
    <w:rsid w:val="6812F8CC"/>
    <w:rsid w:val="68146568"/>
    <w:rsid w:val="681C78EE"/>
    <w:rsid w:val="68205966"/>
    <w:rsid w:val="682880A5"/>
    <w:rsid w:val="684863F9"/>
    <w:rsid w:val="68552E00"/>
    <w:rsid w:val="68578D83"/>
    <w:rsid w:val="6870FA07"/>
    <w:rsid w:val="68734D07"/>
    <w:rsid w:val="687937E4"/>
    <w:rsid w:val="687C2011"/>
    <w:rsid w:val="68900E59"/>
    <w:rsid w:val="6893AE89"/>
    <w:rsid w:val="6895CC6E"/>
    <w:rsid w:val="68A655CD"/>
    <w:rsid w:val="68AFDCC6"/>
    <w:rsid w:val="68C075E6"/>
    <w:rsid w:val="68C74F31"/>
    <w:rsid w:val="68D3CAE6"/>
    <w:rsid w:val="68E1DDC0"/>
    <w:rsid w:val="68E3D753"/>
    <w:rsid w:val="6901275A"/>
    <w:rsid w:val="690487D4"/>
    <w:rsid w:val="69081CF5"/>
    <w:rsid w:val="690C35F2"/>
    <w:rsid w:val="691E5AF6"/>
    <w:rsid w:val="692F94E8"/>
    <w:rsid w:val="693684F5"/>
    <w:rsid w:val="693C6038"/>
    <w:rsid w:val="6951666B"/>
    <w:rsid w:val="69543113"/>
    <w:rsid w:val="6959C6C7"/>
    <w:rsid w:val="69670FFA"/>
    <w:rsid w:val="696F5C9F"/>
    <w:rsid w:val="6970A7F5"/>
    <w:rsid w:val="697272A6"/>
    <w:rsid w:val="697BCB9E"/>
    <w:rsid w:val="697CD4F9"/>
    <w:rsid w:val="69829B47"/>
    <w:rsid w:val="698D13F1"/>
    <w:rsid w:val="69902755"/>
    <w:rsid w:val="699BEB7F"/>
    <w:rsid w:val="69AE7014"/>
    <w:rsid w:val="69B7D48B"/>
    <w:rsid w:val="69C0E37D"/>
    <w:rsid w:val="69C100EC"/>
    <w:rsid w:val="69D14A5B"/>
    <w:rsid w:val="69DA6AD2"/>
    <w:rsid w:val="69E8F464"/>
    <w:rsid w:val="69F4EA4D"/>
    <w:rsid w:val="69F8CD0A"/>
    <w:rsid w:val="69FF7B57"/>
    <w:rsid w:val="6A04BC62"/>
    <w:rsid w:val="6A07A77C"/>
    <w:rsid w:val="6A09B2FA"/>
    <w:rsid w:val="6A2B5C93"/>
    <w:rsid w:val="6A3C271E"/>
    <w:rsid w:val="6A4420E0"/>
    <w:rsid w:val="6A5E6471"/>
    <w:rsid w:val="6A647F35"/>
    <w:rsid w:val="6A69C5DC"/>
    <w:rsid w:val="6A861230"/>
    <w:rsid w:val="6A9A8425"/>
    <w:rsid w:val="6A9C0B36"/>
    <w:rsid w:val="6A9E578A"/>
    <w:rsid w:val="6AA3ED56"/>
    <w:rsid w:val="6AE23516"/>
    <w:rsid w:val="6AEA8194"/>
    <w:rsid w:val="6AF42037"/>
    <w:rsid w:val="6AFE3E1C"/>
    <w:rsid w:val="6B022BFA"/>
    <w:rsid w:val="6B0AFAD1"/>
    <w:rsid w:val="6B0C7856"/>
    <w:rsid w:val="6B0F38BF"/>
    <w:rsid w:val="6B179BFF"/>
    <w:rsid w:val="6B20772D"/>
    <w:rsid w:val="6B37BBE0"/>
    <w:rsid w:val="6B3F7082"/>
    <w:rsid w:val="6B541C27"/>
    <w:rsid w:val="6B7390D9"/>
    <w:rsid w:val="6B73D9E6"/>
    <w:rsid w:val="6B8C4818"/>
    <w:rsid w:val="6BAF9ACF"/>
    <w:rsid w:val="6BB226EE"/>
    <w:rsid w:val="6BB3C0D3"/>
    <w:rsid w:val="6BB4647B"/>
    <w:rsid w:val="6BCDF2E2"/>
    <w:rsid w:val="6BD695D5"/>
    <w:rsid w:val="6BD84D9D"/>
    <w:rsid w:val="6BDBF2AA"/>
    <w:rsid w:val="6BE16C25"/>
    <w:rsid w:val="6BE654A0"/>
    <w:rsid w:val="6BEFDA20"/>
    <w:rsid w:val="6BFA457B"/>
    <w:rsid w:val="6C0088CF"/>
    <w:rsid w:val="6C069361"/>
    <w:rsid w:val="6C07D3FB"/>
    <w:rsid w:val="6C082ED5"/>
    <w:rsid w:val="6C0E1AFC"/>
    <w:rsid w:val="6C342D51"/>
    <w:rsid w:val="6C3627F0"/>
    <w:rsid w:val="6C450E02"/>
    <w:rsid w:val="6C458F97"/>
    <w:rsid w:val="6C58169C"/>
    <w:rsid w:val="6C7199BB"/>
    <w:rsid w:val="6C828534"/>
    <w:rsid w:val="6C8C2CAA"/>
    <w:rsid w:val="6C8DA2D5"/>
    <w:rsid w:val="6C915CF1"/>
    <w:rsid w:val="6C92AA2A"/>
    <w:rsid w:val="6C9C70AA"/>
    <w:rsid w:val="6CA5FF40"/>
    <w:rsid w:val="6CAEA6BA"/>
    <w:rsid w:val="6CB5FDAE"/>
    <w:rsid w:val="6CBC478E"/>
    <w:rsid w:val="6CCAA8DC"/>
    <w:rsid w:val="6CD8007E"/>
    <w:rsid w:val="6CDB734C"/>
    <w:rsid w:val="6CDCED1E"/>
    <w:rsid w:val="6CE39D13"/>
    <w:rsid w:val="6CE75BFC"/>
    <w:rsid w:val="6D15D528"/>
    <w:rsid w:val="6D27F21F"/>
    <w:rsid w:val="6D3CC363"/>
    <w:rsid w:val="6D4F9134"/>
    <w:rsid w:val="6D548D27"/>
    <w:rsid w:val="6D5885E1"/>
    <w:rsid w:val="6D6C4282"/>
    <w:rsid w:val="6D6EDD2F"/>
    <w:rsid w:val="6D7C915A"/>
    <w:rsid w:val="6D808715"/>
    <w:rsid w:val="6D8A64B3"/>
    <w:rsid w:val="6D8EFEF8"/>
    <w:rsid w:val="6D95A8FB"/>
    <w:rsid w:val="6DA9C746"/>
    <w:rsid w:val="6DAEB7D4"/>
    <w:rsid w:val="6DD9ACCB"/>
    <w:rsid w:val="6E1D847D"/>
    <w:rsid w:val="6E24E4C7"/>
    <w:rsid w:val="6E297336"/>
    <w:rsid w:val="6E2B5C52"/>
    <w:rsid w:val="6E2BBC96"/>
    <w:rsid w:val="6E2DB124"/>
    <w:rsid w:val="6E350AC9"/>
    <w:rsid w:val="6E4F9DD8"/>
    <w:rsid w:val="6E53BFD2"/>
    <w:rsid w:val="6E5A2A9C"/>
    <w:rsid w:val="6E5E3BA3"/>
    <w:rsid w:val="6E6065DF"/>
    <w:rsid w:val="6E6C0358"/>
    <w:rsid w:val="6E83A6EC"/>
    <w:rsid w:val="6E89155A"/>
    <w:rsid w:val="6E8B8992"/>
    <w:rsid w:val="6E8BBCE9"/>
    <w:rsid w:val="6E8EA3C7"/>
    <w:rsid w:val="6E901A1A"/>
    <w:rsid w:val="6EABCE98"/>
    <w:rsid w:val="6EBC66BD"/>
    <w:rsid w:val="6EC1AE22"/>
    <w:rsid w:val="6ECD529D"/>
    <w:rsid w:val="6EE49801"/>
    <w:rsid w:val="6EFB3C00"/>
    <w:rsid w:val="6F1657C3"/>
    <w:rsid w:val="6F179203"/>
    <w:rsid w:val="6F1C5776"/>
    <w:rsid w:val="6F21578A"/>
    <w:rsid w:val="6F27061B"/>
    <w:rsid w:val="6F2D51D6"/>
    <w:rsid w:val="6F2EDF5F"/>
    <w:rsid w:val="6F350D6B"/>
    <w:rsid w:val="6F35403C"/>
    <w:rsid w:val="6F39CCAA"/>
    <w:rsid w:val="6F49CF04"/>
    <w:rsid w:val="6F775E79"/>
    <w:rsid w:val="6F901021"/>
    <w:rsid w:val="6F95569E"/>
    <w:rsid w:val="6FA52B27"/>
    <w:rsid w:val="6FA6D3B6"/>
    <w:rsid w:val="6FDE9E23"/>
    <w:rsid w:val="6FDF88EC"/>
    <w:rsid w:val="6FE7613A"/>
    <w:rsid w:val="6FE995B1"/>
    <w:rsid w:val="6FEB0D22"/>
    <w:rsid w:val="6FED49CA"/>
    <w:rsid w:val="700B2D03"/>
    <w:rsid w:val="701D4259"/>
    <w:rsid w:val="70236D78"/>
    <w:rsid w:val="702A31AA"/>
    <w:rsid w:val="703083F9"/>
    <w:rsid w:val="703085D8"/>
    <w:rsid w:val="7047851B"/>
    <w:rsid w:val="704A3C34"/>
    <w:rsid w:val="7055261B"/>
    <w:rsid w:val="7058371E"/>
    <w:rsid w:val="7059ABCA"/>
    <w:rsid w:val="705D5C95"/>
    <w:rsid w:val="705D7C37"/>
    <w:rsid w:val="70710C14"/>
    <w:rsid w:val="70BE4903"/>
    <w:rsid w:val="70C29189"/>
    <w:rsid w:val="70C944D5"/>
    <w:rsid w:val="70CAF542"/>
    <w:rsid w:val="70CCF887"/>
    <w:rsid w:val="70D0DDCC"/>
    <w:rsid w:val="70D2F49E"/>
    <w:rsid w:val="70D9C057"/>
    <w:rsid w:val="70E38138"/>
    <w:rsid w:val="70E86EE5"/>
    <w:rsid w:val="70F2245D"/>
    <w:rsid w:val="7103FC87"/>
    <w:rsid w:val="71132EDA"/>
    <w:rsid w:val="711841D3"/>
    <w:rsid w:val="7122F39F"/>
    <w:rsid w:val="713126FF"/>
    <w:rsid w:val="713BFCE2"/>
    <w:rsid w:val="7142848F"/>
    <w:rsid w:val="71504971"/>
    <w:rsid w:val="7151ECC7"/>
    <w:rsid w:val="7165BE03"/>
    <w:rsid w:val="716CAB8B"/>
    <w:rsid w:val="716E08BA"/>
    <w:rsid w:val="71797063"/>
    <w:rsid w:val="717A6E84"/>
    <w:rsid w:val="717CD0F1"/>
    <w:rsid w:val="7186DD83"/>
    <w:rsid w:val="71A326C0"/>
    <w:rsid w:val="71AE40C7"/>
    <w:rsid w:val="71B4D8BC"/>
    <w:rsid w:val="71B61CDC"/>
    <w:rsid w:val="71C3B5B3"/>
    <w:rsid w:val="71CB5AC3"/>
    <w:rsid w:val="71F0F67C"/>
    <w:rsid w:val="71F2B2B9"/>
    <w:rsid w:val="71F34D03"/>
    <w:rsid w:val="71F81BCE"/>
    <w:rsid w:val="7205A536"/>
    <w:rsid w:val="7206F1CD"/>
    <w:rsid w:val="7217D268"/>
    <w:rsid w:val="7218CE87"/>
    <w:rsid w:val="721CE256"/>
    <w:rsid w:val="72213224"/>
    <w:rsid w:val="722160A8"/>
    <w:rsid w:val="722E8C6C"/>
    <w:rsid w:val="72305D6C"/>
    <w:rsid w:val="72367AB8"/>
    <w:rsid w:val="7236CA91"/>
    <w:rsid w:val="723BE4AA"/>
    <w:rsid w:val="72487AA5"/>
    <w:rsid w:val="7250F676"/>
    <w:rsid w:val="7256CB25"/>
    <w:rsid w:val="7268721D"/>
    <w:rsid w:val="726DD807"/>
    <w:rsid w:val="7273BC4B"/>
    <w:rsid w:val="7278F7AA"/>
    <w:rsid w:val="727F5199"/>
    <w:rsid w:val="7292D112"/>
    <w:rsid w:val="729AB186"/>
    <w:rsid w:val="72B1B9AE"/>
    <w:rsid w:val="72B3D9E3"/>
    <w:rsid w:val="72B64529"/>
    <w:rsid w:val="72C4C1D9"/>
    <w:rsid w:val="72CBC952"/>
    <w:rsid w:val="72D8D486"/>
    <w:rsid w:val="72DE601F"/>
    <w:rsid w:val="72E30932"/>
    <w:rsid w:val="72E4432A"/>
    <w:rsid w:val="72F0F5A0"/>
    <w:rsid w:val="72F39C44"/>
    <w:rsid w:val="72F53481"/>
    <w:rsid w:val="73018E64"/>
    <w:rsid w:val="731E2C6B"/>
    <w:rsid w:val="731F436F"/>
    <w:rsid w:val="732730F5"/>
    <w:rsid w:val="7338E926"/>
    <w:rsid w:val="733E5A95"/>
    <w:rsid w:val="7345A565"/>
    <w:rsid w:val="735895A8"/>
    <w:rsid w:val="735CF902"/>
    <w:rsid w:val="7361D26C"/>
    <w:rsid w:val="73641AA7"/>
    <w:rsid w:val="737AEE83"/>
    <w:rsid w:val="738CC6DD"/>
    <w:rsid w:val="73951F45"/>
    <w:rsid w:val="7396705B"/>
    <w:rsid w:val="73A1144F"/>
    <w:rsid w:val="73A3094F"/>
    <w:rsid w:val="73A3ED01"/>
    <w:rsid w:val="73BF05F9"/>
    <w:rsid w:val="73CF3E63"/>
    <w:rsid w:val="73D0E554"/>
    <w:rsid w:val="73D34B85"/>
    <w:rsid w:val="73D51EFE"/>
    <w:rsid w:val="73DB390B"/>
    <w:rsid w:val="73DBA093"/>
    <w:rsid w:val="73E0ABC8"/>
    <w:rsid w:val="73E1A7BA"/>
    <w:rsid w:val="73EFD6E4"/>
    <w:rsid w:val="73F37F5C"/>
    <w:rsid w:val="7400E597"/>
    <w:rsid w:val="74025082"/>
    <w:rsid w:val="7406926F"/>
    <w:rsid w:val="741D4027"/>
    <w:rsid w:val="743DB382"/>
    <w:rsid w:val="7440B42F"/>
    <w:rsid w:val="74603007"/>
    <w:rsid w:val="747101A8"/>
    <w:rsid w:val="7473FFED"/>
    <w:rsid w:val="749D5EC5"/>
    <w:rsid w:val="74BC2309"/>
    <w:rsid w:val="74BE7E45"/>
    <w:rsid w:val="74C21C7F"/>
    <w:rsid w:val="74DAC782"/>
    <w:rsid w:val="74EDDB50"/>
    <w:rsid w:val="74F134C9"/>
    <w:rsid w:val="7520E70D"/>
    <w:rsid w:val="75438118"/>
    <w:rsid w:val="754F1599"/>
    <w:rsid w:val="755081DD"/>
    <w:rsid w:val="755215A1"/>
    <w:rsid w:val="756D33AB"/>
    <w:rsid w:val="757D9409"/>
    <w:rsid w:val="7580E880"/>
    <w:rsid w:val="7581F452"/>
    <w:rsid w:val="75879283"/>
    <w:rsid w:val="7596BC66"/>
    <w:rsid w:val="759B21C2"/>
    <w:rsid w:val="75C06EDA"/>
    <w:rsid w:val="75C3DC59"/>
    <w:rsid w:val="75CB9653"/>
    <w:rsid w:val="75D2C45D"/>
    <w:rsid w:val="75D7431C"/>
    <w:rsid w:val="75DA7BE8"/>
    <w:rsid w:val="7601BAE3"/>
    <w:rsid w:val="760B8081"/>
    <w:rsid w:val="760F6E05"/>
    <w:rsid w:val="7648F030"/>
    <w:rsid w:val="764DDFA7"/>
    <w:rsid w:val="7653C479"/>
    <w:rsid w:val="765C8B4E"/>
    <w:rsid w:val="765DECE0"/>
    <w:rsid w:val="76697440"/>
    <w:rsid w:val="7669E395"/>
    <w:rsid w:val="76737BD9"/>
    <w:rsid w:val="7689ABB1"/>
    <w:rsid w:val="7692F2FC"/>
    <w:rsid w:val="76A5401D"/>
    <w:rsid w:val="76A89C1E"/>
    <w:rsid w:val="76ABF8E8"/>
    <w:rsid w:val="76AC5A68"/>
    <w:rsid w:val="76C8ED4E"/>
    <w:rsid w:val="76D26272"/>
    <w:rsid w:val="76D843FA"/>
    <w:rsid w:val="7705346D"/>
    <w:rsid w:val="77121036"/>
    <w:rsid w:val="7712D9CD"/>
    <w:rsid w:val="77162E71"/>
    <w:rsid w:val="771F5DFC"/>
    <w:rsid w:val="7720A936"/>
    <w:rsid w:val="772114B4"/>
    <w:rsid w:val="7722A670"/>
    <w:rsid w:val="77246799"/>
    <w:rsid w:val="77246CD8"/>
    <w:rsid w:val="773B739C"/>
    <w:rsid w:val="7741DECA"/>
    <w:rsid w:val="774901DB"/>
    <w:rsid w:val="7781B8A9"/>
    <w:rsid w:val="778B3976"/>
    <w:rsid w:val="778E97E2"/>
    <w:rsid w:val="77922292"/>
    <w:rsid w:val="77930925"/>
    <w:rsid w:val="7797D0C9"/>
    <w:rsid w:val="77AE9E84"/>
    <w:rsid w:val="77B4D46D"/>
    <w:rsid w:val="77B99B08"/>
    <w:rsid w:val="77C2C4B2"/>
    <w:rsid w:val="77D84302"/>
    <w:rsid w:val="77E16363"/>
    <w:rsid w:val="77E89C88"/>
    <w:rsid w:val="77F3C3CB"/>
    <w:rsid w:val="77F6DC59"/>
    <w:rsid w:val="77F7B99F"/>
    <w:rsid w:val="77F86E89"/>
    <w:rsid w:val="7800BBE1"/>
    <w:rsid w:val="7802D865"/>
    <w:rsid w:val="780F1CD0"/>
    <w:rsid w:val="780FB164"/>
    <w:rsid w:val="78284629"/>
    <w:rsid w:val="7830B103"/>
    <w:rsid w:val="783EA46F"/>
    <w:rsid w:val="78465D76"/>
    <w:rsid w:val="7847C949"/>
    <w:rsid w:val="784DECA1"/>
    <w:rsid w:val="786B3689"/>
    <w:rsid w:val="7872BC3C"/>
    <w:rsid w:val="7889BCF4"/>
    <w:rsid w:val="788C93DF"/>
    <w:rsid w:val="789BF080"/>
    <w:rsid w:val="78B0DFE4"/>
    <w:rsid w:val="78BE3B9C"/>
    <w:rsid w:val="78BE76D1"/>
    <w:rsid w:val="78C076C8"/>
    <w:rsid w:val="78D2F645"/>
    <w:rsid w:val="78DFFA8B"/>
    <w:rsid w:val="78E792FA"/>
    <w:rsid w:val="78EC147A"/>
    <w:rsid w:val="78F026B4"/>
    <w:rsid w:val="78F0AE63"/>
    <w:rsid w:val="78FAD699"/>
    <w:rsid w:val="7909AB79"/>
    <w:rsid w:val="7913839A"/>
    <w:rsid w:val="792B1D3E"/>
    <w:rsid w:val="7933A12A"/>
    <w:rsid w:val="79467BC5"/>
    <w:rsid w:val="794C085D"/>
    <w:rsid w:val="7960AAF2"/>
    <w:rsid w:val="79823851"/>
    <w:rsid w:val="7988ADA5"/>
    <w:rsid w:val="79905BC3"/>
    <w:rsid w:val="799BF712"/>
    <w:rsid w:val="79B20F49"/>
    <w:rsid w:val="79B5B0AC"/>
    <w:rsid w:val="79BEDED2"/>
    <w:rsid w:val="79E22DD7"/>
    <w:rsid w:val="79E60FC8"/>
    <w:rsid w:val="79F897F7"/>
    <w:rsid w:val="79FC0861"/>
    <w:rsid w:val="79FE55CB"/>
    <w:rsid w:val="7A0044B4"/>
    <w:rsid w:val="7A37DDCA"/>
    <w:rsid w:val="7A3F8F20"/>
    <w:rsid w:val="7A434464"/>
    <w:rsid w:val="7A458906"/>
    <w:rsid w:val="7A4AC58A"/>
    <w:rsid w:val="7A532CA4"/>
    <w:rsid w:val="7A581DFE"/>
    <w:rsid w:val="7A5849F8"/>
    <w:rsid w:val="7A5A4732"/>
    <w:rsid w:val="7A69FD2C"/>
    <w:rsid w:val="7A6A2D89"/>
    <w:rsid w:val="7A6EC6A6"/>
    <w:rsid w:val="7A765349"/>
    <w:rsid w:val="7A7B9487"/>
    <w:rsid w:val="7A7DE382"/>
    <w:rsid w:val="7A80A29D"/>
    <w:rsid w:val="7A8C7EC4"/>
    <w:rsid w:val="7A8F808F"/>
    <w:rsid w:val="7A95BFDA"/>
    <w:rsid w:val="7AA5C36B"/>
    <w:rsid w:val="7AAF6DA1"/>
    <w:rsid w:val="7ACA2F9B"/>
    <w:rsid w:val="7ACF718B"/>
    <w:rsid w:val="7ADE8265"/>
    <w:rsid w:val="7AEA0E92"/>
    <w:rsid w:val="7AEB53AD"/>
    <w:rsid w:val="7AF6A010"/>
    <w:rsid w:val="7AF7DABF"/>
    <w:rsid w:val="7AFFABB3"/>
    <w:rsid w:val="7B0033AB"/>
    <w:rsid w:val="7B0823E3"/>
    <w:rsid w:val="7B09A277"/>
    <w:rsid w:val="7B0FE3C4"/>
    <w:rsid w:val="7B190425"/>
    <w:rsid w:val="7B2150CA"/>
    <w:rsid w:val="7B293E50"/>
    <w:rsid w:val="7B2EC924"/>
    <w:rsid w:val="7B2FFC71"/>
    <w:rsid w:val="7B315E03"/>
    <w:rsid w:val="7B34D8C8"/>
    <w:rsid w:val="7B4F8281"/>
    <w:rsid w:val="7B5D52B6"/>
    <w:rsid w:val="7B63C770"/>
    <w:rsid w:val="7B6EBC28"/>
    <w:rsid w:val="7B770034"/>
    <w:rsid w:val="7B83DDD5"/>
    <w:rsid w:val="7BA2D74B"/>
    <w:rsid w:val="7BADD413"/>
    <w:rsid w:val="7BBB46F8"/>
    <w:rsid w:val="7BCD6D8E"/>
    <w:rsid w:val="7BE1DE0A"/>
    <w:rsid w:val="7BE695EB"/>
    <w:rsid w:val="7BFAED3F"/>
    <w:rsid w:val="7C05FF23"/>
    <w:rsid w:val="7C085A5F"/>
    <w:rsid w:val="7C0B4711"/>
    <w:rsid w:val="7C0FAB2E"/>
    <w:rsid w:val="7C2F34B9"/>
    <w:rsid w:val="7C3CB7D2"/>
    <w:rsid w:val="7C5F5969"/>
    <w:rsid w:val="7C6593B5"/>
    <w:rsid w:val="7C6B6A0C"/>
    <w:rsid w:val="7C6C1A08"/>
    <w:rsid w:val="7C795056"/>
    <w:rsid w:val="7C7D19D3"/>
    <w:rsid w:val="7C8173A5"/>
    <w:rsid w:val="7C9010EE"/>
    <w:rsid w:val="7C920619"/>
    <w:rsid w:val="7C97C9C3"/>
    <w:rsid w:val="7CA4E397"/>
    <w:rsid w:val="7CABB425"/>
    <w:rsid w:val="7CABE654"/>
    <w:rsid w:val="7CADFF55"/>
    <w:rsid w:val="7CB59BDC"/>
    <w:rsid w:val="7CC79237"/>
    <w:rsid w:val="7CD15BF2"/>
    <w:rsid w:val="7CDDF1EC"/>
    <w:rsid w:val="7CDF2FAD"/>
    <w:rsid w:val="7CE2C603"/>
    <w:rsid w:val="7CE49E5B"/>
    <w:rsid w:val="7CEF658C"/>
    <w:rsid w:val="7CF19D91"/>
    <w:rsid w:val="7CF9C0DD"/>
    <w:rsid w:val="7D241098"/>
    <w:rsid w:val="7D24DCE6"/>
    <w:rsid w:val="7D45A1C2"/>
    <w:rsid w:val="7D4E09F9"/>
    <w:rsid w:val="7D6F7E8C"/>
    <w:rsid w:val="7D772FE2"/>
    <w:rsid w:val="7D7D577B"/>
    <w:rsid w:val="7D8282D9"/>
    <w:rsid w:val="7D8FA21A"/>
    <w:rsid w:val="7D925AFC"/>
    <w:rsid w:val="7D93E7EB"/>
    <w:rsid w:val="7DC397D7"/>
    <w:rsid w:val="7DD45108"/>
    <w:rsid w:val="7DDAA704"/>
    <w:rsid w:val="7DDFD799"/>
    <w:rsid w:val="7DE0A871"/>
    <w:rsid w:val="7E0FB42F"/>
    <w:rsid w:val="7E2DC192"/>
    <w:rsid w:val="7E38C948"/>
    <w:rsid w:val="7E42B396"/>
    <w:rsid w:val="7E4461FB"/>
    <w:rsid w:val="7E50B502"/>
    <w:rsid w:val="7E58F18C"/>
    <w:rsid w:val="7E679D33"/>
    <w:rsid w:val="7E872343"/>
    <w:rsid w:val="7E88B856"/>
    <w:rsid w:val="7E8C860A"/>
    <w:rsid w:val="7E9A0F20"/>
    <w:rsid w:val="7E9B6832"/>
    <w:rsid w:val="7ED4C7D1"/>
    <w:rsid w:val="7EDA780D"/>
    <w:rsid w:val="7EF62DEF"/>
    <w:rsid w:val="7F06C925"/>
    <w:rsid w:val="7F1965A4"/>
    <w:rsid w:val="7F1DF64A"/>
    <w:rsid w:val="7F28D7E8"/>
    <w:rsid w:val="7F2E2393"/>
    <w:rsid w:val="7F2E6859"/>
    <w:rsid w:val="7F34D778"/>
    <w:rsid w:val="7F37ACEA"/>
    <w:rsid w:val="7F3B964E"/>
    <w:rsid w:val="7F3D9FE5"/>
    <w:rsid w:val="7F44AC44"/>
    <w:rsid w:val="7F697BDF"/>
    <w:rsid w:val="7F7559E1"/>
    <w:rsid w:val="7F7C78D2"/>
    <w:rsid w:val="7F848341"/>
    <w:rsid w:val="7F8D8C6B"/>
    <w:rsid w:val="7F9D3477"/>
    <w:rsid w:val="7FA2E2AE"/>
    <w:rsid w:val="7FC04994"/>
    <w:rsid w:val="7FD74BDE"/>
    <w:rsid w:val="7FE354E7"/>
    <w:rsid w:val="7FEC8C3F"/>
    <w:rsid w:val="7FEE8FF7"/>
    <w:rsid w:val="7FF8ED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E80DA"/>
  <w15:chartTrackingRefBased/>
  <w15:docId w15:val="{35482F1F-7FFC-42DF-AE49-A9403EF87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45"/>
    <w:pPr>
      <w:spacing w:line="480" w:lineRule="auto"/>
    </w:pPr>
    <w:rPr>
      <w:rFonts w:ascii="Times New Roman" w:hAnsi="Times New Roman"/>
      <w:color w:val="000000" w:themeColor="text1"/>
    </w:rPr>
  </w:style>
  <w:style w:type="paragraph" w:styleId="Heading1">
    <w:name w:val="heading 1"/>
    <w:basedOn w:val="Normal"/>
    <w:next w:val="Normal"/>
    <w:link w:val="Heading1Char"/>
    <w:autoRedefine/>
    <w:uiPriority w:val="9"/>
    <w:qFormat/>
    <w:rsid w:val="00187545"/>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87545"/>
    <w:pPr>
      <w:keepNext/>
      <w:keepLines/>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187545"/>
    <w:pPr>
      <w:keepNext/>
      <w:keepLines/>
      <w:tabs>
        <w:tab w:val="left" w:pos="8789"/>
      </w:tabs>
      <w:outlineLvl w:val="2"/>
    </w:pPr>
    <w:rPr>
      <w:rFonts w:eastAsiaTheme="majorEastAsia" w:cstheme="majorBidi"/>
      <w:b/>
    </w:rPr>
  </w:style>
  <w:style w:type="paragraph" w:styleId="Heading4">
    <w:name w:val="heading 4"/>
    <w:basedOn w:val="Normal"/>
    <w:next w:val="Normal"/>
    <w:link w:val="Heading4Char"/>
    <w:uiPriority w:val="9"/>
    <w:unhideWhenUsed/>
    <w:qFormat/>
    <w:rsid w:val="00187545"/>
    <w:pPr>
      <w:keepNext/>
      <w:keepLines/>
      <w:spacing w:before="200" w:line="276" w:lineRule="auto"/>
      <w:outlineLvl w:val="3"/>
    </w:pPr>
    <w:rPr>
      <w:rFonts w:asciiTheme="majorHAnsi" w:eastAsiaTheme="majorEastAsia" w:hAnsiTheme="majorHAnsi" w:cs="Times New Roman"/>
      <w:b/>
      <w:bCs/>
      <w:i/>
      <w:iCs/>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545"/>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187545"/>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187545"/>
    <w:rPr>
      <w:rFonts w:ascii="Times New Roman" w:eastAsiaTheme="majorEastAsia" w:hAnsi="Times New Roman" w:cstheme="majorBidi"/>
      <w:b/>
      <w:color w:val="000000" w:themeColor="text1"/>
    </w:rPr>
  </w:style>
  <w:style w:type="table" w:styleId="TableGrid">
    <w:name w:val="Table Grid"/>
    <w:basedOn w:val="TableNormal"/>
    <w:uiPriority w:val="39"/>
    <w:rsid w:val="00187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87545"/>
    <w:rPr>
      <w:rFonts w:asciiTheme="majorHAnsi" w:eastAsiaTheme="majorEastAsia" w:hAnsiTheme="majorHAnsi" w:cs="Times New Roman"/>
      <w:b/>
      <w:bCs/>
      <w:i/>
      <w:iCs/>
      <w:color w:val="4472C4" w:themeColor="accent1"/>
      <w:sz w:val="22"/>
      <w:szCs w:val="22"/>
    </w:rPr>
  </w:style>
  <w:style w:type="paragraph" w:styleId="BalloonText">
    <w:name w:val="Balloon Text"/>
    <w:basedOn w:val="Normal"/>
    <w:link w:val="BalloonTextChar"/>
    <w:uiPriority w:val="99"/>
    <w:semiHidden/>
    <w:unhideWhenUsed/>
    <w:rsid w:val="00187545"/>
    <w:pPr>
      <w:outlineLvl w:val="1"/>
    </w:pPr>
    <w:rPr>
      <w:rFonts w:eastAsia="Times New Roman" w:cs="Times New Roman"/>
      <w:color w:val="auto"/>
      <w:sz w:val="18"/>
      <w:szCs w:val="18"/>
      <w:lang w:eastAsia="en-GB"/>
    </w:rPr>
  </w:style>
  <w:style w:type="character" w:customStyle="1" w:styleId="BalloonTextChar">
    <w:name w:val="Balloon Text Char"/>
    <w:basedOn w:val="DefaultParagraphFont"/>
    <w:link w:val="BalloonText"/>
    <w:uiPriority w:val="99"/>
    <w:semiHidden/>
    <w:rsid w:val="00187545"/>
    <w:rPr>
      <w:rFonts w:ascii="Times New Roman" w:eastAsia="Times New Roman" w:hAnsi="Times New Roman" w:cs="Times New Roman"/>
      <w:sz w:val="18"/>
      <w:szCs w:val="18"/>
      <w:lang w:eastAsia="en-GB"/>
    </w:rPr>
  </w:style>
  <w:style w:type="paragraph" w:styleId="CommentText">
    <w:name w:val="annotation text"/>
    <w:basedOn w:val="Normal"/>
    <w:link w:val="CommentTextChar"/>
    <w:uiPriority w:val="99"/>
    <w:unhideWhenUsed/>
    <w:rsid w:val="00187545"/>
    <w:pPr>
      <w:outlineLvl w:val="1"/>
    </w:pPr>
    <w:rPr>
      <w:rFonts w:eastAsia="Times New Roman" w:cs="Times New Roman"/>
      <w:color w:val="auto"/>
      <w:sz w:val="20"/>
      <w:szCs w:val="20"/>
      <w:lang w:eastAsia="en-GB"/>
    </w:rPr>
  </w:style>
  <w:style w:type="character" w:customStyle="1" w:styleId="CommentTextChar">
    <w:name w:val="Comment Text Char"/>
    <w:basedOn w:val="DefaultParagraphFont"/>
    <w:link w:val="CommentText"/>
    <w:uiPriority w:val="99"/>
    <w:rsid w:val="00187545"/>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187545"/>
    <w:rPr>
      <w:sz w:val="16"/>
      <w:szCs w:val="16"/>
    </w:rPr>
  </w:style>
  <w:style w:type="paragraph" w:styleId="CommentSubject">
    <w:name w:val="annotation subject"/>
    <w:basedOn w:val="CommentText"/>
    <w:next w:val="CommentText"/>
    <w:link w:val="CommentSubjectChar"/>
    <w:uiPriority w:val="99"/>
    <w:semiHidden/>
    <w:unhideWhenUsed/>
    <w:rsid w:val="00187545"/>
    <w:rPr>
      <w:b/>
      <w:bCs/>
    </w:rPr>
  </w:style>
  <w:style w:type="character" w:customStyle="1" w:styleId="CommentSubjectChar">
    <w:name w:val="Comment Subject Char"/>
    <w:basedOn w:val="CommentTextChar"/>
    <w:link w:val="CommentSubject"/>
    <w:uiPriority w:val="99"/>
    <w:semiHidden/>
    <w:rsid w:val="00187545"/>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187545"/>
    <w:pPr>
      <w:spacing w:before="100" w:beforeAutospacing="1" w:after="100" w:afterAutospacing="1"/>
      <w:outlineLvl w:val="1"/>
    </w:pPr>
    <w:rPr>
      <w:rFonts w:eastAsia="Times New Roman" w:cs="Times New Roman"/>
      <w:color w:val="auto"/>
      <w:lang w:eastAsia="en-GB"/>
    </w:rPr>
  </w:style>
  <w:style w:type="paragraph" w:styleId="ListParagraph">
    <w:name w:val="List Paragraph"/>
    <w:basedOn w:val="Normal"/>
    <w:link w:val="ListParagraphChar"/>
    <w:uiPriority w:val="34"/>
    <w:qFormat/>
    <w:rsid w:val="00187545"/>
    <w:pPr>
      <w:ind w:left="720"/>
      <w:contextualSpacing/>
      <w:outlineLvl w:val="1"/>
    </w:pPr>
    <w:rPr>
      <w:rFonts w:eastAsia="Times New Roman" w:cs="Times New Roman"/>
      <w:color w:val="auto"/>
      <w:lang w:eastAsia="en-GB"/>
    </w:rPr>
  </w:style>
  <w:style w:type="paragraph" w:styleId="Header">
    <w:name w:val="header"/>
    <w:basedOn w:val="Normal"/>
    <w:link w:val="HeaderChar"/>
    <w:uiPriority w:val="99"/>
    <w:unhideWhenUsed/>
    <w:rsid w:val="00187545"/>
    <w:pPr>
      <w:tabs>
        <w:tab w:val="center" w:pos="4513"/>
        <w:tab w:val="right" w:pos="9026"/>
      </w:tabs>
      <w:outlineLvl w:val="1"/>
    </w:pPr>
    <w:rPr>
      <w:rFonts w:eastAsia="Times New Roman" w:cs="Times New Roman"/>
      <w:color w:val="auto"/>
      <w:lang w:eastAsia="en-GB"/>
    </w:rPr>
  </w:style>
  <w:style w:type="character" w:customStyle="1" w:styleId="HeaderChar">
    <w:name w:val="Header Char"/>
    <w:basedOn w:val="DefaultParagraphFont"/>
    <w:link w:val="Header"/>
    <w:uiPriority w:val="99"/>
    <w:rsid w:val="00187545"/>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187545"/>
  </w:style>
  <w:style w:type="paragraph" w:styleId="Footer">
    <w:name w:val="footer"/>
    <w:basedOn w:val="Normal"/>
    <w:link w:val="FooterChar"/>
    <w:uiPriority w:val="99"/>
    <w:unhideWhenUsed/>
    <w:rsid w:val="00187545"/>
    <w:pPr>
      <w:tabs>
        <w:tab w:val="center" w:pos="4513"/>
        <w:tab w:val="right" w:pos="9026"/>
      </w:tabs>
      <w:outlineLvl w:val="1"/>
    </w:pPr>
    <w:rPr>
      <w:rFonts w:eastAsia="Times New Roman" w:cs="Times New Roman"/>
      <w:color w:val="auto"/>
      <w:lang w:eastAsia="en-GB"/>
    </w:rPr>
  </w:style>
  <w:style w:type="character" w:customStyle="1" w:styleId="FooterChar">
    <w:name w:val="Footer Char"/>
    <w:basedOn w:val="DefaultParagraphFont"/>
    <w:link w:val="Footer"/>
    <w:uiPriority w:val="99"/>
    <w:rsid w:val="00187545"/>
    <w:rPr>
      <w:rFonts w:ascii="Times New Roman" w:eastAsia="Times New Roman" w:hAnsi="Times New Roman" w:cs="Times New Roman"/>
      <w:lang w:eastAsia="en-GB"/>
    </w:rPr>
  </w:style>
  <w:style w:type="character" w:styleId="Hyperlink">
    <w:name w:val="Hyperlink"/>
    <w:basedOn w:val="DefaultParagraphFont"/>
    <w:uiPriority w:val="99"/>
    <w:unhideWhenUsed/>
    <w:rsid w:val="00187545"/>
    <w:rPr>
      <w:color w:val="0000FF"/>
      <w:u w:val="single"/>
    </w:rPr>
  </w:style>
  <w:style w:type="paragraph" w:customStyle="1" w:styleId="Headingwithunderline">
    <w:name w:val="Heading with underline"/>
    <w:basedOn w:val="Title"/>
    <w:link w:val="HeadingwithunderlineChar"/>
    <w:qFormat/>
    <w:rsid w:val="00187545"/>
    <w:pPr>
      <w:keepNext/>
      <w:pBdr>
        <w:bottom w:val="single" w:sz="8" w:space="6" w:color="E7E6E6" w:themeColor="background2"/>
      </w:pBdr>
      <w:spacing w:before="240" w:after="120"/>
      <w:outlineLvl w:val="0"/>
    </w:pPr>
    <w:rPr>
      <w:color w:val="323E4F" w:themeColor="text2" w:themeShade="BF"/>
      <w:spacing w:val="5"/>
      <w:sz w:val="44"/>
      <w:szCs w:val="52"/>
      <w:lang w:eastAsia="en-AU"/>
    </w:rPr>
  </w:style>
  <w:style w:type="character" w:customStyle="1" w:styleId="HeadingwithunderlineChar">
    <w:name w:val="Heading with underline Char"/>
    <w:basedOn w:val="DefaultParagraphFont"/>
    <w:link w:val="Headingwithunderline"/>
    <w:rsid w:val="00187545"/>
    <w:rPr>
      <w:rFonts w:asciiTheme="majorHAnsi" w:eastAsiaTheme="majorEastAsia" w:hAnsiTheme="majorHAnsi" w:cstheme="majorBidi"/>
      <w:color w:val="323E4F" w:themeColor="text2" w:themeShade="BF"/>
      <w:spacing w:val="5"/>
      <w:kern w:val="28"/>
      <w:sz w:val="44"/>
      <w:szCs w:val="52"/>
      <w:lang w:eastAsia="en-AU"/>
    </w:rPr>
  </w:style>
  <w:style w:type="paragraph" w:styleId="BodyText3">
    <w:name w:val="Body Text 3"/>
    <w:basedOn w:val="Normal"/>
    <w:link w:val="BodyText3Char"/>
    <w:rsid w:val="00187545"/>
    <w:pPr>
      <w:outlineLvl w:val="1"/>
    </w:pPr>
    <w:rPr>
      <w:rFonts w:eastAsia="Times New Roman" w:cs="Times New Roman"/>
      <w:color w:val="auto"/>
      <w:sz w:val="16"/>
      <w:szCs w:val="16"/>
    </w:rPr>
  </w:style>
  <w:style w:type="character" w:customStyle="1" w:styleId="BodyText3Char">
    <w:name w:val="Body Text 3 Char"/>
    <w:basedOn w:val="DefaultParagraphFont"/>
    <w:link w:val="BodyText3"/>
    <w:rsid w:val="00187545"/>
    <w:rPr>
      <w:rFonts w:ascii="Times New Roman" w:eastAsia="Times New Roman" w:hAnsi="Times New Roman" w:cs="Times New Roman"/>
      <w:sz w:val="16"/>
      <w:szCs w:val="16"/>
    </w:rPr>
  </w:style>
  <w:style w:type="paragraph" w:styleId="Title">
    <w:name w:val="Title"/>
    <w:basedOn w:val="Normal"/>
    <w:next w:val="Normal"/>
    <w:link w:val="TitleChar"/>
    <w:uiPriority w:val="10"/>
    <w:qFormat/>
    <w:rsid w:val="00187545"/>
    <w:pPr>
      <w:contextualSpacing/>
      <w:outlineLvl w:val="1"/>
    </w:pPr>
    <w:rPr>
      <w:rFonts w:asciiTheme="majorHAnsi" w:eastAsiaTheme="majorEastAsia" w:hAnsiTheme="majorHAnsi" w:cstheme="majorBidi"/>
      <w:color w:val="auto"/>
      <w:spacing w:val="-10"/>
      <w:kern w:val="28"/>
      <w:sz w:val="56"/>
      <w:szCs w:val="56"/>
      <w:lang w:eastAsia="en-GB"/>
    </w:rPr>
  </w:style>
  <w:style w:type="character" w:customStyle="1" w:styleId="TitleChar">
    <w:name w:val="Title Char"/>
    <w:basedOn w:val="DefaultParagraphFont"/>
    <w:link w:val="Title"/>
    <w:uiPriority w:val="10"/>
    <w:rsid w:val="00187545"/>
    <w:rPr>
      <w:rFonts w:asciiTheme="majorHAnsi" w:eastAsiaTheme="majorEastAsia" w:hAnsiTheme="majorHAnsi" w:cstheme="majorBidi"/>
      <w:spacing w:val="-10"/>
      <w:kern w:val="28"/>
      <w:sz w:val="56"/>
      <w:szCs w:val="56"/>
      <w:lang w:eastAsia="en-GB"/>
    </w:rPr>
  </w:style>
  <w:style w:type="character" w:styleId="UnresolvedMention">
    <w:name w:val="Unresolved Mention"/>
    <w:basedOn w:val="DefaultParagraphFont"/>
    <w:uiPriority w:val="99"/>
    <w:semiHidden/>
    <w:unhideWhenUsed/>
    <w:rsid w:val="00187545"/>
    <w:rPr>
      <w:color w:val="605E5C"/>
      <w:shd w:val="clear" w:color="auto" w:fill="E1DFDD"/>
    </w:rPr>
  </w:style>
  <w:style w:type="character" w:styleId="FollowedHyperlink">
    <w:name w:val="FollowedHyperlink"/>
    <w:basedOn w:val="DefaultParagraphFont"/>
    <w:uiPriority w:val="99"/>
    <w:semiHidden/>
    <w:unhideWhenUsed/>
    <w:rsid w:val="00187545"/>
    <w:rPr>
      <w:color w:val="954F72" w:themeColor="followedHyperlink"/>
      <w:u w:val="single"/>
    </w:rPr>
  </w:style>
  <w:style w:type="character" w:customStyle="1" w:styleId="volumeissue">
    <w:name w:val="volume_issue"/>
    <w:basedOn w:val="DefaultParagraphFont"/>
    <w:rsid w:val="00187545"/>
  </w:style>
  <w:style w:type="character" w:customStyle="1" w:styleId="apple-converted-space">
    <w:name w:val="apple-converted-space"/>
    <w:basedOn w:val="DefaultParagraphFont"/>
    <w:rsid w:val="00187545"/>
  </w:style>
  <w:style w:type="character" w:customStyle="1" w:styleId="pagerange">
    <w:name w:val="page_range"/>
    <w:basedOn w:val="DefaultParagraphFont"/>
    <w:rsid w:val="00187545"/>
  </w:style>
  <w:style w:type="character" w:customStyle="1" w:styleId="normaltextrun">
    <w:name w:val="normaltextrun"/>
    <w:basedOn w:val="DefaultParagraphFont"/>
    <w:rsid w:val="00187545"/>
  </w:style>
  <w:style w:type="character" w:customStyle="1" w:styleId="eop">
    <w:name w:val="eop"/>
    <w:basedOn w:val="DefaultParagraphFont"/>
    <w:rsid w:val="00187545"/>
  </w:style>
  <w:style w:type="paragraph" w:customStyle="1" w:styleId="paragraph">
    <w:name w:val="paragraph"/>
    <w:basedOn w:val="Normal"/>
    <w:rsid w:val="00187545"/>
    <w:pPr>
      <w:spacing w:before="100" w:beforeAutospacing="1" w:after="100" w:afterAutospacing="1"/>
      <w:outlineLvl w:val="1"/>
    </w:pPr>
    <w:rPr>
      <w:rFonts w:eastAsia="Times New Roman" w:cs="Times New Roman"/>
      <w:color w:val="auto"/>
      <w:lang w:eastAsia="en-GB"/>
    </w:rPr>
  </w:style>
  <w:style w:type="character" w:customStyle="1" w:styleId="ListParagraphChar">
    <w:name w:val="List Paragraph Char"/>
    <w:link w:val="ListParagraph"/>
    <w:uiPriority w:val="34"/>
    <w:locked/>
    <w:rsid w:val="00187545"/>
    <w:rPr>
      <w:rFonts w:ascii="Times New Roman" w:eastAsia="Times New Roman" w:hAnsi="Times New Roman" w:cs="Times New Roman"/>
      <w:lang w:eastAsia="en-GB"/>
    </w:rPr>
  </w:style>
  <w:style w:type="paragraph" w:styleId="TOC1">
    <w:name w:val="toc 1"/>
    <w:basedOn w:val="Normal"/>
    <w:next w:val="Normal"/>
    <w:autoRedefine/>
    <w:uiPriority w:val="39"/>
    <w:unhideWhenUsed/>
    <w:rsid w:val="00187545"/>
    <w:pPr>
      <w:tabs>
        <w:tab w:val="right" w:leader="dot" w:pos="9010"/>
      </w:tabs>
      <w:spacing w:before="120" w:line="276" w:lineRule="auto"/>
    </w:pPr>
    <w:rPr>
      <w:rFonts w:cs="Times New Roman"/>
      <w:b/>
      <w:bCs/>
      <w:noProof/>
      <w:sz w:val="20"/>
      <w:szCs w:val="20"/>
    </w:rPr>
  </w:style>
  <w:style w:type="paragraph" w:styleId="TOC2">
    <w:name w:val="toc 2"/>
    <w:basedOn w:val="Normal"/>
    <w:next w:val="Normal"/>
    <w:autoRedefine/>
    <w:uiPriority w:val="39"/>
    <w:unhideWhenUsed/>
    <w:rsid w:val="00187545"/>
    <w:pPr>
      <w:tabs>
        <w:tab w:val="right" w:leader="dot" w:pos="9010"/>
      </w:tabs>
      <w:spacing w:before="120" w:line="276" w:lineRule="auto"/>
      <w:ind w:left="240"/>
    </w:pPr>
    <w:rPr>
      <w:rFonts w:cs="Times New Roman"/>
      <w:b/>
      <w:bCs/>
      <w:noProof/>
      <w:sz w:val="21"/>
      <w:szCs w:val="21"/>
      <w:lang w:val="en-US"/>
    </w:rPr>
  </w:style>
  <w:style w:type="paragraph" w:styleId="TOC3">
    <w:name w:val="toc 3"/>
    <w:basedOn w:val="Normal"/>
    <w:next w:val="Normal"/>
    <w:autoRedefine/>
    <w:uiPriority w:val="39"/>
    <w:unhideWhenUsed/>
    <w:rsid w:val="00187545"/>
    <w:pPr>
      <w:ind w:left="480"/>
    </w:pPr>
    <w:rPr>
      <w:rFonts w:asciiTheme="minorHAnsi" w:hAnsiTheme="minorHAnsi"/>
      <w:sz w:val="20"/>
      <w:szCs w:val="20"/>
    </w:rPr>
  </w:style>
  <w:style w:type="paragraph" w:styleId="TOC4">
    <w:name w:val="toc 4"/>
    <w:basedOn w:val="Normal"/>
    <w:next w:val="Normal"/>
    <w:autoRedefine/>
    <w:uiPriority w:val="39"/>
    <w:unhideWhenUsed/>
    <w:rsid w:val="00187545"/>
    <w:pPr>
      <w:ind w:left="720"/>
    </w:pPr>
    <w:rPr>
      <w:rFonts w:asciiTheme="minorHAnsi" w:hAnsiTheme="minorHAnsi"/>
      <w:sz w:val="20"/>
      <w:szCs w:val="20"/>
    </w:rPr>
  </w:style>
  <w:style w:type="paragraph" w:styleId="TOC5">
    <w:name w:val="toc 5"/>
    <w:basedOn w:val="Normal"/>
    <w:next w:val="Normal"/>
    <w:autoRedefine/>
    <w:uiPriority w:val="39"/>
    <w:unhideWhenUsed/>
    <w:rsid w:val="00187545"/>
    <w:pPr>
      <w:ind w:left="960"/>
    </w:pPr>
    <w:rPr>
      <w:rFonts w:asciiTheme="minorHAnsi" w:hAnsiTheme="minorHAnsi"/>
      <w:sz w:val="20"/>
      <w:szCs w:val="20"/>
    </w:rPr>
  </w:style>
  <w:style w:type="paragraph" w:styleId="TOC6">
    <w:name w:val="toc 6"/>
    <w:basedOn w:val="Normal"/>
    <w:next w:val="Normal"/>
    <w:autoRedefine/>
    <w:uiPriority w:val="39"/>
    <w:unhideWhenUsed/>
    <w:rsid w:val="00187545"/>
    <w:pPr>
      <w:ind w:left="1200"/>
    </w:pPr>
    <w:rPr>
      <w:rFonts w:asciiTheme="minorHAnsi" w:hAnsiTheme="minorHAnsi"/>
      <w:sz w:val="20"/>
      <w:szCs w:val="20"/>
    </w:rPr>
  </w:style>
  <w:style w:type="paragraph" w:styleId="TOC7">
    <w:name w:val="toc 7"/>
    <w:basedOn w:val="Normal"/>
    <w:next w:val="Normal"/>
    <w:autoRedefine/>
    <w:uiPriority w:val="39"/>
    <w:unhideWhenUsed/>
    <w:rsid w:val="00187545"/>
    <w:pPr>
      <w:ind w:left="1440"/>
    </w:pPr>
    <w:rPr>
      <w:rFonts w:asciiTheme="minorHAnsi" w:hAnsiTheme="minorHAnsi"/>
      <w:sz w:val="20"/>
      <w:szCs w:val="20"/>
    </w:rPr>
  </w:style>
  <w:style w:type="paragraph" w:styleId="TOC8">
    <w:name w:val="toc 8"/>
    <w:basedOn w:val="Normal"/>
    <w:next w:val="Normal"/>
    <w:autoRedefine/>
    <w:uiPriority w:val="39"/>
    <w:unhideWhenUsed/>
    <w:rsid w:val="00187545"/>
    <w:pPr>
      <w:ind w:left="1680"/>
    </w:pPr>
    <w:rPr>
      <w:rFonts w:asciiTheme="minorHAnsi" w:hAnsiTheme="minorHAnsi"/>
      <w:sz w:val="20"/>
      <w:szCs w:val="20"/>
    </w:rPr>
  </w:style>
  <w:style w:type="paragraph" w:styleId="TOC9">
    <w:name w:val="toc 9"/>
    <w:basedOn w:val="Normal"/>
    <w:next w:val="Normal"/>
    <w:autoRedefine/>
    <w:uiPriority w:val="39"/>
    <w:unhideWhenUsed/>
    <w:rsid w:val="00187545"/>
    <w:pPr>
      <w:ind w:left="1920"/>
    </w:pPr>
    <w:rPr>
      <w:rFonts w:asciiTheme="minorHAnsi" w:hAnsiTheme="minorHAnsi"/>
      <w:sz w:val="20"/>
      <w:szCs w:val="20"/>
    </w:rPr>
  </w:style>
  <w:style w:type="paragraph" w:styleId="NoSpacing">
    <w:name w:val="No Spacing"/>
    <w:link w:val="NoSpacingChar"/>
    <w:uiPriority w:val="1"/>
    <w:qFormat/>
    <w:rsid w:val="00187545"/>
    <w:rPr>
      <w:rFonts w:ascii="PMingLiU" w:eastAsiaTheme="minorEastAsia" w:hAnsi="PMingLiU" w:cs="Times New Roman"/>
      <w:sz w:val="22"/>
      <w:szCs w:val="22"/>
      <w:lang w:val="en-US"/>
    </w:rPr>
  </w:style>
  <w:style w:type="character" w:customStyle="1" w:styleId="NoSpacingChar">
    <w:name w:val="No Spacing Char"/>
    <w:basedOn w:val="DefaultParagraphFont"/>
    <w:link w:val="NoSpacing"/>
    <w:uiPriority w:val="1"/>
    <w:locked/>
    <w:rsid w:val="00187545"/>
    <w:rPr>
      <w:rFonts w:ascii="PMingLiU" w:eastAsiaTheme="minorEastAsia" w:hAnsi="PMingLiU" w:cs="Times New Roman"/>
      <w:sz w:val="22"/>
      <w:szCs w:val="22"/>
      <w:lang w:val="en-US"/>
    </w:rPr>
  </w:style>
  <w:style w:type="character" w:styleId="IntenseReference">
    <w:name w:val="Intense Reference"/>
    <w:basedOn w:val="DefaultParagraphFont"/>
    <w:uiPriority w:val="32"/>
    <w:qFormat/>
    <w:rsid w:val="00187545"/>
    <w:rPr>
      <w:rFonts w:cs="Times New Roman"/>
      <w:b/>
      <w:bCs/>
      <w:smallCaps/>
      <w:color w:val="ED7D31" w:themeColor="accent2"/>
      <w:spacing w:val="5"/>
      <w:u w:val="single"/>
    </w:rPr>
  </w:style>
  <w:style w:type="character" w:styleId="PlaceholderText">
    <w:name w:val="Placeholder Text"/>
    <w:basedOn w:val="DefaultParagraphFont"/>
    <w:uiPriority w:val="99"/>
    <w:semiHidden/>
    <w:rsid w:val="00187545"/>
    <w:rPr>
      <w:rFonts w:cs="Times New Roman"/>
      <w:color w:val="808080"/>
    </w:rPr>
  </w:style>
  <w:style w:type="character" w:customStyle="1" w:styleId="UnresolvedMention1">
    <w:name w:val="Unresolved Mention1"/>
    <w:basedOn w:val="DefaultParagraphFont"/>
    <w:uiPriority w:val="99"/>
    <w:semiHidden/>
    <w:unhideWhenUsed/>
    <w:rsid w:val="00187545"/>
    <w:rPr>
      <w:color w:val="605E5C"/>
      <w:shd w:val="clear" w:color="auto" w:fill="E1DFDD"/>
    </w:rPr>
  </w:style>
  <w:style w:type="paragraph" w:customStyle="1" w:styleId="Default">
    <w:name w:val="Default"/>
    <w:rsid w:val="00187545"/>
    <w:pPr>
      <w:autoSpaceDE w:val="0"/>
      <w:autoSpaceDN w:val="0"/>
      <w:adjustRightInd w:val="0"/>
    </w:pPr>
    <w:rPr>
      <w:rFonts w:ascii="Times New Roman" w:hAnsi="Times New Roman" w:cs="Times New Roman"/>
      <w:color w:val="000000"/>
      <w:lang w:val="en-GB"/>
    </w:rPr>
  </w:style>
  <w:style w:type="numbering" w:customStyle="1" w:styleId="ImportedStyle2">
    <w:name w:val="Imported Style 2"/>
    <w:rsid w:val="00187545"/>
    <w:pPr>
      <w:numPr>
        <w:numId w:val="4"/>
      </w:numPr>
    </w:pPr>
  </w:style>
  <w:style w:type="table" w:styleId="TableGridLight">
    <w:name w:val="Grid Table Light"/>
    <w:basedOn w:val="TableNormal"/>
    <w:uiPriority w:val="40"/>
    <w:rsid w:val="001875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187545"/>
    <w:pPr>
      <w:spacing w:before="480" w:line="276" w:lineRule="auto"/>
      <w:outlineLvl w:val="9"/>
    </w:pPr>
    <w:rPr>
      <w:rFonts w:asciiTheme="majorHAnsi" w:hAnsiTheme="majorHAnsi"/>
      <w:bCs/>
      <w:color w:val="2F5496" w:themeColor="accent1" w:themeShade="BF"/>
      <w:szCs w:val="28"/>
      <w:lang w:val="en-US"/>
    </w:rPr>
  </w:style>
  <w:style w:type="paragraph" w:styleId="Revision">
    <w:name w:val="Revision"/>
    <w:hidden/>
    <w:uiPriority w:val="99"/>
    <w:semiHidden/>
    <w:rsid w:val="007F4B1F"/>
    <w:rPr>
      <w:rFonts w:ascii="Times New Roman" w:hAnsi="Times New Roman"/>
      <w:color w:val="000000" w:themeColor="text1"/>
    </w:rPr>
  </w:style>
  <w:style w:type="paragraph" w:customStyle="1" w:styleId="Paragraph-text">
    <w:name w:val="Paragraph-text"/>
    <w:basedOn w:val="Normal"/>
    <w:uiPriority w:val="1"/>
    <w:qFormat/>
    <w:rsid w:val="55F76FC3"/>
    <w:pPr>
      <w:ind w:firstLine="720"/>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bca747c5176c4553" Type="http://schemas.microsoft.com/office/2019/09/relationships/intelligence" Target="intelligenc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45233-D9DA-394A-AD15-0C4B5560B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8004</Words>
  <Characters>45625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Madelaine Lawler</dc:creator>
  <cp:keywords/>
  <dc:description/>
  <cp:lastModifiedBy>Rachel Denee</cp:lastModifiedBy>
  <cp:revision>5</cp:revision>
  <dcterms:created xsi:type="dcterms:W3CDTF">2022-06-20T04:44:00Z</dcterms:created>
  <dcterms:modified xsi:type="dcterms:W3CDTF">2023-03-23T01:45:00Z</dcterms:modified>
</cp:coreProperties>
</file>