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3B9" w:rsidRPr="00F07E94" w:rsidRDefault="00891AD8" w:rsidP="00E3277F">
      <w:pPr>
        <w:spacing w:after="80" w:line="240" w:lineRule="auto"/>
        <w:rPr>
          <w:rFonts w:ascii="Arial" w:hAnsi="Arial" w:cs="Arial"/>
          <w:b/>
          <w:sz w:val="24"/>
          <w:szCs w:val="24"/>
        </w:rPr>
      </w:pPr>
      <w:r w:rsidRPr="00F07E94">
        <w:rPr>
          <w:rFonts w:ascii="Arial" w:hAnsi="Arial" w:cs="Arial"/>
          <w:b/>
          <w:sz w:val="24"/>
          <w:szCs w:val="24"/>
        </w:rPr>
        <w:t xml:space="preserve">Supplemental data file </w:t>
      </w:r>
      <w:r w:rsidR="00C662B9" w:rsidRPr="00F07E94">
        <w:rPr>
          <w:rFonts w:ascii="Arial" w:hAnsi="Arial" w:cs="Arial"/>
          <w:b/>
          <w:sz w:val="24"/>
          <w:szCs w:val="24"/>
        </w:rPr>
        <w:t>4</w:t>
      </w:r>
      <w:r w:rsidRPr="00F07E94">
        <w:rPr>
          <w:rFonts w:ascii="Arial" w:hAnsi="Arial" w:cs="Arial"/>
          <w:b/>
          <w:sz w:val="24"/>
          <w:szCs w:val="24"/>
        </w:rPr>
        <w:t xml:space="preserve"> </w:t>
      </w:r>
    </w:p>
    <w:p w:rsidR="00F07E94" w:rsidRDefault="00F07E94" w:rsidP="00E3277F">
      <w:pPr>
        <w:spacing w:after="80" w:line="240" w:lineRule="auto"/>
        <w:rPr>
          <w:rFonts w:ascii="Arial" w:hAnsi="Arial" w:cs="Arial"/>
          <w:b/>
        </w:rPr>
      </w:pPr>
      <w:r w:rsidRPr="00F07E94">
        <w:rPr>
          <w:rFonts w:ascii="Arial" w:hAnsi="Arial" w:cs="Arial"/>
          <w:b/>
          <w:sz w:val="24"/>
          <w:szCs w:val="24"/>
        </w:rPr>
        <w:t>Meyer, J.N</w:t>
      </w:r>
      <w:r w:rsidRPr="00F07E94">
        <w:rPr>
          <w:rFonts w:ascii="Arial" w:hAnsi="Arial" w:cs="Arial"/>
          <w:b/>
          <w:sz w:val="24"/>
          <w:szCs w:val="24"/>
          <w:vertAlign w:val="superscript"/>
        </w:rPr>
        <w:t>1</w:t>
      </w:r>
      <w:r w:rsidRPr="00F07E94">
        <w:rPr>
          <w:rFonts w:ascii="Arial" w:hAnsi="Arial" w:cs="Arial"/>
          <w:b/>
          <w:sz w:val="24"/>
          <w:szCs w:val="24"/>
        </w:rPr>
        <w:t xml:space="preserve">. QPCR: A tool for analysis of mitochondrial and nuclear DNA damage in ecotoxicology. </w:t>
      </w:r>
      <w:proofErr w:type="gramStart"/>
      <w:r w:rsidRPr="00F07E94">
        <w:rPr>
          <w:rFonts w:ascii="Arial" w:hAnsi="Arial" w:cs="Arial"/>
          <w:b/>
          <w:i/>
          <w:sz w:val="24"/>
          <w:szCs w:val="24"/>
        </w:rPr>
        <w:t>Ecotoxicology</w:t>
      </w:r>
      <w:r w:rsidRPr="00F07E94">
        <w:rPr>
          <w:rFonts w:ascii="Arial" w:hAnsi="Arial" w:cs="Arial"/>
          <w:b/>
          <w:sz w:val="24"/>
          <w:szCs w:val="24"/>
        </w:rPr>
        <w:t>.</w:t>
      </w:r>
      <w:proofErr w:type="gramEnd"/>
      <w:r w:rsidRPr="00F07E94">
        <w:rPr>
          <w:rFonts w:ascii="Arial" w:hAnsi="Arial" w:cs="Arial"/>
          <w:b/>
          <w:sz w:val="24"/>
          <w:szCs w:val="24"/>
        </w:rPr>
        <w:t xml:space="preserve"> Meyer, J.N., </w:t>
      </w:r>
      <w:r w:rsidRPr="00F07E94">
        <w:rPr>
          <w:rFonts w:ascii="Arial" w:hAnsi="Arial" w:cs="Arial"/>
          <w:b/>
          <w:sz w:val="24"/>
          <w:szCs w:val="24"/>
          <w:vertAlign w:val="superscript"/>
        </w:rPr>
        <w:t>1</w:t>
      </w:r>
      <w:r w:rsidRPr="00F07E94">
        <w:rPr>
          <w:rFonts w:ascii="Arial" w:hAnsi="Arial" w:cs="Arial"/>
          <w:b/>
          <w:sz w:val="24"/>
          <w:szCs w:val="24"/>
        </w:rPr>
        <w:t xml:space="preserve">Nicholas School of the Environment, Duke University </w:t>
      </w:r>
      <w:hyperlink r:id="rId5" w:history="1">
        <w:r w:rsidRPr="00F07E94">
          <w:rPr>
            <w:rStyle w:val="Hyperlink"/>
            <w:rFonts w:ascii="Arial" w:hAnsi="Arial" w:cs="Arial"/>
            <w:b/>
            <w:sz w:val="24"/>
            <w:szCs w:val="24"/>
          </w:rPr>
          <w:t>joel.meyer@duke.edu</w:t>
        </w:r>
      </w:hyperlink>
      <w:r>
        <w:rPr>
          <w:rFonts w:ascii="Arial" w:hAnsi="Arial" w:cs="Arial"/>
          <w:b/>
        </w:rPr>
        <w:t xml:space="preserve"> </w:t>
      </w:r>
    </w:p>
    <w:p w:rsidR="00324551" w:rsidRPr="00324551" w:rsidRDefault="00324551" w:rsidP="00E3277F">
      <w:pPr>
        <w:spacing w:after="80" w:line="240" w:lineRule="auto"/>
        <w:rPr>
          <w:rFonts w:ascii="Arial" w:hAnsi="Arial" w:cs="Arial"/>
          <w:sz w:val="24"/>
          <w:szCs w:val="24"/>
        </w:rPr>
      </w:pPr>
      <w:r>
        <w:rPr>
          <w:rFonts w:ascii="Arial" w:hAnsi="Arial" w:cs="Arial"/>
          <w:sz w:val="24"/>
          <w:szCs w:val="24"/>
        </w:rPr>
        <w:t>T</w:t>
      </w:r>
      <w:r w:rsidRPr="00324551">
        <w:rPr>
          <w:rFonts w:ascii="Arial" w:hAnsi="Arial" w:cs="Arial"/>
          <w:sz w:val="24"/>
          <w:szCs w:val="24"/>
        </w:rPr>
        <w:t>his file is meant to be a guide to adapting the QPCR assay to new species, and encompasses steps from primer design through PCR reaction optimization.</w:t>
      </w:r>
    </w:p>
    <w:p w:rsidR="00660AFB" w:rsidRPr="00AD0F73" w:rsidRDefault="00660AFB" w:rsidP="00E3277F">
      <w:pPr>
        <w:pStyle w:val="ListParagraph"/>
        <w:numPr>
          <w:ilvl w:val="0"/>
          <w:numId w:val="1"/>
        </w:numPr>
        <w:spacing w:after="80" w:line="240" w:lineRule="auto"/>
        <w:ind w:left="0" w:firstLine="0"/>
        <w:contextualSpacing w:val="0"/>
        <w:rPr>
          <w:rFonts w:ascii="Arial" w:hAnsi="Arial" w:cs="Arial"/>
          <w:b/>
          <w:sz w:val="24"/>
          <w:szCs w:val="24"/>
        </w:rPr>
      </w:pPr>
      <w:r>
        <w:rPr>
          <w:rFonts w:ascii="Arial" w:hAnsi="Arial" w:cs="Arial"/>
          <w:b/>
          <w:sz w:val="24"/>
          <w:szCs w:val="24"/>
        </w:rPr>
        <w:t xml:space="preserve">Primer </w:t>
      </w:r>
      <w:r w:rsidRPr="00AD0F73">
        <w:rPr>
          <w:rFonts w:ascii="Arial" w:hAnsi="Arial" w:cs="Arial"/>
          <w:b/>
          <w:sz w:val="24"/>
          <w:szCs w:val="24"/>
        </w:rPr>
        <w:t>design</w:t>
      </w:r>
      <w:r w:rsidR="00B41EDA">
        <w:rPr>
          <w:rFonts w:ascii="Arial" w:hAnsi="Arial" w:cs="Arial"/>
          <w:b/>
          <w:sz w:val="24"/>
          <w:szCs w:val="24"/>
        </w:rPr>
        <w:t>.</w:t>
      </w:r>
      <w:r w:rsidR="00B41EDA">
        <w:rPr>
          <w:rFonts w:ascii="Arial" w:hAnsi="Arial" w:cs="Arial"/>
          <w:sz w:val="24"/>
          <w:szCs w:val="24"/>
        </w:rPr>
        <w:t xml:space="preserve"> See Supplemental data file 3 for </w:t>
      </w:r>
      <w:r w:rsidR="009E0E7A">
        <w:rPr>
          <w:rFonts w:ascii="Arial" w:hAnsi="Arial" w:cs="Arial"/>
          <w:sz w:val="24"/>
          <w:szCs w:val="24"/>
        </w:rPr>
        <w:t>an example of</w:t>
      </w:r>
      <w:r w:rsidR="00B41EDA">
        <w:rPr>
          <w:rFonts w:ascii="Arial" w:hAnsi="Arial" w:cs="Arial"/>
          <w:sz w:val="24"/>
          <w:szCs w:val="24"/>
        </w:rPr>
        <w:t xml:space="preserve"> primer design.</w:t>
      </w:r>
      <w:r w:rsidR="009E0E7A">
        <w:rPr>
          <w:rFonts w:ascii="Arial" w:hAnsi="Arial" w:cs="Arial"/>
          <w:sz w:val="24"/>
          <w:szCs w:val="24"/>
        </w:rPr>
        <w:t xml:space="preserve"> </w:t>
      </w:r>
      <w:r w:rsidR="00D108A1">
        <w:rPr>
          <w:rFonts w:ascii="Arial" w:hAnsi="Arial" w:cs="Arial"/>
          <w:sz w:val="24"/>
          <w:szCs w:val="24"/>
        </w:rPr>
        <w:t xml:space="preserve">I have found that the free web program Primer3 generates good primers. </w:t>
      </w:r>
      <w:r w:rsidR="009E0E7A">
        <w:rPr>
          <w:rFonts w:ascii="Arial" w:hAnsi="Arial" w:cs="Arial"/>
          <w:sz w:val="24"/>
          <w:szCs w:val="24"/>
        </w:rPr>
        <w:t>Large products should have annealing temperatures in the range of 68-70</w:t>
      </w:r>
      <w:r w:rsidR="00361989">
        <w:rPr>
          <w:rFonts w:ascii="Arial" w:hAnsi="Arial" w:cs="Arial"/>
          <w:sz w:val="24"/>
          <w:szCs w:val="24"/>
        </w:rPr>
        <w:t>°C, and small products should be in the 63-65°C range.</w:t>
      </w:r>
      <w:r w:rsidR="00D108A1">
        <w:rPr>
          <w:rFonts w:ascii="Arial" w:hAnsi="Arial" w:cs="Arial"/>
          <w:sz w:val="24"/>
          <w:szCs w:val="24"/>
        </w:rPr>
        <w:t xml:space="preserve"> I typically aim for 20-25 </w:t>
      </w:r>
      <w:proofErr w:type="spellStart"/>
      <w:proofErr w:type="gramStart"/>
      <w:r w:rsidR="00D108A1">
        <w:rPr>
          <w:rFonts w:ascii="Arial" w:hAnsi="Arial" w:cs="Arial"/>
          <w:sz w:val="24"/>
          <w:szCs w:val="24"/>
        </w:rPr>
        <w:t>nt</w:t>
      </w:r>
      <w:proofErr w:type="spellEnd"/>
      <w:proofErr w:type="gramEnd"/>
      <w:r w:rsidR="00D108A1">
        <w:rPr>
          <w:rFonts w:ascii="Arial" w:hAnsi="Arial" w:cs="Arial"/>
          <w:sz w:val="24"/>
          <w:szCs w:val="24"/>
        </w:rPr>
        <w:t xml:space="preserve"> primers with 40-60% GC content. Identifying several pairs of primers that meet these relatively stringent criteria can be challenging in organisms for which genome sequence data is scanty, but is simple for organisms with fully sequenced genomes. Small primers should be roughly 100-200 </w:t>
      </w:r>
      <w:proofErr w:type="spellStart"/>
      <w:r w:rsidR="00D108A1">
        <w:rPr>
          <w:rFonts w:ascii="Arial" w:hAnsi="Arial" w:cs="Arial"/>
          <w:sz w:val="24"/>
          <w:szCs w:val="24"/>
        </w:rPr>
        <w:t>nt</w:t>
      </w:r>
      <w:proofErr w:type="spellEnd"/>
      <w:r w:rsidR="00D108A1">
        <w:rPr>
          <w:rFonts w:ascii="Arial" w:hAnsi="Arial" w:cs="Arial"/>
          <w:sz w:val="24"/>
          <w:szCs w:val="24"/>
        </w:rPr>
        <w:t xml:space="preserve"> in length (longer is bad because there is a greater likelihood that highly damaged DNA will inhibit amplification as length increases), and large ones can be between ~8 and ~2</w:t>
      </w:r>
      <w:r w:rsidR="00C32A02">
        <w:rPr>
          <w:rFonts w:ascii="Arial" w:hAnsi="Arial" w:cs="Arial"/>
          <w:sz w:val="24"/>
          <w:szCs w:val="24"/>
        </w:rPr>
        <w:t>5</w:t>
      </w:r>
      <w:r w:rsidR="00D108A1">
        <w:rPr>
          <w:rFonts w:ascii="Arial" w:hAnsi="Arial" w:cs="Arial"/>
          <w:sz w:val="24"/>
          <w:szCs w:val="24"/>
        </w:rPr>
        <w:t xml:space="preserve"> kb (longer is more sensitive up to a point; beyond ~15 kb, the PCR reaction tends to become somewhat less robust—although the polymerase kits available are improving constantly).</w:t>
      </w:r>
      <w:r w:rsidR="00C92FDF">
        <w:rPr>
          <w:rFonts w:ascii="Arial" w:hAnsi="Arial" w:cs="Arial"/>
          <w:sz w:val="24"/>
          <w:szCs w:val="24"/>
        </w:rPr>
        <w:t xml:space="preserve"> In cases of very high levels of DNA damage, it may be necessary to use shorter amplicons (e.g., </w:t>
      </w:r>
      <w:proofErr w:type="spellStart"/>
      <w:r w:rsidR="00C92FDF">
        <w:rPr>
          <w:rFonts w:ascii="Arial" w:hAnsi="Arial" w:cs="Arial"/>
          <w:sz w:val="24"/>
          <w:szCs w:val="24"/>
        </w:rPr>
        <w:t>Eischeid</w:t>
      </w:r>
      <w:proofErr w:type="spellEnd"/>
      <w:r w:rsidR="00C92FDF">
        <w:rPr>
          <w:rFonts w:ascii="Arial" w:hAnsi="Arial" w:cs="Arial"/>
          <w:sz w:val="24"/>
          <w:szCs w:val="24"/>
        </w:rPr>
        <w:t xml:space="preserve"> et al., 2009)</w:t>
      </w:r>
      <w:r w:rsidR="00C32A02">
        <w:rPr>
          <w:rFonts w:ascii="Arial" w:hAnsi="Arial" w:cs="Arial"/>
          <w:sz w:val="24"/>
          <w:szCs w:val="24"/>
        </w:rPr>
        <w:t xml:space="preserve">. The region of the genome to be amplified may depend on the biological question (e.g. a highly transcribed vs. nontranscribed locus), but should also be chosen to avoid very highly GC-rich and repetitive regions (Van </w:t>
      </w:r>
      <w:proofErr w:type="spellStart"/>
      <w:r w:rsidR="00C32A02">
        <w:rPr>
          <w:rFonts w:ascii="Arial" w:hAnsi="Arial" w:cs="Arial"/>
          <w:sz w:val="24"/>
          <w:szCs w:val="24"/>
        </w:rPr>
        <w:t>Houten</w:t>
      </w:r>
      <w:proofErr w:type="spellEnd"/>
      <w:r w:rsidR="00C32A02">
        <w:rPr>
          <w:rFonts w:ascii="Arial" w:hAnsi="Arial" w:cs="Arial"/>
          <w:sz w:val="24"/>
          <w:szCs w:val="24"/>
        </w:rPr>
        <w:t xml:space="preserve"> et al., 2000).</w:t>
      </w:r>
      <w:r w:rsidR="00324551">
        <w:rPr>
          <w:rFonts w:ascii="Arial" w:hAnsi="Arial" w:cs="Arial"/>
          <w:sz w:val="24"/>
          <w:szCs w:val="24"/>
        </w:rPr>
        <w:t xml:space="preserve"> Standard primer design criteria (e.g., avoiding primer-dimers and self-annealing) apply.</w:t>
      </w:r>
    </w:p>
    <w:p w:rsidR="00B41EDA" w:rsidRDefault="0084548B" w:rsidP="00E3277F">
      <w:pPr>
        <w:pStyle w:val="ListParagraph"/>
        <w:numPr>
          <w:ilvl w:val="0"/>
          <w:numId w:val="1"/>
        </w:numPr>
        <w:spacing w:after="80" w:line="240" w:lineRule="auto"/>
        <w:ind w:left="0" w:firstLine="0"/>
        <w:contextualSpacing w:val="0"/>
        <w:rPr>
          <w:rFonts w:ascii="Arial" w:hAnsi="Arial" w:cs="Arial"/>
          <w:sz w:val="24"/>
          <w:szCs w:val="24"/>
        </w:rPr>
      </w:pPr>
      <w:r>
        <w:rPr>
          <w:rFonts w:ascii="Arial" w:hAnsi="Arial" w:cs="Arial"/>
          <w:b/>
          <w:noProof/>
          <w:sz w:val="24"/>
          <w:szCs w:val="24"/>
        </w:rPr>
        <w:drawing>
          <wp:anchor distT="0" distB="0" distL="114300" distR="114300" simplePos="0" relativeHeight="251668480" behindDoc="0" locked="0" layoutInCell="1" allowOverlap="1">
            <wp:simplePos x="0" y="0"/>
            <wp:positionH relativeFrom="column">
              <wp:posOffset>3571875</wp:posOffset>
            </wp:positionH>
            <wp:positionV relativeFrom="paragraph">
              <wp:posOffset>1224280</wp:posOffset>
            </wp:positionV>
            <wp:extent cx="2287270" cy="127508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287270" cy="1275080"/>
                    </a:xfrm>
                    <a:prstGeom prst="rect">
                      <a:avLst/>
                    </a:prstGeom>
                    <a:noFill/>
                    <a:ln w="9525">
                      <a:noFill/>
                      <a:miter lim="800000"/>
                      <a:headEnd/>
                      <a:tailEnd/>
                    </a:ln>
                  </pic:spPr>
                </pic:pic>
              </a:graphicData>
            </a:graphic>
          </wp:anchor>
        </w:drawing>
      </w:r>
      <w:r w:rsidR="00891AD8" w:rsidRPr="00AD0F73">
        <w:rPr>
          <w:rFonts w:ascii="Arial" w:hAnsi="Arial" w:cs="Arial"/>
          <w:b/>
          <w:sz w:val="24"/>
          <w:szCs w:val="24"/>
        </w:rPr>
        <w:t>Choice of</w:t>
      </w:r>
      <w:r w:rsidR="00891AD8" w:rsidRPr="00660AFB">
        <w:rPr>
          <w:rFonts w:ascii="Arial" w:hAnsi="Arial" w:cs="Arial"/>
          <w:b/>
          <w:sz w:val="24"/>
          <w:szCs w:val="24"/>
        </w:rPr>
        <w:t xml:space="preserve"> primers. </w:t>
      </w:r>
      <w:r w:rsidR="00891AD8" w:rsidRPr="00660AFB">
        <w:rPr>
          <w:rFonts w:ascii="Arial" w:hAnsi="Arial" w:cs="Arial"/>
          <w:sz w:val="24"/>
          <w:szCs w:val="24"/>
        </w:rPr>
        <w:t>After designing several primers for each product of interest</w:t>
      </w:r>
      <w:r w:rsidR="00B41EDA">
        <w:rPr>
          <w:rFonts w:ascii="Arial" w:hAnsi="Arial" w:cs="Arial"/>
          <w:sz w:val="24"/>
          <w:szCs w:val="24"/>
        </w:rPr>
        <w:t xml:space="preserve"> (typicall</w:t>
      </w:r>
      <w:r w:rsidR="00D108A1">
        <w:rPr>
          <w:rFonts w:ascii="Arial" w:hAnsi="Arial" w:cs="Arial"/>
          <w:sz w:val="24"/>
          <w:szCs w:val="24"/>
        </w:rPr>
        <w:t>y</w:t>
      </w:r>
      <w:r w:rsidR="00B41EDA">
        <w:rPr>
          <w:rFonts w:ascii="Arial" w:hAnsi="Arial" w:cs="Arial"/>
          <w:sz w:val="24"/>
          <w:szCs w:val="24"/>
        </w:rPr>
        <w:t xml:space="preserve"> long and short mitochondrial</w:t>
      </w:r>
      <w:r w:rsidR="00D108A1">
        <w:rPr>
          <w:rFonts w:ascii="Arial" w:hAnsi="Arial" w:cs="Arial"/>
          <w:sz w:val="24"/>
          <w:szCs w:val="24"/>
        </w:rPr>
        <w:t>,</w:t>
      </w:r>
      <w:r w:rsidR="00B41EDA">
        <w:rPr>
          <w:rFonts w:ascii="Arial" w:hAnsi="Arial" w:cs="Arial"/>
          <w:sz w:val="24"/>
          <w:szCs w:val="24"/>
        </w:rPr>
        <w:t xml:space="preserve"> and long and short nuclear)</w:t>
      </w:r>
      <w:r w:rsidR="00891AD8" w:rsidRPr="00660AFB">
        <w:rPr>
          <w:rFonts w:ascii="Arial" w:hAnsi="Arial" w:cs="Arial"/>
          <w:sz w:val="24"/>
          <w:szCs w:val="24"/>
        </w:rPr>
        <w:t xml:space="preserve">, </w:t>
      </w:r>
      <w:r w:rsidR="00D108A1">
        <w:rPr>
          <w:rFonts w:ascii="Arial" w:hAnsi="Arial" w:cs="Arial"/>
          <w:sz w:val="24"/>
          <w:szCs w:val="24"/>
        </w:rPr>
        <w:t>run a PCR reaction at annealing temperatures close to your goal (e.g., 63°C and 68°C for short and long products). Typical PCR reaction conditions</w:t>
      </w:r>
      <w:r w:rsidR="00B65446">
        <w:rPr>
          <w:rFonts w:ascii="Arial" w:hAnsi="Arial" w:cs="Arial"/>
          <w:sz w:val="24"/>
          <w:szCs w:val="24"/>
        </w:rPr>
        <w:t xml:space="preserve"> and DNA polymerase used</w:t>
      </w:r>
      <w:r w:rsidR="00D108A1">
        <w:rPr>
          <w:rFonts w:ascii="Arial" w:hAnsi="Arial" w:cs="Arial"/>
          <w:sz w:val="24"/>
          <w:szCs w:val="24"/>
        </w:rPr>
        <w:t xml:space="preserve"> </w:t>
      </w:r>
      <w:r w:rsidR="00324551">
        <w:rPr>
          <w:rFonts w:ascii="Arial" w:hAnsi="Arial" w:cs="Arial"/>
          <w:sz w:val="24"/>
          <w:szCs w:val="24"/>
        </w:rPr>
        <w:t xml:space="preserve">for QPCR </w:t>
      </w:r>
      <w:r w:rsidR="00D108A1">
        <w:rPr>
          <w:rFonts w:ascii="Arial" w:hAnsi="Arial" w:cs="Arial"/>
          <w:sz w:val="24"/>
          <w:szCs w:val="24"/>
        </w:rPr>
        <w:t>are described in Santos et al. (2006)</w:t>
      </w:r>
      <w:r w:rsidR="00B65446">
        <w:rPr>
          <w:rFonts w:ascii="Arial" w:hAnsi="Arial" w:cs="Arial"/>
          <w:sz w:val="24"/>
          <w:szCs w:val="24"/>
        </w:rPr>
        <w:t>, and that article should be read before carrying out these steps.</w:t>
      </w:r>
      <w:r w:rsidR="00D108A1">
        <w:rPr>
          <w:rFonts w:ascii="Arial" w:hAnsi="Arial" w:cs="Arial"/>
          <w:sz w:val="24"/>
          <w:szCs w:val="24"/>
        </w:rPr>
        <w:t xml:space="preserve"> Visualize the products by agarose gel electrophoresis</w:t>
      </w:r>
      <w:r w:rsidR="00B65446">
        <w:rPr>
          <w:rFonts w:ascii="Arial" w:hAnsi="Arial" w:cs="Arial"/>
          <w:sz w:val="24"/>
          <w:szCs w:val="24"/>
        </w:rPr>
        <w:t>, and</w:t>
      </w:r>
      <w:r w:rsidR="00D108A1">
        <w:rPr>
          <w:rFonts w:ascii="Arial" w:hAnsi="Arial" w:cs="Arial"/>
          <w:sz w:val="24"/>
          <w:szCs w:val="24"/>
        </w:rPr>
        <w:t xml:space="preserve"> </w:t>
      </w:r>
      <w:r w:rsidR="00891AD8" w:rsidRPr="00660AFB">
        <w:rPr>
          <w:rFonts w:ascii="Arial" w:hAnsi="Arial" w:cs="Arial"/>
          <w:sz w:val="24"/>
          <w:szCs w:val="24"/>
        </w:rPr>
        <w:t>choose primers that produce a relatively unique and bright band</w:t>
      </w:r>
      <w:r w:rsidR="00B41EDA">
        <w:rPr>
          <w:rFonts w:ascii="Arial" w:hAnsi="Arial" w:cs="Arial"/>
          <w:sz w:val="24"/>
          <w:szCs w:val="24"/>
        </w:rPr>
        <w:t xml:space="preserve"> of the expected size</w:t>
      </w:r>
      <w:r w:rsidR="00891AD8" w:rsidRPr="00660AFB">
        <w:rPr>
          <w:rFonts w:ascii="Arial" w:hAnsi="Arial" w:cs="Arial"/>
          <w:sz w:val="24"/>
          <w:szCs w:val="24"/>
        </w:rPr>
        <w:t xml:space="preserve">. In </w:t>
      </w:r>
      <w:r>
        <w:rPr>
          <w:rFonts w:ascii="Arial" w:hAnsi="Arial" w:cs="Arial"/>
          <w:sz w:val="24"/>
          <w:szCs w:val="24"/>
        </w:rPr>
        <w:t>the gel shown at the right, the green box encloses bands of the expected size. T</w:t>
      </w:r>
      <w:r w:rsidR="00891AD8" w:rsidRPr="00660AFB">
        <w:rPr>
          <w:rFonts w:ascii="Arial" w:hAnsi="Arial" w:cs="Arial"/>
          <w:sz w:val="24"/>
          <w:szCs w:val="24"/>
        </w:rPr>
        <w:t xml:space="preserve">he best option is </w:t>
      </w:r>
      <w:r>
        <w:rPr>
          <w:rFonts w:ascii="Arial" w:hAnsi="Arial" w:cs="Arial"/>
          <w:sz w:val="24"/>
          <w:szCs w:val="24"/>
        </w:rPr>
        <w:t>circled</w:t>
      </w:r>
      <w:r w:rsidR="00891AD8" w:rsidRPr="00660AFB">
        <w:rPr>
          <w:rFonts w:ascii="Arial" w:hAnsi="Arial" w:cs="Arial"/>
          <w:sz w:val="24"/>
          <w:szCs w:val="24"/>
        </w:rPr>
        <w:t>.</w:t>
      </w:r>
      <w:r>
        <w:rPr>
          <w:rFonts w:ascii="Arial" w:hAnsi="Arial" w:cs="Arial"/>
          <w:sz w:val="24"/>
          <w:szCs w:val="24"/>
        </w:rPr>
        <w:t xml:space="preserve"> Lane 2 shows only smaller bands; lane 3 shows </w:t>
      </w:r>
      <w:r w:rsidR="00324551">
        <w:rPr>
          <w:rFonts w:ascii="Arial" w:hAnsi="Arial" w:cs="Arial"/>
          <w:sz w:val="24"/>
          <w:szCs w:val="24"/>
        </w:rPr>
        <w:t>a very faint</w:t>
      </w:r>
      <w:r>
        <w:rPr>
          <w:rFonts w:ascii="Arial" w:hAnsi="Arial" w:cs="Arial"/>
          <w:sz w:val="24"/>
          <w:szCs w:val="24"/>
        </w:rPr>
        <w:t xml:space="preserve"> band; lane 4 shows no (or a very faint) band of the expected size but bright bands of the wrong size; lane 5 shows a band of the right size that is faint. Lane 7 shows the brightest unique band, although lane 8 also contains a bright band. Lane 9 shows a good band of the right size but also </w:t>
      </w:r>
      <w:r w:rsidR="00324551">
        <w:rPr>
          <w:rFonts w:ascii="Arial" w:hAnsi="Arial" w:cs="Arial"/>
          <w:sz w:val="24"/>
          <w:szCs w:val="24"/>
        </w:rPr>
        <w:t xml:space="preserve">an </w:t>
      </w:r>
      <w:r>
        <w:rPr>
          <w:rFonts w:ascii="Arial" w:hAnsi="Arial" w:cs="Arial"/>
          <w:sz w:val="24"/>
          <w:szCs w:val="24"/>
        </w:rPr>
        <w:t xml:space="preserve">additional </w:t>
      </w:r>
      <w:r w:rsidR="00324551">
        <w:rPr>
          <w:rFonts w:ascii="Arial" w:hAnsi="Arial" w:cs="Arial"/>
          <w:sz w:val="24"/>
          <w:szCs w:val="24"/>
        </w:rPr>
        <w:t xml:space="preserve">bright </w:t>
      </w:r>
      <w:r>
        <w:rPr>
          <w:rFonts w:ascii="Arial" w:hAnsi="Arial" w:cs="Arial"/>
          <w:sz w:val="24"/>
          <w:szCs w:val="24"/>
        </w:rPr>
        <w:t>band of the wrong size.</w:t>
      </w:r>
    </w:p>
    <w:p w:rsidR="00891AD8" w:rsidRPr="00B41EDA" w:rsidRDefault="00B41EDA" w:rsidP="00E3277F">
      <w:pPr>
        <w:pStyle w:val="ListParagraph"/>
        <w:spacing w:after="80" w:line="240" w:lineRule="auto"/>
        <w:ind w:left="0"/>
        <w:contextualSpacing w:val="0"/>
        <w:rPr>
          <w:rFonts w:ascii="Arial" w:hAnsi="Arial" w:cs="Arial"/>
          <w:sz w:val="24"/>
          <w:szCs w:val="24"/>
        </w:rPr>
      </w:pPr>
      <w:r w:rsidRPr="00B41EDA">
        <w:rPr>
          <w:rFonts w:ascii="Arial" w:hAnsi="Arial" w:cs="Arial"/>
          <w:sz w:val="24"/>
          <w:szCs w:val="24"/>
        </w:rPr>
        <w:t xml:space="preserve">After identifying a good primer combination, it is important to confirm the identity of the amplified product via sequencing, or restriction digest of the product followed by confirmation of the size of the products. </w:t>
      </w:r>
    </w:p>
    <w:p w:rsidR="00B41EDA" w:rsidRDefault="00660AFB" w:rsidP="00E3277F">
      <w:pPr>
        <w:pStyle w:val="ListParagraph"/>
        <w:numPr>
          <w:ilvl w:val="0"/>
          <w:numId w:val="1"/>
        </w:numPr>
        <w:spacing w:after="80" w:line="240" w:lineRule="auto"/>
        <w:ind w:left="0" w:firstLine="0"/>
        <w:contextualSpacing w:val="0"/>
        <w:rPr>
          <w:rFonts w:ascii="Arial" w:hAnsi="Arial" w:cs="Arial"/>
          <w:sz w:val="24"/>
          <w:szCs w:val="24"/>
        </w:rPr>
      </w:pPr>
      <w:r w:rsidRPr="00B41EDA">
        <w:rPr>
          <w:rFonts w:ascii="Arial" w:hAnsi="Arial" w:cs="Arial"/>
          <w:b/>
          <w:sz w:val="24"/>
          <w:szCs w:val="24"/>
        </w:rPr>
        <w:t>Optimization</w:t>
      </w:r>
      <w:r w:rsidR="00BA1404">
        <w:rPr>
          <w:rFonts w:ascii="Arial" w:hAnsi="Arial" w:cs="Arial"/>
          <w:b/>
          <w:sz w:val="24"/>
          <w:szCs w:val="24"/>
        </w:rPr>
        <w:t xml:space="preserve"> of PCR reaction</w:t>
      </w:r>
      <w:r w:rsidRPr="00B41EDA">
        <w:rPr>
          <w:rFonts w:ascii="Arial" w:hAnsi="Arial" w:cs="Arial"/>
          <w:b/>
          <w:sz w:val="24"/>
          <w:szCs w:val="24"/>
        </w:rPr>
        <w:t xml:space="preserve">. </w:t>
      </w:r>
      <w:r w:rsidR="00C662B9" w:rsidRPr="00B41EDA">
        <w:rPr>
          <w:rFonts w:ascii="Arial" w:hAnsi="Arial" w:cs="Arial"/>
          <w:sz w:val="24"/>
          <w:szCs w:val="24"/>
        </w:rPr>
        <w:t xml:space="preserve">After choosing a </w:t>
      </w:r>
      <w:r w:rsidR="00B41EDA" w:rsidRPr="00B41EDA">
        <w:rPr>
          <w:rFonts w:ascii="Arial" w:hAnsi="Arial" w:cs="Arial"/>
          <w:sz w:val="24"/>
          <w:szCs w:val="24"/>
        </w:rPr>
        <w:t xml:space="preserve">primer combination for each product of interest, optimize magnesium concentrations </w:t>
      </w:r>
      <w:r w:rsidR="009E0E7A">
        <w:rPr>
          <w:rFonts w:ascii="Arial" w:hAnsi="Arial" w:cs="Arial"/>
          <w:sz w:val="24"/>
          <w:szCs w:val="24"/>
        </w:rPr>
        <w:t xml:space="preserve">(usually a range of 1-1.4 </w:t>
      </w:r>
      <w:proofErr w:type="spellStart"/>
      <w:r w:rsidR="009E0E7A">
        <w:rPr>
          <w:rFonts w:ascii="Arial" w:hAnsi="Arial" w:cs="Arial"/>
          <w:sz w:val="24"/>
          <w:szCs w:val="24"/>
        </w:rPr>
        <w:t>mM</w:t>
      </w:r>
      <w:proofErr w:type="spellEnd"/>
      <w:r w:rsidR="009E0E7A">
        <w:rPr>
          <w:rFonts w:ascii="Arial" w:hAnsi="Arial" w:cs="Arial"/>
          <w:sz w:val="24"/>
          <w:szCs w:val="24"/>
        </w:rPr>
        <w:t xml:space="preserve"> </w:t>
      </w:r>
      <w:r w:rsidR="009E0E7A">
        <w:rPr>
          <w:rFonts w:ascii="Arial" w:hAnsi="Arial" w:cs="Arial"/>
          <w:sz w:val="24"/>
          <w:szCs w:val="24"/>
        </w:rPr>
        <w:lastRenderedPageBreak/>
        <w:t xml:space="preserve">final concentration is appropriate) </w:t>
      </w:r>
      <w:r w:rsidR="00B41EDA" w:rsidRPr="00B41EDA">
        <w:rPr>
          <w:rFonts w:ascii="Arial" w:hAnsi="Arial" w:cs="Arial"/>
          <w:sz w:val="24"/>
          <w:szCs w:val="24"/>
        </w:rPr>
        <w:t>and annealing temperatures</w:t>
      </w:r>
      <w:r w:rsidR="009E0E7A">
        <w:rPr>
          <w:rFonts w:ascii="Arial" w:hAnsi="Arial" w:cs="Arial"/>
          <w:sz w:val="24"/>
          <w:szCs w:val="24"/>
        </w:rPr>
        <w:t xml:space="preserve"> (usually </w:t>
      </w:r>
      <w:r w:rsidR="00301BEC">
        <w:rPr>
          <w:rFonts w:ascii="Arial" w:hAnsi="Arial" w:cs="Arial"/>
          <w:sz w:val="24"/>
          <w:szCs w:val="24"/>
        </w:rPr>
        <w:t>a range of 4-6°C around the temperature that you designed the primers to work at will work well)</w:t>
      </w:r>
      <w:r w:rsidR="00B41EDA" w:rsidRPr="00B41EDA">
        <w:rPr>
          <w:rFonts w:ascii="Arial" w:hAnsi="Arial" w:cs="Arial"/>
          <w:sz w:val="24"/>
          <w:szCs w:val="24"/>
        </w:rPr>
        <w:t>. The latter is easiest with a t</w:t>
      </w:r>
      <w:r w:rsidRPr="00B41EDA">
        <w:rPr>
          <w:rFonts w:ascii="Arial" w:hAnsi="Arial" w:cs="Arial"/>
          <w:sz w:val="24"/>
          <w:szCs w:val="24"/>
        </w:rPr>
        <w:t>hermocycler</w:t>
      </w:r>
      <w:r w:rsidR="00B41EDA" w:rsidRPr="00B41EDA">
        <w:rPr>
          <w:rFonts w:ascii="Arial" w:hAnsi="Arial" w:cs="Arial"/>
          <w:sz w:val="24"/>
          <w:szCs w:val="24"/>
        </w:rPr>
        <w:t xml:space="preserve"> with gradient capacity</w:t>
      </w:r>
      <w:r w:rsidRPr="00B41EDA">
        <w:rPr>
          <w:rFonts w:ascii="Arial" w:hAnsi="Arial" w:cs="Arial"/>
          <w:sz w:val="24"/>
          <w:szCs w:val="24"/>
        </w:rPr>
        <w:t>.</w:t>
      </w:r>
      <w:r w:rsidR="00301BEC">
        <w:rPr>
          <w:rFonts w:ascii="Arial" w:hAnsi="Arial" w:cs="Arial"/>
          <w:sz w:val="24"/>
          <w:szCs w:val="24"/>
        </w:rPr>
        <w:t xml:space="preserve"> Again, look for a band that is bright and unique (no secondary products). If you are unable to produce one, you need to design new primers. </w:t>
      </w:r>
      <w:r w:rsidR="00FC7A18">
        <w:rPr>
          <w:rFonts w:ascii="Arial" w:hAnsi="Arial" w:cs="Arial"/>
          <w:sz w:val="24"/>
          <w:szCs w:val="24"/>
        </w:rPr>
        <w:t>Amplification of bands other than the target band will confound measurements of damage.</w:t>
      </w:r>
    </w:p>
    <w:p w:rsidR="00FC7A18" w:rsidRDefault="00E3277F" w:rsidP="00E3277F">
      <w:pPr>
        <w:pStyle w:val="ListParagraph"/>
        <w:spacing w:after="80" w:line="240" w:lineRule="auto"/>
        <w:ind w:left="0"/>
        <w:contextualSpacing w:val="0"/>
        <w:rPr>
          <w:rFonts w:ascii="Arial" w:hAnsi="Arial" w:cs="Arial"/>
          <w:sz w:val="24"/>
          <w:szCs w:val="24"/>
        </w:rPr>
      </w:pPr>
      <w:r>
        <w:rPr>
          <w:rFonts w:ascii="Arial" w:hAnsi="Arial" w:cs="Arial"/>
          <w:noProof/>
          <w:sz w:val="24"/>
          <w:szCs w:val="24"/>
        </w:rPr>
        <w:drawing>
          <wp:anchor distT="0" distB="0" distL="114300" distR="114300" simplePos="0" relativeHeight="251670528" behindDoc="0" locked="0" layoutInCell="1" allowOverlap="1">
            <wp:simplePos x="0" y="0"/>
            <wp:positionH relativeFrom="column">
              <wp:posOffset>3237865</wp:posOffset>
            </wp:positionH>
            <wp:positionV relativeFrom="paragraph">
              <wp:posOffset>1069340</wp:posOffset>
            </wp:positionV>
            <wp:extent cx="2880995" cy="2019300"/>
            <wp:effectExtent l="19050" t="19050" r="14605" b="19050"/>
            <wp:wrapSquare wrapText="bothSides"/>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880995" cy="2019300"/>
                    </a:xfrm>
                    <a:prstGeom prst="rect">
                      <a:avLst/>
                    </a:prstGeom>
                    <a:noFill/>
                    <a:ln w="9525">
                      <a:solidFill>
                        <a:schemeClr val="tx1"/>
                      </a:solidFill>
                      <a:miter lim="800000"/>
                      <a:headEnd/>
                      <a:tailEnd/>
                    </a:ln>
                  </pic:spPr>
                </pic:pic>
              </a:graphicData>
            </a:graphic>
          </wp:anchor>
        </w:drawing>
      </w:r>
      <w:r w:rsidR="00FC7A18" w:rsidRPr="00C92FDF">
        <w:rPr>
          <w:rFonts w:ascii="Arial" w:hAnsi="Arial" w:cs="Arial"/>
          <w:sz w:val="24"/>
          <w:szCs w:val="24"/>
        </w:rPr>
        <w:t>If there is a chance that your samples will include DNA from another species, you also need to confirm that your primers will not amplify DNA from that species. For example</w:t>
      </w:r>
      <w:r w:rsidR="00FC7A18">
        <w:rPr>
          <w:rFonts w:ascii="Arial" w:hAnsi="Arial" w:cs="Arial"/>
          <w:sz w:val="24"/>
          <w:szCs w:val="24"/>
        </w:rPr>
        <w:t xml:space="preserve">, </w:t>
      </w:r>
      <w:r w:rsidR="00FC7A18" w:rsidRPr="00FC7A18">
        <w:rPr>
          <w:rFonts w:ascii="Arial" w:hAnsi="Arial" w:cs="Arial"/>
          <w:i/>
          <w:sz w:val="24"/>
          <w:szCs w:val="24"/>
        </w:rPr>
        <w:t>C. elegans</w:t>
      </w:r>
      <w:r w:rsidR="00FC7A18">
        <w:rPr>
          <w:rFonts w:ascii="Arial" w:hAnsi="Arial" w:cs="Arial"/>
          <w:sz w:val="24"/>
          <w:szCs w:val="24"/>
        </w:rPr>
        <w:t xml:space="preserve"> </w:t>
      </w:r>
      <w:r w:rsidR="00B27503">
        <w:rPr>
          <w:rFonts w:ascii="Arial" w:hAnsi="Arial" w:cs="Arial"/>
          <w:sz w:val="24"/>
          <w:szCs w:val="24"/>
        </w:rPr>
        <w:t>is generally fed</w:t>
      </w:r>
      <w:r w:rsidR="00FC7A18">
        <w:rPr>
          <w:rFonts w:ascii="Arial" w:hAnsi="Arial" w:cs="Arial"/>
          <w:sz w:val="24"/>
          <w:szCs w:val="24"/>
        </w:rPr>
        <w:t xml:space="preserve"> a strain of </w:t>
      </w:r>
      <w:r w:rsidR="00FC7A18" w:rsidRPr="00FC7A18">
        <w:rPr>
          <w:rFonts w:ascii="Arial" w:hAnsi="Arial" w:cs="Arial"/>
          <w:i/>
          <w:sz w:val="24"/>
          <w:szCs w:val="24"/>
        </w:rPr>
        <w:t>Escherichia coli</w:t>
      </w:r>
      <w:r w:rsidR="00FC7A18">
        <w:rPr>
          <w:rFonts w:ascii="Arial" w:hAnsi="Arial" w:cs="Arial"/>
          <w:sz w:val="24"/>
          <w:szCs w:val="24"/>
        </w:rPr>
        <w:t xml:space="preserve"> bacteria</w:t>
      </w:r>
      <w:r w:rsidR="00B27503">
        <w:rPr>
          <w:rFonts w:ascii="Arial" w:hAnsi="Arial" w:cs="Arial"/>
          <w:sz w:val="24"/>
          <w:szCs w:val="24"/>
        </w:rPr>
        <w:t xml:space="preserve"> in the laboratory</w:t>
      </w:r>
      <w:r w:rsidR="00FC7A18">
        <w:rPr>
          <w:rFonts w:ascii="Arial" w:hAnsi="Arial" w:cs="Arial"/>
          <w:sz w:val="24"/>
          <w:szCs w:val="24"/>
        </w:rPr>
        <w:t xml:space="preserve">, and it is not always possible to eliminate all bacteria from a sample of </w:t>
      </w:r>
      <w:r w:rsidR="00FC7A18" w:rsidRPr="00FC7A18">
        <w:rPr>
          <w:rFonts w:ascii="Arial" w:hAnsi="Arial" w:cs="Arial"/>
          <w:i/>
          <w:sz w:val="24"/>
          <w:szCs w:val="24"/>
        </w:rPr>
        <w:t>C. elegans</w:t>
      </w:r>
      <w:r w:rsidR="00FC7A18">
        <w:rPr>
          <w:rFonts w:ascii="Arial" w:hAnsi="Arial" w:cs="Arial"/>
          <w:sz w:val="24"/>
          <w:szCs w:val="24"/>
        </w:rPr>
        <w:t xml:space="preserve">. Therefore, it was necessary to ascertain that the </w:t>
      </w:r>
      <w:r w:rsidR="00FC7A18" w:rsidRPr="00FC7A18">
        <w:rPr>
          <w:rFonts w:ascii="Arial" w:hAnsi="Arial" w:cs="Arial"/>
          <w:i/>
          <w:sz w:val="24"/>
          <w:szCs w:val="24"/>
        </w:rPr>
        <w:t>C. elegans</w:t>
      </w:r>
      <w:r w:rsidR="00FC7A18">
        <w:rPr>
          <w:rFonts w:ascii="Arial" w:hAnsi="Arial" w:cs="Arial"/>
          <w:sz w:val="24"/>
          <w:szCs w:val="24"/>
        </w:rPr>
        <w:t xml:space="preserve"> primer did not amplify </w:t>
      </w:r>
      <w:r w:rsidR="00FC7A18" w:rsidRPr="00FC7A18">
        <w:rPr>
          <w:rFonts w:ascii="Arial" w:hAnsi="Arial" w:cs="Arial"/>
          <w:i/>
          <w:sz w:val="24"/>
          <w:szCs w:val="24"/>
        </w:rPr>
        <w:t>E. coli</w:t>
      </w:r>
      <w:r w:rsidR="00FC7A18">
        <w:rPr>
          <w:rFonts w:ascii="Arial" w:hAnsi="Arial" w:cs="Arial"/>
          <w:sz w:val="24"/>
          <w:szCs w:val="24"/>
        </w:rPr>
        <w:t xml:space="preserve"> genomic DNA</w:t>
      </w:r>
      <w:r w:rsidR="0077537B">
        <w:rPr>
          <w:rFonts w:ascii="Arial" w:hAnsi="Arial" w:cs="Arial"/>
          <w:sz w:val="24"/>
          <w:szCs w:val="24"/>
        </w:rPr>
        <w:t xml:space="preserve"> (Meyer et al., 2007)</w:t>
      </w:r>
      <w:r w:rsidR="00FC7A18">
        <w:rPr>
          <w:rFonts w:ascii="Arial" w:hAnsi="Arial" w:cs="Arial"/>
          <w:sz w:val="24"/>
          <w:szCs w:val="24"/>
        </w:rPr>
        <w:t>.</w:t>
      </w:r>
    </w:p>
    <w:p w:rsidR="00B7429E" w:rsidRPr="00BA1404" w:rsidRDefault="0077537B" w:rsidP="00E3277F">
      <w:pPr>
        <w:pStyle w:val="ListParagraph"/>
        <w:numPr>
          <w:ilvl w:val="0"/>
          <w:numId w:val="1"/>
        </w:numPr>
        <w:spacing w:after="80" w:line="240" w:lineRule="auto"/>
        <w:ind w:left="0" w:firstLine="0"/>
        <w:contextualSpacing w:val="0"/>
        <w:rPr>
          <w:rFonts w:ascii="Arial" w:hAnsi="Arial" w:cs="Arial"/>
          <w:sz w:val="24"/>
          <w:szCs w:val="24"/>
        </w:rPr>
      </w:pPr>
      <w:r>
        <w:rPr>
          <w:rFonts w:ascii="Arial" w:hAnsi="Arial" w:cs="Arial"/>
          <w:b/>
          <w:noProof/>
          <w:sz w:val="24"/>
          <w:szCs w:val="24"/>
        </w:rPr>
        <w:drawing>
          <wp:anchor distT="0" distB="0" distL="114300" distR="114300" simplePos="0" relativeHeight="251663360" behindDoc="0" locked="0" layoutInCell="1" allowOverlap="1">
            <wp:simplePos x="0" y="0"/>
            <wp:positionH relativeFrom="column">
              <wp:posOffset>2933700</wp:posOffset>
            </wp:positionH>
            <wp:positionV relativeFrom="paragraph">
              <wp:posOffset>3453130</wp:posOffset>
            </wp:positionV>
            <wp:extent cx="3261360" cy="2428875"/>
            <wp:effectExtent l="19050" t="19050" r="15240" b="285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3261360" cy="2428875"/>
                    </a:xfrm>
                    <a:prstGeom prst="rect">
                      <a:avLst/>
                    </a:prstGeom>
                    <a:noFill/>
                    <a:ln w="9525">
                      <a:solidFill>
                        <a:schemeClr val="tx1"/>
                      </a:solidFill>
                      <a:miter lim="800000"/>
                      <a:headEnd/>
                      <a:tailEnd/>
                    </a:ln>
                  </pic:spPr>
                </pic:pic>
              </a:graphicData>
            </a:graphic>
          </wp:anchor>
        </w:drawing>
      </w:r>
      <w:r w:rsidR="00BA1404" w:rsidRPr="00BA1404">
        <w:rPr>
          <w:rFonts w:ascii="Arial" w:hAnsi="Arial" w:cs="Arial"/>
          <w:b/>
          <w:sz w:val="24"/>
          <w:szCs w:val="24"/>
        </w:rPr>
        <w:t>Cycle Optimization.</w:t>
      </w:r>
      <w:r w:rsidR="00BA1404">
        <w:rPr>
          <w:rFonts w:ascii="Arial" w:hAnsi="Arial" w:cs="Arial"/>
          <w:b/>
          <w:sz w:val="24"/>
          <w:szCs w:val="24"/>
        </w:rPr>
        <w:t xml:space="preserve"> </w:t>
      </w:r>
      <w:r w:rsidR="00B41EDA" w:rsidRPr="00BA1404">
        <w:rPr>
          <w:rFonts w:ascii="Arial" w:hAnsi="Arial" w:cs="Arial"/>
          <w:sz w:val="24"/>
          <w:szCs w:val="24"/>
        </w:rPr>
        <w:t xml:space="preserve">After optimizing the PCR reaction itself, the next step is to identify the cycles over which the PCR reaction is log-linear via cycle optimization. This </w:t>
      </w:r>
      <w:r w:rsidR="00660AFB" w:rsidRPr="00BA1404">
        <w:rPr>
          <w:rFonts w:ascii="Arial" w:hAnsi="Arial" w:cs="Arial"/>
          <w:sz w:val="24"/>
          <w:szCs w:val="24"/>
        </w:rPr>
        <w:t>is carried out by removing an intact tube every 2-3 cycles and quantifying product. The quantification c</w:t>
      </w:r>
      <w:r w:rsidR="00B7429E" w:rsidRPr="00BA1404">
        <w:rPr>
          <w:rFonts w:ascii="Arial" w:hAnsi="Arial" w:cs="Arial"/>
          <w:sz w:val="24"/>
          <w:szCs w:val="24"/>
        </w:rPr>
        <w:t>a</w:t>
      </w:r>
      <w:r w:rsidR="00660AFB" w:rsidRPr="00BA1404">
        <w:rPr>
          <w:rFonts w:ascii="Arial" w:hAnsi="Arial" w:cs="Arial"/>
          <w:sz w:val="24"/>
          <w:szCs w:val="24"/>
        </w:rPr>
        <w:t>n be carried out with a plate reader since the fluorescence numbers will be more accurate than densitometric gel scanning. However, it is also critical to run the products on a gel: by running products generated at very high cycle numbers (</w:t>
      </w:r>
      <w:r w:rsidR="00250AD6" w:rsidRPr="00BA1404">
        <w:rPr>
          <w:rFonts w:ascii="Arial" w:hAnsi="Arial" w:cs="Arial"/>
          <w:sz w:val="24"/>
          <w:szCs w:val="24"/>
        </w:rPr>
        <w:t xml:space="preserve">much </w:t>
      </w:r>
      <w:r w:rsidR="00660AFB" w:rsidRPr="00BA1404">
        <w:rPr>
          <w:rFonts w:ascii="Arial" w:hAnsi="Arial" w:cs="Arial"/>
          <w:sz w:val="24"/>
          <w:szCs w:val="24"/>
        </w:rPr>
        <w:t>higher than you would use for the actual assay), you can convince yourself th</w:t>
      </w:r>
      <w:r w:rsidR="00B7429E" w:rsidRPr="00BA1404">
        <w:rPr>
          <w:rFonts w:ascii="Arial" w:hAnsi="Arial" w:cs="Arial"/>
          <w:sz w:val="24"/>
          <w:szCs w:val="24"/>
        </w:rPr>
        <w:t>a</w:t>
      </w:r>
      <w:r w:rsidR="00660AFB" w:rsidRPr="00BA1404">
        <w:rPr>
          <w:rFonts w:ascii="Arial" w:hAnsi="Arial" w:cs="Arial"/>
          <w:sz w:val="24"/>
          <w:szCs w:val="24"/>
        </w:rPr>
        <w:t xml:space="preserve">t they product you will actually measure on the plate reader, at mid-range cycles, will be only the band of the correct </w:t>
      </w:r>
      <w:r w:rsidR="00B7429E" w:rsidRPr="00BA1404">
        <w:rPr>
          <w:rFonts w:ascii="Arial" w:hAnsi="Arial" w:cs="Arial"/>
          <w:sz w:val="24"/>
          <w:szCs w:val="24"/>
        </w:rPr>
        <w:t>size.</w:t>
      </w:r>
      <w:r w:rsidR="00250AD6" w:rsidRPr="00BA1404">
        <w:rPr>
          <w:rFonts w:ascii="Arial" w:hAnsi="Arial" w:cs="Arial"/>
          <w:sz w:val="24"/>
          <w:szCs w:val="24"/>
        </w:rPr>
        <w:t xml:space="preserve"> Note that even at very high cycle number where the reaction began to plateau</w:t>
      </w:r>
      <w:r w:rsidR="00D37E22" w:rsidRPr="00BA1404">
        <w:rPr>
          <w:rFonts w:ascii="Arial" w:hAnsi="Arial" w:cs="Arial"/>
          <w:sz w:val="24"/>
          <w:szCs w:val="24"/>
        </w:rPr>
        <w:t xml:space="preserve"> (Excel graphs showing fluorescence of products)</w:t>
      </w:r>
      <w:proofErr w:type="gramStart"/>
      <w:r w:rsidR="00250AD6" w:rsidRPr="00BA1404">
        <w:rPr>
          <w:rFonts w:ascii="Arial" w:hAnsi="Arial" w:cs="Arial"/>
          <w:sz w:val="24"/>
          <w:szCs w:val="24"/>
        </w:rPr>
        <w:t>,</w:t>
      </w:r>
      <w:proofErr w:type="gramEnd"/>
      <w:r w:rsidR="00250AD6" w:rsidRPr="00BA1404">
        <w:rPr>
          <w:rFonts w:ascii="Arial" w:hAnsi="Arial" w:cs="Arial"/>
          <w:sz w:val="24"/>
          <w:szCs w:val="24"/>
        </w:rPr>
        <w:t xml:space="preserve"> other PCR bands are not observed</w:t>
      </w:r>
      <w:r w:rsidR="00D37E22" w:rsidRPr="00BA1404">
        <w:rPr>
          <w:rFonts w:ascii="Arial" w:hAnsi="Arial" w:cs="Arial"/>
          <w:sz w:val="24"/>
          <w:szCs w:val="24"/>
        </w:rPr>
        <w:t xml:space="preserve"> (gels)</w:t>
      </w:r>
      <w:r w:rsidR="00250AD6" w:rsidRPr="00BA1404">
        <w:rPr>
          <w:rFonts w:ascii="Arial" w:hAnsi="Arial" w:cs="Arial"/>
          <w:sz w:val="24"/>
          <w:szCs w:val="24"/>
        </w:rPr>
        <w:t>.</w:t>
      </w:r>
      <w:r w:rsidR="00F219EF">
        <w:rPr>
          <w:rFonts w:ascii="Arial" w:hAnsi="Arial" w:cs="Arial"/>
          <w:sz w:val="24"/>
          <w:szCs w:val="24"/>
        </w:rPr>
        <w:t xml:space="preserve"> Some primer-</w:t>
      </w:r>
      <w:proofErr w:type="spellStart"/>
      <w:r w:rsidR="00F219EF">
        <w:rPr>
          <w:rFonts w:ascii="Arial" w:hAnsi="Arial" w:cs="Arial"/>
          <w:sz w:val="24"/>
          <w:szCs w:val="24"/>
        </w:rPr>
        <w:t>dimer</w:t>
      </w:r>
      <w:proofErr w:type="spellEnd"/>
      <w:r w:rsidR="00F219EF">
        <w:rPr>
          <w:rFonts w:ascii="Arial" w:hAnsi="Arial" w:cs="Arial"/>
          <w:sz w:val="24"/>
          <w:szCs w:val="24"/>
        </w:rPr>
        <w:t xml:space="preserve"> formation is observed; the contribution of such primer-dimers to fluorescence quantification is controlled for by blank subtraction.</w:t>
      </w:r>
    </w:p>
    <w:p w:rsidR="003E67FA" w:rsidRDefault="003E67FA" w:rsidP="00E3277F">
      <w:pPr>
        <w:pStyle w:val="ListParagraph"/>
        <w:spacing w:after="80" w:line="240" w:lineRule="auto"/>
        <w:ind w:left="0"/>
        <w:contextualSpacing w:val="0"/>
        <w:rPr>
          <w:rFonts w:ascii="Arial" w:hAnsi="Arial" w:cs="Arial"/>
          <w:sz w:val="24"/>
          <w:szCs w:val="24"/>
        </w:rPr>
      </w:pPr>
      <w:r>
        <w:rPr>
          <w:rFonts w:ascii="Arial" w:hAnsi="Arial" w:cs="Arial"/>
          <w:sz w:val="24"/>
          <w:szCs w:val="24"/>
        </w:rPr>
        <w:t>In the Excel graphs shown, fluorescence indicative of amplification is graphed as a function of cycle number.</w:t>
      </w:r>
    </w:p>
    <w:p w:rsidR="00B7429E" w:rsidRDefault="00B7429E" w:rsidP="00E3277F">
      <w:pPr>
        <w:pStyle w:val="ListParagraph"/>
        <w:spacing w:after="80" w:line="240" w:lineRule="auto"/>
        <w:ind w:left="0"/>
        <w:contextualSpacing w:val="0"/>
        <w:rPr>
          <w:rFonts w:ascii="Arial" w:hAnsi="Arial" w:cs="Arial"/>
          <w:sz w:val="24"/>
          <w:szCs w:val="24"/>
        </w:rPr>
      </w:pPr>
      <w:r>
        <w:rPr>
          <w:rFonts w:ascii="Arial" w:hAnsi="Arial" w:cs="Arial"/>
          <w:sz w:val="24"/>
          <w:szCs w:val="24"/>
        </w:rPr>
        <w:t>In the gels shown, cycle number is indicated across the top</w:t>
      </w:r>
      <w:r w:rsidR="003B78F6">
        <w:rPr>
          <w:rFonts w:ascii="Arial" w:hAnsi="Arial" w:cs="Arial"/>
          <w:sz w:val="24"/>
          <w:szCs w:val="24"/>
        </w:rPr>
        <w:t xml:space="preserve">. </w:t>
      </w:r>
      <w:r>
        <w:rPr>
          <w:rFonts w:ascii="Arial" w:hAnsi="Arial" w:cs="Arial"/>
          <w:sz w:val="24"/>
          <w:szCs w:val="24"/>
        </w:rPr>
        <w:t xml:space="preserve">BLK indicates </w:t>
      </w:r>
      <w:r w:rsidR="003B78F6">
        <w:rPr>
          <w:rFonts w:ascii="Arial" w:hAnsi="Arial" w:cs="Arial"/>
          <w:sz w:val="24"/>
          <w:szCs w:val="24"/>
        </w:rPr>
        <w:t>a no-</w:t>
      </w:r>
      <w:r>
        <w:rPr>
          <w:rFonts w:ascii="Arial" w:hAnsi="Arial" w:cs="Arial"/>
          <w:sz w:val="24"/>
          <w:szCs w:val="24"/>
        </w:rPr>
        <w:t>template</w:t>
      </w:r>
      <w:r w:rsidR="003B78F6">
        <w:rPr>
          <w:rFonts w:ascii="Arial" w:hAnsi="Arial" w:cs="Arial"/>
          <w:sz w:val="24"/>
          <w:szCs w:val="24"/>
        </w:rPr>
        <w:t xml:space="preserve"> blank</w:t>
      </w:r>
      <w:r>
        <w:rPr>
          <w:rFonts w:ascii="Arial" w:hAnsi="Arial" w:cs="Arial"/>
          <w:sz w:val="24"/>
          <w:szCs w:val="24"/>
        </w:rPr>
        <w:t>; this sample was cycled at the highest number (27 for mitochondrial, 29 for nuclear) to detect any primer-</w:t>
      </w:r>
      <w:proofErr w:type="spellStart"/>
      <w:r>
        <w:rPr>
          <w:rFonts w:ascii="Arial" w:hAnsi="Arial" w:cs="Arial"/>
          <w:sz w:val="24"/>
          <w:szCs w:val="24"/>
        </w:rPr>
        <w:t>dimer</w:t>
      </w:r>
      <w:proofErr w:type="spellEnd"/>
      <w:r w:rsidR="0077537B">
        <w:rPr>
          <w:rFonts w:ascii="Arial" w:hAnsi="Arial" w:cs="Arial"/>
          <w:sz w:val="24"/>
          <w:szCs w:val="24"/>
        </w:rPr>
        <w:t xml:space="preserve"> formation</w:t>
      </w:r>
      <w:r>
        <w:rPr>
          <w:rFonts w:ascii="Arial" w:hAnsi="Arial" w:cs="Arial"/>
          <w:sz w:val="24"/>
          <w:szCs w:val="24"/>
        </w:rPr>
        <w:t>, etc. formation. Two different amounts of template input were used</w:t>
      </w:r>
      <w:r w:rsidR="003E67FA">
        <w:rPr>
          <w:rFonts w:ascii="Arial" w:hAnsi="Arial" w:cs="Arial"/>
          <w:sz w:val="24"/>
          <w:szCs w:val="24"/>
        </w:rPr>
        <w:t xml:space="preserve">: 7.5 and 15 </w:t>
      </w:r>
      <w:proofErr w:type="spellStart"/>
      <w:r w:rsidR="003E67FA">
        <w:rPr>
          <w:rFonts w:ascii="Arial" w:hAnsi="Arial" w:cs="Arial"/>
          <w:sz w:val="24"/>
          <w:szCs w:val="24"/>
        </w:rPr>
        <w:t>ng</w:t>
      </w:r>
      <w:proofErr w:type="spellEnd"/>
      <w:r>
        <w:rPr>
          <w:rFonts w:ascii="Arial" w:hAnsi="Arial" w:cs="Arial"/>
          <w:sz w:val="24"/>
          <w:szCs w:val="24"/>
        </w:rPr>
        <w:t xml:space="preserve">. A 1 kb ladder is used with a 1% agarose gel for the large products; a 100 </w:t>
      </w:r>
      <w:proofErr w:type="spellStart"/>
      <w:r>
        <w:rPr>
          <w:rFonts w:ascii="Arial" w:hAnsi="Arial" w:cs="Arial"/>
          <w:sz w:val="24"/>
          <w:szCs w:val="24"/>
        </w:rPr>
        <w:t>bp</w:t>
      </w:r>
      <w:proofErr w:type="spellEnd"/>
      <w:r>
        <w:rPr>
          <w:rFonts w:ascii="Arial" w:hAnsi="Arial" w:cs="Arial"/>
          <w:sz w:val="24"/>
          <w:szCs w:val="24"/>
        </w:rPr>
        <w:t xml:space="preserve"> ladder and 2% gel is used for the small </w:t>
      </w:r>
      <w:r>
        <w:rPr>
          <w:rFonts w:ascii="Arial" w:hAnsi="Arial" w:cs="Arial"/>
          <w:sz w:val="24"/>
          <w:szCs w:val="24"/>
        </w:rPr>
        <w:lastRenderedPageBreak/>
        <w:t>products.</w:t>
      </w:r>
      <w:r w:rsidR="00250AD6">
        <w:rPr>
          <w:rFonts w:ascii="Arial" w:hAnsi="Arial" w:cs="Arial"/>
          <w:sz w:val="24"/>
          <w:szCs w:val="24"/>
        </w:rPr>
        <w:t xml:space="preserve"> </w:t>
      </w:r>
      <w:r w:rsidR="00C37558">
        <w:rPr>
          <w:rFonts w:ascii="Arial" w:hAnsi="Arial" w:cs="Arial"/>
          <w:sz w:val="24"/>
          <w:szCs w:val="24"/>
        </w:rPr>
        <w:t>The d</w:t>
      </w:r>
      <w:r w:rsidR="00250AD6">
        <w:rPr>
          <w:rFonts w:ascii="Arial" w:hAnsi="Arial" w:cs="Arial"/>
          <w:sz w:val="24"/>
          <w:szCs w:val="24"/>
        </w:rPr>
        <w:t>yes were bromophenol blue and xylene cyanol.</w:t>
      </w:r>
    </w:p>
    <w:p w:rsidR="00C92FDF" w:rsidRDefault="00E3277F" w:rsidP="00E3277F">
      <w:pPr>
        <w:pStyle w:val="ListParagraph"/>
        <w:spacing w:after="80" w:line="240" w:lineRule="auto"/>
        <w:ind w:left="0"/>
        <w:contextualSpacing w:val="0"/>
        <w:rPr>
          <w:rFonts w:ascii="Arial" w:hAnsi="Arial" w:cs="Arial"/>
          <w:sz w:val="24"/>
          <w:szCs w:val="24"/>
        </w:rPr>
      </w:pPr>
      <w:r>
        <w:rPr>
          <w:rFonts w:ascii="Arial" w:hAnsi="Arial" w:cs="Arial"/>
          <w:noProof/>
          <w:sz w:val="24"/>
          <w:szCs w:val="24"/>
        </w:rPr>
        <w:drawing>
          <wp:anchor distT="0" distB="0" distL="114300" distR="114300" simplePos="0" relativeHeight="251662336" behindDoc="0" locked="0" layoutInCell="1" allowOverlap="1">
            <wp:simplePos x="0" y="0"/>
            <wp:positionH relativeFrom="column">
              <wp:posOffset>3086100</wp:posOffset>
            </wp:positionH>
            <wp:positionV relativeFrom="paragraph">
              <wp:posOffset>-226060</wp:posOffset>
            </wp:positionV>
            <wp:extent cx="2872105" cy="1993900"/>
            <wp:effectExtent l="19050" t="19050" r="23495" b="254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2872105" cy="1993900"/>
                    </a:xfrm>
                    <a:prstGeom prst="rect">
                      <a:avLst/>
                    </a:prstGeom>
                    <a:noFill/>
                    <a:ln w="9525">
                      <a:solidFill>
                        <a:schemeClr val="tx1"/>
                      </a:solidFill>
                      <a:miter lim="800000"/>
                      <a:headEnd/>
                      <a:tailEnd/>
                    </a:ln>
                  </pic:spPr>
                </pic:pic>
              </a:graphicData>
            </a:graphic>
          </wp:anchor>
        </w:drawing>
      </w:r>
      <w:r w:rsidR="00CA7F05">
        <w:rPr>
          <w:rFonts w:ascii="Arial" w:hAnsi="Arial" w:cs="Arial"/>
          <w:sz w:val="24"/>
          <w:szCs w:val="24"/>
        </w:rPr>
        <w:t>Next, i</w:t>
      </w:r>
      <w:r w:rsidR="00660AFB" w:rsidRPr="00660AFB">
        <w:rPr>
          <w:rFonts w:ascii="Arial" w:hAnsi="Arial" w:cs="Arial"/>
          <w:sz w:val="24"/>
          <w:szCs w:val="24"/>
        </w:rPr>
        <w:t xml:space="preserve">dentify the range of cycles over which the reaction is log-linear. </w:t>
      </w:r>
      <w:r w:rsidR="003E67FA">
        <w:rPr>
          <w:rFonts w:ascii="Arial" w:hAnsi="Arial" w:cs="Arial"/>
          <w:sz w:val="24"/>
          <w:szCs w:val="24"/>
        </w:rPr>
        <w:t xml:space="preserve">In the example shown, </w:t>
      </w:r>
      <w:r w:rsidR="003B78F6">
        <w:rPr>
          <w:rFonts w:ascii="Arial" w:hAnsi="Arial" w:cs="Arial"/>
          <w:sz w:val="24"/>
          <w:szCs w:val="24"/>
        </w:rPr>
        <w:t xml:space="preserve">appropriate ranges would be </w:t>
      </w:r>
      <w:r w:rsidR="003E67FA">
        <w:rPr>
          <w:rFonts w:ascii="Arial" w:hAnsi="Arial" w:cs="Arial"/>
          <w:sz w:val="24"/>
          <w:szCs w:val="24"/>
        </w:rPr>
        <w:t>21-22 cycles for the large mitochondrial</w:t>
      </w:r>
      <w:r w:rsidR="003B78F6">
        <w:rPr>
          <w:rFonts w:ascii="Arial" w:hAnsi="Arial" w:cs="Arial"/>
          <w:sz w:val="24"/>
          <w:szCs w:val="24"/>
        </w:rPr>
        <w:t xml:space="preserve"> product</w:t>
      </w:r>
      <w:r w:rsidR="003E67FA">
        <w:rPr>
          <w:rFonts w:ascii="Arial" w:hAnsi="Arial" w:cs="Arial"/>
          <w:sz w:val="24"/>
          <w:szCs w:val="24"/>
        </w:rPr>
        <w:t>, and 24-25 cycle</w:t>
      </w:r>
      <w:r w:rsidR="003B78F6">
        <w:rPr>
          <w:rFonts w:ascii="Arial" w:hAnsi="Arial" w:cs="Arial"/>
          <w:sz w:val="24"/>
          <w:szCs w:val="24"/>
        </w:rPr>
        <w:t>s for the large nuclear product</w:t>
      </w:r>
      <w:r w:rsidR="003E67FA">
        <w:rPr>
          <w:rFonts w:ascii="Arial" w:hAnsi="Arial" w:cs="Arial"/>
          <w:sz w:val="24"/>
          <w:szCs w:val="24"/>
        </w:rPr>
        <w:t xml:space="preserve">. </w:t>
      </w:r>
      <w:r w:rsidR="00660AFB" w:rsidRPr="00660AFB">
        <w:rPr>
          <w:rFonts w:ascii="Arial" w:hAnsi="Arial" w:cs="Arial"/>
          <w:sz w:val="24"/>
          <w:szCs w:val="24"/>
        </w:rPr>
        <w:t xml:space="preserve">If you run the assay </w:t>
      </w:r>
      <w:r w:rsidR="003B78F6">
        <w:rPr>
          <w:rFonts w:ascii="Arial" w:hAnsi="Arial" w:cs="Arial"/>
          <w:sz w:val="24"/>
          <w:szCs w:val="24"/>
        </w:rPr>
        <w:t>at</w:t>
      </w:r>
      <w:r w:rsidR="00660AFB" w:rsidRPr="00660AFB">
        <w:rPr>
          <w:rFonts w:ascii="Arial" w:hAnsi="Arial" w:cs="Arial"/>
          <w:sz w:val="24"/>
          <w:szCs w:val="24"/>
        </w:rPr>
        <w:t xml:space="preserve"> too few cycles, you will lose sensitivity because the noise will increase (even the best-amplifying samples will not be much above background). If you carry out the assay at too many cycles, the less-damaged samples will amplify </w:t>
      </w:r>
      <w:r w:rsidR="003B78F6">
        <w:rPr>
          <w:rFonts w:ascii="Arial" w:hAnsi="Arial" w:cs="Arial"/>
          <w:sz w:val="24"/>
          <w:szCs w:val="24"/>
        </w:rPr>
        <w:t>less</w:t>
      </w:r>
      <w:r w:rsidR="00660AFB" w:rsidRPr="00660AFB">
        <w:rPr>
          <w:rFonts w:ascii="Arial" w:hAnsi="Arial" w:cs="Arial"/>
          <w:sz w:val="24"/>
          <w:szCs w:val="24"/>
        </w:rPr>
        <w:t xml:space="preserve"> well </w:t>
      </w:r>
      <w:r w:rsidR="003B78F6">
        <w:rPr>
          <w:rFonts w:ascii="Arial" w:hAnsi="Arial" w:cs="Arial"/>
          <w:sz w:val="24"/>
          <w:szCs w:val="24"/>
        </w:rPr>
        <w:t>than they should</w:t>
      </w:r>
      <w:r w:rsidR="00660AFB" w:rsidRPr="00660AFB">
        <w:rPr>
          <w:rFonts w:ascii="Arial" w:hAnsi="Arial" w:cs="Arial"/>
          <w:sz w:val="24"/>
          <w:szCs w:val="24"/>
        </w:rPr>
        <w:t>, since the reaction will begin to plateau.</w:t>
      </w:r>
      <w:r w:rsidR="003E67FA">
        <w:rPr>
          <w:rFonts w:ascii="Arial" w:hAnsi="Arial" w:cs="Arial"/>
          <w:sz w:val="24"/>
          <w:szCs w:val="24"/>
        </w:rPr>
        <w:t xml:space="preserve"> </w:t>
      </w:r>
    </w:p>
    <w:p w:rsidR="00891AD8" w:rsidRDefault="00E3277F" w:rsidP="00E3277F">
      <w:pPr>
        <w:pStyle w:val="ListParagraph"/>
        <w:spacing w:after="80" w:line="240" w:lineRule="auto"/>
        <w:ind w:left="0"/>
        <w:contextualSpacing w:val="0"/>
        <w:rPr>
          <w:rFonts w:ascii="Arial" w:hAnsi="Arial" w:cs="Arial"/>
          <w:b/>
          <w:sz w:val="24"/>
          <w:szCs w:val="24"/>
        </w:rPr>
      </w:pPr>
      <w:r>
        <w:rPr>
          <w:rFonts w:ascii="Arial" w:hAnsi="Arial" w:cs="Arial"/>
          <w:noProof/>
          <w:sz w:val="24"/>
          <w:szCs w:val="24"/>
        </w:rPr>
        <w:drawing>
          <wp:anchor distT="0" distB="0" distL="114300" distR="114300" simplePos="0" relativeHeight="251664384" behindDoc="0" locked="0" layoutInCell="1" allowOverlap="1">
            <wp:simplePos x="0" y="0"/>
            <wp:positionH relativeFrom="column">
              <wp:posOffset>2933700</wp:posOffset>
            </wp:positionH>
            <wp:positionV relativeFrom="paragraph">
              <wp:posOffset>902335</wp:posOffset>
            </wp:positionV>
            <wp:extent cx="2967990" cy="2038350"/>
            <wp:effectExtent l="19050" t="19050" r="22860" b="190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2967990" cy="2038350"/>
                    </a:xfrm>
                    <a:prstGeom prst="rect">
                      <a:avLst/>
                    </a:prstGeom>
                    <a:noFill/>
                    <a:ln w="9525">
                      <a:solidFill>
                        <a:schemeClr val="tx1"/>
                      </a:solidFill>
                      <a:miter lim="800000"/>
                      <a:headEnd/>
                      <a:tailEnd/>
                    </a:ln>
                  </pic:spPr>
                </pic:pic>
              </a:graphicData>
            </a:graphic>
          </wp:anchor>
        </w:drawing>
      </w:r>
      <w:r w:rsidR="003E67FA">
        <w:rPr>
          <w:rFonts w:ascii="Arial" w:hAnsi="Arial" w:cs="Arial"/>
          <w:sz w:val="24"/>
          <w:szCs w:val="24"/>
        </w:rPr>
        <w:t xml:space="preserve">It is typically the case that many </w:t>
      </w:r>
      <w:r w:rsidR="003B78F6">
        <w:rPr>
          <w:rFonts w:ascii="Arial" w:hAnsi="Arial" w:cs="Arial"/>
          <w:sz w:val="24"/>
          <w:szCs w:val="24"/>
        </w:rPr>
        <w:t>fewer</w:t>
      </w:r>
      <w:r w:rsidR="003E67FA">
        <w:rPr>
          <w:rFonts w:ascii="Arial" w:hAnsi="Arial" w:cs="Arial"/>
          <w:sz w:val="24"/>
          <w:szCs w:val="24"/>
        </w:rPr>
        <w:t xml:space="preserve"> cycles are needed for mitochondrial than nuclear products, since the mitochondrial genome is present at </w:t>
      </w:r>
      <w:r w:rsidR="006A0C6F">
        <w:rPr>
          <w:rFonts w:ascii="Arial" w:hAnsi="Arial" w:cs="Arial"/>
          <w:sz w:val="24"/>
          <w:szCs w:val="24"/>
        </w:rPr>
        <w:t xml:space="preserve">much </w:t>
      </w:r>
      <w:r w:rsidR="003E67FA">
        <w:rPr>
          <w:rFonts w:ascii="Arial" w:hAnsi="Arial" w:cs="Arial"/>
          <w:sz w:val="24"/>
          <w:szCs w:val="24"/>
        </w:rPr>
        <w:t xml:space="preserve">higher copy number per cell. Fewer cycles are </w:t>
      </w:r>
      <w:r w:rsidR="003B78F6">
        <w:rPr>
          <w:rFonts w:ascii="Arial" w:hAnsi="Arial" w:cs="Arial"/>
          <w:sz w:val="24"/>
          <w:szCs w:val="24"/>
        </w:rPr>
        <w:t xml:space="preserve">also </w:t>
      </w:r>
      <w:r w:rsidR="003E67FA">
        <w:rPr>
          <w:rFonts w:ascii="Arial" w:hAnsi="Arial" w:cs="Arial"/>
          <w:sz w:val="24"/>
          <w:szCs w:val="24"/>
        </w:rPr>
        <w:t>usually required for the large than the small products (both genomes) because the product is so much larger and thus more fluorescent on a per-PCR product basis.</w:t>
      </w:r>
    </w:p>
    <w:p w:rsidR="00250AD6" w:rsidRDefault="00E3277F" w:rsidP="00E3277F">
      <w:pPr>
        <w:pStyle w:val="ListParagraph"/>
        <w:numPr>
          <w:ilvl w:val="0"/>
          <w:numId w:val="1"/>
        </w:numPr>
        <w:spacing w:after="80" w:line="240" w:lineRule="auto"/>
        <w:ind w:left="0" w:firstLine="0"/>
        <w:contextualSpacing w:val="0"/>
        <w:rPr>
          <w:rFonts w:ascii="Arial" w:hAnsi="Arial" w:cs="Arial"/>
          <w:sz w:val="24"/>
          <w:szCs w:val="24"/>
        </w:rPr>
      </w:pPr>
      <w:r>
        <w:rPr>
          <w:rFonts w:ascii="Arial" w:hAnsi="Arial" w:cs="Arial"/>
          <w:b/>
          <w:noProof/>
          <w:sz w:val="24"/>
          <w:szCs w:val="24"/>
        </w:rPr>
        <w:drawing>
          <wp:anchor distT="0" distB="0" distL="114300" distR="114300" simplePos="0" relativeHeight="251666432" behindDoc="0" locked="0" layoutInCell="1" allowOverlap="1">
            <wp:simplePos x="0" y="0"/>
            <wp:positionH relativeFrom="column">
              <wp:posOffset>2562225</wp:posOffset>
            </wp:positionH>
            <wp:positionV relativeFrom="paragraph">
              <wp:posOffset>2366010</wp:posOffset>
            </wp:positionV>
            <wp:extent cx="3398520" cy="2392680"/>
            <wp:effectExtent l="19050" t="19050" r="11430" b="266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398520" cy="2392680"/>
                    </a:xfrm>
                    <a:prstGeom prst="rect">
                      <a:avLst/>
                    </a:prstGeom>
                    <a:noFill/>
                    <a:ln w="9525">
                      <a:solidFill>
                        <a:schemeClr val="tx1"/>
                      </a:solidFill>
                      <a:miter lim="800000"/>
                      <a:headEnd/>
                      <a:tailEnd/>
                    </a:ln>
                  </pic:spPr>
                </pic:pic>
              </a:graphicData>
            </a:graphic>
          </wp:anchor>
        </w:drawing>
      </w:r>
      <w:r w:rsidR="00660AFB">
        <w:rPr>
          <w:rFonts w:ascii="Arial" w:hAnsi="Arial" w:cs="Arial"/>
          <w:b/>
          <w:sz w:val="24"/>
          <w:szCs w:val="24"/>
        </w:rPr>
        <w:t xml:space="preserve">Template test. </w:t>
      </w:r>
      <w:r w:rsidR="00B7429E" w:rsidRPr="00B7429E">
        <w:rPr>
          <w:rFonts w:ascii="Arial" w:hAnsi="Arial" w:cs="Arial"/>
          <w:sz w:val="24"/>
          <w:szCs w:val="24"/>
        </w:rPr>
        <w:t xml:space="preserve">Once a cycle number is identified that will be in the log-linear range and thus permit quantitative PCR, test that the results are in fact quantitative by carrying out a template test. In this example, since </w:t>
      </w:r>
      <w:r w:rsidR="00C92FDF">
        <w:rPr>
          <w:rFonts w:ascii="Arial" w:hAnsi="Arial" w:cs="Arial"/>
          <w:sz w:val="24"/>
          <w:szCs w:val="24"/>
        </w:rPr>
        <w:t>I</w:t>
      </w:r>
      <w:r w:rsidR="00B7429E" w:rsidRPr="00B7429E">
        <w:rPr>
          <w:rFonts w:ascii="Arial" w:hAnsi="Arial" w:cs="Arial"/>
          <w:sz w:val="24"/>
          <w:szCs w:val="24"/>
        </w:rPr>
        <w:t xml:space="preserve"> often start with 10 </w:t>
      </w:r>
      <w:proofErr w:type="spellStart"/>
      <w:r w:rsidR="00B7429E" w:rsidRPr="00B7429E">
        <w:rPr>
          <w:rFonts w:ascii="Arial" w:hAnsi="Arial" w:cs="Arial"/>
          <w:sz w:val="24"/>
          <w:szCs w:val="24"/>
        </w:rPr>
        <w:t>ng</w:t>
      </w:r>
      <w:proofErr w:type="spellEnd"/>
      <w:r w:rsidR="00B7429E" w:rsidRPr="00B7429E">
        <w:rPr>
          <w:rFonts w:ascii="Arial" w:hAnsi="Arial" w:cs="Arial"/>
          <w:sz w:val="24"/>
          <w:szCs w:val="24"/>
        </w:rPr>
        <w:t xml:space="preserve"> DNA template per reaction, </w:t>
      </w:r>
      <w:r w:rsidR="00C92FDF">
        <w:rPr>
          <w:rFonts w:ascii="Arial" w:hAnsi="Arial" w:cs="Arial"/>
          <w:sz w:val="24"/>
          <w:szCs w:val="24"/>
        </w:rPr>
        <w:t xml:space="preserve">I </w:t>
      </w:r>
      <w:r w:rsidR="00B7429E" w:rsidRPr="00B7429E">
        <w:rPr>
          <w:rFonts w:ascii="Arial" w:hAnsi="Arial" w:cs="Arial"/>
          <w:sz w:val="24"/>
          <w:szCs w:val="24"/>
        </w:rPr>
        <w:t xml:space="preserve">carried out a cycle test at 20 </w:t>
      </w:r>
      <w:proofErr w:type="spellStart"/>
      <w:r w:rsidR="00B7429E" w:rsidRPr="00B7429E">
        <w:rPr>
          <w:rFonts w:ascii="Arial" w:hAnsi="Arial" w:cs="Arial"/>
          <w:sz w:val="24"/>
          <w:szCs w:val="24"/>
        </w:rPr>
        <w:t>ng</w:t>
      </w:r>
      <w:proofErr w:type="spellEnd"/>
      <w:r w:rsidR="00B7429E" w:rsidRPr="00B7429E">
        <w:rPr>
          <w:rFonts w:ascii="Arial" w:hAnsi="Arial" w:cs="Arial"/>
          <w:sz w:val="24"/>
          <w:szCs w:val="24"/>
        </w:rPr>
        <w:t xml:space="preserve"> (to ensure that the best-amplifying samples are well within the log-linear range) and down to 2.5 </w:t>
      </w:r>
      <w:proofErr w:type="spellStart"/>
      <w:r w:rsidR="00B7429E" w:rsidRPr="00B7429E">
        <w:rPr>
          <w:rFonts w:ascii="Arial" w:hAnsi="Arial" w:cs="Arial"/>
          <w:sz w:val="24"/>
          <w:szCs w:val="24"/>
        </w:rPr>
        <w:t>ng</w:t>
      </w:r>
      <w:proofErr w:type="spellEnd"/>
      <w:r w:rsidR="00B7429E" w:rsidRPr="00B7429E">
        <w:rPr>
          <w:rFonts w:ascii="Arial" w:hAnsi="Arial" w:cs="Arial"/>
          <w:sz w:val="24"/>
          <w:szCs w:val="24"/>
        </w:rPr>
        <w:t xml:space="preserve"> (to ensure that </w:t>
      </w:r>
      <w:r w:rsidR="00C92FDF">
        <w:rPr>
          <w:rFonts w:ascii="Arial" w:hAnsi="Arial" w:cs="Arial"/>
          <w:sz w:val="24"/>
          <w:szCs w:val="24"/>
        </w:rPr>
        <w:t>I</w:t>
      </w:r>
      <w:r w:rsidR="00B7429E" w:rsidRPr="00B7429E">
        <w:rPr>
          <w:rFonts w:ascii="Arial" w:hAnsi="Arial" w:cs="Arial"/>
          <w:sz w:val="24"/>
          <w:szCs w:val="24"/>
        </w:rPr>
        <w:t xml:space="preserve"> will be able to detect sam</w:t>
      </w:r>
      <w:r w:rsidR="00B7429E">
        <w:rPr>
          <w:rFonts w:ascii="Arial" w:hAnsi="Arial" w:cs="Arial"/>
          <w:sz w:val="24"/>
          <w:szCs w:val="24"/>
        </w:rPr>
        <w:t>pl</w:t>
      </w:r>
      <w:r w:rsidR="00B7429E" w:rsidRPr="00B7429E">
        <w:rPr>
          <w:rFonts w:ascii="Arial" w:hAnsi="Arial" w:cs="Arial"/>
          <w:sz w:val="24"/>
          <w:szCs w:val="24"/>
        </w:rPr>
        <w:t>es that are quite damaged and amplify quite poorly).</w:t>
      </w:r>
      <w:r w:rsidR="00B7429E">
        <w:rPr>
          <w:rFonts w:ascii="Arial" w:hAnsi="Arial" w:cs="Arial"/>
          <w:sz w:val="24"/>
          <w:szCs w:val="24"/>
        </w:rPr>
        <w:t xml:space="preserve"> As before, you should analyze the results both via agarose gel electrophoresis and plate reader quantification of the product.</w:t>
      </w:r>
      <w:r w:rsidR="00B7429E" w:rsidRPr="00B7429E">
        <w:rPr>
          <w:rFonts w:ascii="Arial" w:hAnsi="Arial" w:cs="Arial"/>
          <w:sz w:val="24"/>
          <w:szCs w:val="24"/>
        </w:rPr>
        <w:t xml:space="preserve"> </w:t>
      </w:r>
      <w:r w:rsidR="00250AD6">
        <w:rPr>
          <w:rFonts w:ascii="Arial" w:hAnsi="Arial" w:cs="Arial"/>
          <w:sz w:val="24"/>
          <w:szCs w:val="24"/>
        </w:rPr>
        <w:t xml:space="preserve">It is also possible to test the effect of various blank controls (e.g., </w:t>
      </w:r>
      <w:r w:rsidR="00250AD6" w:rsidRPr="00250AD6">
        <w:rPr>
          <w:rFonts w:ascii="Arial" w:hAnsi="Arial" w:cs="Arial"/>
          <w:sz w:val="24"/>
          <w:szCs w:val="24"/>
        </w:rPr>
        <w:t>small products template tests image).</w:t>
      </w:r>
    </w:p>
    <w:p w:rsidR="00C92FDF" w:rsidRPr="00C92FDF" w:rsidRDefault="00C92FDF" w:rsidP="00E3277F">
      <w:pPr>
        <w:pStyle w:val="ListParagraph"/>
        <w:spacing w:after="80" w:line="240" w:lineRule="auto"/>
        <w:ind w:left="0"/>
        <w:contextualSpacing w:val="0"/>
        <w:rPr>
          <w:rFonts w:ascii="Arial" w:hAnsi="Arial" w:cs="Arial"/>
          <w:sz w:val="24"/>
          <w:szCs w:val="24"/>
        </w:rPr>
      </w:pPr>
      <w:r w:rsidRPr="00C92FDF">
        <w:rPr>
          <w:rFonts w:ascii="Arial" w:hAnsi="Arial" w:cs="Arial"/>
          <w:noProof/>
          <w:sz w:val="24"/>
          <w:szCs w:val="24"/>
        </w:rPr>
        <w:t xml:space="preserve">In the examples shown, </w:t>
      </w:r>
      <w:r w:rsidR="007F6E4B">
        <w:rPr>
          <w:rFonts w:ascii="Arial" w:hAnsi="Arial" w:cs="Arial"/>
          <w:noProof/>
          <w:sz w:val="24"/>
          <w:szCs w:val="24"/>
        </w:rPr>
        <w:t xml:space="preserve">the reactions are linear up to 10 ng input, but then begin to plateau (See Excel graphs). This </w:t>
      </w:r>
      <w:r w:rsidR="00397B1C">
        <w:rPr>
          <w:rFonts w:ascii="Arial" w:hAnsi="Arial" w:cs="Arial"/>
          <w:noProof/>
          <w:sz w:val="24"/>
          <w:szCs w:val="24"/>
        </w:rPr>
        <w:t>indicates</w:t>
      </w:r>
      <w:r w:rsidR="007F6E4B">
        <w:rPr>
          <w:rFonts w:ascii="Arial" w:hAnsi="Arial" w:cs="Arial"/>
          <w:noProof/>
          <w:sz w:val="24"/>
          <w:szCs w:val="24"/>
        </w:rPr>
        <w:t xml:space="preserve"> that the reaction should be run with 5-10 ng of template, or perhaps at one cycle less.</w:t>
      </w:r>
    </w:p>
    <w:p w:rsidR="00660AFB" w:rsidRPr="007F6E4B" w:rsidRDefault="00E3277F" w:rsidP="00E3277F">
      <w:pPr>
        <w:pStyle w:val="ListParagraph"/>
        <w:spacing w:after="80" w:line="240" w:lineRule="auto"/>
        <w:ind w:left="0"/>
        <w:contextualSpacing w:val="0"/>
        <w:rPr>
          <w:rFonts w:ascii="Arial" w:hAnsi="Arial" w:cs="Arial"/>
          <w:sz w:val="24"/>
          <w:szCs w:val="24"/>
        </w:rPr>
      </w:pPr>
      <w:r>
        <w:rPr>
          <w:rFonts w:ascii="Arial" w:hAnsi="Arial" w:cs="Arial"/>
          <w:noProof/>
          <w:sz w:val="24"/>
          <w:szCs w:val="24"/>
        </w:rPr>
        <w:lastRenderedPageBreak/>
        <w:drawing>
          <wp:anchor distT="0" distB="0" distL="114300" distR="114300" simplePos="0" relativeHeight="251665408" behindDoc="0" locked="0" layoutInCell="1" allowOverlap="1">
            <wp:simplePos x="0" y="0"/>
            <wp:positionH relativeFrom="column">
              <wp:posOffset>2886075</wp:posOffset>
            </wp:positionH>
            <wp:positionV relativeFrom="paragraph">
              <wp:posOffset>0</wp:posOffset>
            </wp:positionV>
            <wp:extent cx="2968625" cy="2194560"/>
            <wp:effectExtent l="19050" t="19050" r="22225" b="1524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2968625" cy="2194560"/>
                    </a:xfrm>
                    <a:prstGeom prst="rect">
                      <a:avLst/>
                    </a:prstGeom>
                    <a:noFill/>
                    <a:ln w="9525">
                      <a:solidFill>
                        <a:schemeClr val="tx1"/>
                      </a:solidFill>
                      <a:miter lim="800000"/>
                      <a:headEnd/>
                      <a:tailEnd/>
                    </a:ln>
                  </pic:spPr>
                </pic:pic>
              </a:graphicData>
            </a:graphic>
          </wp:anchor>
        </w:drawing>
      </w:r>
      <w:r w:rsidR="00250AD6" w:rsidRPr="00250AD6">
        <w:rPr>
          <w:rFonts w:ascii="Arial" w:hAnsi="Arial" w:cs="Arial"/>
          <w:noProof/>
          <w:sz w:val="24"/>
          <w:szCs w:val="24"/>
        </w:rPr>
        <w:t>When the assay is carried out on real samples, 50% controls are always run to verify that the chosen cycle number is still in the quantitative range</w:t>
      </w:r>
      <w:r w:rsidR="007F6E4B">
        <w:rPr>
          <w:rFonts w:ascii="Arial" w:hAnsi="Arial" w:cs="Arial"/>
          <w:noProof/>
          <w:sz w:val="24"/>
          <w:szCs w:val="24"/>
        </w:rPr>
        <w:t xml:space="preserve"> (Santos et al., 2006)</w:t>
      </w:r>
      <w:r w:rsidR="00250AD6" w:rsidRPr="00250AD6">
        <w:rPr>
          <w:rFonts w:ascii="Arial" w:hAnsi="Arial" w:cs="Arial"/>
          <w:noProof/>
          <w:sz w:val="24"/>
          <w:szCs w:val="24"/>
        </w:rPr>
        <w:t>.</w:t>
      </w:r>
      <w:r w:rsidR="00250AD6" w:rsidRPr="00250AD6">
        <w:rPr>
          <w:rFonts w:ascii="Arial" w:hAnsi="Arial" w:cs="Arial"/>
          <w:sz w:val="24"/>
          <w:szCs w:val="24"/>
        </w:rPr>
        <w:t xml:space="preserve"> The template test</w:t>
      </w:r>
      <w:r w:rsidR="00250AD6">
        <w:rPr>
          <w:rFonts w:ascii="Arial" w:hAnsi="Arial" w:cs="Arial"/>
          <w:sz w:val="24"/>
          <w:szCs w:val="24"/>
        </w:rPr>
        <w:t xml:space="preserve"> demonstrates the b</w:t>
      </w:r>
      <w:r w:rsidR="00660AFB" w:rsidRPr="00B7429E">
        <w:rPr>
          <w:rFonts w:ascii="Arial" w:hAnsi="Arial" w:cs="Arial"/>
          <w:sz w:val="24"/>
          <w:szCs w:val="24"/>
        </w:rPr>
        <w:t xml:space="preserve">asis for </w:t>
      </w:r>
      <w:r w:rsidR="00660AFB" w:rsidRPr="007F6E4B">
        <w:rPr>
          <w:rFonts w:ascii="Arial" w:hAnsi="Arial" w:cs="Arial"/>
          <w:sz w:val="24"/>
          <w:szCs w:val="24"/>
        </w:rPr>
        <w:t>th</w:t>
      </w:r>
      <w:r w:rsidR="00250AD6" w:rsidRPr="007F6E4B">
        <w:rPr>
          <w:rFonts w:ascii="Arial" w:hAnsi="Arial" w:cs="Arial"/>
          <w:sz w:val="24"/>
          <w:szCs w:val="24"/>
        </w:rPr>
        <w:t>at</w:t>
      </w:r>
      <w:r w:rsidR="00660AFB" w:rsidRPr="007F6E4B">
        <w:rPr>
          <w:rFonts w:ascii="Arial" w:hAnsi="Arial" w:cs="Arial"/>
          <w:sz w:val="24"/>
          <w:szCs w:val="24"/>
        </w:rPr>
        <w:t xml:space="preserve"> control.</w:t>
      </w:r>
      <w:r w:rsidR="00B7429E" w:rsidRPr="007F6E4B">
        <w:rPr>
          <w:rFonts w:ascii="Arial" w:hAnsi="Arial" w:cs="Arial"/>
          <w:sz w:val="24"/>
          <w:szCs w:val="24"/>
        </w:rPr>
        <w:t xml:space="preserve"> </w:t>
      </w:r>
      <w:r w:rsidR="007F6E4B" w:rsidRPr="007F6E4B">
        <w:rPr>
          <w:rFonts w:ascii="Arial" w:hAnsi="Arial" w:cs="Arial"/>
          <w:sz w:val="24"/>
          <w:szCs w:val="24"/>
        </w:rPr>
        <w:t>If a 50% control is not between 40 and 60%, it should be considered a failure.</w:t>
      </w:r>
      <w:r w:rsidR="003B78F6">
        <w:rPr>
          <w:rFonts w:ascii="Arial" w:hAnsi="Arial" w:cs="Arial"/>
          <w:sz w:val="24"/>
          <w:szCs w:val="24"/>
        </w:rPr>
        <w:t xml:space="preserve"> Examples are provided in Supplemental data file 5.</w:t>
      </w:r>
    </w:p>
    <w:p w:rsidR="007F6E4B" w:rsidRPr="00505879" w:rsidRDefault="007F6E4B" w:rsidP="00E3277F">
      <w:pPr>
        <w:pStyle w:val="ListParagraph"/>
        <w:numPr>
          <w:ilvl w:val="0"/>
          <w:numId w:val="1"/>
        </w:numPr>
        <w:spacing w:after="80" w:line="240" w:lineRule="auto"/>
        <w:ind w:left="0" w:firstLine="0"/>
        <w:contextualSpacing w:val="0"/>
        <w:rPr>
          <w:rFonts w:ascii="Arial" w:hAnsi="Arial" w:cs="Arial"/>
          <w:b/>
          <w:sz w:val="24"/>
          <w:szCs w:val="24"/>
        </w:rPr>
      </w:pPr>
      <w:r>
        <w:rPr>
          <w:rFonts w:ascii="Arial" w:hAnsi="Arial" w:cs="Arial"/>
          <w:b/>
          <w:sz w:val="24"/>
          <w:szCs w:val="24"/>
        </w:rPr>
        <w:t xml:space="preserve">Test with a positive control. </w:t>
      </w:r>
      <w:r w:rsidRPr="007F6E4B">
        <w:rPr>
          <w:rFonts w:ascii="Arial" w:hAnsi="Arial" w:cs="Arial"/>
          <w:sz w:val="24"/>
          <w:szCs w:val="24"/>
        </w:rPr>
        <w:t>Supplemental data file 5 is an Excel spreadsheet that can be used to quantify lesions in a sample according to Ayala-Torres et al. (2000) and Santos et al. (2006).</w:t>
      </w:r>
      <w:r w:rsidR="00505879">
        <w:rPr>
          <w:rFonts w:ascii="Arial" w:hAnsi="Arial" w:cs="Arial"/>
          <w:sz w:val="24"/>
          <w:szCs w:val="24"/>
        </w:rPr>
        <w:t xml:space="preserve"> In this case, there are three primer pairs used (i.e., three products): long nuclear, long mitochondrial, and short mitochondrial. As described (Santos et al., 2006), the purpose of the short mitochondrial product is to permit normalization to mitochondrial copy number, which can vary with exposure to environmental stressors, developmental stage, tissue type, etc. A short nuclear product is sometimes also used, especially in cases where obtaining sufficient DNA for quantification of total genomic template (input) DNA is challenging. For example, when we carry out QPCR on small batches (4-6 individuals) of nematodes (Boyd et al., </w:t>
      </w:r>
      <w:r w:rsidR="00C37558">
        <w:rPr>
          <w:rFonts w:ascii="Arial" w:hAnsi="Arial" w:cs="Arial"/>
          <w:sz w:val="24"/>
          <w:szCs w:val="24"/>
        </w:rPr>
        <w:t>in press</w:t>
      </w:r>
      <w:r w:rsidR="00505879">
        <w:rPr>
          <w:rFonts w:ascii="Arial" w:hAnsi="Arial" w:cs="Arial"/>
          <w:sz w:val="24"/>
          <w:szCs w:val="24"/>
        </w:rPr>
        <w:t>), it is not possible to verify that equal numbers of nematodes were present in all samples by DNA quanti</w:t>
      </w:r>
      <w:r w:rsidR="0077537B">
        <w:rPr>
          <w:rFonts w:ascii="Arial" w:hAnsi="Arial" w:cs="Arial"/>
          <w:sz w:val="24"/>
          <w:szCs w:val="24"/>
        </w:rPr>
        <w:t>fication, so we verify equal in</w:t>
      </w:r>
      <w:r w:rsidR="00505879">
        <w:rPr>
          <w:rFonts w:ascii="Arial" w:hAnsi="Arial" w:cs="Arial"/>
          <w:sz w:val="24"/>
          <w:szCs w:val="24"/>
        </w:rPr>
        <w:t>put by quantifying PCR output of a small nuclear product. If the output is not equal in all cases, the normalization process is entirely analogous to that used with the small mitochondrial product.</w:t>
      </w:r>
    </w:p>
    <w:p w:rsidR="007D5EBA" w:rsidRPr="007D5EBA" w:rsidRDefault="007D5EBA" w:rsidP="00E3277F">
      <w:pPr>
        <w:pStyle w:val="ListParagraph"/>
        <w:spacing w:after="80" w:line="240" w:lineRule="auto"/>
        <w:ind w:left="0"/>
        <w:contextualSpacing w:val="0"/>
        <w:rPr>
          <w:rFonts w:ascii="Arial" w:hAnsi="Arial" w:cs="Arial"/>
          <w:b/>
          <w:noProof/>
          <w:sz w:val="24"/>
          <w:szCs w:val="24"/>
        </w:rPr>
      </w:pPr>
      <w:r w:rsidRPr="007D5EBA">
        <w:rPr>
          <w:rFonts w:ascii="Arial" w:hAnsi="Arial" w:cs="Arial"/>
          <w:b/>
          <w:noProof/>
          <w:sz w:val="24"/>
          <w:szCs w:val="24"/>
        </w:rPr>
        <w:t>Additional notes</w:t>
      </w:r>
    </w:p>
    <w:p w:rsidR="00505879" w:rsidRDefault="007D5EBA" w:rsidP="00E3277F">
      <w:pPr>
        <w:pStyle w:val="ListParagraph"/>
        <w:spacing w:after="80" w:line="240" w:lineRule="auto"/>
        <w:ind w:left="0"/>
        <w:contextualSpacing w:val="0"/>
        <w:rPr>
          <w:rFonts w:ascii="Arial" w:hAnsi="Arial" w:cs="Arial"/>
          <w:sz w:val="24"/>
          <w:szCs w:val="24"/>
        </w:rPr>
      </w:pPr>
      <w:r>
        <w:rPr>
          <w:rFonts w:ascii="Arial" w:hAnsi="Arial" w:cs="Arial"/>
          <w:noProof/>
          <w:sz w:val="24"/>
          <w:szCs w:val="24"/>
        </w:rPr>
        <w:t>A</w:t>
      </w:r>
      <w:r w:rsidR="00505879" w:rsidRPr="00505879">
        <w:rPr>
          <w:rFonts w:ascii="Arial" w:hAnsi="Arial" w:cs="Arial"/>
          <w:noProof/>
          <w:sz w:val="24"/>
          <w:szCs w:val="24"/>
        </w:rPr>
        <w:t>t least 2, and sometimes 3, replicate QPCR reactions are used per sample.</w:t>
      </w:r>
      <w:r w:rsidR="00505879" w:rsidRPr="00505879">
        <w:rPr>
          <w:rFonts w:ascii="Arial" w:hAnsi="Arial" w:cs="Arial"/>
          <w:sz w:val="24"/>
          <w:szCs w:val="24"/>
        </w:rPr>
        <w:t xml:space="preserve"> </w:t>
      </w:r>
      <w:r w:rsidR="00505879">
        <w:rPr>
          <w:rFonts w:ascii="Arial" w:hAnsi="Arial" w:cs="Arial"/>
          <w:sz w:val="24"/>
          <w:szCs w:val="24"/>
        </w:rPr>
        <w:t xml:space="preserve">It can be helpful to carry out regression analysis on the replicate PCR reactions to identify potential outliers. </w:t>
      </w:r>
      <w:r w:rsidR="00505879" w:rsidRPr="00505879">
        <w:rPr>
          <w:rFonts w:ascii="Arial" w:hAnsi="Arial" w:cs="Arial"/>
          <w:sz w:val="24"/>
          <w:szCs w:val="24"/>
        </w:rPr>
        <w:t xml:space="preserve">An “n” of 4-6 individual samples per treatment is usually sufficient to </w:t>
      </w:r>
      <w:r w:rsidR="00505879">
        <w:rPr>
          <w:rFonts w:ascii="Arial" w:hAnsi="Arial" w:cs="Arial"/>
          <w:sz w:val="24"/>
          <w:szCs w:val="24"/>
        </w:rPr>
        <w:t>permit a limit of detection of ~1 lesion/10</w:t>
      </w:r>
      <w:r w:rsidR="00505879" w:rsidRPr="00505879">
        <w:rPr>
          <w:rFonts w:ascii="Arial" w:hAnsi="Arial" w:cs="Arial"/>
          <w:sz w:val="24"/>
          <w:szCs w:val="24"/>
          <w:vertAlign w:val="superscript"/>
        </w:rPr>
        <w:t>5</w:t>
      </w:r>
      <w:r w:rsidR="00505879">
        <w:rPr>
          <w:rFonts w:ascii="Arial" w:hAnsi="Arial" w:cs="Arial"/>
          <w:sz w:val="24"/>
          <w:szCs w:val="24"/>
        </w:rPr>
        <w:t xml:space="preserve"> bases. </w:t>
      </w:r>
    </w:p>
    <w:p w:rsidR="007D5EBA" w:rsidRPr="00505879" w:rsidRDefault="007D5EBA" w:rsidP="00E3277F">
      <w:pPr>
        <w:pStyle w:val="ListParagraph"/>
        <w:spacing w:after="80" w:line="240" w:lineRule="auto"/>
        <w:ind w:left="0"/>
        <w:contextualSpacing w:val="0"/>
        <w:rPr>
          <w:rFonts w:ascii="Arial" w:hAnsi="Arial" w:cs="Arial"/>
          <w:sz w:val="24"/>
          <w:szCs w:val="24"/>
        </w:rPr>
      </w:pPr>
      <w:r>
        <w:rPr>
          <w:rFonts w:ascii="Arial" w:hAnsi="Arial" w:cs="Arial"/>
          <w:sz w:val="24"/>
          <w:szCs w:val="24"/>
        </w:rPr>
        <w:t xml:space="preserve">Some </w:t>
      </w:r>
      <w:r w:rsidR="00C37558">
        <w:rPr>
          <w:rFonts w:ascii="Arial" w:hAnsi="Arial" w:cs="Arial"/>
          <w:sz w:val="24"/>
          <w:szCs w:val="24"/>
        </w:rPr>
        <w:t>research</w:t>
      </w:r>
      <w:r>
        <w:rPr>
          <w:rFonts w:ascii="Arial" w:hAnsi="Arial" w:cs="Arial"/>
          <w:sz w:val="24"/>
          <w:szCs w:val="24"/>
        </w:rPr>
        <w:t xml:space="preserve">ers use a standard curve for determination of QPCR product as well as template (genomic) DNA input. </w:t>
      </w:r>
    </w:p>
    <w:p w:rsidR="00E3277F" w:rsidRPr="00505879" w:rsidRDefault="00E3277F">
      <w:pPr>
        <w:pStyle w:val="ListParagraph"/>
        <w:spacing w:after="80" w:line="240" w:lineRule="auto"/>
        <w:ind w:left="0"/>
        <w:contextualSpacing w:val="0"/>
        <w:rPr>
          <w:rFonts w:ascii="Arial" w:hAnsi="Arial" w:cs="Arial"/>
          <w:sz w:val="24"/>
          <w:szCs w:val="24"/>
        </w:rPr>
      </w:pPr>
    </w:p>
    <w:sectPr w:rsidR="00E3277F" w:rsidRPr="00505879" w:rsidSect="00A643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136283"/>
    <w:multiLevelType w:val="hybridMultilevel"/>
    <w:tmpl w:val="58FC5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2EA8"/>
    <w:rsid w:val="00045FFA"/>
    <w:rsid w:val="00057C00"/>
    <w:rsid w:val="00101AD0"/>
    <w:rsid w:val="0019578C"/>
    <w:rsid w:val="00250AD6"/>
    <w:rsid w:val="002E1DD4"/>
    <w:rsid w:val="00301BEC"/>
    <w:rsid w:val="00324551"/>
    <w:rsid w:val="00361989"/>
    <w:rsid w:val="00397B1C"/>
    <w:rsid w:val="003B3E89"/>
    <w:rsid w:val="003B78F6"/>
    <w:rsid w:val="003E67FA"/>
    <w:rsid w:val="00460D9D"/>
    <w:rsid w:val="00461FFA"/>
    <w:rsid w:val="00505879"/>
    <w:rsid w:val="00512BC4"/>
    <w:rsid w:val="00517C96"/>
    <w:rsid w:val="00660AFB"/>
    <w:rsid w:val="006A0C6F"/>
    <w:rsid w:val="00764396"/>
    <w:rsid w:val="0077537B"/>
    <w:rsid w:val="007D5EBA"/>
    <w:rsid w:val="007F6E4B"/>
    <w:rsid w:val="0084548B"/>
    <w:rsid w:val="00891AD8"/>
    <w:rsid w:val="008C2964"/>
    <w:rsid w:val="009E0E7A"/>
    <w:rsid w:val="00A20B93"/>
    <w:rsid w:val="00A55916"/>
    <w:rsid w:val="00A643B9"/>
    <w:rsid w:val="00AD0F73"/>
    <w:rsid w:val="00AD2EA8"/>
    <w:rsid w:val="00B11802"/>
    <w:rsid w:val="00B27503"/>
    <w:rsid w:val="00B41EDA"/>
    <w:rsid w:val="00B65446"/>
    <w:rsid w:val="00B7429E"/>
    <w:rsid w:val="00BA1404"/>
    <w:rsid w:val="00C32A02"/>
    <w:rsid w:val="00C37558"/>
    <w:rsid w:val="00C662B9"/>
    <w:rsid w:val="00C92FDF"/>
    <w:rsid w:val="00CA7F05"/>
    <w:rsid w:val="00D108A1"/>
    <w:rsid w:val="00D37E22"/>
    <w:rsid w:val="00E3277F"/>
    <w:rsid w:val="00F07E94"/>
    <w:rsid w:val="00F219EF"/>
    <w:rsid w:val="00F26667"/>
    <w:rsid w:val="00FC7A18"/>
    <w:rsid w:val="00FD78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3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2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EA8"/>
    <w:rPr>
      <w:rFonts w:ascii="Tahoma" w:hAnsi="Tahoma" w:cs="Tahoma"/>
      <w:sz w:val="16"/>
      <w:szCs w:val="16"/>
    </w:rPr>
  </w:style>
  <w:style w:type="paragraph" w:styleId="ListParagraph">
    <w:name w:val="List Paragraph"/>
    <w:basedOn w:val="Normal"/>
    <w:uiPriority w:val="34"/>
    <w:qFormat/>
    <w:rsid w:val="00891AD8"/>
    <w:pPr>
      <w:ind w:left="720"/>
      <w:contextualSpacing/>
    </w:pPr>
  </w:style>
  <w:style w:type="character" w:styleId="Hyperlink">
    <w:name w:val="Hyperlink"/>
    <w:basedOn w:val="DefaultParagraphFont"/>
    <w:uiPriority w:val="99"/>
    <w:unhideWhenUsed/>
    <w:rsid w:val="00F07E9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hyperlink" Target="mailto:joel.meyer@duke.edu" TargetMode="External"/><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1448</Words>
  <Characters>8254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Duke University</Company>
  <LinksUpToDate>false</LinksUpToDate>
  <CharactersWithSpaces>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meyer</dc:creator>
  <cp:keywords/>
  <dc:description/>
  <cp:lastModifiedBy>joel meyer</cp:lastModifiedBy>
  <cp:revision>2</cp:revision>
  <cp:lastPrinted>2009-05-07T16:05:00Z</cp:lastPrinted>
  <dcterms:created xsi:type="dcterms:W3CDTF">2009-12-28T14:03:00Z</dcterms:created>
  <dcterms:modified xsi:type="dcterms:W3CDTF">2009-12-28T14:03:00Z</dcterms:modified>
</cp:coreProperties>
</file>