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2A89C" w14:textId="77777777" w:rsidR="009D6A15" w:rsidRPr="006377E2" w:rsidRDefault="006377E2" w:rsidP="00D04C25">
      <w:pPr>
        <w:spacing w:before="120" w:after="0"/>
        <w:jc w:val="both"/>
        <w:rPr>
          <w:rFonts w:ascii="Arial" w:eastAsia="Times New Roman" w:hAnsi="Arial" w:cs="Times New Roman"/>
          <w:b/>
          <w:bCs/>
          <w:kern w:val="32"/>
          <w:sz w:val="24"/>
          <w:szCs w:val="32"/>
        </w:rPr>
      </w:pPr>
      <w:r w:rsidRPr="006377E2">
        <w:rPr>
          <w:rFonts w:ascii="Arial" w:eastAsia="Times New Roman" w:hAnsi="Arial" w:cs="Times New Roman"/>
          <w:b/>
          <w:bCs/>
          <w:kern w:val="32"/>
          <w:sz w:val="24"/>
          <w:szCs w:val="32"/>
        </w:rPr>
        <w:t xml:space="preserve">Supporting information for the manuscript </w:t>
      </w:r>
    </w:p>
    <w:p w14:paraId="7B4B322C" w14:textId="77777777" w:rsidR="006377E2" w:rsidRDefault="006377E2" w:rsidP="00D04C25">
      <w:pPr>
        <w:spacing w:before="120" w:after="0"/>
        <w:jc w:val="both"/>
        <w:rPr>
          <w:rFonts w:ascii="Arial" w:eastAsia="Times New Roman" w:hAnsi="Arial" w:cs="Times New Roman"/>
          <w:b/>
          <w:bCs/>
          <w:kern w:val="32"/>
          <w:sz w:val="24"/>
          <w:szCs w:val="32"/>
        </w:rPr>
      </w:pPr>
      <w:r w:rsidRPr="00333CE3">
        <w:rPr>
          <w:rFonts w:ascii="Arial" w:eastAsia="Times New Roman" w:hAnsi="Arial" w:cs="Times New Roman"/>
          <w:b/>
          <w:bCs/>
          <w:kern w:val="32"/>
          <w:sz w:val="24"/>
          <w:szCs w:val="32"/>
        </w:rPr>
        <w:t>Calibration and validation of toxicokinetic-toxicodynamic models for three neonicotinoids and some aquatic macroinvertebrates</w:t>
      </w:r>
    </w:p>
    <w:p w14:paraId="0ED0C975" w14:textId="77777777" w:rsidR="00E479D3" w:rsidRPr="00E479D3" w:rsidRDefault="00E479D3" w:rsidP="00E479D3">
      <w:pPr>
        <w:spacing w:before="120" w:after="0"/>
        <w:jc w:val="both"/>
      </w:pPr>
      <w:r w:rsidRPr="00E479D3">
        <w:t>Andreas Focks</w:t>
      </w:r>
      <w:r w:rsidRPr="00F76398">
        <w:rPr>
          <w:vertAlign w:val="superscript"/>
        </w:rPr>
        <w:t>1</w:t>
      </w:r>
      <w:r w:rsidRPr="00E479D3">
        <w:t>*, Dick Belgers</w:t>
      </w:r>
      <w:r w:rsidRPr="00F76398">
        <w:rPr>
          <w:vertAlign w:val="superscript"/>
        </w:rPr>
        <w:t>1</w:t>
      </w:r>
      <w:r w:rsidRPr="00E479D3">
        <w:t>, Marie-Claire Boerwinkel</w:t>
      </w:r>
      <w:r w:rsidRPr="00F76398">
        <w:rPr>
          <w:vertAlign w:val="superscript"/>
        </w:rPr>
        <w:t>1</w:t>
      </w:r>
      <w:r w:rsidRPr="00E479D3">
        <w:t>, Laura Buijse</w:t>
      </w:r>
      <w:r w:rsidRPr="00F76398">
        <w:rPr>
          <w:vertAlign w:val="superscript"/>
        </w:rPr>
        <w:t>1</w:t>
      </w:r>
      <w:r w:rsidRPr="00E479D3">
        <w:t>, Ivo Roessink</w:t>
      </w:r>
      <w:r w:rsidRPr="00F76398">
        <w:rPr>
          <w:vertAlign w:val="superscript"/>
        </w:rPr>
        <w:t>1</w:t>
      </w:r>
      <w:r w:rsidRPr="00E479D3">
        <w:t>, Paul J. Van den Brink</w:t>
      </w:r>
      <w:r w:rsidRPr="00F76398">
        <w:rPr>
          <w:vertAlign w:val="superscript"/>
        </w:rPr>
        <w:t>1,2</w:t>
      </w:r>
    </w:p>
    <w:p w14:paraId="7ACD5090" w14:textId="77777777" w:rsidR="00E479D3" w:rsidRPr="00E479D3" w:rsidRDefault="00E479D3" w:rsidP="00E479D3">
      <w:pPr>
        <w:spacing w:before="120" w:after="0"/>
        <w:jc w:val="both"/>
      </w:pPr>
      <w:r w:rsidRPr="00F76398">
        <w:rPr>
          <w:vertAlign w:val="superscript"/>
        </w:rPr>
        <w:t>1</w:t>
      </w:r>
      <w:r w:rsidRPr="00E479D3">
        <w:t>Alterra, Wageningen University and Research centre, P.O. Box 47, 6700 AA Wageningen, The Netherlands</w:t>
      </w:r>
    </w:p>
    <w:p w14:paraId="319893F5" w14:textId="4B0EDEA2" w:rsidR="00E479D3" w:rsidRPr="00E479D3" w:rsidRDefault="00E479D3" w:rsidP="00E479D3">
      <w:pPr>
        <w:spacing w:before="120" w:after="0"/>
        <w:jc w:val="both"/>
      </w:pPr>
      <w:r w:rsidRPr="00F76398">
        <w:rPr>
          <w:vertAlign w:val="superscript"/>
        </w:rPr>
        <w:t>2</w:t>
      </w:r>
      <w:r w:rsidRPr="00E479D3">
        <w:t>Department of Aquatic Ecology and Water Quality Management, Wageningen University, Wageningen University and Research centre, P.O. Box 47, 6700 AA Wageningen, The Netherlands</w:t>
      </w:r>
    </w:p>
    <w:p w14:paraId="4570EA5B" w14:textId="77777777" w:rsidR="006377E2" w:rsidRPr="00E479D3" w:rsidRDefault="00E479D3" w:rsidP="00E479D3">
      <w:pPr>
        <w:spacing w:before="120" w:after="0"/>
        <w:jc w:val="both"/>
      </w:pPr>
      <w:r w:rsidRPr="00E479D3">
        <w:t>* Corresponding author: andreas.focks@wur.nl</w:t>
      </w:r>
    </w:p>
    <w:sdt>
      <w:sdtPr>
        <w:rPr>
          <w:rFonts w:ascii="Verdana" w:eastAsiaTheme="minorHAnsi" w:hAnsi="Verdana" w:cstheme="minorBidi"/>
          <w:b w:val="0"/>
          <w:bCs w:val="0"/>
          <w:color w:val="auto"/>
          <w:sz w:val="17"/>
          <w:szCs w:val="22"/>
          <w:lang w:val="en-GB" w:eastAsia="en-US"/>
        </w:rPr>
        <w:id w:val="-876620752"/>
        <w:docPartObj>
          <w:docPartGallery w:val="Table of Contents"/>
          <w:docPartUnique/>
        </w:docPartObj>
      </w:sdtPr>
      <w:sdtEndPr>
        <w:rPr>
          <w:noProof/>
        </w:rPr>
      </w:sdtEndPr>
      <w:sdtContent>
        <w:p w14:paraId="17DB826C" w14:textId="77777777" w:rsidR="00333CE3" w:rsidRDefault="00333CE3" w:rsidP="00D04C25">
          <w:pPr>
            <w:pStyle w:val="TOCHeading"/>
          </w:pPr>
          <w:r>
            <w:t>Table of Contents</w:t>
          </w:r>
        </w:p>
        <w:p w14:paraId="5EABAE73" w14:textId="203482F1" w:rsidR="000B3077" w:rsidRDefault="00333CE3">
          <w:pPr>
            <w:pStyle w:val="TOC1"/>
            <w:tabs>
              <w:tab w:val="left" w:pos="660"/>
              <w:tab w:val="right" w:leader="dot" w:pos="1045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510179356" w:history="1">
            <w:r w:rsidR="000B3077" w:rsidRPr="00246A5A">
              <w:rPr>
                <w:rStyle w:val="Hyperlink"/>
                <w:noProof/>
              </w:rPr>
              <w:t>1.</w:t>
            </w:r>
            <w:r w:rsidR="000B3077">
              <w:rPr>
                <w:rFonts w:asciiTheme="minorHAnsi" w:eastAsiaTheme="minorEastAsia" w:hAnsiTheme="minorHAnsi"/>
                <w:noProof/>
                <w:sz w:val="22"/>
                <w:lang w:eastAsia="en-GB"/>
              </w:rPr>
              <w:tab/>
            </w:r>
            <w:r w:rsidR="000B3077" w:rsidRPr="00246A5A">
              <w:rPr>
                <w:rStyle w:val="Hyperlink"/>
                <w:noProof/>
              </w:rPr>
              <w:t>Additonal infromation about experiments MC_C2 and MC_V</w:t>
            </w:r>
            <w:r w:rsidR="000B3077">
              <w:rPr>
                <w:noProof/>
                <w:webHidden/>
              </w:rPr>
              <w:tab/>
            </w:r>
            <w:r w:rsidR="000B3077">
              <w:rPr>
                <w:noProof/>
                <w:webHidden/>
              </w:rPr>
              <w:fldChar w:fldCharType="begin"/>
            </w:r>
            <w:r w:rsidR="000B3077">
              <w:rPr>
                <w:noProof/>
                <w:webHidden/>
              </w:rPr>
              <w:instrText xml:space="preserve"> PAGEREF _Toc510179356 \h </w:instrText>
            </w:r>
            <w:r w:rsidR="000B3077">
              <w:rPr>
                <w:noProof/>
                <w:webHidden/>
              </w:rPr>
            </w:r>
            <w:r w:rsidR="000B3077">
              <w:rPr>
                <w:noProof/>
                <w:webHidden/>
              </w:rPr>
              <w:fldChar w:fldCharType="separate"/>
            </w:r>
            <w:r w:rsidR="000B3077">
              <w:rPr>
                <w:noProof/>
                <w:webHidden/>
              </w:rPr>
              <w:t>2</w:t>
            </w:r>
            <w:r w:rsidR="000B3077">
              <w:rPr>
                <w:noProof/>
                <w:webHidden/>
              </w:rPr>
              <w:fldChar w:fldCharType="end"/>
            </w:r>
          </w:hyperlink>
        </w:p>
        <w:p w14:paraId="7B5055F4" w14:textId="13C39B8B" w:rsidR="000B3077" w:rsidRDefault="002572F7">
          <w:pPr>
            <w:pStyle w:val="TOC1"/>
            <w:tabs>
              <w:tab w:val="left" w:pos="660"/>
              <w:tab w:val="right" w:leader="dot" w:pos="10456"/>
            </w:tabs>
            <w:rPr>
              <w:rFonts w:asciiTheme="minorHAnsi" w:eastAsiaTheme="minorEastAsia" w:hAnsiTheme="minorHAnsi"/>
              <w:noProof/>
              <w:sz w:val="22"/>
              <w:lang w:eastAsia="en-GB"/>
            </w:rPr>
          </w:pPr>
          <w:hyperlink w:anchor="_Toc510179357" w:history="1">
            <w:r w:rsidR="000B3077" w:rsidRPr="00246A5A">
              <w:rPr>
                <w:rStyle w:val="Hyperlink"/>
                <w:noProof/>
              </w:rPr>
              <w:t>2.</w:t>
            </w:r>
            <w:r w:rsidR="000B3077">
              <w:rPr>
                <w:rFonts w:asciiTheme="minorHAnsi" w:eastAsiaTheme="minorEastAsia" w:hAnsiTheme="minorHAnsi"/>
                <w:noProof/>
                <w:sz w:val="22"/>
                <w:lang w:eastAsia="en-GB"/>
              </w:rPr>
              <w:tab/>
            </w:r>
            <w:r w:rsidR="000B3077" w:rsidRPr="00246A5A">
              <w:rPr>
                <w:rStyle w:val="Hyperlink"/>
                <w:noProof/>
              </w:rPr>
              <w:t>Addtional modelling information</w:t>
            </w:r>
            <w:r w:rsidR="000B3077">
              <w:rPr>
                <w:noProof/>
                <w:webHidden/>
              </w:rPr>
              <w:tab/>
            </w:r>
            <w:r w:rsidR="000B3077">
              <w:rPr>
                <w:noProof/>
                <w:webHidden/>
              </w:rPr>
              <w:fldChar w:fldCharType="begin"/>
            </w:r>
            <w:r w:rsidR="000B3077">
              <w:rPr>
                <w:noProof/>
                <w:webHidden/>
              </w:rPr>
              <w:instrText xml:space="preserve"> PAGEREF _Toc510179357 \h </w:instrText>
            </w:r>
            <w:r w:rsidR="000B3077">
              <w:rPr>
                <w:noProof/>
                <w:webHidden/>
              </w:rPr>
            </w:r>
            <w:r w:rsidR="000B3077">
              <w:rPr>
                <w:noProof/>
                <w:webHidden/>
              </w:rPr>
              <w:fldChar w:fldCharType="separate"/>
            </w:r>
            <w:r w:rsidR="000B3077">
              <w:rPr>
                <w:noProof/>
                <w:webHidden/>
              </w:rPr>
              <w:t>2</w:t>
            </w:r>
            <w:r w:rsidR="000B3077">
              <w:rPr>
                <w:noProof/>
                <w:webHidden/>
              </w:rPr>
              <w:fldChar w:fldCharType="end"/>
            </w:r>
          </w:hyperlink>
        </w:p>
        <w:p w14:paraId="53FE6C39" w14:textId="245059B5" w:rsidR="000B3077" w:rsidRDefault="002572F7">
          <w:pPr>
            <w:pStyle w:val="TOC2"/>
            <w:tabs>
              <w:tab w:val="left" w:pos="880"/>
              <w:tab w:val="right" w:leader="dot" w:pos="10456"/>
            </w:tabs>
            <w:rPr>
              <w:rFonts w:asciiTheme="minorHAnsi" w:eastAsiaTheme="minorEastAsia" w:hAnsiTheme="minorHAnsi"/>
              <w:noProof/>
              <w:sz w:val="22"/>
              <w:lang w:eastAsia="en-GB"/>
            </w:rPr>
          </w:pPr>
          <w:hyperlink w:anchor="_Toc510179358" w:history="1">
            <w:r w:rsidR="000B3077" w:rsidRPr="00246A5A">
              <w:rPr>
                <w:rStyle w:val="Hyperlink"/>
                <w:noProof/>
              </w:rPr>
              <w:t>2.1.</w:t>
            </w:r>
            <w:r w:rsidR="000B3077">
              <w:rPr>
                <w:rFonts w:asciiTheme="minorHAnsi" w:eastAsiaTheme="minorEastAsia" w:hAnsiTheme="minorHAnsi"/>
                <w:noProof/>
                <w:sz w:val="22"/>
                <w:lang w:eastAsia="en-GB"/>
              </w:rPr>
              <w:tab/>
            </w:r>
            <w:r w:rsidR="000B3077" w:rsidRPr="00246A5A">
              <w:rPr>
                <w:rStyle w:val="Hyperlink"/>
                <w:noProof/>
              </w:rPr>
              <w:t>The GUTS models</w:t>
            </w:r>
            <w:r w:rsidR="000B3077">
              <w:rPr>
                <w:noProof/>
                <w:webHidden/>
              </w:rPr>
              <w:tab/>
            </w:r>
            <w:r w:rsidR="000B3077">
              <w:rPr>
                <w:noProof/>
                <w:webHidden/>
              </w:rPr>
              <w:fldChar w:fldCharType="begin"/>
            </w:r>
            <w:r w:rsidR="000B3077">
              <w:rPr>
                <w:noProof/>
                <w:webHidden/>
              </w:rPr>
              <w:instrText xml:space="preserve"> PAGEREF _Toc510179358 \h </w:instrText>
            </w:r>
            <w:r w:rsidR="000B3077">
              <w:rPr>
                <w:noProof/>
                <w:webHidden/>
              </w:rPr>
            </w:r>
            <w:r w:rsidR="000B3077">
              <w:rPr>
                <w:noProof/>
                <w:webHidden/>
              </w:rPr>
              <w:fldChar w:fldCharType="separate"/>
            </w:r>
            <w:r w:rsidR="000B3077">
              <w:rPr>
                <w:noProof/>
                <w:webHidden/>
              </w:rPr>
              <w:t>2</w:t>
            </w:r>
            <w:r w:rsidR="000B3077">
              <w:rPr>
                <w:noProof/>
                <w:webHidden/>
              </w:rPr>
              <w:fldChar w:fldCharType="end"/>
            </w:r>
          </w:hyperlink>
        </w:p>
        <w:p w14:paraId="628AA6D7" w14:textId="413C1CF2" w:rsidR="000B3077" w:rsidRDefault="002572F7">
          <w:pPr>
            <w:pStyle w:val="TOC2"/>
            <w:tabs>
              <w:tab w:val="left" w:pos="880"/>
              <w:tab w:val="right" w:leader="dot" w:pos="10456"/>
            </w:tabs>
            <w:rPr>
              <w:rFonts w:asciiTheme="minorHAnsi" w:eastAsiaTheme="minorEastAsia" w:hAnsiTheme="minorHAnsi"/>
              <w:noProof/>
              <w:sz w:val="22"/>
              <w:lang w:eastAsia="en-GB"/>
            </w:rPr>
          </w:pPr>
          <w:hyperlink w:anchor="_Toc510179359" w:history="1">
            <w:r w:rsidR="000B3077" w:rsidRPr="00246A5A">
              <w:rPr>
                <w:rStyle w:val="Hyperlink"/>
                <w:noProof/>
              </w:rPr>
              <w:t>2.2.</w:t>
            </w:r>
            <w:r w:rsidR="000B3077">
              <w:rPr>
                <w:rFonts w:asciiTheme="minorHAnsi" w:eastAsiaTheme="minorEastAsia" w:hAnsiTheme="minorHAnsi"/>
                <w:noProof/>
                <w:sz w:val="22"/>
                <w:lang w:eastAsia="en-GB"/>
              </w:rPr>
              <w:tab/>
            </w:r>
            <w:r w:rsidR="000B3077" w:rsidRPr="00246A5A">
              <w:rPr>
                <w:rStyle w:val="Hyperlink"/>
                <w:noProof/>
              </w:rPr>
              <w:t>Calibration of model parameters</w:t>
            </w:r>
            <w:r w:rsidR="000B3077">
              <w:rPr>
                <w:noProof/>
                <w:webHidden/>
              </w:rPr>
              <w:tab/>
            </w:r>
            <w:r w:rsidR="000B3077">
              <w:rPr>
                <w:noProof/>
                <w:webHidden/>
              </w:rPr>
              <w:fldChar w:fldCharType="begin"/>
            </w:r>
            <w:r w:rsidR="000B3077">
              <w:rPr>
                <w:noProof/>
                <w:webHidden/>
              </w:rPr>
              <w:instrText xml:space="preserve"> PAGEREF _Toc510179359 \h </w:instrText>
            </w:r>
            <w:r w:rsidR="000B3077">
              <w:rPr>
                <w:noProof/>
                <w:webHidden/>
              </w:rPr>
            </w:r>
            <w:r w:rsidR="000B3077">
              <w:rPr>
                <w:noProof/>
                <w:webHidden/>
              </w:rPr>
              <w:fldChar w:fldCharType="separate"/>
            </w:r>
            <w:r w:rsidR="000B3077">
              <w:rPr>
                <w:noProof/>
                <w:webHidden/>
              </w:rPr>
              <w:t>3</w:t>
            </w:r>
            <w:r w:rsidR="000B3077">
              <w:rPr>
                <w:noProof/>
                <w:webHidden/>
              </w:rPr>
              <w:fldChar w:fldCharType="end"/>
            </w:r>
          </w:hyperlink>
        </w:p>
        <w:p w14:paraId="7C2F61AA" w14:textId="174624C8" w:rsidR="000B3077" w:rsidRDefault="002572F7">
          <w:pPr>
            <w:pStyle w:val="TOC2"/>
            <w:tabs>
              <w:tab w:val="left" w:pos="880"/>
              <w:tab w:val="right" w:leader="dot" w:pos="10456"/>
            </w:tabs>
            <w:rPr>
              <w:rFonts w:asciiTheme="minorHAnsi" w:eastAsiaTheme="minorEastAsia" w:hAnsiTheme="minorHAnsi"/>
              <w:noProof/>
              <w:sz w:val="22"/>
              <w:lang w:eastAsia="en-GB"/>
            </w:rPr>
          </w:pPr>
          <w:hyperlink w:anchor="_Toc510179360" w:history="1">
            <w:r w:rsidR="000B3077" w:rsidRPr="00246A5A">
              <w:rPr>
                <w:rStyle w:val="Hyperlink"/>
                <w:noProof/>
              </w:rPr>
              <w:t>2.3.</w:t>
            </w:r>
            <w:r w:rsidR="000B3077">
              <w:rPr>
                <w:rFonts w:asciiTheme="minorHAnsi" w:eastAsiaTheme="minorEastAsia" w:hAnsiTheme="minorHAnsi"/>
                <w:noProof/>
                <w:sz w:val="22"/>
                <w:lang w:eastAsia="en-GB"/>
              </w:rPr>
              <w:tab/>
            </w:r>
            <w:r w:rsidR="000B3077" w:rsidRPr="00246A5A">
              <w:rPr>
                <w:rStyle w:val="Hyperlink"/>
                <w:noProof/>
              </w:rPr>
              <w:t>Numerical estimation of parameter confidence intervals</w:t>
            </w:r>
            <w:r w:rsidR="000B3077">
              <w:rPr>
                <w:noProof/>
                <w:webHidden/>
              </w:rPr>
              <w:tab/>
            </w:r>
            <w:r w:rsidR="000B3077">
              <w:rPr>
                <w:noProof/>
                <w:webHidden/>
              </w:rPr>
              <w:fldChar w:fldCharType="begin"/>
            </w:r>
            <w:r w:rsidR="000B3077">
              <w:rPr>
                <w:noProof/>
                <w:webHidden/>
              </w:rPr>
              <w:instrText xml:space="preserve"> PAGEREF _Toc510179360 \h </w:instrText>
            </w:r>
            <w:r w:rsidR="000B3077">
              <w:rPr>
                <w:noProof/>
                <w:webHidden/>
              </w:rPr>
            </w:r>
            <w:r w:rsidR="000B3077">
              <w:rPr>
                <w:noProof/>
                <w:webHidden/>
              </w:rPr>
              <w:fldChar w:fldCharType="separate"/>
            </w:r>
            <w:r w:rsidR="000B3077">
              <w:rPr>
                <w:noProof/>
                <w:webHidden/>
              </w:rPr>
              <w:t>3</w:t>
            </w:r>
            <w:r w:rsidR="000B3077">
              <w:rPr>
                <w:noProof/>
                <w:webHidden/>
              </w:rPr>
              <w:fldChar w:fldCharType="end"/>
            </w:r>
          </w:hyperlink>
        </w:p>
        <w:p w14:paraId="40C2B59D" w14:textId="072057C7" w:rsidR="000B3077" w:rsidRDefault="002572F7">
          <w:pPr>
            <w:pStyle w:val="TOC2"/>
            <w:tabs>
              <w:tab w:val="left" w:pos="880"/>
              <w:tab w:val="right" w:leader="dot" w:pos="10456"/>
            </w:tabs>
            <w:rPr>
              <w:rFonts w:asciiTheme="minorHAnsi" w:eastAsiaTheme="minorEastAsia" w:hAnsiTheme="minorHAnsi"/>
              <w:noProof/>
              <w:sz w:val="22"/>
              <w:lang w:eastAsia="en-GB"/>
            </w:rPr>
          </w:pPr>
          <w:hyperlink w:anchor="_Toc510179361" w:history="1">
            <w:r w:rsidR="000B3077" w:rsidRPr="00246A5A">
              <w:rPr>
                <w:rStyle w:val="Hyperlink"/>
                <w:noProof/>
              </w:rPr>
              <w:t>2.4.</w:t>
            </w:r>
            <w:r w:rsidR="000B3077">
              <w:rPr>
                <w:rFonts w:asciiTheme="minorHAnsi" w:eastAsiaTheme="minorEastAsia" w:hAnsiTheme="minorHAnsi"/>
                <w:noProof/>
                <w:sz w:val="22"/>
                <w:lang w:eastAsia="en-GB"/>
              </w:rPr>
              <w:tab/>
            </w:r>
            <w:r w:rsidR="000B3077" w:rsidRPr="00246A5A">
              <w:rPr>
                <w:rStyle w:val="Hyperlink"/>
                <w:noProof/>
              </w:rPr>
              <w:t>Model predictions and calculation of model performance statistics</w:t>
            </w:r>
            <w:r w:rsidR="000B3077">
              <w:rPr>
                <w:noProof/>
                <w:webHidden/>
              </w:rPr>
              <w:tab/>
            </w:r>
            <w:r w:rsidR="000B3077">
              <w:rPr>
                <w:noProof/>
                <w:webHidden/>
              </w:rPr>
              <w:fldChar w:fldCharType="begin"/>
            </w:r>
            <w:r w:rsidR="000B3077">
              <w:rPr>
                <w:noProof/>
                <w:webHidden/>
              </w:rPr>
              <w:instrText xml:space="preserve"> PAGEREF _Toc510179361 \h </w:instrText>
            </w:r>
            <w:r w:rsidR="000B3077">
              <w:rPr>
                <w:noProof/>
                <w:webHidden/>
              </w:rPr>
            </w:r>
            <w:r w:rsidR="000B3077">
              <w:rPr>
                <w:noProof/>
                <w:webHidden/>
              </w:rPr>
              <w:fldChar w:fldCharType="separate"/>
            </w:r>
            <w:r w:rsidR="000B3077">
              <w:rPr>
                <w:noProof/>
                <w:webHidden/>
              </w:rPr>
              <w:t>4</w:t>
            </w:r>
            <w:r w:rsidR="000B3077">
              <w:rPr>
                <w:noProof/>
                <w:webHidden/>
              </w:rPr>
              <w:fldChar w:fldCharType="end"/>
            </w:r>
          </w:hyperlink>
        </w:p>
        <w:p w14:paraId="08BE0F72" w14:textId="366076A2" w:rsidR="000B3077" w:rsidRDefault="002572F7">
          <w:pPr>
            <w:pStyle w:val="TOC3"/>
            <w:tabs>
              <w:tab w:val="left" w:pos="1100"/>
              <w:tab w:val="right" w:leader="dot" w:pos="10456"/>
            </w:tabs>
            <w:rPr>
              <w:rFonts w:asciiTheme="minorHAnsi" w:eastAsiaTheme="minorEastAsia" w:hAnsiTheme="minorHAnsi"/>
              <w:noProof/>
              <w:sz w:val="22"/>
              <w:lang w:eastAsia="en-GB"/>
            </w:rPr>
          </w:pPr>
          <w:hyperlink w:anchor="_Toc510179362" w:history="1">
            <w:r w:rsidR="000B3077" w:rsidRPr="00246A5A">
              <w:rPr>
                <w:rStyle w:val="Hyperlink"/>
                <w:noProof/>
              </w:rPr>
              <w:t>2.4.1.</w:t>
            </w:r>
            <w:r w:rsidR="000B3077">
              <w:rPr>
                <w:rFonts w:asciiTheme="minorHAnsi" w:eastAsiaTheme="minorEastAsia" w:hAnsiTheme="minorHAnsi"/>
                <w:noProof/>
                <w:sz w:val="22"/>
                <w:lang w:eastAsia="en-GB"/>
              </w:rPr>
              <w:tab/>
            </w:r>
            <w:r w:rsidR="000B3077" w:rsidRPr="00246A5A">
              <w:rPr>
                <w:rStyle w:val="Hyperlink"/>
                <w:noProof/>
              </w:rPr>
              <w:t>Stochasticity of survival and probabilistic modelling of survival over time</w:t>
            </w:r>
            <w:r w:rsidR="000B3077">
              <w:rPr>
                <w:noProof/>
                <w:webHidden/>
              </w:rPr>
              <w:tab/>
            </w:r>
            <w:r w:rsidR="000B3077">
              <w:rPr>
                <w:noProof/>
                <w:webHidden/>
              </w:rPr>
              <w:fldChar w:fldCharType="begin"/>
            </w:r>
            <w:r w:rsidR="000B3077">
              <w:rPr>
                <w:noProof/>
                <w:webHidden/>
              </w:rPr>
              <w:instrText xml:space="preserve"> PAGEREF _Toc510179362 \h </w:instrText>
            </w:r>
            <w:r w:rsidR="000B3077">
              <w:rPr>
                <w:noProof/>
                <w:webHidden/>
              </w:rPr>
            </w:r>
            <w:r w:rsidR="000B3077">
              <w:rPr>
                <w:noProof/>
                <w:webHidden/>
              </w:rPr>
              <w:fldChar w:fldCharType="separate"/>
            </w:r>
            <w:r w:rsidR="000B3077">
              <w:rPr>
                <w:noProof/>
                <w:webHidden/>
              </w:rPr>
              <w:t>4</w:t>
            </w:r>
            <w:r w:rsidR="000B3077">
              <w:rPr>
                <w:noProof/>
                <w:webHidden/>
              </w:rPr>
              <w:fldChar w:fldCharType="end"/>
            </w:r>
          </w:hyperlink>
        </w:p>
        <w:p w14:paraId="7E633FDC" w14:textId="5FAA1EFB" w:rsidR="000B3077" w:rsidRDefault="002572F7">
          <w:pPr>
            <w:pStyle w:val="TOC3"/>
            <w:tabs>
              <w:tab w:val="left" w:pos="1100"/>
              <w:tab w:val="right" w:leader="dot" w:pos="10456"/>
            </w:tabs>
            <w:rPr>
              <w:rFonts w:asciiTheme="minorHAnsi" w:eastAsiaTheme="minorEastAsia" w:hAnsiTheme="minorHAnsi"/>
              <w:noProof/>
              <w:sz w:val="22"/>
              <w:lang w:eastAsia="en-GB"/>
            </w:rPr>
          </w:pPr>
          <w:hyperlink w:anchor="_Toc510179363" w:history="1">
            <w:r w:rsidR="000B3077" w:rsidRPr="00246A5A">
              <w:rPr>
                <w:rStyle w:val="Hyperlink"/>
                <w:noProof/>
              </w:rPr>
              <w:t>2.4.2.</w:t>
            </w:r>
            <w:r w:rsidR="000B3077">
              <w:rPr>
                <w:rFonts w:asciiTheme="minorHAnsi" w:eastAsiaTheme="minorEastAsia" w:hAnsiTheme="minorHAnsi"/>
                <w:noProof/>
                <w:sz w:val="22"/>
                <w:lang w:eastAsia="en-GB"/>
              </w:rPr>
              <w:tab/>
            </w:r>
            <w:r w:rsidR="000B3077" w:rsidRPr="00246A5A">
              <w:rPr>
                <w:rStyle w:val="Hyperlink"/>
                <w:noProof/>
              </w:rPr>
              <w:t>Including parametric uncertainty in forecasts</w:t>
            </w:r>
            <w:r w:rsidR="000B3077">
              <w:rPr>
                <w:noProof/>
                <w:webHidden/>
              </w:rPr>
              <w:tab/>
            </w:r>
            <w:r w:rsidR="000B3077">
              <w:rPr>
                <w:noProof/>
                <w:webHidden/>
              </w:rPr>
              <w:fldChar w:fldCharType="begin"/>
            </w:r>
            <w:r w:rsidR="000B3077">
              <w:rPr>
                <w:noProof/>
                <w:webHidden/>
              </w:rPr>
              <w:instrText xml:space="preserve"> PAGEREF _Toc510179363 \h </w:instrText>
            </w:r>
            <w:r w:rsidR="000B3077">
              <w:rPr>
                <w:noProof/>
                <w:webHidden/>
              </w:rPr>
            </w:r>
            <w:r w:rsidR="000B3077">
              <w:rPr>
                <w:noProof/>
                <w:webHidden/>
              </w:rPr>
              <w:fldChar w:fldCharType="separate"/>
            </w:r>
            <w:r w:rsidR="000B3077">
              <w:rPr>
                <w:noProof/>
                <w:webHidden/>
              </w:rPr>
              <w:t>4</w:t>
            </w:r>
            <w:r w:rsidR="000B3077">
              <w:rPr>
                <w:noProof/>
                <w:webHidden/>
              </w:rPr>
              <w:fldChar w:fldCharType="end"/>
            </w:r>
          </w:hyperlink>
        </w:p>
        <w:p w14:paraId="4095C4A5" w14:textId="324838EE" w:rsidR="000B3077" w:rsidRDefault="002572F7">
          <w:pPr>
            <w:pStyle w:val="TOC3"/>
            <w:tabs>
              <w:tab w:val="left" w:pos="1100"/>
              <w:tab w:val="right" w:leader="dot" w:pos="10456"/>
            </w:tabs>
            <w:rPr>
              <w:rFonts w:asciiTheme="minorHAnsi" w:eastAsiaTheme="minorEastAsia" w:hAnsiTheme="minorHAnsi"/>
              <w:noProof/>
              <w:sz w:val="22"/>
              <w:lang w:eastAsia="en-GB"/>
            </w:rPr>
          </w:pPr>
          <w:hyperlink w:anchor="_Toc510179364" w:history="1">
            <w:r w:rsidR="000B3077" w:rsidRPr="00246A5A">
              <w:rPr>
                <w:rStyle w:val="Hyperlink"/>
                <w:noProof/>
              </w:rPr>
              <w:t>2.4.3.</w:t>
            </w:r>
            <w:r w:rsidR="000B3077">
              <w:rPr>
                <w:rFonts w:asciiTheme="minorHAnsi" w:eastAsiaTheme="minorEastAsia" w:hAnsiTheme="minorHAnsi"/>
                <w:noProof/>
                <w:sz w:val="22"/>
                <w:lang w:eastAsia="en-GB"/>
              </w:rPr>
              <w:tab/>
            </w:r>
            <w:r w:rsidR="000B3077" w:rsidRPr="00246A5A">
              <w:rPr>
                <w:rStyle w:val="Hyperlink"/>
                <w:noProof/>
              </w:rPr>
              <w:t>Dose response curves for pulsed exposures</w:t>
            </w:r>
            <w:r w:rsidR="000B3077">
              <w:rPr>
                <w:noProof/>
                <w:webHidden/>
              </w:rPr>
              <w:tab/>
            </w:r>
            <w:r w:rsidR="000B3077">
              <w:rPr>
                <w:noProof/>
                <w:webHidden/>
              </w:rPr>
              <w:fldChar w:fldCharType="begin"/>
            </w:r>
            <w:r w:rsidR="000B3077">
              <w:rPr>
                <w:noProof/>
                <w:webHidden/>
              </w:rPr>
              <w:instrText xml:space="preserve"> PAGEREF _Toc510179364 \h </w:instrText>
            </w:r>
            <w:r w:rsidR="000B3077">
              <w:rPr>
                <w:noProof/>
                <w:webHidden/>
              </w:rPr>
            </w:r>
            <w:r w:rsidR="000B3077">
              <w:rPr>
                <w:noProof/>
                <w:webHidden/>
              </w:rPr>
              <w:fldChar w:fldCharType="separate"/>
            </w:r>
            <w:r w:rsidR="000B3077">
              <w:rPr>
                <w:noProof/>
                <w:webHidden/>
              </w:rPr>
              <w:t>5</w:t>
            </w:r>
            <w:r w:rsidR="000B3077">
              <w:rPr>
                <w:noProof/>
                <w:webHidden/>
              </w:rPr>
              <w:fldChar w:fldCharType="end"/>
            </w:r>
          </w:hyperlink>
        </w:p>
        <w:p w14:paraId="4CA5D32B" w14:textId="177AADFF" w:rsidR="000B3077" w:rsidRDefault="002572F7">
          <w:pPr>
            <w:pStyle w:val="TOC3"/>
            <w:tabs>
              <w:tab w:val="left" w:pos="1100"/>
              <w:tab w:val="right" w:leader="dot" w:pos="10456"/>
            </w:tabs>
            <w:rPr>
              <w:rFonts w:asciiTheme="minorHAnsi" w:eastAsiaTheme="minorEastAsia" w:hAnsiTheme="minorHAnsi"/>
              <w:noProof/>
              <w:sz w:val="22"/>
              <w:lang w:eastAsia="en-GB"/>
            </w:rPr>
          </w:pPr>
          <w:hyperlink w:anchor="_Toc510179365" w:history="1">
            <w:r w:rsidR="000B3077" w:rsidRPr="00246A5A">
              <w:rPr>
                <w:rStyle w:val="Hyperlink"/>
                <w:noProof/>
              </w:rPr>
              <w:t>2.4.4.</w:t>
            </w:r>
            <w:r w:rsidR="000B3077">
              <w:rPr>
                <w:rFonts w:asciiTheme="minorHAnsi" w:eastAsiaTheme="minorEastAsia" w:hAnsiTheme="minorHAnsi"/>
                <w:noProof/>
                <w:sz w:val="22"/>
                <w:lang w:eastAsia="en-GB"/>
              </w:rPr>
              <w:tab/>
            </w:r>
            <w:r w:rsidR="000B3077" w:rsidRPr="00246A5A">
              <w:rPr>
                <w:rStyle w:val="Hyperlink"/>
                <w:noProof/>
              </w:rPr>
              <w:t>Calculation of model performance statistics</w:t>
            </w:r>
            <w:r w:rsidR="000B3077">
              <w:rPr>
                <w:noProof/>
                <w:webHidden/>
              </w:rPr>
              <w:tab/>
            </w:r>
            <w:r w:rsidR="000B3077">
              <w:rPr>
                <w:noProof/>
                <w:webHidden/>
              </w:rPr>
              <w:fldChar w:fldCharType="begin"/>
            </w:r>
            <w:r w:rsidR="000B3077">
              <w:rPr>
                <w:noProof/>
                <w:webHidden/>
              </w:rPr>
              <w:instrText xml:space="preserve"> PAGEREF _Toc510179365 \h </w:instrText>
            </w:r>
            <w:r w:rsidR="000B3077">
              <w:rPr>
                <w:noProof/>
                <w:webHidden/>
              </w:rPr>
            </w:r>
            <w:r w:rsidR="000B3077">
              <w:rPr>
                <w:noProof/>
                <w:webHidden/>
              </w:rPr>
              <w:fldChar w:fldCharType="separate"/>
            </w:r>
            <w:r w:rsidR="000B3077">
              <w:rPr>
                <w:noProof/>
                <w:webHidden/>
              </w:rPr>
              <w:t>5</w:t>
            </w:r>
            <w:r w:rsidR="000B3077">
              <w:rPr>
                <w:noProof/>
                <w:webHidden/>
              </w:rPr>
              <w:fldChar w:fldCharType="end"/>
            </w:r>
          </w:hyperlink>
        </w:p>
        <w:p w14:paraId="51D161C2" w14:textId="331F9BE0" w:rsidR="00333CE3" w:rsidRDefault="00333CE3" w:rsidP="00D04C25">
          <w:r>
            <w:rPr>
              <w:b/>
              <w:bCs/>
              <w:noProof/>
            </w:rPr>
            <w:fldChar w:fldCharType="end"/>
          </w:r>
        </w:p>
      </w:sdtContent>
    </w:sdt>
    <w:p w14:paraId="68A02EB5" w14:textId="77777777" w:rsidR="00333CE3" w:rsidRDefault="00333CE3" w:rsidP="00D04C25">
      <w:r>
        <w:br w:type="page"/>
      </w:r>
    </w:p>
    <w:p w14:paraId="2652929A" w14:textId="1EECA5FF" w:rsidR="00BD77D2" w:rsidRDefault="00603347" w:rsidP="00603347">
      <w:pPr>
        <w:pStyle w:val="Heading1"/>
      </w:pPr>
      <w:bookmarkStart w:id="0" w:name="_Toc510179356"/>
      <w:r>
        <w:lastRenderedPageBreak/>
        <w:t>Additonal inf</w:t>
      </w:r>
      <w:r w:rsidR="000B3077">
        <w:t>o</w:t>
      </w:r>
      <w:r>
        <w:t xml:space="preserve">rmation about experiments </w:t>
      </w:r>
      <w:r w:rsidRPr="00603347">
        <w:t>MC_C2 and MC_V</w:t>
      </w:r>
      <w:bookmarkEnd w:id="0"/>
    </w:p>
    <w:p w14:paraId="19BC3284" w14:textId="3387AA99" w:rsidR="00BD77D2" w:rsidRDefault="00603347" w:rsidP="00C81756">
      <w:pPr>
        <w:spacing w:before="120" w:after="0"/>
        <w:jc w:val="both"/>
      </w:pPr>
      <w:r>
        <w:t xml:space="preserve">In </w:t>
      </w:r>
      <w:r w:rsidR="00BD77D2">
        <w:t xml:space="preserve">a </w:t>
      </w:r>
      <w:r w:rsidR="00BD77D2" w:rsidRPr="00A54D0C">
        <w:t xml:space="preserve">chronic </w:t>
      </w:r>
      <w:r w:rsidR="00BD77D2">
        <w:t>test (</w:t>
      </w:r>
      <w:r w:rsidR="00BD77D2" w:rsidRPr="00C81756">
        <w:t>experiment</w:t>
      </w:r>
      <w:r w:rsidR="00BD77D2" w:rsidRPr="00777026">
        <w:rPr>
          <w:b/>
        </w:rPr>
        <w:t xml:space="preserve"> </w:t>
      </w:r>
      <w:r w:rsidR="00503065">
        <w:rPr>
          <w:b/>
        </w:rPr>
        <w:t>MC_C</w:t>
      </w:r>
      <w:r w:rsidR="00C81756">
        <w:rPr>
          <w:b/>
        </w:rPr>
        <w:t>2</w:t>
      </w:r>
      <w:r w:rsidR="00BD77D2">
        <w:rPr>
          <w:b/>
        </w:rPr>
        <w:t>)</w:t>
      </w:r>
      <w:r w:rsidR="00BD77D2">
        <w:t>,</w:t>
      </w:r>
      <w:r w:rsidRPr="00603347">
        <w:t xml:space="preserve"> the survival of </w:t>
      </w:r>
      <w:r w:rsidRPr="00603347">
        <w:rPr>
          <w:i/>
        </w:rPr>
        <w:t>Cloeon dipterum</w:t>
      </w:r>
      <w:r>
        <w:rPr>
          <w:i/>
        </w:rPr>
        <w:t xml:space="preserve"> </w:t>
      </w:r>
      <w:r w:rsidRPr="00603347">
        <w:t>was tested</w:t>
      </w:r>
      <w:r>
        <w:t xml:space="preserve"> for </w:t>
      </w:r>
      <w:r w:rsidR="00BD77D2" w:rsidRPr="00A54D0C">
        <w:t>six treatment</w:t>
      </w:r>
      <w:r w:rsidR="00C81756">
        <w:t xml:space="preserve"> levels</w:t>
      </w:r>
      <w:r w:rsidR="00BD77D2" w:rsidRPr="00A54D0C">
        <w:t xml:space="preserve"> </w:t>
      </w:r>
      <w:r>
        <w:t xml:space="preserve">in </w:t>
      </w:r>
      <w:r w:rsidR="00BD77D2">
        <w:t xml:space="preserve">triplicates and nine </w:t>
      </w:r>
      <w:r w:rsidR="00BD77D2" w:rsidRPr="00A54D0C">
        <w:t>control</w:t>
      </w:r>
      <w:r w:rsidR="00BD77D2">
        <w:t>s</w:t>
      </w:r>
      <w:r w:rsidR="00BD77D2" w:rsidRPr="00A54D0C">
        <w:t xml:space="preserve">. </w:t>
      </w:r>
      <w:r w:rsidRPr="00603347">
        <w:t xml:space="preserve">In experiment </w:t>
      </w:r>
      <w:r w:rsidRPr="00603347">
        <w:rPr>
          <w:b/>
        </w:rPr>
        <w:t>MC_V</w:t>
      </w:r>
      <w:r w:rsidRPr="00603347">
        <w:t>, under each two different pulsed exposure regimes to imidacloprid, thiacloprid and thiamethoxam was investigated in each three replicates. In additional controls, the survival of C. dipterum without exposure was observed in 9 replicates.</w:t>
      </w:r>
      <w:r>
        <w:t xml:space="preserve"> </w:t>
      </w:r>
      <w:r w:rsidR="0088388C">
        <w:t>In both experiments, e</w:t>
      </w:r>
      <w:r w:rsidR="00BD77D2" w:rsidRPr="00A54D0C">
        <w:t xml:space="preserve">ach test system contained 10 </w:t>
      </w:r>
      <w:r w:rsidR="00BD77D2" w:rsidRPr="008F511D">
        <w:rPr>
          <w:i/>
        </w:rPr>
        <w:t>C. dipterum</w:t>
      </w:r>
      <w:r w:rsidR="00BD77D2" w:rsidRPr="00A54D0C">
        <w:t xml:space="preserve"> individuals. Test animal</w:t>
      </w:r>
      <w:r w:rsidR="00BD77D2">
        <w:t xml:space="preserve"> collection was according to Van Den Brink et al. (2016). </w:t>
      </w:r>
      <w:r w:rsidR="00BD77D2" w:rsidRPr="00A54D0C">
        <w:t xml:space="preserve"> Immediately after collection of the animals (3 days before dosing) they were transported to the laboratory and preserved in aerated aquaria (50% groundwater and 50% surface water) at least for three days to acclimatize the animals to indoor laboratory condition. During acclimatization </w:t>
      </w:r>
      <w:r w:rsidR="00BD77D2">
        <w:t>and test periods</w:t>
      </w:r>
      <w:r w:rsidR="00BD77D2" w:rsidRPr="00A54D0C">
        <w:t>, animals were fed on species specific food</w:t>
      </w:r>
      <w:r w:rsidR="00BD77D2">
        <w:t xml:space="preserve">, i.e. </w:t>
      </w:r>
      <w:r w:rsidR="00BD77D2" w:rsidRPr="00A54D0C">
        <w:t xml:space="preserve">a combination of conditioned organic matter (four small rounds (ø 14 mm) of populous leaves), </w:t>
      </w:r>
      <w:proofErr w:type="spellStart"/>
      <w:r w:rsidR="00BD77D2" w:rsidRPr="00A54D0C">
        <w:t>periphytic</w:t>
      </w:r>
      <w:proofErr w:type="spellEnd"/>
      <w:r w:rsidR="00BD77D2" w:rsidRPr="00A54D0C">
        <w:t xml:space="preserve"> algae and </w:t>
      </w:r>
      <w:r w:rsidR="00BD77D2" w:rsidRPr="00A54D0C">
        <w:rPr>
          <w:i/>
        </w:rPr>
        <w:t xml:space="preserve">Elodea </w:t>
      </w:r>
      <w:proofErr w:type="spellStart"/>
      <w:r w:rsidR="00BD77D2" w:rsidRPr="00A54D0C">
        <w:rPr>
          <w:i/>
        </w:rPr>
        <w:t>nuttallii</w:t>
      </w:r>
      <w:proofErr w:type="spellEnd"/>
      <w:r w:rsidR="00BD77D2" w:rsidRPr="00A54D0C">
        <w:t xml:space="preserve"> (top shoot, 5 cm).</w:t>
      </w:r>
      <w:r w:rsidR="00BD77D2">
        <w:t xml:space="preserve"> </w:t>
      </w:r>
      <w:r w:rsidR="00BD77D2" w:rsidRPr="00A54D0C">
        <w:t xml:space="preserve">Deep groundwater from a well at the </w:t>
      </w:r>
      <w:proofErr w:type="spellStart"/>
      <w:r w:rsidR="00BD77D2" w:rsidRPr="00A54D0C">
        <w:t>Sinderhoeve</w:t>
      </w:r>
      <w:proofErr w:type="spellEnd"/>
      <w:r w:rsidR="00BD77D2" w:rsidRPr="00A54D0C">
        <w:t xml:space="preserve"> test facility, was aerated for at least 24 hours before animals were added to this water. Test water was collected 5 days before dosing. After collecting it was stored in a climate room, 18°C ± 2. Temperature, pH, dissolved oxygen (DO) and electrical conductivity (EC) </w:t>
      </w:r>
      <w:r w:rsidR="00BD77D2">
        <w:t xml:space="preserve">were </w:t>
      </w:r>
      <w:r w:rsidR="00BD77D2" w:rsidRPr="00A54D0C">
        <w:t xml:space="preserve">measured weekly at approximately mid depth in the experimental systems. </w:t>
      </w:r>
      <w:r w:rsidR="00BD77D2">
        <w:t>More details about experimental conditions are given in the SI.</w:t>
      </w:r>
    </w:p>
    <w:p w14:paraId="63EAB9CF" w14:textId="6D334730" w:rsidR="00BD77D2" w:rsidRPr="00A54D0C" w:rsidRDefault="00BD77D2" w:rsidP="00D04C25">
      <w:pPr>
        <w:spacing w:before="120" w:after="0"/>
        <w:jc w:val="both"/>
      </w:pPr>
      <w:r w:rsidRPr="00A54D0C">
        <w:t>The test systems were placed in a climate room</w:t>
      </w:r>
      <w:r>
        <w:t xml:space="preserve"> at</w:t>
      </w:r>
      <w:r w:rsidRPr="00A54D0C">
        <w:t xml:space="preserve"> 18°C ± 2 °C. A photoperiod of 16:8 hours dark-light was applied</w:t>
      </w:r>
      <w:r>
        <w:t>. T</w:t>
      </w:r>
      <w:r w:rsidRPr="00A54D0C">
        <w:t xml:space="preserve">est systems were spiked with the required volume from appropriate stock solutions. </w:t>
      </w:r>
      <w:r>
        <w:t xml:space="preserve">New systems were set up every 7 days before refreshment, by introducing </w:t>
      </w:r>
      <w:r w:rsidRPr="00A54D0C">
        <w:t xml:space="preserve">organic matter, algal diatoms and </w:t>
      </w:r>
      <w:r w:rsidRPr="00A54D0C">
        <w:rPr>
          <w:i/>
        </w:rPr>
        <w:t xml:space="preserve">E. </w:t>
      </w:r>
      <w:proofErr w:type="spellStart"/>
      <w:r w:rsidRPr="00A54D0C">
        <w:rPr>
          <w:i/>
        </w:rPr>
        <w:t>nuttallii</w:t>
      </w:r>
      <w:proofErr w:type="spellEnd"/>
      <w:r w:rsidRPr="00A54D0C">
        <w:t xml:space="preserve"> into jars containing 1000 ml test water. The water level in the jars was 12.5 cm. The jars were cultured under daylight lamps (light intensity 180-200 </w:t>
      </w:r>
      <w:proofErr w:type="spellStart"/>
      <w:r w:rsidRPr="00A54D0C">
        <w:t>uS</w:t>
      </w:r>
      <w:proofErr w:type="spellEnd"/>
      <w:r w:rsidRPr="00A54D0C">
        <w:t xml:space="preserve">/Cm) for one week prior to </w:t>
      </w:r>
      <w:r>
        <w:t>refreshment</w:t>
      </w:r>
      <w:r w:rsidRPr="00A54D0C">
        <w:t xml:space="preserve">. Effects were scored as mortality when no response of any kind was observed over a time period of 3-5 seconds after tactile stimulation or prodding. In addition, care was taken that any emerging individual did not escape the test vessels by placing a gauze mesh over the opening of the jar. Emerged and dead individuals </w:t>
      </w:r>
      <w:r>
        <w:t xml:space="preserve">were </w:t>
      </w:r>
      <w:r w:rsidRPr="00A54D0C">
        <w:t>removed from the test. Living individuals were counted on days 7, 14, 21, 28.</w:t>
      </w:r>
    </w:p>
    <w:p w14:paraId="5B1973DE" w14:textId="77777777" w:rsidR="00BD77D2" w:rsidRPr="00A54D0C" w:rsidRDefault="00BD77D2" w:rsidP="00D04C25">
      <w:pPr>
        <w:spacing w:before="120" w:after="0"/>
        <w:jc w:val="both"/>
      </w:pPr>
    </w:p>
    <w:p w14:paraId="7A7EFA64" w14:textId="00FF025D" w:rsidR="009D6A15" w:rsidRPr="00A54D0C" w:rsidRDefault="00603347" w:rsidP="00603347">
      <w:pPr>
        <w:pStyle w:val="Heading1"/>
      </w:pPr>
      <w:bookmarkStart w:id="1" w:name="_Toc510179357"/>
      <w:r>
        <w:t>Addtional m</w:t>
      </w:r>
      <w:r w:rsidR="009D6A15" w:rsidRPr="00A54D0C">
        <w:t>odelling</w:t>
      </w:r>
      <w:r w:rsidR="009D6A15">
        <w:t xml:space="preserve"> </w:t>
      </w:r>
      <w:r>
        <w:t>information</w:t>
      </w:r>
      <w:bookmarkEnd w:id="1"/>
      <w:r>
        <w:t xml:space="preserve"> </w:t>
      </w:r>
    </w:p>
    <w:p w14:paraId="7458B9FF" w14:textId="77777777" w:rsidR="009D6A15" w:rsidRPr="00A54D0C" w:rsidRDefault="009D6A15" w:rsidP="00D04C25">
      <w:pPr>
        <w:spacing w:before="120" w:after="0"/>
        <w:jc w:val="both"/>
      </w:pPr>
      <w:r w:rsidRPr="00A54D0C">
        <w:t xml:space="preserve">The model equations have been documented earlier (Jager et al, 2011) and are given </w:t>
      </w:r>
      <w:r>
        <w:t xml:space="preserve">here </w:t>
      </w:r>
      <w:r w:rsidRPr="00A54D0C">
        <w:t xml:space="preserve">for comprehensiveness. The model parameters were calibrated using the calibration data sets and then used for predictions of survival given the </w:t>
      </w:r>
      <w:r>
        <w:t xml:space="preserve">measured </w:t>
      </w:r>
      <w:r w:rsidRPr="00A54D0C">
        <w:t xml:space="preserve">exposure profiles in the validation experiments. </w:t>
      </w:r>
    </w:p>
    <w:p w14:paraId="0AE46C98" w14:textId="77777777" w:rsidR="009D6A15" w:rsidRPr="00A54D0C" w:rsidRDefault="009D6A15" w:rsidP="00D04C25">
      <w:pPr>
        <w:spacing w:before="120" w:after="0"/>
        <w:jc w:val="both"/>
      </w:pPr>
      <w:r w:rsidRPr="00A54D0C">
        <w:t xml:space="preserve">Model calibration was done using survival counts and concentration measurements from the acute </w:t>
      </w:r>
      <w:r>
        <w:t xml:space="preserve">or chronic </w:t>
      </w:r>
      <w:r w:rsidRPr="00A54D0C">
        <w:t xml:space="preserve">tests for each replicate, </w:t>
      </w:r>
      <w:r>
        <w:t xml:space="preserve">if not stated differently, </w:t>
      </w:r>
      <w:r w:rsidRPr="00A54D0C">
        <w:t xml:space="preserve">to account for differences in the exposure levels between </w:t>
      </w:r>
      <w:r>
        <w:t>replicates</w:t>
      </w:r>
      <w:r w:rsidRPr="00A54D0C">
        <w:t>. Model validation was done using survival counts from the pulsed experiments combining the replicates per treatment, and respective concentration measurements were averaged over the replicates. Differences between the single pulse concentrations were larger than between the replicates.</w:t>
      </w:r>
    </w:p>
    <w:p w14:paraId="7826A78E" w14:textId="77777777" w:rsidR="009D6A15" w:rsidRPr="00A54D0C" w:rsidRDefault="009D6A15" w:rsidP="00D04C25">
      <w:pPr>
        <w:spacing w:before="120" w:after="0"/>
        <w:jc w:val="both"/>
      </w:pPr>
      <w:r w:rsidRPr="00A54D0C">
        <w:t>The numbers of individuals per treatment in the validation experiments was small (&lt;100), so model predictions were calculated under consideration of the stochasticity of survival in a small cohort of individuals (see Albert et al., 2012). For model validation, the median of model predictions was compared to observed survival, and Chi</w:t>
      </w:r>
      <w:r w:rsidRPr="00A54D0C">
        <w:rPr>
          <w:vertAlign w:val="superscript"/>
        </w:rPr>
        <w:t>2</w:t>
      </w:r>
      <w:r w:rsidRPr="00A54D0C">
        <w:t xml:space="preserve">-statistics were calculated as a measure of the goodness of fit. </w:t>
      </w:r>
    </w:p>
    <w:p w14:paraId="7DF6F675" w14:textId="77777777" w:rsidR="009D6A15" w:rsidRPr="00A54D0C" w:rsidRDefault="009D6A15" w:rsidP="00603347">
      <w:pPr>
        <w:pStyle w:val="Heading2"/>
      </w:pPr>
      <w:bookmarkStart w:id="2" w:name="_Toc510179358"/>
      <w:r>
        <w:t>The GUTS m</w:t>
      </w:r>
      <w:r w:rsidRPr="00A54D0C">
        <w:t>odel</w:t>
      </w:r>
      <w:r>
        <w:t>s</w:t>
      </w:r>
      <w:bookmarkEnd w:id="2"/>
      <w:r w:rsidRPr="00A54D0C">
        <w:t xml:space="preserve"> </w:t>
      </w:r>
    </w:p>
    <w:p w14:paraId="0659DAB9" w14:textId="77777777" w:rsidR="009D6A15" w:rsidRPr="00A54D0C" w:rsidRDefault="009D6A15" w:rsidP="00D04C25">
      <w:pPr>
        <w:spacing w:before="120" w:after="0"/>
        <w:jc w:val="both"/>
        <w:rPr>
          <w:rFonts w:asciiTheme="minorHAnsi" w:hAnsiTheme="minorHAnsi"/>
          <w:b/>
          <w:i/>
          <w:sz w:val="22"/>
        </w:rPr>
      </w:pPr>
      <w:r w:rsidRPr="00A54D0C">
        <w:rPr>
          <w:b/>
          <w:i/>
        </w:rPr>
        <w:t>Dose metric</w:t>
      </w:r>
      <w:r w:rsidRPr="00A54D0C">
        <w:rPr>
          <w:rFonts w:asciiTheme="minorHAnsi" w:hAnsiTheme="minorHAnsi"/>
          <w:b/>
          <w:i/>
          <w:sz w:val="22"/>
        </w:rPr>
        <w:t xml:space="preserve"> – scaled internal concentration</w:t>
      </w:r>
    </w:p>
    <w:p w14:paraId="40289431" w14:textId="77777777" w:rsidR="009D6A15" w:rsidRPr="00A54D0C" w:rsidRDefault="009D6A15" w:rsidP="00D04C25">
      <w:pPr>
        <w:spacing w:before="120" w:after="0"/>
        <w:jc w:val="both"/>
      </w:pPr>
      <w:r w:rsidRPr="00A54D0C">
        <w:t xml:space="preserve">The scaled internal concentration </w:t>
      </w:r>
      <w:r w:rsidRPr="00A54D0C">
        <w:rPr>
          <w:i/>
        </w:rPr>
        <w:t>C</w:t>
      </w:r>
      <w:r w:rsidRPr="00A54D0C">
        <w:rPr>
          <w:vertAlign w:val="subscript"/>
        </w:rPr>
        <w:t>i</w:t>
      </w:r>
      <w:r w:rsidRPr="00A54D0C">
        <w:t xml:space="preserve">*(t) was used as a dose metric (Jager et al., 2011). The time course of the scaled internal concentration is determined by the dominant rate constant </w:t>
      </w:r>
      <w:proofErr w:type="spellStart"/>
      <w:r w:rsidRPr="00A54D0C">
        <w:rPr>
          <w:i/>
        </w:rPr>
        <w:t>k</w:t>
      </w:r>
      <w:r w:rsidR="000D0FF5" w:rsidRPr="000D0FF5">
        <w:rPr>
          <w:i/>
          <w:vertAlign w:val="subscript"/>
        </w:rPr>
        <w:t>D</w:t>
      </w:r>
      <w:proofErr w:type="spellEnd"/>
      <w:r w:rsidRPr="00A54D0C">
        <w:t xml:space="preserve"> (time</w:t>
      </w:r>
      <w:r w:rsidRPr="00A54D0C">
        <w:rPr>
          <w:vertAlign w:val="superscript"/>
        </w:rPr>
        <w:t xml:space="preserve"> -1</w:t>
      </w:r>
      <w:r w:rsidRPr="00A54D0C">
        <w:t>) and calculated by the differential equation:</w:t>
      </w:r>
      <w:r w:rsidRPr="00A54D0C">
        <w:tab/>
      </w:r>
    </w:p>
    <w:p w14:paraId="6FCA0359" w14:textId="77777777" w:rsidR="009D6A15" w:rsidRPr="00A54D0C" w:rsidRDefault="002572F7" w:rsidP="00D04C25">
      <w:pPr>
        <w:spacing w:before="120" w:after="0"/>
        <w:ind w:firstLine="720"/>
        <w:jc w:val="both"/>
      </w:pPr>
      <m:oMath>
        <m:f>
          <m:fPr>
            <m:ctrlPr>
              <w:rPr>
                <w:rFonts w:ascii="Cambria Math" w:hAnsi="Cambria Math"/>
                <w:sz w:val="22"/>
              </w:rPr>
            </m:ctrlPr>
          </m:fPr>
          <m:num>
            <m:r>
              <m:rPr>
                <m:sty m:val="p"/>
              </m:rPr>
              <w:rPr>
                <w:rFonts w:ascii="Cambria Math" w:hAnsi="Cambria Math"/>
                <w:sz w:val="22"/>
              </w:rPr>
              <m:t>d</m:t>
            </m:r>
            <m:sSubSup>
              <m:sSubSupPr>
                <m:ctrlPr>
                  <w:rPr>
                    <w:rFonts w:ascii="Cambria Math" w:hAnsi="Cambria Math"/>
                    <w:sz w:val="22"/>
                  </w:rPr>
                </m:ctrlPr>
              </m:sSubSupPr>
              <m:e>
                <m:r>
                  <m:rPr>
                    <m:sty m:val="p"/>
                  </m:rPr>
                  <w:rPr>
                    <w:rFonts w:ascii="Cambria Math" w:hAnsi="Cambria Math"/>
                    <w:sz w:val="22"/>
                  </w:rPr>
                  <m:t>C</m:t>
                </m:r>
              </m:e>
              <m:sub>
                <m:r>
                  <m:rPr>
                    <m:sty m:val="p"/>
                  </m:rPr>
                  <w:rPr>
                    <w:rFonts w:ascii="Cambria Math" w:hAnsi="Cambria Math"/>
                    <w:sz w:val="22"/>
                  </w:rPr>
                  <m:t>i</m:t>
                </m:r>
              </m:sub>
              <m:sup>
                <m:r>
                  <m:rPr>
                    <m:sty m:val="p"/>
                  </m:rPr>
                  <w:rPr>
                    <w:rFonts w:ascii="Cambria Math" w:hAnsi="Cambria Math"/>
                    <w:sz w:val="22"/>
                  </w:rPr>
                  <m:t>*</m:t>
                </m:r>
              </m:sup>
            </m:sSubSup>
            <m:r>
              <w:rPr>
                <w:rFonts w:ascii="Cambria Math" w:hAnsi="Cambria Math"/>
                <w:sz w:val="22"/>
              </w:rPr>
              <m:t>(t)</m:t>
            </m:r>
          </m:num>
          <m:den>
            <m:r>
              <m:rPr>
                <m:sty m:val="p"/>
              </m:rPr>
              <w:rPr>
                <w:rFonts w:ascii="Cambria Math" w:hAnsi="Cambria Math"/>
                <w:sz w:val="22"/>
              </w:rPr>
              <m:t>dt</m:t>
            </m:r>
          </m:den>
        </m:f>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k</m:t>
            </m:r>
          </m:e>
          <m:sub>
            <m:r>
              <m:rPr>
                <m:sty m:val="p"/>
              </m:rPr>
              <w:rPr>
                <w:rFonts w:ascii="Cambria Math" w:hAnsi="Cambria Math"/>
                <w:sz w:val="22"/>
              </w:rPr>
              <m:t>D</m:t>
            </m:r>
          </m:sub>
        </m:sSub>
        <m:r>
          <m:rPr>
            <m:sty m:val="p"/>
          </m:rPr>
          <w:rPr>
            <w:rFonts w:ascii="Cambria Math" w:hAnsi="Cambria Math"/>
            <w:sz w:val="22"/>
          </w:rPr>
          <m:t>×(</m:t>
        </m:r>
        <m:sSubSup>
          <m:sSubSupPr>
            <m:ctrlPr>
              <w:rPr>
                <w:rFonts w:ascii="Cambria Math" w:hAnsi="Cambria Math"/>
                <w:sz w:val="22"/>
              </w:rPr>
            </m:ctrlPr>
          </m:sSubSupPr>
          <m:e>
            <m:sSub>
              <m:sSubPr>
                <m:ctrlPr>
                  <w:rPr>
                    <w:rFonts w:ascii="Cambria Math" w:hAnsi="Cambria Math"/>
                    <w:sz w:val="22"/>
                  </w:rPr>
                </m:ctrlPr>
              </m:sSubPr>
              <m:e>
                <m:r>
                  <m:rPr>
                    <m:sty m:val="p"/>
                  </m:rPr>
                  <w:rPr>
                    <w:rFonts w:ascii="Cambria Math" w:hAnsi="Cambria Math"/>
                    <w:sz w:val="22"/>
                  </w:rPr>
                  <m:t>C</m:t>
                </m:r>
              </m:e>
              <m:sub>
                <m:r>
                  <m:rPr>
                    <m:sty m:val="p"/>
                  </m:rPr>
                  <w:rPr>
                    <w:rFonts w:ascii="Cambria Math" w:hAnsi="Cambria Math"/>
                    <w:sz w:val="22"/>
                  </w:rPr>
                  <m:t>ext</m:t>
                </m:r>
              </m:sub>
            </m:sSub>
            <m:d>
              <m:dPr>
                <m:ctrlPr>
                  <w:rPr>
                    <w:rFonts w:ascii="Cambria Math" w:hAnsi="Cambria Math"/>
                    <w:sz w:val="22"/>
                  </w:rPr>
                </m:ctrlPr>
              </m:dPr>
              <m:e>
                <m:r>
                  <m:rPr>
                    <m:sty m:val="p"/>
                  </m:rPr>
                  <w:rPr>
                    <w:rFonts w:ascii="Cambria Math" w:hAnsi="Cambria Math"/>
                    <w:sz w:val="22"/>
                  </w:rPr>
                  <m:t>t</m:t>
                </m:r>
              </m:e>
            </m:d>
            <m:r>
              <m:rPr>
                <m:sty m:val="p"/>
              </m:rPr>
              <w:rPr>
                <w:rFonts w:ascii="Cambria Math" w:hAnsi="Cambria Math"/>
                <w:sz w:val="22"/>
              </w:rPr>
              <m:t>-C</m:t>
            </m:r>
          </m:e>
          <m:sub>
            <m:r>
              <m:rPr>
                <m:sty m:val="p"/>
              </m:rPr>
              <w:rPr>
                <w:rFonts w:ascii="Cambria Math" w:hAnsi="Cambria Math"/>
                <w:sz w:val="22"/>
              </w:rPr>
              <m:t>i</m:t>
            </m:r>
          </m:sub>
          <m:sup>
            <m:r>
              <m:rPr>
                <m:sty m:val="p"/>
              </m:rPr>
              <w:rPr>
                <w:rFonts w:ascii="Cambria Math" w:hAnsi="Cambria Math"/>
                <w:sz w:val="22"/>
              </w:rPr>
              <m:t>*</m:t>
            </m:r>
          </m:sup>
        </m:sSubSup>
        <m:r>
          <m:rPr>
            <m:sty m:val="p"/>
          </m:rPr>
          <w:rPr>
            <w:rFonts w:ascii="Cambria Math" w:hAnsi="Cambria Math"/>
            <w:sz w:val="22"/>
          </w:rPr>
          <m:t>(t))</m:t>
        </m:r>
      </m:oMath>
      <w:r w:rsidR="009D6A15" w:rsidRPr="00A54D0C">
        <w:rPr>
          <w:sz w:val="20"/>
        </w:rPr>
        <w:tab/>
      </w:r>
      <w:r w:rsidR="009D6A15" w:rsidRPr="00A54D0C">
        <w:tab/>
      </w:r>
      <w:r w:rsidR="009D6A15" w:rsidRPr="00A54D0C">
        <w:tab/>
      </w:r>
      <w:r w:rsidR="009D6A15" w:rsidRPr="00A54D0C">
        <w:tab/>
      </w:r>
      <w:r w:rsidR="009D6A15" w:rsidRPr="00A54D0C">
        <w:tab/>
      </w:r>
      <w:r w:rsidR="009D6A15" w:rsidRPr="00A54D0C">
        <w:tab/>
      </w:r>
      <w:r w:rsidR="009D6A15" w:rsidRPr="00A54D0C">
        <w:tab/>
        <w:t xml:space="preserve">Eq. </w:t>
      </w:r>
      <w:r w:rsidR="006377E2">
        <w:t>S</w:t>
      </w:r>
      <w:r>
        <w:fldChar w:fldCharType="begin"/>
      </w:r>
      <w:r>
        <w:instrText xml:space="preserve"> SEQ Equation \* ARABIC </w:instrText>
      </w:r>
      <w:r>
        <w:fldChar w:fldCharType="separate"/>
      </w:r>
      <w:r w:rsidR="00DD6E53">
        <w:rPr>
          <w:noProof/>
        </w:rPr>
        <w:t>1</w:t>
      </w:r>
      <w:r>
        <w:rPr>
          <w:noProof/>
        </w:rPr>
        <w:fldChar w:fldCharType="end"/>
      </w:r>
    </w:p>
    <w:p w14:paraId="33EF6E96" w14:textId="77777777" w:rsidR="009D6A15" w:rsidRPr="00A54D0C" w:rsidRDefault="009D6A15" w:rsidP="00D04C25">
      <w:pPr>
        <w:spacing w:before="120" w:after="0"/>
        <w:jc w:val="both"/>
      </w:pPr>
      <w:r w:rsidRPr="00A54D0C">
        <w:t xml:space="preserve">The driving variable or model input is the external concentration </w:t>
      </w:r>
      <w:proofErr w:type="spellStart"/>
      <w:r w:rsidRPr="00A54D0C">
        <w:rPr>
          <w:i/>
        </w:rPr>
        <w:t>C</w:t>
      </w:r>
      <w:r w:rsidRPr="00A54D0C">
        <w:rPr>
          <w:vertAlign w:val="subscript"/>
        </w:rPr>
        <w:t>ext</w:t>
      </w:r>
      <w:proofErr w:type="spellEnd"/>
      <w:r w:rsidRPr="00A54D0C">
        <w:t>(t). The scaled internal concentration C</w:t>
      </w:r>
      <w:r w:rsidRPr="00A54D0C">
        <w:rPr>
          <w:vertAlign w:val="subscript"/>
        </w:rPr>
        <w:t>i</w:t>
      </w:r>
      <w:r w:rsidRPr="00A54D0C">
        <w:t>*(t) was linked to the stochastic death (SD) or individual tolerance (IT) model to describe the survival over time.</w:t>
      </w:r>
    </w:p>
    <w:p w14:paraId="037230B6" w14:textId="77777777" w:rsidR="009D6A15" w:rsidRPr="00A54D0C" w:rsidRDefault="009D6A15" w:rsidP="00D04C25">
      <w:pPr>
        <w:spacing w:before="120" w:after="0"/>
        <w:jc w:val="both"/>
        <w:rPr>
          <w:b/>
          <w:bCs/>
          <w:i/>
        </w:rPr>
      </w:pPr>
      <w:bookmarkStart w:id="3" w:name="_Toc427583309"/>
      <w:r w:rsidRPr="00A54D0C">
        <w:rPr>
          <w:b/>
          <w:bCs/>
          <w:i/>
        </w:rPr>
        <w:t xml:space="preserve">Link to survival model </w:t>
      </w:r>
      <w:bookmarkEnd w:id="3"/>
      <w:r w:rsidRPr="00A54D0C">
        <w:rPr>
          <w:b/>
          <w:bCs/>
          <w:i/>
        </w:rPr>
        <w:t>– stochastic death</w:t>
      </w:r>
    </w:p>
    <w:p w14:paraId="4EC35CC8" w14:textId="77777777" w:rsidR="009D6A15" w:rsidRPr="00A54D0C" w:rsidRDefault="009D6A15" w:rsidP="00D04C25">
      <w:pPr>
        <w:spacing w:before="120" w:after="0"/>
        <w:jc w:val="both"/>
      </w:pPr>
      <w:r w:rsidRPr="00A54D0C">
        <w:t xml:space="preserve">In the SD model, a hazard rate is calculated following the differential equation </w:t>
      </w:r>
    </w:p>
    <w:p w14:paraId="37CB3402" w14:textId="77777777" w:rsidR="009D6A15" w:rsidRPr="00A54D0C" w:rsidRDefault="002572F7" w:rsidP="00D04C25">
      <w:pPr>
        <w:spacing w:before="120" w:after="0"/>
        <w:ind w:firstLine="720"/>
        <w:jc w:val="both"/>
      </w:pPr>
      <m:oMath>
        <m:f>
          <m:fPr>
            <m:ctrlPr>
              <w:rPr>
                <w:rFonts w:ascii="Cambria Math" w:hAnsi="Cambria Math"/>
                <w:sz w:val="22"/>
              </w:rPr>
            </m:ctrlPr>
          </m:fPr>
          <m:num>
            <m:r>
              <m:rPr>
                <m:sty m:val="p"/>
              </m:rPr>
              <w:rPr>
                <w:rFonts w:ascii="Cambria Math" w:hAnsi="Cambria Math"/>
                <w:sz w:val="22"/>
              </w:rPr>
              <m:t>dH</m:t>
            </m:r>
          </m:num>
          <m:den>
            <m:r>
              <m:rPr>
                <m:sty m:val="p"/>
              </m:rPr>
              <w:rPr>
                <w:rFonts w:ascii="Cambria Math" w:hAnsi="Cambria Math"/>
                <w:sz w:val="22"/>
              </w:rPr>
              <m:t>dt</m:t>
            </m:r>
          </m:den>
        </m:f>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k</m:t>
            </m:r>
          </m:e>
          <m:sub>
            <m:r>
              <m:rPr>
                <m:sty m:val="p"/>
              </m:rPr>
              <w:rPr>
                <w:rFonts w:ascii="Cambria Math" w:hAnsi="Cambria Math"/>
                <w:sz w:val="22"/>
              </w:rPr>
              <m:t>k</m:t>
            </m:r>
          </m:sub>
        </m:sSub>
        <m:r>
          <m:rPr>
            <m:sty m:val="p"/>
          </m:rPr>
          <w:rPr>
            <w:rFonts w:ascii="Cambria Math" w:hAnsi="Cambria Math"/>
            <w:sz w:val="22"/>
          </w:rPr>
          <m:t>×max⁡(0,</m:t>
        </m:r>
        <m:sSubSup>
          <m:sSubSupPr>
            <m:ctrlPr>
              <w:rPr>
                <w:rFonts w:ascii="Cambria Math" w:hAnsi="Cambria Math"/>
                <w:sz w:val="22"/>
              </w:rPr>
            </m:ctrlPr>
          </m:sSubSupPr>
          <m:e>
            <m:r>
              <w:rPr>
                <w:rFonts w:ascii="Cambria Math" w:hAnsi="Cambria Math"/>
                <w:sz w:val="22"/>
              </w:rPr>
              <m:t>C</m:t>
            </m:r>
          </m:e>
          <m:sub>
            <m:r>
              <w:rPr>
                <w:rFonts w:ascii="Cambria Math" w:hAnsi="Cambria Math"/>
                <w:sz w:val="22"/>
              </w:rPr>
              <m:t>i</m:t>
            </m:r>
          </m:sub>
          <m:sup>
            <m:r>
              <w:rPr>
                <w:rFonts w:ascii="Cambria Math" w:hAnsi="Cambria Math"/>
                <w:sz w:val="22"/>
              </w:rPr>
              <m:t>*</m:t>
            </m:r>
          </m:sup>
        </m:sSubSup>
        <m:d>
          <m:dPr>
            <m:ctrlPr>
              <w:rPr>
                <w:rFonts w:ascii="Cambria Math" w:hAnsi="Cambria Math"/>
                <w:sz w:val="22"/>
              </w:rPr>
            </m:ctrlPr>
          </m:dPr>
          <m:e>
            <m:r>
              <m:rPr>
                <m:sty m:val="p"/>
              </m:rPr>
              <w:rPr>
                <w:rFonts w:ascii="Cambria Math" w:hAnsi="Cambria Math"/>
                <w:sz w:val="22"/>
              </w:rPr>
              <m:t>t</m:t>
            </m:r>
          </m:e>
        </m:d>
        <m:r>
          <m:rPr>
            <m:sty m:val="p"/>
          </m:rPr>
          <w:rPr>
            <w:rFonts w:ascii="Cambria Math" w:hAnsi="Cambria Math"/>
            <w:sz w:val="22"/>
          </w:rPr>
          <m:t>-z)</m:t>
        </m:r>
      </m:oMath>
      <w:r w:rsidR="009D6A15" w:rsidRPr="00D04C25">
        <w:rPr>
          <w:sz w:val="18"/>
        </w:rPr>
        <w:tab/>
      </w:r>
      <w:r w:rsidR="009D6A15" w:rsidRPr="00A54D0C">
        <w:tab/>
      </w:r>
      <w:r w:rsidR="009D6A15" w:rsidRPr="00A54D0C">
        <w:tab/>
      </w:r>
      <w:r w:rsidR="009D6A15" w:rsidRPr="00A54D0C">
        <w:tab/>
      </w:r>
      <w:r w:rsidR="009D6A15" w:rsidRPr="00A54D0C">
        <w:tab/>
      </w:r>
      <w:r w:rsidR="009D6A15" w:rsidRPr="00A54D0C">
        <w:tab/>
      </w:r>
      <w:r w:rsidR="009D6A15" w:rsidRPr="00A54D0C">
        <w:tab/>
        <w:t xml:space="preserve">Eq. </w:t>
      </w:r>
      <w:r w:rsidR="006377E2">
        <w:t>S</w:t>
      </w:r>
      <w:r>
        <w:fldChar w:fldCharType="begin"/>
      </w:r>
      <w:r>
        <w:instrText xml:space="preserve"> SEQ Equatio</w:instrText>
      </w:r>
      <w:r>
        <w:instrText xml:space="preserve">n \* ARABIC </w:instrText>
      </w:r>
      <w:r>
        <w:fldChar w:fldCharType="separate"/>
      </w:r>
      <w:r w:rsidR="00DD6E53">
        <w:rPr>
          <w:noProof/>
        </w:rPr>
        <w:t>2</w:t>
      </w:r>
      <w:r>
        <w:rPr>
          <w:noProof/>
        </w:rPr>
        <w:fldChar w:fldCharType="end"/>
      </w:r>
    </w:p>
    <w:p w14:paraId="0996F1EB" w14:textId="77777777" w:rsidR="009D6A15" w:rsidRPr="00A54D0C" w:rsidRDefault="009D6A15" w:rsidP="00D04C25">
      <w:pPr>
        <w:spacing w:before="120" w:after="0"/>
        <w:jc w:val="both"/>
      </w:pPr>
      <w:r w:rsidRPr="00A54D0C">
        <w:t xml:space="preserve">which describes hazard increasing in proportion to the exceedance of the threshold z (concentration). The killing rate </w:t>
      </w:r>
      <w:proofErr w:type="spellStart"/>
      <w:r w:rsidRPr="00A54D0C">
        <w:rPr>
          <w:i/>
        </w:rPr>
        <w:t>k</w:t>
      </w:r>
      <w:r w:rsidRPr="00A54D0C">
        <w:rPr>
          <w:vertAlign w:val="subscript"/>
        </w:rPr>
        <w:t>k</w:t>
      </w:r>
      <w:proofErr w:type="spellEnd"/>
      <w:r w:rsidRPr="00A54D0C">
        <w:t xml:space="preserve"> (concentration</w:t>
      </w:r>
      <w:r w:rsidRPr="00A54D0C">
        <w:rPr>
          <w:vertAlign w:val="superscript"/>
        </w:rPr>
        <w:t>-1</w:t>
      </w:r>
      <w:r w:rsidRPr="00A54D0C">
        <w:t xml:space="preserve"> time</w:t>
      </w:r>
      <w:r w:rsidRPr="00A54D0C">
        <w:rPr>
          <w:vertAlign w:val="superscript"/>
        </w:rPr>
        <w:t>-1</w:t>
      </w:r>
      <w:r w:rsidRPr="00A54D0C">
        <w:t xml:space="preserve">) is the proportionality constant. </w:t>
      </w:r>
    </w:p>
    <w:p w14:paraId="7ECB78E4" w14:textId="77777777" w:rsidR="009D6A15" w:rsidRPr="00A54D0C" w:rsidRDefault="009D6A15" w:rsidP="00D04C25">
      <w:pPr>
        <w:spacing w:before="120" w:after="0"/>
        <w:jc w:val="both"/>
      </w:pPr>
      <w:r w:rsidRPr="00A54D0C">
        <w:t>The survival probability S</w:t>
      </w:r>
      <w:r w:rsidRPr="00A54D0C">
        <w:rPr>
          <w:vertAlign w:val="subscript"/>
        </w:rPr>
        <w:t>SD</w:t>
      </w:r>
      <w:r w:rsidRPr="00A54D0C">
        <w:t>(T) is the probability of individual to survive until time t and is calculated as:</w:t>
      </w:r>
    </w:p>
    <w:p w14:paraId="5EE9CFB1" w14:textId="77777777" w:rsidR="009D6A15" w:rsidRPr="00A54D0C" w:rsidRDefault="002572F7" w:rsidP="00D04C25">
      <w:pPr>
        <w:spacing w:before="120" w:after="0"/>
        <w:ind w:firstLine="720"/>
        <w:jc w:val="both"/>
      </w:pPr>
      <m:oMath>
        <m:sSub>
          <m:sSubPr>
            <m:ctrlPr>
              <w:rPr>
                <w:rFonts w:ascii="Cambria Math" w:hAnsi="Cambria Math"/>
                <w:sz w:val="22"/>
              </w:rPr>
            </m:ctrlPr>
          </m:sSubPr>
          <m:e>
            <m:r>
              <m:rPr>
                <m:sty m:val="p"/>
              </m:rPr>
              <w:rPr>
                <w:rFonts w:ascii="Cambria Math" w:hAnsi="Cambria Math"/>
                <w:sz w:val="22"/>
              </w:rPr>
              <m:t>S</m:t>
            </m:r>
          </m:e>
          <m:sub>
            <m:r>
              <w:rPr>
                <w:rFonts w:ascii="Cambria Math" w:hAnsi="Cambria Math"/>
                <w:sz w:val="22"/>
              </w:rPr>
              <m:t>SD</m:t>
            </m:r>
          </m:sub>
        </m:sSub>
        <m:r>
          <m:rPr>
            <m:sty m:val="p"/>
          </m:rPr>
          <w:rPr>
            <w:rFonts w:ascii="Cambria Math" w:hAnsi="Cambria Math"/>
            <w:sz w:val="22"/>
          </w:rPr>
          <m:t>(t)=</m:t>
        </m:r>
        <m:sSup>
          <m:sSupPr>
            <m:ctrlPr>
              <w:rPr>
                <w:rFonts w:ascii="Cambria Math" w:hAnsi="Cambria Math"/>
                <w:sz w:val="22"/>
              </w:rPr>
            </m:ctrlPr>
          </m:sSupPr>
          <m:e>
            <m:r>
              <m:rPr>
                <m:sty m:val="p"/>
              </m:rPr>
              <w:rPr>
                <w:rFonts w:ascii="Cambria Math" w:hAnsi="Cambria Math"/>
                <w:sz w:val="22"/>
              </w:rPr>
              <m:t>e</m:t>
            </m:r>
          </m:e>
          <m:sup>
            <m:r>
              <m:rPr>
                <m:sty m:val="p"/>
              </m:rPr>
              <w:rPr>
                <w:rFonts w:ascii="Cambria Math" w:hAnsi="Cambria Math"/>
                <w:sz w:val="22"/>
              </w:rPr>
              <m:t>-H(t)</m:t>
            </m:r>
          </m:sup>
        </m:sSup>
        <m:r>
          <m:rPr>
            <m:sty m:val="p"/>
          </m:rPr>
          <w:rPr>
            <w:rFonts w:ascii="Cambria Math" w:hAnsi="Cambria Math"/>
            <w:sz w:val="22"/>
          </w:rPr>
          <m:t>×</m:t>
        </m:r>
        <m:sSup>
          <m:sSupPr>
            <m:ctrlPr>
              <w:rPr>
                <w:rFonts w:ascii="Cambria Math" w:hAnsi="Cambria Math"/>
                <w:sz w:val="22"/>
              </w:rPr>
            </m:ctrlPr>
          </m:sSupPr>
          <m:e>
            <m:r>
              <m:rPr>
                <m:sty m:val="p"/>
              </m:rPr>
              <w:rPr>
                <w:rFonts w:ascii="Cambria Math" w:hAnsi="Cambria Math"/>
                <w:sz w:val="22"/>
              </w:rPr>
              <m:t>e</m:t>
            </m:r>
          </m:e>
          <m:sup>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h</m:t>
                </m:r>
              </m:e>
              <m:sub>
                <m:r>
                  <m:rPr>
                    <m:sty m:val="p"/>
                  </m:rPr>
                  <w:rPr>
                    <w:rFonts w:ascii="Cambria Math" w:hAnsi="Cambria Math"/>
                    <w:sz w:val="22"/>
                  </w:rPr>
                  <m:t>B</m:t>
                </m:r>
              </m:sub>
            </m:sSub>
            <m:r>
              <m:rPr>
                <m:sty m:val="p"/>
              </m:rPr>
              <w:rPr>
                <w:rFonts w:ascii="Cambria Math" w:hAnsi="Cambria Math"/>
                <w:sz w:val="22"/>
              </w:rPr>
              <m:t>×t</m:t>
            </m:r>
          </m:sup>
        </m:sSup>
      </m:oMath>
      <w:r w:rsidR="009D6A15" w:rsidRPr="00D04C25">
        <w:rPr>
          <w:sz w:val="18"/>
        </w:rPr>
        <w:tab/>
      </w:r>
      <w:r w:rsidR="00D04C25">
        <w:tab/>
      </w:r>
      <w:r w:rsidR="00D04C25">
        <w:tab/>
      </w:r>
      <w:r w:rsidR="00D04C25">
        <w:tab/>
      </w:r>
      <w:r w:rsidR="00D04C25">
        <w:tab/>
      </w:r>
      <w:r w:rsidR="00D04C25">
        <w:tab/>
      </w:r>
      <w:r w:rsidR="00D04C25">
        <w:tab/>
      </w:r>
      <w:r w:rsidR="009D6A15" w:rsidRPr="00A54D0C">
        <w:t xml:space="preserve">Eq. </w:t>
      </w:r>
      <w:r w:rsidR="006377E2">
        <w:t>S</w:t>
      </w:r>
      <w:r>
        <w:fldChar w:fldCharType="begin"/>
      </w:r>
      <w:r>
        <w:instrText xml:space="preserve"> SEQ Equation \* ARABIC </w:instrText>
      </w:r>
      <w:r>
        <w:fldChar w:fldCharType="separate"/>
      </w:r>
      <w:r w:rsidR="00DD6E53">
        <w:rPr>
          <w:noProof/>
        </w:rPr>
        <w:t>3</w:t>
      </w:r>
      <w:r>
        <w:rPr>
          <w:noProof/>
        </w:rPr>
        <w:fldChar w:fldCharType="end"/>
      </w:r>
    </w:p>
    <w:p w14:paraId="4AD1A5B9" w14:textId="77777777" w:rsidR="009D6A15" w:rsidRPr="00A54D0C" w:rsidRDefault="009D6A15" w:rsidP="00D04C25">
      <w:pPr>
        <w:spacing w:before="120" w:after="0"/>
        <w:jc w:val="both"/>
      </w:pPr>
      <w:r w:rsidRPr="00A54D0C">
        <w:lastRenderedPageBreak/>
        <w:t xml:space="preserve">where </w:t>
      </w:r>
      <w:proofErr w:type="spellStart"/>
      <w:r w:rsidRPr="00A54D0C">
        <w:rPr>
          <w:i/>
        </w:rPr>
        <w:t>h</w:t>
      </w:r>
      <w:r w:rsidRPr="00A54D0C">
        <w:rPr>
          <w:vertAlign w:val="subscript"/>
        </w:rPr>
        <w:t>B</w:t>
      </w:r>
      <w:proofErr w:type="spellEnd"/>
      <w:r w:rsidRPr="00A54D0C">
        <w:t xml:space="preserve"> (time</w:t>
      </w:r>
      <w:r w:rsidRPr="00A54D0C">
        <w:rPr>
          <w:vertAlign w:val="superscript"/>
        </w:rPr>
        <w:t>-1</w:t>
      </w:r>
      <w:r w:rsidRPr="00A54D0C">
        <w:t>) is the background hazard rate (estimated from control mortality).</w:t>
      </w:r>
    </w:p>
    <w:p w14:paraId="67CF7DAD" w14:textId="77777777" w:rsidR="009D6A15" w:rsidRPr="00A54D0C" w:rsidRDefault="009D6A15" w:rsidP="00D04C25">
      <w:pPr>
        <w:spacing w:before="120" w:after="0"/>
        <w:jc w:val="both"/>
        <w:rPr>
          <w:b/>
          <w:bCs/>
          <w:i/>
        </w:rPr>
      </w:pPr>
      <w:bookmarkStart w:id="4" w:name="_Toc427583310"/>
      <w:r w:rsidRPr="00A54D0C">
        <w:rPr>
          <w:b/>
          <w:bCs/>
          <w:i/>
        </w:rPr>
        <w:t xml:space="preserve">Link to survival </w:t>
      </w:r>
      <w:bookmarkEnd w:id="4"/>
      <w:r w:rsidRPr="00A54D0C">
        <w:rPr>
          <w:b/>
          <w:bCs/>
          <w:i/>
        </w:rPr>
        <w:t>model –individual tolerance</w:t>
      </w:r>
    </w:p>
    <w:p w14:paraId="1E153D07" w14:textId="77777777" w:rsidR="009D6A15" w:rsidRPr="00A54D0C" w:rsidRDefault="009D6A15" w:rsidP="00D04C25">
      <w:pPr>
        <w:spacing w:before="120" w:after="0"/>
        <w:jc w:val="both"/>
      </w:pPr>
      <w:r w:rsidRPr="00A54D0C">
        <w:t>In the IT model it is assumed that the threshold distribution is log-logistic. The survival probability for an individual is consequently calculated following a cumulative log-logistic distribution of the threshold z, given by</w:t>
      </w:r>
      <w:hyperlink w:anchor="_ENREF_4" w:tooltip="Nyman, 2012 #1103" w:history="1"/>
      <w:r w:rsidRPr="00A54D0C">
        <w:t xml:space="preserve"> [4]: </w:t>
      </w:r>
    </w:p>
    <w:p w14:paraId="2FD2ED97" w14:textId="77777777" w:rsidR="009D6A15" w:rsidRPr="00A54D0C" w:rsidRDefault="009D6A15" w:rsidP="00D04C25">
      <w:pPr>
        <w:spacing w:before="120" w:after="0"/>
        <w:ind w:firstLine="720"/>
        <w:jc w:val="both"/>
      </w:pPr>
      <m:oMath>
        <m:r>
          <m:rPr>
            <m:sty m:val="p"/>
          </m:rPr>
          <w:rPr>
            <w:rFonts w:ascii="Cambria Math" w:hAnsi="Cambria Math"/>
            <w:sz w:val="22"/>
          </w:rPr>
          <m:t>F</m:t>
        </m:r>
        <m:d>
          <m:dPr>
            <m:ctrlPr>
              <w:rPr>
                <w:rFonts w:ascii="Cambria Math" w:hAnsi="Cambria Math"/>
                <w:sz w:val="22"/>
              </w:rPr>
            </m:ctrlPr>
          </m:dPr>
          <m:e>
            <m:r>
              <m:rPr>
                <m:sty m:val="p"/>
              </m:rPr>
              <w:rPr>
                <w:rFonts w:ascii="Cambria Math" w:hAnsi="Cambria Math"/>
                <w:sz w:val="22"/>
              </w:rPr>
              <m:t>t</m:t>
            </m:r>
          </m:e>
        </m:d>
        <m:r>
          <m:rPr>
            <m:sty m:val="p"/>
          </m:rPr>
          <w:rPr>
            <w:rFonts w:ascii="Cambria Math" w:hAnsi="Cambria Math"/>
            <w:sz w:val="22"/>
          </w:rPr>
          <m:t>=</m:t>
        </m:r>
        <m:f>
          <m:fPr>
            <m:ctrlPr>
              <w:rPr>
                <w:rFonts w:ascii="Cambria Math" w:hAnsi="Cambria Math"/>
                <w:sz w:val="22"/>
              </w:rPr>
            </m:ctrlPr>
          </m:fPr>
          <m:num>
            <m:r>
              <m:rPr>
                <m:sty m:val="p"/>
              </m:rPr>
              <w:rPr>
                <w:rFonts w:ascii="Cambria Math" w:hAnsi="Cambria Math"/>
                <w:sz w:val="22"/>
              </w:rPr>
              <m:t>1</m:t>
            </m:r>
          </m:num>
          <m:den>
            <m:r>
              <m:rPr>
                <m:sty m:val="p"/>
              </m:rPr>
              <w:rPr>
                <w:rFonts w:ascii="Cambria Math" w:hAnsi="Cambria Math"/>
                <w:sz w:val="22"/>
              </w:rPr>
              <m:t>1+</m:t>
            </m:r>
            <m:sSup>
              <m:sSupPr>
                <m:ctrlPr>
                  <w:rPr>
                    <w:rFonts w:ascii="Cambria Math" w:hAnsi="Cambria Math"/>
                    <w:sz w:val="22"/>
                  </w:rPr>
                </m:ctrlPr>
              </m:sSupPr>
              <m:e>
                <m:d>
                  <m:dPr>
                    <m:ctrlPr>
                      <w:rPr>
                        <w:rFonts w:ascii="Cambria Math" w:hAnsi="Cambria Math"/>
                        <w:sz w:val="22"/>
                      </w:rPr>
                    </m:ctrlPr>
                  </m:dPr>
                  <m:e>
                    <m:f>
                      <m:fPr>
                        <m:ctrlPr>
                          <w:rPr>
                            <w:rFonts w:ascii="Cambria Math" w:hAnsi="Cambria Math"/>
                            <w:sz w:val="22"/>
                          </w:rPr>
                        </m:ctrlPr>
                      </m:fPr>
                      <m:num>
                        <m:func>
                          <m:funcPr>
                            <m:ctrlPr>
                              <w:rPr>
                                <w:rFonts w:ascii="Cambria Math" w:hAnsi="Cambria Math"/>
                                <w:sz w:val="22"/>
                              </w:rPr>
                            </m:ctrlPr>
                          </m:funcPr>
                          <m:fName>
                            <m:limLow>
                              <m:limLowPr>
                                <m:ctrlPr>
                                  <w:rPr>
                                    <w:rFonts w:ascii="Cambria Math" w:hAnsi="Cambria Math"/>
                                    <w:sz w:val="22"/>
                                  </w:rPr>
                                </m:ctrlPr>
                              </m:limLowPr>
                              <m:e>
                                <m:r>
                                  <m:rPr>
                                    <m:sty m:val="p"/>
                                  </m:rPr>
                                  <w:rPr>
                                    <w:rFonts w:ascii="Cambria Math" w:hAnsi="Cambria Math"/>
                                    <w:sz w:val="22"/>
                                  </w:rPr>
                                  <m:t>max</m:t>
                                </m:r>
                              </m:e>
                              <m:lim>
                                <m:r>
                                  <m:rPr>
                                    <m:sty m:val="p"/>
                                  </m:rPr>
                                  <w:rPr>
                                    <w:rFonts w:ascii="Cambria Math" w:hAnsi="Cambria Math"/>
                                    <w:sz w:val="22"/>
                                  </w:rPr>
                                  <m:t>0≤τ≤t</m:t>
                                </m:r>
                              </m:lim>
                            </m:limLow>
                          </m:fName>
                          <m:e>
                            <m:sSubSup>
                              <m:sSubSupPr>
                                <m:ctrlPr>
                                  <w:rPr>
                                    <w:rFonts w:ascii="Cambria Math" w:hAnsi="Cambria Math"/>
                                    <w:sz w:val="22"/>
                                  </w:rPr>
                                </m:ctrlPr>
                              </m:sSubSupPr>
                              <m:e>
                                <m:r>
                                  <w:rPr>
                                    <w:rFonts w:ascii="Cambria Math" w:hAnsi="Cambria Math"/>
                                    <w:sz w:val="22"/>
                                  </w:rPr>
                                  <m:t>C</m:t>
                                </m:r>
                              </m:e>
                              <m:sub>
                                <m:r>
                                  <w:rPr>
                                    <w:rFonts w:ascii="Cambria Math" w:hAnsi="Cambria Math"/>
                                    <w:sz w:val="22"/>
                                  </w:rPr>
                                  <m:t>i</m:t>
                                </m:r>
                              </m:sub>
                              <m:sup>
                                <m:r>
                                  <w:rPr>
                                    <w:rFonts w:ascii="Cambria Math" w:hAnsi="Cambria Math"/>
                                    <w:sz w:val="22"/>
                                  </w:rPr>
                                  <m:t>*</m:t>
                                </m:r>
                              </m:sup>
                            </m:sSubSup>
                            <m:d>
                              <m:dPr>
                                <m:ctrlPr>
                                  <w:rPr>
                                    <w:rFonts w:ascii="Cambria Math" w:hAnsi="Cambria Math"/>
                                    <w:sz w:val="22"/>
                                  </w:rPr>
                                </m:ctrlPr>
                              </m:dPr>
                              <m:e>
                                <m:r>
                                  <m:rPr>
                                    <m:sty m:val="p"/>
                                  </m:rPr>
                                  <w:rPr>
                                    <w:rFonts w:ascii="Cambria Math" w:hAnsi="Cambria Math"/>
                                    <w:sz w:val="22"/>
                                  </w:rPr>
                                  <m:t>τ</m:t>
                                </m:r>
                              </m:e>
                            </m:d>
                          </m:e>
                        </m:func>
                      </m:num>
                      <m:den>
                        <m:r>
                          <m:rPr>
                            <m:sty m:val="p"/>
                          </m:rPr>
                          <w:rPr>
                            <w:rFonts w:ascii="Cambria Math" w:hAnsi="Cambria Math"/>
                            <w:sz w:val="22"/>
                          </w:rPr>
                          <m:t>α</m:t>
                        </m:r>
                      </m:den>
                    </m:f>
                  </m:e>
                </m:d>
              </m:e>
              <m:sup>
                <m:r>
                  <m:rPr>
                    <m:sty m:val="p"/>
                  </m:rPr>
                  <w:rPr>
                    <w:rFonts w:ascii="Cambria Math" w:hAnsi="Cambria Math"/>
                    <w:sz w:val="22"/>
                  </w:rPr>
                  <m:t>-β</m:t>
                </m:r>
              </m:sup>
            </m:sSup>
          </m:den>
        </m:f>
      </m:oMath>
      <w:r w:rsidRPr="00D04C25">
        <w:rPr>
          <w:sz w:val="18"/>
        </w:rPr>
        <w:tab/>
      </w:r>
      <w:r w:rsidRPr="00A54D0C">
        <w:tab/>
      </w:r>
      <w:r w:rsidRPr="00A54D0C">
        <w:tab/>
      </w:r>
      <w:r w:rsidRPr="00A54D0C">
        <w:tab/>
      </w:r>
      <w:r w:rsidRPr="00A54D0C">
        <w:tab/>
      </w:r>
      <w:r w:rsidRPr="00A54D0C">
        <w:tab/>
      </w:r>
      <w:r w:rsidRPr="00A54D0C">
        <w:tab/>
      </w:r>
      <w:r w:rsidRPr="00A54D0C">
        <w:tab/>
        <w:t xml:space="preserve">Eq. </w:t>
      </w:r>
      <w:r w:rsidR="006377E2">
        <w:t>S</w:t>
      </w:r>
      <w:r w:rsidR="002572F7">
        <w:fldChar w:fldCharType="begin"/>
      </w:r>
      <w:r w:rsidR="002572F7">
        <w:instrText xml:space="preserve"> SEQ Equation \* ARABIC </w:instrText>
      </w:r>
      <w:r w:rsidR="002572F7">
        <w:fldChar w:fldCharType="separate"/>
      </w:r>
      <w:r w:rsidR="00DD6E53">
        <w:rPr>
          <w:noProof/>
        </w:rPr>
        <w:t>4</w:t>
      </w:r>
      <w:r w:rsidR="002572F7">
        <w:rPr>
          <w:noProof/>
        </w:rPr>
        <w:fldChar w:fldCharType="end"/>
      </w:r>
    </w:p>
    <w:p w14:paraId="49F18E99" w14:textId="77777777" w:rsidR="009D6A15" w:rsidRPr="00A54D0C" w:rsidRDefault="009D6A15" w:rsidP="00D04C25">
      <w:pPr>
        <w:spacing w:before="120" w:after="0"/>
        <w:jc w:val="both"/>
      </w:pPr>
      <w:r w:rsidRPr="00A54D0C">
        <w:t xml:space="preserve">where α is the median of the distribution of z (concentration), and β (-) is the shape parameter of the distribution. In the IT model, the survival is related to the maximum dose metric until time t rather than to the actual value of the dose metric at time t, because organisms that died previously remain dead. The probability to survive until time t is then: </w:t>
      </w:r>
    </w:p>
    <w:p w14:paraId="52F86E21" w14:textId="77777777" w:rsidR="009D6A15" w:rsidRPr="00A54D0C" w:rsidRDefault="002572F7" w:rsidP="00D04C25">
      <w:pPr>
        <w:spacing w:before="120" w:after="0"/>
        <w:ind w:firstLine="720"/>
        <w:jc w:val="both"/>
      </w:pPr>
      <m:oMath>
        <m:sSub>
          <m:sSubPr>
            <m:ctrlPr>
              <w:rPr>
                <w:rFonts w:ascii="Cambria Math" w:hAnsi="Cambria Math"/>
                <w:sz w:val="22"/>
              </w:rPr>
            </m:ctrlPr>
          </m:sSubPr>
          <m:e>
            <m:r>
              <m:rPr>
                <m:sty m:val="p"/>
              </m:rPr>
              <w:rPr>
                <w:rFonts w:ascii="Cambria Math" w:hAnsi="Cambria Math"/>
                <w:sz w:val="22"/>
              </w:rPr>
              <m:t>S</m:t>
            </m:r>
          </m:e>
          <m:sub>
            <m:r>
              <w:rPr>
                <w:rFonts w:ascii="Cambria Math" w:hAnsi="Cambria Math"/>
                <w:sz w:val="22"/>
              </w:rPr>
              <m:t>IT</m:t>
            </m:r>
          </m:sub>
        </m:sSub>
        <m:r>
          <m:rPr>
            <m:sty m:val="p"/>
          </m:rPr>
          <w:rPr>
            <w:rFonts w:ascii="Cambria Math" w:hAnsi="Cambria Math"/>
            <w:sz w:val="22"/>
          </w:rPr>
          <m:t>(t)=(1-F</m:t>
        </m:r>
        <m:d>
          <m:dPr>
            <m:ctrlPr>
              <w:rPr>
                <w:rFonts w:ascii="Cambria Math" w:hAnsi="Cambria Math"/>
                <w:sz w:val="22"/>
              </w:rPr>
            </m:ctrlPr>
          </m:dPr>
          <m:e>
            <m:r>
              <m:rPr>
                <m:sty m:val="p"/>
              </m:rPr>
              <w:rPr>
                <w:rFonts w:ascii="Cambria Math" w:hAnsi="Cambria Math"/>
                <w:sz w:val="22"/>
              </w:rPr>
              <m:t>t</m:t>
            </m:r>
          </m:e>
        </m:d>
        <m:r>
          <m:rPr>
            <m:sty m:val="p"/>
          </m:rPr>
          <w:rPr>
            <w:rFonts w:ascii="Cambria Math" w:hAnsi="Cambria Math"/>
            <w:sz w:val="22"/>
          </w:rPr>
          <m:t>)×</m:t>
        </m:r>
        <m:sSup>
          <m:sSupPr>
            <m:ctrlPr>
              <w:rPr>
                <w:rFonts w:ascii="Cambria Math" w:hAnsi="Cambria Math"/>
                <w:sz w:val="22"/>
              </w:rPr>
            </m:ctrlPr>
          </m:sSupPr>
          <m:e>
            <m:r>
              <m:rPr>
                <m:sty m:val="p"/>
              </m:rPr>
              <w:rPr>
                <w:rFonts w:ascii="Cambria Math" w:hAnsi="Cambria Math"/>
                <w:sz w:val="22"/>
              </w:rPr>
              <m:t>e</m:t>
            </m:r>
          </m:e>
          <m:sup>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h</m:t>
                </m:r>
              </m:e>
              <m:sub>
                <m:r>
                  <m:rPr>
                    <m:sty m:val="p"/>
                  </m:rPr>
                  <w:rPr>
                    <w:rFonts w:ascii="Cambria Math" w:hAnsi="Cambria Math"/>
                    <w:sz w:val="22"/>
                  </w:rPr>
                  <m:t>B</m:t>
                </m:r>
              </m:sub>
            </m:sSub>
            <m:r>
              <m:rPr>
                <m:sty m:val="p"/>
              </m:rPr>
              <w:rPr>
                <w:rFonts w:ascii="Cambria Math" w:hAnsi="Cambria Math"/>
                <w:sz w:val="22"/>
              </w:rPr>
              <m:t>×t</m:t>
            </m:r>
          </m:sup>
        </m:sSup>
      </m:oMath>
      <w:r w:rsidR="009D6A15" w:rsidRPr="00A54D0C">
        <w:tab/>
      </w:r>
      <w:r w:rsidR="009D6A15" w:rsidRPr="00A54D0C">
        <w:tab/>
      </w:r>
      <w:r w:rsidR="009D6A15" w:rsidRPr="00A54D0C">
        <w:tab/>
      </w:r>
      <w:r w:rsidR="009D6A15" w:rsidRPr="00A54D0C">
        <w:tab/>
      </w:r>
      <w:r w:rsidR="009D6A15" w:rsidRPr="00A54D0C">
        <w:tab/>
      </w:r>
      <w:r w:rsidR="009D6A15" w:rsidRPr="00A54D0C">
        <w:tab/>
      </w:r>
      <w:r w:rsidR="009D6A15" w:rsidRPr="00A54D0C">
        <w:tab/>
        <w:t xml:space="preserve">Eq. </w:t>
      </w:r>
      <w:r w:rsidR="006377E2">
        <w:t>S</w:t>
      </w:r>
      <w:r>
        <w:fldChar w:fldCharType="begin"/>
      </w:r>
      <w:r>
        <w:instrText xml:space="preserve"> SEQ Equation \* ARABIC </w:instrText>
      </w:r>
      <w:r>
        <w:fldChar w:fldCharType="separate"/>
      </w:r>
      <w:r w:rsidR="00DD6E53">
        <w:rPr>
          <w:noProof/>
        </w:rPr>
        <w:t>5</w:t>
      </w:r>
      <w:r>
        <w:rPr>
          <w:noProof/>
        </w:rPr>
        <w:fldChar w:fldCharType="end"/>
      </w:r>
    </w:p>
    <w:p w14:paraId="1FA5CD12" w14:textId="77777777" w:rsidR="009D6A15" w:rsidRPr="00A54D0C" w:rsidRDefault="009D6A15" w:rsidP="00603347">
      <w:pPr>
        <w:pStyle w:val="Heading2"/>
      </w:pPr>
      <w:bookmarkStart w:id="5" w:name="_Toc510179359"/>
      <w:r w:rsidRPr="00A54D0C">
        <w:t>Calibration of model parameters</w:t>
      </w:r>
      <w:bookmarkEnd w:id="5"/>
    </w:p>
    <w:p w14:paraId="36B8E04A" w14:textId="77777777" w:rsidR="009D6A15" w:rsidRPr="00A54D0C" w:rsidRDefault="009D6A15" w:rsidP="00D04C25">
      <w:pPr>
        <w:spacing w:before="120" w:after="0"/>
        <w:jc w:val="both"/>
      </w:pPr>
      <w:r w:rsidRPr="00A54D0C">
        <w:t xml:space="preserve">To find an optimal vector of parameter values </w:t>
      </w:r>
      <w:proofErr w:type="spellStart"/>
      <w:r w:rsidRPr="00A54D0C">
        <w:t>Θ</w:t>
      </w:r>
      <w:r w:rsidRPr="00A54D0C">
        <w:rPr>
          <w:vertAlign w:val="superscript"/>
        </w:rPr>
        <w:t>opt</w:t>
      </w:r>
      <w:proofErr w:type="spellEnd"/>
      <w:r w:rsidRPr="00A54D0C">
        <w:t xml:space="preserve"> for each of the SD and the IT models, parameter values were optimised with respect to the experimentally observed survival data</w:t>
      </w:r>
      <w:r>
        <w:t>.</w:t>
      </w:r>
      <w:r w:rsidRPr="00A54D0C">
        <w:t xml:space="preserve"> Survival probabilities for both the SD and the IT model are calculated in explicit dependence of the parameter vector </w:t>
      </w:r>
      <m:oMath>
        <m:r>
          <w:rPr>
            <w:rFonts w:ascii="Cambria Math" w:hAnsi="Cambria Math"/>
          </w:rPr>
          <m:t>θ</m:t>
        </m:r>
      </m:oMath>
      <w:r w:rsidRPr="00A54D0C">
        <w:t xml:space="preserve"> and the external concentration over time, so formally </w:t>
      </w:r>
    </w:p>
    <w:p w14:paraId="6D814BED" w14:textId="77777777" w:rsidR="009D6A15" w:rsidRPr="00A54D0C" w:rsidRDefault="002572F7" w:rsidP="00D04C25">
      <w:pPr>
        <w:spacing w:before="120" w:after="0"/>
        <w:ind w:firstLine="720"/>
        <w:jc w:val="both"/>
      </w:pPr>
      <m:oMath>
        <m:sSub>
          <m:sSubPr>
            <m:ctrlPr>
              <w:rPr>
                <w:rFonts w:ascii="Cambria Math" w:hAnsi="Cambria Math"/>
                <w:sz w:val="22"/>
              </w:rPr>
            </m:ctrlPr>
          </m:sSubPr>
          <m:e>
            <m:r>
              <m:rPr>
                <m:sty m:val="p"/>
              </m:rPr>
              <w:rPr>
                <w:rFonts w:ascii="Cambria Math" w:hAnsi="Cambria Math"/>
                <w:sz w:val="22"/>
              </w:rPr>
              <m:t>S</m:t>
            </m:r>
          </m:e>
          <m:sub>
            <m:r>
              <w:rPr>
                <w:rFonts w:ascii="Cambria Math" w:hAnsi="Cambria Math"/>
                <w:sz w:val="22"/>
              </w:rPr>
              <m:t>IT</m:t>
            </m:r>
          </m:sub>
        </m:sSub>
        <m:d>
          <m:dPr>
            <m:ctrlPr>
              <w:rPr>
                <w:rFonts w:ascii="Cambria Math" w:hAnsi="Cambria Math"/>
                <w:sz w:val="22"/>
              </w:rPr>
            </m:ctrlPr>
          </m:dPr>
          <m:e>
            <m:r>
              <m:rPr>
                <m:sty m:val="p"/>
              </m:rPr>
              <w:rPr>
                <w:rFonts w:ascii="Cambria Math" w:hAnsi="Cambria Math"/>
                <w:sz w:val="22"/>
              </w:rPr>
              <m:t>t</m:t>
            </m:r>
          </m:e>
        </m:d>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S</m:t>
            </m:r>
          </m:e>
          <m:sub>
            <m:r>
              <w:rPr>
                <w:rFonts w:ascii="Cambria Math" w:hAnsi="Cambria Math"/>
                <w:sz w:val="22"/>
              </w:rPr>
              <m:t>IT</m:t>
            </m:r>
          </m:sub>
        </m:sSub>
        <m:d>
          <m:dPr>
            <m:ctrlPr>
              <w:rPr>
                <w:rFonts w:ascii="Cambria Math" w:hAnsi="Cambria Math"/>
                <w:sz w:val="22"/>
              </w:rPr>
            </m:ctrlPr>
          </m:dPr>
          <m:e>
            <m:r>
              <w:rPr>
                <w:rFonts w:ascii="Cambria Math" w:hAnsi="Cambria Math"/>
                <w:sz w:val="22"/>
              </w:rPr>
              <m:t>θ,</m:t>
            </m:r>
            <m:sSub>
              <m:sSubPr>
                <m:ctrlPr>
                  <w:rPr>
                    <w:rFonts w:ascii="Cambria Math" w:hAnsi="Cambria Math"/>
                    <w:i/>
                    <w:sz w:val="22"/>
                  </w:rPr>
                </m:ctrlPr>
              </m:sSubPr>
              <m:e>
                <m:r>
                  <w:rPr>
                    <w:rFonts w:ascii="Cambria Math" w:hAnsi="Cambria Math"/>
                    <w:sz w:val="22"/>
                  </w:rPr>
                  <m:t>C</m:t>
                </m:r>
              </m:e>
              <m:sub>
                <m:r>
                  <w:rPr>
                    <w:rFonts w:ascii="Cambria Math" w:hAnsi="Cambria Math"/>
                    <w:sz w:val="22"/>
                  </w:rPr>
                  <m:t>ext</m:t>
                </m:r>
              </m:sub>
            </m:sSub>
            <m:r>
              <w:rPr>
                <w:rFonts w:ascii="Cambria Math" w:hAnsi="Cambria Math"/>
                <w:sz w:val="22"/>
              </w:rPr>
              <m:t>, t</m:t>
            </m:r>
          </m:e>
        </m:d>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S</m:t>
            </m:r>
          </m:e>
          <m:sub>
            <m:r>
              <w:rPr>
                <w:rFonts w:ascii="Cambria Math" w:hAnsi="Cambria Math"/>
                <w:sz w:val="22"/>
              </w:rPr>
              <m:t>IT</m:t>
            </m:r>
          </m:sub>
        </m:sSub>
        <m:d>
          <m:dPr>
            <m:ctrlPr>
              <w:rPr>
                <w:rFonts w:ascii="Cambria Math" w:hAnsi="Cambria Math"/>
                <w:sz w:val="22"/>
              </w:rPr>
            </m:ctrlPr>
          </m:dPr>
          <m:e>
            <m:r>
              <w:rPr>
                <w:rFonts w:ascii="Cambria Math" w:hAnsi="Cambria Math"/>
                <w:sz w:val="22"/>
              </w:rPr>
              <m:t>(α,β,</m:t>
            </m:r>
            <m:sSub>
              <m:sSubPr>
                <m:ctrlPr>
                  <w:rPr>
                    <w:rFonts w:ascii="Cambria Math" w:hAnsi="Cambria Math"/>
                    <w:i/>
                    <w:sz w:val="22"/>
                  </w:rPr>
                </m:ctrlPr>
              </m:sSubPr>
              <m:e>
                <m:r>
                  <w:rPr>
                    <w:rFonts w:ascii="Cambria Math" w:hAnsi="Cambria Math"/>
                    <w:sz w:val="22"/>
                  </w:rPr>
                  <m:t>k</m:t>
                </m:r>
              </m:e>
              <m:sub>
                <m:r>
                  <w:rPr>
                    <w:rFonts w:ascii="Cambria Math" w:hAnsi="Cambria Math"/>
                    <w:sz w:val="22"/>
                  </w:rPr>
                  <m:t>D</m:t>
                </m:r>
              </m:sub>
            </m:sSub>
            <m:r>
              <w:rPr>
                <w:rFonts w:ascii="Cambria Math" w:hAnsi="Cambria Math"/>
                <w:sz w:val="22"/>
              </w:rPr>
              <m:t>,</m:t>
            </m:r>
            <m:sSub>
              <m:sSubPr>
                <m:ctrlPr>
                  <w:rPr>
                    <w:rFonts w:ascii="Cambria Math" w:hAnsi="Cambria Math"/>
                    <w:i/>
                    <w:sz w:val="22"/>
                  </w:rPr>
                </m:ctrlPr>
              </m:sSubPr>
              <m:e>
                <m:r>
                  <w:rPr>
                    <w:rFonts w:ascii="Cambria Math" w:hAnsi="Cambria Math"/>
                    <w:sz w:val="22"/>
                  </w:rPr>
                  <m:t>h</m:t>
                </m:r>
              </m:e>
              <m:sub>
                <m:r>
                  <w:rPr>
                    <w:rFonts w:ascii="Cambria Math" w:hAnsi="Cambria Math"/>
                    <w:sz w:val="22"/>
                  </w:rPr>
                  <m:t>B</m:t>
                </m:r>
              </m:sub>
            </m:sSub>
            <m:r>
              <w:rPr>
                <w:rFonts w:ascii="Cambria Math" w:hAnsi="Cambria Math"/>
                <w:sz w:val="22"/>
              </w:rPr>
              <m:t>),</m:t>
            </m:r>
            <m:sSub>
              <m:sSubPr>
                <m:ctrlPr>
                  <w:rPr>
                    <w:rFonts w:ascii="Cambria Math" w:hAnsi="Cambria Math"/>
                    <w:i/>
                    <w:sz w:val="22"/>
                  </w:rPr>
                </m:ctrlPr>
              </m:sSubPr>
              <m:e>
                <m:r>
                  <w:rPr>
                    <w:rFonts w:ascii="Cambria Math" w:hAnsi="Cambria Math"/>
                    <w:sz w:val="22"/>
                  </w:rPr>
                  <m:t>C</m:t>
                </m:r>
              </m:e>
              <m:sub>
                <m:r>
                  <w:rPr>
                    <w:rFonts w:ascii="Cambria Math" w:hAnsi="Cambria Math"/>
                    <w:sz w:val="22"/>
                  </w:rPr>
                  <m:t>ext</m:t>
                </m:r>
              </m:sub>
            </m:sSub>
            <m:r>
              <w:rPr>
                <w:rFonts w:ascii="Cambria Math" w:hAnsi="Cambria Math"/>
                <w:sz w:val="22"/>
              </w:rPr>
              <m:t>(t), t</m:t>
            </m:r>
          </m:e>
        </m:d>
      </m:oMath>
      <w:r w:rsidR="009D6A15" w:rsidRPr="00A54D0C">
        <w:tab/>
      </w:r>
      <w:r w:rsidR="009D6A15" w:rsidRPr="00A54D0C">
        <w:tab/>
      </w:r>
      <w:r w:rsidR="009D6A15" w:rsidRPr="00A54D0C">
        <w:tab/>
      </w:r>
      <w:r w:rsidR="009D6A15" w:rsidRPr="00A54D0C">
        <w:tab/>
        <w:t xml:space="preserve">Eq. </w:t>
      </w:r>
      <w:r w:rsidR="006377E2">
        <w:t>S</w:t>
      </w:r>
      <w:r>
        <w:fldChar w:fldCharType="begin"/>
      </w:r>
      <w:r>
        <w:instrText xml:space="preserve"> SEQ Equation \* ARABIC </w:instrText>
      </w:r>
      <w:r>
        <w:fldChar w:fldCharType="separate"/>
      </w:r>
      <w:r w:rsidR="00DD6E53">
        <w:rPr>
          <w:noProof/>
        </w:rPr>
        <w:t>6</w:t>
      </w:r>
      <w:r>
        <w:rPr>
          <w:noProof/>
        </w:rPr>
        <w:fldChar w:fldCharType="end"/>
      </w:r>
    </w:p>
    <w:p w14:paraId="144AA329" w14:textId="77777777" w:rsidR="009D6A15" w:rsidRPr="00A54D0C" w:rsidRDefault="009D6A15" w:rsidP="00D04C25">
      <w:pPr>
        <w:spacing w:before="120" w:after="0"/>
        <w:jc w:val="both"/>
      </w:pPr>
      <w:r w:rsidRPr="00A54D0C">
        <w:t>and</w:t>
      </w:r>
    </w:p>
    <w:p w14:paraId="0E620A47" w14:textId="77777777" w:rsidR="009D6A15" w:rsidRPr="00A54D0C" w:rsidRDefault="002572F7" w:rsidP="00D04C25">
      <w:pPr>
        <w:spacing w:before="120" w:after="0"/>
        <w:ind w:firstLine="720"/>
        <w:jc w:val="both"/>
      </w:pPr>
      <m:oMath>
        <m:sSub>
          <m:sSubPr>
            <m:ctrlPr>
              <w:rPr>
                <w:rFonts w:ascii="Cambria Math" w:hAnsi="Cambria Math"/>
                <w:sz w:val="22"/>
              </w:rPr>
            </m:ctrlPr>
          </m:sSubPr>
          <m:e>
            <m:r>
              <m:rPr>
                <m:sty m:val="p"/>
              </m:rPr>
              <w:rPr>
                <w:rFonts w:ascii="Cambria Math" w:hAnsi="Cambria Math"/>
                <w:sz w:val="22"/>
              </w:rPr>
              <m:t>S</m:t>
            </m:r>
          </m:e>
          <m:sub>
            <m:r>
              <w:rPr>
                <w:rFonts w:ascii="Cambria Math" w:hAnsi="Cambria Math"/>
                <w:sz w:val="22"/>
              </w:rPr>
              <m:t>SD</m:t>
            </m:r>
          </m:sub>
        </m:sSub>
        <m:d>
          <m:dPr>
            <m:ctrlPr>
              <w:rPr>
                <w:rFonts w:ascii="Cambria Math" w:hAnsi="Cambria Math"/>
                <w:sz w:val="22"/>
              </w:rPr>
            </m:ctrlPr>
          </m:dPr>
          <m:e>
            <m:r>
              <m:rPr>
                <m:sty m:val="p"/>
              </m:rPr>
              <w:rPr>
                <w:rFonts w:ascii="Cambria Math" w:hAnsi="Cambria Math"/>
                <w:sz w:val="22"/>
              </w:rPr>
              <m:t>t</m:t>
            </m:r>
          </m:e>
        </m:d>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S</m:t>
            </m:r>
          </m:e>
          <m:sub>
            <m:r>
              <w:rPr>
                <w:rFonts w:ascii="Cambria Math" w:hAnsi="Cambria Math"/>
                <w:sz w:val="22"/>
              </w:rPr>
              <m:t>SD</m:t>
            </m:r>
          </m:sub>
        </m:sSub>
        <m:d>
          <m:dPr>
            <m:ctrlPr>
              <w:rPr>
                <w:rFonts w:ascii="Cambria Math" w:hAnsi="Cambria Math"/>
                <w:sz w:val="22"/>
              </w:rPr>
            </m:ctrlPr>
          </m:dPr>
          <m:e>
            <m:r>
              <w:rPr>
                <w:rFonts w:ascii="Cambria Math" w:hAnsi="Cambria Math"/>
                <w:sz w:val="22"/>
              </w:rPr>
              <m:t>θ,</m:t>
            </m:r>
            <m:sSub>
              <m:sSubPr>
                <m:ctrlPr>
                  <w:rPr>
                    <w:rFonts w:ascii="Cambria Math" w:hAnsi="Cambria Math"/>
                    <w:i/>
                    <w:sz w:val="22"/>
                  </w:rPr>
                </m:ctrlPr>
              </m:sSubPr>
              <m:e>
                <m:r>
                  <w:rPr>
                    <w:rFonts w:ascii="Cambria Math" w:hAnsi="Cambria Math"/>
                    <w:sz w:val="22"/>
                  </w:rPr>
                  <m:t>C</m:t>
                </m:r>
              </m:e>
              <m:sub>
                <m:r>
                  <w:rPr>
                    <w:rFonts w:ascii="Cambria Math" w:hAnsi="Cambria Math"/>
                    <w:sz w:val="22"/>
                  </w:rPr>
                  <m:t>ext</m:t>
                </m:r>
              </m:sub>
            </m:sSub>
            <m:r>
              <w:rPr>
                <w:rFonts w:ascii="Cambria Math" w:hAnsi="Cambria Math"/>
                <w:sz w:val="22"/>
              </w:rPr>
              <m:t>, t</m:t>
            </m:r>
          </m:e>
        </m:d>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S</m:t>
            </m:r>
          </m:e>
          <m:sub>
            <m:r>
              <w:rPr>
                <w:rFonts w:ascii="Cambria Math" w:hAnsi="Cambria Math"/>
                <w:sz w:val="22"/>
              </w:rPr>
              <m:t>SD</m:t>
            </m:r>
          </m:sub>
        </m:sSub>
        <m:d>
          <m:dPr>
            <m:ctrlPr>
              <w:rPr>
                <w:rFonts w:ascii="Cambria Math" w:hAnsi="Cambria Math"/>
                <w:sz w:val="22"/>
              </w:rPr>
            </m:ctrlPr>
          </m:dPr>
          <m:e>
            <m:r>
              <w:rPr>
                <w:rFonts w:ascii="Cambria Math" w:hAnsi="Cambria Math"/>
                <w:sz w:val="22"/>
              </w:rPr>
              <m:t>(kk,z,</m:t>
            </m:r>
            <m:sSub>
              <m:sSubPr>
                <m:ctrlPr>
                  <w:rPr>
                    <w:rFonts w:ascii="Cambria Math" w:hAnsi="Cambria Math"/>
                    <w:i/>
                    <w:sz w:val="22"/>
                  </w:rPr>
                </m:ctrlPr>
              </m:sSubPr>
              <m:e>
                <m:r>
                  <w:rPr>
                    <w:rFonts w:ascii="Cambria Math" w:hAnsi="Cambria Math"/>
                    <w:sz w:val="22"/>
                  </w:rPr>
                  <m:t>k</m:t>
                </m:r>
              </m:e>
              <m:sub>
                <m:r>
                  <w:rPr>
                    <w:rFonts w:ascii="Cambria Math" w:hAnsi="Cambria Math"/>
                    <w:sz w:val="22"/>
                  </w:rPr>
                  <m:t>D</m:t>
                </m:r>
              </m:sub>
            </m:sSub>
            <m:r>
              <w:rPr>
                <w:rFonts w:ascii="Cambria Math" w:hAnsi="Cambria Math"/>
                <w:sz w:val="22"/>
              </w:rPr>
              <m:t>,</m:t>
            </m:r>
            <m:sSub>
              <m:sSubPr>
                <m:ctrlPr>
                  <w:rPr>
                    <w:rFonts w:ascii="Cambria Math" w:hAnsi="Cambria Math"/>
                    <w:i/>
                    <w:sz w:val="22"/>
                  </w:rPr>
                </m:ctrlPr>
              </m:sSubPr>
              <m:e>
                <m:r>
                  <w:rPr>
                    <w:rFonts w:ascii="Cambria Math" w:hAnsi="Cambria Math"/>
                    <w:sz w:val="22"/>
                  </w:rPr>
                  <m:t>h</m:t>
                </m:r>
              </m:e>
              <m:sub>
                <m:r>
                  <w:rPr>
                    <w:rFonts w:ascii="Cambria Math" w:hAnsi="Cambria Math"/>
                    <w:sz w:val="22"/>
                  </w:rPr>
                  <m:t>B</m:t>
                </m:r>
              </m:sub>
            </m:sSub>
            <m:r>
              <w:rPr>
                <w:rFonts w:ascii="Cambria Math" w:hAnsi="Cambria Math"/>
                <w:sz w:val="22"/>
              </w:rPr>
              <m:t>),</m:t>
            </m:r>
            <m:sSub>
              <m:sSubPr>
                <m:ctrlPr>
                  <w:rPr>
                    <w:rFonts w:ascii="Cambria Math" w:hAnsi="Cambria Math"/>
                    <w:i/>
                    <w:sz w:val="22"/>
                  </w:rPr>
                </m:ctrlPr>
              </m:sSubPr>
              <m:e>
                <m:r>
                  <w:rPr>
                    <w:rFonts w:ascii="Cambria Math" w:hAnsi="Cambria Math"/>
                    <w:sz w:val="22"/>
                  </w:rPr>
                  <m:t>C</m:t>
                </m:r>
              </m:e>
              <m:sub>
                <m:r>
                  <w:rPr>
                    <w:rFonts w:ascii="Cambria Math" w:hAnsi="Cambria Math"/>
                    <w:sz w:val="22"/>
                  </w:rPr>
                  <m:t>ext</m:t>
                </m:r>
              </m:sub>
            </m:sSub>
            <m:r>
              <w:rPr>
                <w:rFonts w:ascii="Cambria Math" w:hAnsi="Cambria Math"/>
                <w:sz w:val="22"/>
              </w:rPr>
              <m:t>(t), t</m:t>
            </m:r>
          </m:e>
        </m:d>
      </m:oMath>
      <w:r w:rsidR="009D6A15" w:rsidRPr="00D04C25">
        <w:rPr>
          <w:sz w:val="22"/>
        </w:rPr>
        <w:t>.</w:t>
      </w:r>
      <w:r w:rsidR="00D04C25">
        <w:tab/>
      </w:r>
      <w:r w:rsidR="00D04C25">
        <w:tab/>
      </w:r>
      <w:r w:rsidR="00D04C25">
        <w:tab/>
      </w:r>
      <w:r w:rsidR="009D6A15" w:rsidRPr="00A54D0C">
        <w:t xml:space="preserve">Eq. </w:t>
      </w:r>
      <w:r w:rsidR="006377E2">
        <w:t>S</w:t>
      </w:r>
      <w:r>
        <w:fldChar w:fldCharType="begin"/>
      </w:r>
      <w:r>
        <w:instrText xml:space="preserve"> SEQ Equation \* ARABIC </w:instrText>
      </w:r>
      <w:r>
        <w:fldChar w:fldCharType="separate"/>
      </w:r>
      <w:r w:rsidR="00DD6E53">
        <w:rPr>
          <w:noProof/>
        </w:rPr>
        <w:t>7</w:t>
      </w:r>
      <w:r>
        <w:rPr>
          <w:noProof/>
        </w:rPr>
        <w:fldChar w:fldCharType="end"/>
      </w:r>
    </w:p>
    <w:p w14:paraId="623109FA" w14:textId="77777777" w:rsidR="009D6A15" w:rsidRPr="00A54D0C" w:rsidRDefault="009D6A15" w:rsidP="00D04C25">
      <w:pPr>
        <w:spacing w:before="120" w:after="0"/>
        <w:jc w:val="both"/>
      </w:pPr>
      <w:r w:rsidRPr="00A54D0C">
        <w:t>Survival data follow a multinomial distribution, hence the following likelihood function applies:</w:t>
      </w:r>
    </w:p>
    <w:p w14:paraId="0E58A0E7" w14:textId="77777777" w:rsidR="009D6A15" w:rsidRPr="00A54D0C" w:rsidRDefault="002572F7" w:rsidP="00D04C25">
      <w:pPr>
        <w:spacing w:before="120" w:after="0"/>
        <w:ind w:firstLine="720"/>
        <w:jc w:val="both"/>
      </w:pPr>
      <m:oMath>
        <m:func>
          <m:funcPr>
            <m:ctrlPr>
              <w:rPr>
                <w:rFonts w:ascii="Cambria Math" w:hAnsi="Cambria Math"/>
                <w:i/>
                <w:sz w:val="22"/>
              </w:rPr>
            </m:ctrlPr>
          </m:funcPr>
          <m:fName>
            <m:r>
              <m:rPr>
                <m:sty m:val="p"/>
              </m:rPr>
              <w:rPr>
                <w:rFonts w:ascii="Cambria Math" w:hAnsi="Cambria Math"/>
                <w:sz w:val="22"/>
              </w:rPr>
              <m:t>ln</m:t>
            </m:r>
          </m:fName>
          <m:e>
            <m:r>
              <w:rPr>
                <w:rFonts w:ascii="Cambria Math" w:hAnsi="Cambria Math"/>
                <w:sz w:val="22"/>
              </w:rPr>
              <m:t>l</m:t>
            </m:r>
            <m:d>
              <m:dPr>
                <m:ctrlPr>
                  <w:rPr>
                    <w:rFonts w:ascii="Cambria Math" w:hAnsi="Cambria Math"/>
                    <w:i/>
                    <w:sz w:val="22"/>
                  </w:rPr>
                </m:ctrlPr>
              </m:dPr>
              <m:e>
                <m:r>
                  <w:rPr>
                    <w:rFonts w:ascii="Cambria Math" w:hAnsi="Cambria Math"/>
                    <w:sz w:val="22"/>
                  </w:rPr>
                  <m:t>y</m:t>
                </m:r>
              </m:e>
              <m:e>
                <m:r>
                  <m:rPr>
                    <m:sty m:val="p"/>
                  </m:rPr>
                  <w:rPr>
                    <w:rFonts w:ascii="Cambria Math" w:hAnsi="Cambria Math"/>
                    <w:sz w:val="22"/>
                  </w:rPr>
                  <m:t>Θ</m:t>
                </m:r>
              </m:e>
            </m:d>
          </m:e>
        </m:func>
        <m:r>
          <w:rPr>
            <w:rFonts w:ascii="Cambria Math" w:hAnsi="Cambria Math"/>
            <w:sz w:val="22"/>
          </w:rPr>
          <m:t xml:space="preserve">= </m:t>
        </m:r>
        <m:nary>
          <m:naryPr>
            <m:chr m:val="∑"/>
            <m:limLoc m:val="undOvr"/>
            <m:ctrlPr>
              <w:rPr>
                <w:rFonts w:ascii="Cambria Math" w:hAnsi="Cambria Math"/>
                <w:i/>
                <w:sz w:val="22"/>
              </w:rPr>
            </m:ctrlPr>
          </m:naryPr>
          <m:sub>
            <m:r>
              <w:rPr>
                <w:rFonts w:ascii="Cambria Math" w:hAnsi="Cambria Math"/>
                <w:sz w:val="22"/>
              </w:rPr>
              <m:t>i=1</m:t>
            </m:r>
          </m:sub>
          <m:sup>
            <m:r>
              <w:rPr>
                <w:rFonts w:ascii="Cambria Math" w:hAnsi="Cambria Math"/>
                <w:sz w:val="22"/>
              </w:rPr>
              <m:t>n+1</m:t>
            </m:r>
          </m:sup>
          <m:e>
            <m:r>
              <w:rPr>
                <w:rFonts w:ascii="Cambria Math" w:hAnsi="Cambria Math"/>
                <w:sz w:val="22"/>
              </w:rPr>
              <m:t>(</m:t>
            </m:r>
            <m:sSub>
              <m:sSubPr>
                <m:ctrlPr>
                  <w:rPr>
                    <w:rFonts w:ascii="Cambria Math" w:hAnsi="Cambria Math"/>
                    <w:i/>
                    <w:sz w:val="22"/>
                  </w:rPr>
                </m:ctrlPr>
              </m:sSubPr>
              <m:e>
                <m:r>
                  <w:rPr>
                    <w:rFonts w:ascii="Cambria Math" w:hAnsi="Cambria Math"/>
                    <w:sz w:val="22"/>
                  </w:rPr>
                  <m:t>y</m:t>
                </m:r>
              </m:e>
              <m:sub>
                <m:r>
                  <w:rPr>
                    <w:rFonts w:ascii="Cambria Math" w:hAnsi="Cambria Math"/>
                    <w:sz w:val="22"/>
                  </w:rPr>
                  <m:t>i-1</m:t>
                </m:r>
              </m:sub>
            </m:sSub>
            <m:r>
              <w:rPr>
                <w:rFonts w:ascii="Cambria Math" w:hAnsi="Cambria Math"/>
                <w:sz w:val="22"/>
              </w:rPr>
              <m:t>-</m:t>
            </m:r>
            <m:sSub>
              <m:sSubPr>
                <m:ctrlPr>
                  <w:rPr>
                    <w:rFonts w:ascii="Cambria Math" w:hAnsi="Cambria Math"/>
                    <w:i/>
                    <w:sz w:val="22"/>
                  </w:rPr>
                </m:ctrlPr>
              </m:sSubPr>
              <m:e>
                <m:r>
                  <w:rPr>
                    <w:rFonts w:ascii="Cambria Math" w:hAnsi="Cambria Math"/>
                    <w:sz w:val="22"/>
                  </w:rPr>
                  <m:t>y</m:t>
                </m:r>
              </m:e>
              <m:sub>
                <m:r>
                  <w:rPr>
                    <w:rFonts w:ascii="Cambria Math" w:hAnsi="Cambria Math"/>
                    <w:sz w:val="22"/>
                  </w:rPr>
                  <m:t>i</m:t>
                </m:r>
              </m:sub>
            </m:sSub>
            <m:r>
              <w:rPr>
                <w:rFonts w:ascii="Cambria Math" w:hAnsi="Cambria Math"/>
                <w:sz w:val="22"/>
              </w:rPr>
              <m:t>)×</m:t>
            </m:r>
            <m:r>
              <m:rPr>
                <m:sty m:val="p"/>
              </m:rPr>
              <w:rPr>
                <w:rFonts w:ascii="Cambria Math" w:hAnsi="Cambria Math"/>
                <w:sz w:val="22"/>
              </w:rPr>
              <m:t>ln⁡</m:t>
            </m:r>
            <m:r>
              <w:rPr>
                <w:rFonts w:ascii="Cambria Math" w:hAnsi="Cambria Math"/>
                <w:sz w:val="22"/>
              </w:rPr>
              <m:t>(</m:t>
            </m:r>
            <m:sSub>
              <m:sSubPr>
                <m:ctrlPr>
                  <w:rPr>
                    <w:rFonts w:ascii="Cambria Math" w:hAnsi="Cambria Math"/>
                    <w:i/>
                    <w:sz w:val="22"/>
                  </w:rPr>
                </m:ctrlPr>
              </m:sSubPr>
              <m:e>
                <m:r>
                  <w:rPr>
                    <w:rFonts w:ascii="Cambria Math" w:hAnsi="Cambria Math"/>
                    <w:sz w:val="22"/>
                  </w:rPr>
                  <m:t>S</m:t>
                </m:r>
              </m:e>
              <m:sub>
                <m:r>
                  <w:rPr>
                    <w:rFonts w:ascii="Cambria Math" w:hAnsi="Cambria Math"/>
                    <w:sz w:val="22"/>
                  </w:rPr>
                  <m:t>i-1</m:t>
                </m:r>
              </m:sub>
            </m:sSub>
            <m:d>
              <m:dPr>
                <m:ctrlPr>
                  <w:rPr>
                    <w:rFonts w:ascii="Cambria Math" w:hAnsi="Cambria Math"/>
                    <w:i/>
                    <w:sz w:val="22"/>
                  </w:rPr>
                </m:ctrlPr>
              </m:dPr>
              <m:e>
                <m:r>
                  <m:rPr>
                    <m:sty m:val="p"/>
                  </m:rPr>
                  <w:rPr>
                    <w:rFonts w:ascii="Cambria Math" w:hAnsi="Cambria Math"/>
                    <w:sz w:val="22"/>
                  </w:rPr>
                  <m:t>Θ</m:t>
                </m:r>
              </m:e>
            </m:d>
            <m:r>
              <w:rPr>
                <w:rFonts w:ascii="Cambria Math" w:hAnsi="Cambria Math"/>
                <w:sz w:val="22"/>
              </w:rPr>
              <m:t>-</m:t>
            </m:r>
            <m:sSub>
              <m:sSubPr>
                <m:ctrlPr>
                  <w:rPr>
                    <w:rFonts w:ascii="Cambria Math" w:hAnsi="Cambria Math"/>
                    <w:i/>
                    <w:sz w:val="22"/>
                  </w:rPr>
                </m:ctrlPr>
              </m:sSubPr>
              <m:e>
                <m:r>
                  <w:rPr>
                    <w:rFonts w:ascii="Cambria Math" w:hAnsi="Cambria Math"/>
                    <w:sz w:val="22"/>
                  </w:rPr>
                  <m:t>S</m:t>
                </m:r>
              </m:e>
              <m:sub>
                <m:r>
                  <w:rPr>
                    <w:rFonts w:ascii="Cambria Math" w:hAnsi="Cambria Math"/>
                    <w:sz w:val="22"/>
                  </w:rPr>
                  <m:t>i</m:t>
                </m:r>
              </m:sub>
            </m:sSub>
            <m:d>
              <m:dPr>
                <m:ctrlPr>
                  <w:rPr>
                    <w:rFonts w:ascii="Cambria Math" w:hAnsi="Cambria Math"/>
                    <w:i/>
                    <w:sz w:val="22"/>
                  </w:rPr>
                </m:ctrlPr>
              </m:dPr>
              <m:e>
                <m:r>
                  <m:rPr>
                    <m:sty m:val="p"/>
                  </m:rPr>
                  <w:rPr>
                    <w:rFonts w:ascii="Cambria Math" w:hAnsi="Cambria Math"/>
                    <w:sz w:val="22"/>
                  </w:rPr>
                  <m:t>Θ</m:t>
                </m:r>
              </m:e>
            </m:d>
            <m:r>
              <w:rPr>
                <w:rFonts w:ascii="Cambria Math" w:hAnsi="Cambria Math"/>
                <w:sz w:val="22"/>
              </w:rPr>
              <m:t>)</m:t>
            </m:r>
          </m:e>
        </m:nary>
      </m:oMath>
      <w:r w:rsidR="009D6A15" w:rsidRPr="00A54D0C">
        <w:tab/>
      </w:r>
      <w:r w:rsidR="009D6A15" w:rsidRPr="00A54D0C">
        <w:tab/>
      </w:r>
      <w:r w:rsidR="009D6A15" w:rsidRPr="00A54D0C">
        <w:tab/>
      </w:r>
      <w:r w:rsidR="009D6A15" w:rsidRPr="00A54D0C">
        <w:tab/>
        <w:t xml:space="preserve">Eq. </w:t>
      </w:r>
      <w:r w:rsidR="006377E2">
        <w:t>S</w:t>
      </w:r>
      <w:r>
        <w:fldChar w:fldCharType="begin"/>
      </w:r>
      <w:r>
        <w:instrText xml:space="preserve"> SEQ Equa</w:instrText>
      </w:r>
      <w:r>
        <w:instrText xml:space="preserve">tion \* ARABIC </w:instrText>
      </w:r>
      <w:r>
        <w:fldChar w:fldCharType="separate"/>
      </w:r>
      <w:r w:rsidR="00DD6E53">
        <w:rPr>
          <w:noProof/>
        </w:rPr>
        <w:t>8</w:t>
      </w:r>
      <w:r>
        <w:rPr>
          <w:noProof/>
        </w:rPr>
        <w:fldChar w:fldCharType="end"/>
      </w:r>
    </w:p>
    <w:p w14:paraId="792172AA" w14:textId="77777777" w:rsidR="009D6A15" w:rsidRPr="00A54D0C" w:rsidRDefault="009D6A15" w:rsidP="00D04C25">
      <w:pPr>
        <w:spacing w:before="120" w:after="0"/>
        <w:jc w:val="both"/>
      </w:pPr>
      <w:r>
        <w:t>E</w:t>
      </w:r>
      <w:r w:rsidRPr="00A54D0C">
        <w:t xml:space="preserve">quation </w:t>
      </w:r>
      <w:r w:rsidR="006377E2">
        <w:t>S</w:t>
      </w:r>
      <w:r w:rsidRPr="00A54D0C">
        <w:t xml:space="preserve">8 measures the goodness-of-fit of a survival model, given that </w:t>
      </w:r>
      <w:proofErr w:type="spellStart"/>
      <w:r w:rsidRPr="00A54D0C">
        <w:rPr>
          <w:i/>
        </w:rPr>
        <w:t>y</w:t>
      </w:r>
      <w:r w:rsidRPr="00A54D0C">
        <w:rPr>
          <w:i/>
          <w:vertAlign w:val="subscript"/>
        </w:rPr>
        <w:t>i</w:t>
      </w:r>
      <w:proofErr w:type="spellEnd"/>
      <w:r w:rsidRPr="00A54D0C">
        <w:rPr>
          <w:i/>
          <w:vertAlign w:val="subscript"/>
        </w:rPr>
        <w:t xml:space="preserve"> </w:t>
      </w:r>
      <w:r w:rsidRPr="00A54D0C">
        <w:t xml:space="preserve">are experimental observations at sampling times </w:t>
      </w:r>
      <w:proofErr w:type="spellStart"/>
      <w:r w:rsidRPr="00A54D0C">
        <w:rPr>
          <w:i/>
        </w:rPr>
        <w:t>i</w:t>
      </w:r>
      <w:proofErr w:type="spellEnd"/>
      <w:r w:rsidRPr="00A54D0C">
        <w:t xml:space="preserve">, and </w:t>
      </w:r>
      <w:r w:rsidRPr="00A54D0C">
        <w:rPr>
          <w:i/>
        </w:rPr>
        <w:t>S</w:t>
      </w:r>
      <w:r w:rsidRPr="00A54D0C">
        <w:rPr>
          <w:i/>
          <w:vertAlign w:val="subscript"/>
        </w:rPr>
        <w:t>i</w:t>
      </w:r>
      <w:r w:rsidRPr="00A54D0C">
        <w:t xml:space="preserve"> are simulated survival probabilities at time </w:t>
      </w:r>
      <w:proofErr w:type="spellStart"/>
      <w:r w:rsidRPr="00A54D0C">
        <w:rPr>
          <w:i/>
        </w:rPr>
        <w:t>i</w:t>
      </w:r>
      <w:proofErr w:type="spellEnd"/>
      <w:r w:rsidRPr="00A54D0C">
        <w:t xml:space="preserve">, given the parameter vector </w:t>
      </w:r>
      <w:r w:rsidRPr="00A54D0C">
        <w:rPr>
          <w:i/>
        </w:rPr>
        <w:t>Θ</w:t>
      </w:r>
      <w:r w:rsidRPr="00A54D0C">
        <w:t xml:space="preserve">. The log-likelihood function shows maximum values </w:t>
      </w:r>
      <w:proofErr w:type="spellStart"/>
      <w:r w:rsidRPr="00A54D0C">
        <w:t>L</w:t>
      </w:r>
      <w:r w:rsidRPr="00A54D0C">
        <w:rPr>
          <w:vertAlign w:val="superscript"/>
        </w:rPr>
        <w:t>opt</w:t>
      </w:r>
      <w:proofErr w:type="spellEnd"/>
      <w:r w:rsidRPr="00A54D0C">
        <w:t xml:space="preserve"> for an optimal fit between observed and simulated survival. In practice, usually the negative of the log-likelihood function, also called model error, is used because parameter estimation algorithms often minimise the objective function. The smaller the objective function, the better is the fit.</w:t>
      </w:r>
    </w:p>
    <w:p w14:paraId="1338DF2B" w14:textId="59077C87" w:rsidR="009D6A15" w:rsidRDefault="009D6A15" w:rsidP="00D04C25">
      <w:pPr>
        <w:spacing w:before="120" w:after="0"/>
        <w:jc w:val="both"/>
      </w:pPr>
      <w:r w:rsidRPr="00A54D0C">
        <w:t xml:space="preserve">For this, the built-in optimisation routine </w:t>
      </w:r>
      <w:r w:rsidRPr="00A54D0C">
        <w:rPr>
          <w:i/>
        </w:rPr>
        <w:t>Simulated Annealing</w:t>
      </w:r>
      <w:r w:rsidRPr="00A54D0C">
        <w:t xml:space="preserve"> of the method </w:t>
      </w:r>
      <w:proofErr w:type="spellStart"/>
      <w:r w:rsidRPr="00A54D0C">
        <w:rPr>
          <w:i/>
        </w:rPr>
        <w:t>NMinimize</w:t>
      </w:r>
      <w:proofErr w:type="spellEnd"/>
      <w:r w:rsidRPr="00A54D0C">
        <w:t xml:space="preserve"> of Mathematica (Wolfram Research, version 10.0) was used to obtain parameter sets for the best fit between data and model simulations by minimizing the </w:t>
      </w:r>
      <w:r w:rsidR="009E3068">
        <w:t>negative of the log-likelihood function</w:t>
      </w:r>
      <w:r w:rsidRPr="00A54D0C">
        <w:t>, i.e. maximize the log-likelihood function itself.</w:t>
      </w:r>
      <w:r w:rsidR="004E0232">
        <w:t xml:space="preserve"> </w:t>
      </w:r>
      <w:r w:rsidR="009E3068">
        <w:t xml:space="preserve">Global stochastic optimiser algorithms like the used </w:t>
      </w:r>
      <w:proofErr w:type="spellStart"/>
      <w:r w:rsidR="009E3068">
        <w:t>SimulatedAnnealing</w:t>
      </w:r>
      <w:proofErr w:type="spellEnd"/>
      <w:r w:rsidR="009E3068">
        <w:t xml:space="preserve"> algorithm are supposed to deliver stable global optimal parameter sets. </w:t>
      </w:r>
      <w:r w:rsidR="00F102D6">
        <w:t xml:space="preserve">Convergence of the </w:t>
      </w:r>
      <w:r w:rsidR="00603347">
        <w:t>optimisation</w:t>
      </w:r>
      <w:r w:rsidR="00F102D6">
        <w:t xml:space="preserve"> was checked by visual inspection of the fitted </w:t>
      </w:r>
      <w:r w:rsidR="00603347">
        <w:t>survival</w:t>
      </w:r>
      <w:r w:rsidR="00F102D6">
        <w:t xml:space="preserve"> over time (</w:t>
      </w:r>
      <w:r w:rsidR="00F102D6" w:rsidRPr="00603347">
        <w:rPr>
          <w:highlight w:val="yellow"/>
        </w:rPr>
        <w:t xml:space="preserve">figure </w:t>
      </w:r>
      <w:r w:rsidR="00956B05">
        <w:rPr>
          <w:highlight w:val="yellow"/>
        </w:rPr>
        <w:t>ESM3</w:t>
      </w:r>
      <w:r w:rsidR="00956B05">
        <w:t>.S1</w:t>
      </w:r>
      <w:r w:rsidR="00F102D6">
        <w:t xml:space="preserve">). </w:t>
      </w:r>
      <w:r w:rsidR="004E0232">
        <w:t xml:space="preserve">Settings </w:t>
      </w:r>
      <w:r w:rsidR="00297665">
        <w:t xml:space="preserve">of the </w:t>
      </w:r>
      <w:proofErr w:type="spellStart"/>
      <w:r w:rsidR="00297665">
        <w:t>NMinimize</w:t>
      </w:r>
      <w:proofErr w:type="spellEnd"/>
      <w:r w:rsidR="00297665">
        <w:t xml:space="preserve"> method were: Method=</w:t>
      </w:r>
      <w:proofErr w:type="spellStart"/>
      <w:r w:rsidR="00297665">
        <w:t>SimulatedAnnealing</w:t>
      </w:r>
      <w:proofErr w:type="spellEnd"/>
      <w:r w:rsidR="00297665">
        <w:t xml:space="preserve">, </w:t>
      </w:r>
      <w:proofErr w:type="spellStart"/>
      <w:r w:rsidR="00297665">
        <w:t>PerturbationScale</w:t>
      </w:r>
      <w:proofErr w:type="spellEnd"/>
      <w:r w:rsidR="00297665">
        <w:t xml:space="preserve">=3, </w:t>
      </w:r>
      <w:proofErr w:type="spellStart"/>
      <w:r w:rsidR="00297665">
        <w:t>SearchPoints</w:t>
      </w:r>
      <w:proofErr w:type="spellEnd"/>
      <w:r w:rsidR="00297665">
        <w:t xml:space="preserve">=50, </w:t>
      </w:r>
      <w:proofErr w:type="spellStart"/>
      <w:r w:rsidR="00297665">
        <w:t>PrecisionGoal</w:t>
      </w:r>
      <w:proofErr w:type="spellEnd"/>
      <w:r w:rsidR="00297665">
        <w:t xml:space="preserve"> = 8, </w:t>
      </w:r>
      <w:proofErr w:type="spellStart"/>
      <w:r w:rsidR="00297665">
        <w:t>MaxIterations</w:t>
      </w:r>
      <w:proofErr w:type="spellEnd"/>
      <w:r w:rsidR="00297665">
        <w:t xml:space="preserve"> = 20. For the numerical integration of the differential equations, the </w:t>
      </w:r>
      <w:r w:rsidR="000D0FF5">
        <w:t>b</w:t>
      </w:r>
      <w:r w:rsidR="00297665">
        <w:t xml:space="preserve">uilt-in ODE Solver </w:t>
      </w:r>
      <w:proofErr w:type="spellStart"/>
      <w:r w:rsidR="00297665">
        <w:t>NSolve</w:t>
      </w:r>
      <w:proofErr w:type="spellEnd"/>
      <w:r w:rsidR="00297665">
        <w:t xml:space="preserve"> was used with the settings Method=</w:t>
      </w:r>
      <w:proofErr w:type="spellStart"/>
      <w:r w:rsidR="00297665">
        <w:t>StiffnessSwitching</w:t>
      </w:r>
      <w:proofErr w:type="spellEnd"/>
      <w:r w:rsidR="00297665">
        <w:t xml:space="preserve">, </w:t>
      </w:r>
      <w:proofErr w:type="spellStart"/>
      <w:r w:rsidR="00297665">
        <w:t>MaxStepSize</w:t>
      </w:r>
      <w:proofErr w:type="spellEnd"/>
      <w:r w:rsidR="00297665">
        <w:t xml:space="preserve"> =0.04, </w:t>
      </w:r>
      <w:proofErr w:type="spellStart"/>
      <w:r w:rsidR="00297665">
        <w:t>AccuracyGoal</w:t>
      </w:r>
      <w:proofErr w:type="spellEnd"/>
      <w:r w:rsidR="00297665">
        <w:t xml:space="preserve"> = 12.</w:t>
      </w:r>
    </w:p>
    <w:p w14:paraId="07D62E65" w14:textId="77777777" w:rsidR="009E3068" w:rsidRDefault="009E3068" w:rsidP="00D04C25">
      <w:pPr>
        <w:spacing w:before="120" w:after="0"/>
        <w:jc w:val="both"/>
      </w:pPr>
      <w:r>
        <w:t>R</w:t>
      </w:r>
      <w:r w:rsidRPr="009E3068">
        <w:t>andom numbers between 0 and 5 (between 0 and 0.5 for the background mortality) were used</w:t>
      </w:r>
      <w:r>
        <w:t xml:space="preserve"> as starting values for parameter estimation</w:t>
      </w:r>
      <w:r w:rsidRPr="009E3068">
        <w:t>. The optimization was repeated three times, where for the second and third optimization run random numbers between 0 and the ceiling of the optimal value of the optimization run before were used as starting values. There were no constraints on the parameter intervals, only they had to be positive (&gt; 0). No further assumptions were made to identify the optimal parameter values</w:t>
      </w:r>
      <w:r>
        <w:t xml:space="preserve">. </w:t>
      </w:r>
    </w:p>
    <w:p w14:paraId="3EBE8DE4" w14:textId="77777777" w:rsidR="009D6A15" w:rsidRPr="00A54D0C" w:rsidRDefault="009D6A15" w:rsidP="00D04C25">
      <w:pPr>
        <w:spacing w:before="120" w:after="0"/>
        <w:jc w:val="both"/>
      </w:pPr>
      <w:r w:rsidRPr="00A54D0C">
        <w:t xml:space="preserve">The optimisation routine yielded an optimal parameter vector </w:t>
      </w:r>
      <w:proofErr w:type="spellStart"/>
      <w:r w:rsidRPr="00A54D0C">
        <w:rPr>
          <w:i/>
        </w:rPr>
        <w:t>Θ</w:t>
      </w:r>
      <w:r w:rsidRPr="00A54D0C">
        <w:rPr>
          <w:i/>
          <w:vertAlign w:val="superscript"/>
        </w:rPr>
        <w:t>opt</w:t>
      </w:r>
      <w:proofErr w:type="spellEnd"/>
      <w:r w:rsidRPr="00A54D0C">
        <w:rPr>
          <w:i/>
          <w:vertAlign w:val="superscript"/>
        </w:rPr>
        <w:t xml:space="preserve"> </w:t>
      </w:r>
      <w:r w:rsidRPr="00A54D0C">
        <w:t xml:space="preserve">for which the log-likelihood function shows the highest values </w:t>
      </w:r>
      <m:oMath>
        <m:func>
          <m:funcPr>
            <m:ctrlPr>
              <w:rPr>
                <w:rFonts w:ascii="Cambria Math" w:hAnsi="Cambria Math"/>
                <w:i/>
              </w:rPr>
            </m:ctrlPr>
          </m:funcPr>
          <m:fName>
            <m:r>
              <m:rPr>
                <m:sty m:val="p"/>
              </m:rPr>
              <w:rPr>
                <w:rFonts w:ascii="Cambria Math" w:hAnsi="Cambria Math"/>
              </w:rPr>
              <m:t>ln</m:t>
            </m:r>
          </m:fName>
          <m:e>
            <m:r>
              <w:rPr>
                <w:rFonts w:ascii="Cambria Math" w:hAnsi="Cambria Math"/>
              </w:rPr>
              <m:t>l</m:t>
            </m:r>
            <m:d>
              <m:dPr>
                <m:ctrlPr>
                  <w:rPr>
                    <w:rFonts w:ascii="Cambria Math" w:hAnsi="Cambria Math"/>
                    <w:i/>
                  </w:rPr>
                </m:ctrlPr>
              </m:dPr>
              <m:e>
                <m:r>
                  <w:rPr>
                    <w:rFonts w:ascii="Cambria Math" w:hAnsi="Cambria Math"/>
                  </w:rPr>
                  <m:t>y</m:t>
                </m:r>
              </m:e>
              <m:e>
                <m:sSup>
                  <m:sSupPr>
                    <m:ctrlPr>
                      <w:rPr>
                        <w:rFonts w:ascii="Cambria Math" w:hAnsi="Cambria Math"/>
                      </w:rPr>
                    </m:ctrlPr>
                  </m:sSupPr>
                  <m:e>
                    <m:r>
                      <m:rPr>
                        <m:sty m:val="p"/>
                      </m:rPr>
                      <w:rPr>
                        <w:rFonts w:ascii="Cambria Math" w:hAnsi="Cambria Math"/>
                      </w:rPr>
                      <m:t>Θ</m:t>
                    </m:r>
                  </m:e>
                  <m:sup>
                    <m:r>
                      <w:rPr>
                        <w:rFonts w:ascii="Cambria Math" w:hAnsi="Cambria Math"/>
                      </w:rPr>
                      <m:t>opt</m:t>
                    </m:r>
                  </m:sup>
                </m:sSup>
              </m:e>
            </m:d>
          </m:e>
        </m:func>
      </m:oMath>
      <w:r w:rsidRPr="00A54D0C">
        <w:t xml:space="preserve"> given the data set </w:t>
      </w:r>
      <w:r w:rsidRPr="00A54D0C">
        <w:rPr>
          <w:i/>
        </w:rPr>
        <w:t xml:space="preserve">y. </w:t>
      </w:r>
      <w:r w:rsidRPr="00A54D0C">
        <w:t xml:space="preserve">Optimisation was repeated two times after the first optimisation run, each time using the optimum values from the optimisation step before as starting values, finally resulting in an optimal parameter set </w:t>
      </w:r>
      <w:proofErr w:type="spellStart"/>
      <w:r w:rsidRPr="00A54D0C">
        <w:rPr>
          <w:i/>
        </w:rPr>
        <w:t>Θ</w:t>
      </w:r>
      <w:r w:rsidRPr="00A54D0C">
        <w:rPr>
          <w:i/>
          <w:vertAlign w:val="superscript"/>
        </w:rPr>
        <w:t>opt</w:t>
      </w:r>
      <w:proofErr w:type="spellEnd"/>
      <w:r w:rsidRPr="00A54D0C">
        <w:t xml:space="preserve"> for each species and model version. All parameter vectors </w:t>
      </w:r>
      <w:r w:rsidRPr="00A54D0C">
        <w:rPr>
          <w:i/>
        </w:rPr>
        <w:t>Θ</w:t>
      </w:r>
      <w:r w:rsidRPr="00A54D0C">
        <w:rPr>
          <w:i/>
          <w:vertAlign w:val="superscript"/>
        </w:rPr>
        <w:t xml:space="preserve"> </w:t>
      </w:r>
      <w:r w:rsidRPr="00A54D0C">
        <w:t>being tested during the optimisation routine have been stored together with the resulting likelihood values</w:t>
      </w:r>
      <w:r w:rsidRPr="00A54D0C">
        <w:rPr>
          <w:i/>
        </w:rPr>
        <w:t xml:space="preserve"> </w:t>
      </w:r>
      <m:oMath>
        <m:func>
          <m:funcPr>
            <m:ctrlPr>
              <w:rPr>
                <w:rFonts w:ascii="Cambria Math" w:hAnsi="Cambria Math"/>
                <w:i/>
              </w:rPr>
            </m:ctrlPr>
          </m:funcPr>
          <m:fName>
            <m:r>
              <m:rPr>
                <m:sty m:val="p"/>
              </m:rPr>
              <w:rPr>
                <w:rFonts w:ascii="Cambria Math" w:hAnsi="Cambria Math"/>
              </w:rPr>
              <m:t>ln</m:t>
            </m:r>
          </m:fName>
          <m:e>
            <m:r>
              <w:rPr>
                <w:rFonts w:ascii="Cambria Math" w:hAnsi="Cambria Math"/>
              </w:rPr>
              <m:t>l</m:t>
            </m:r>
            <m:d>
              <m:dPr>
                <m:ctrlPr>
                  <w:rPr>
                    <w:rFonts w:ascii="Cambria Math" w:hAnsi="Cambria Math"/>
                    <w:i/>
                  </w:rPr>
                </m:ctrlPr>
              </m:dPr>
              <m:e>
                <m:r>
                  <w:rPr>
                    <w:rFonts w:ascii="Cambria Math" w:hAnsi="Cambria Math"/>
                  </w:rPr>
                  <m:t>y</m:t>
                </m:r>
              </m:e>
              <m:e>
                <m:r>
                  <w:rPr>
                    <w:rFonts w:ascii="Cambria Math" w:hAnsi="Cambria Math"/>
                  </w:rPr>
                  <m:t>θ</m:t>
                </m:r>
              </m:e>
            </m:d>
          </m:e>
        </m:func>
      </m:oMath>
      <w:r w:rsidRPr="00A54D0C">
        <w:t xml:space="preserve"> for further analyses.</w:t>
      </w:r>
    </w:p>
    <w:p w14:paraId="2F563C52" w14:textId="77777777" w:rsidR="009D6A15" w:rsidRPr="00A54D0C" w:rsidRDefault="009D6A15" w:rsidP="00C96E9E">
      <w:pPr>
        <w:pStyle w:val="Heading2"/>
      </w:pPr>
      <w:bookmarkStart w:id="6" w:name="_Toc427583313"/>
      <w:bookmarkStart w:id="7" w:name="_Toc510179360"/>
      <w:r w:rsidRPr="00A54D0C">
        <w:t>Numerical estimation of parameter confidence intervals</w:t>
      </w:r>
      <w:bookmarkEnd w:id="6"/>
      <w:bookmarkEnd w:id="7"/>
    </w:p>
    <w:p w14:paraId="1A54DD20" w14:textId="77777777" w:rsidR="009D6A15" w:rsidRPr="00A54D0C" w:rsidRDefault="009D6A15" w:rsidP="00D04C25">
      <w:pPr>
        <w:spacing w:before="120" w:after="0"/>
        <w:jc w:val="both"/>
        <w:rPr>
          <w:rFonts w:eastAsia="Times New Roman"/>
        </w:rPr>
      </w:pPr>
      <w:r w:rsidRPr="00A54D0C">
        <w:rPr>
          <w:rFonts w:eastAsia="Times New Roman"/>
        </w:rPr>
        <w:t xml:space="preserve">The likelihood ratio method was used to estimate confidence intervals for the optimal parameter </w:t>
      </w:r>
      <w:proofErr w:type="spellStart"/>
      <w:r w:rsidRPr="00A54D0C">
        <w:rPr>
          <w:rFonts w:eastAsia="Times New Roman"/>
          <w:i/>
        </w:rPr>
        <w:t>Θ</w:t>
      </w:r>
      <w:r w:rsidRPr="00A54D0C">
        <w:rPr>
          <w:rFonts w:eastAsia="Times New Roman"/>
          <w:i/>
          <w:vertAlign w:val="superscript"/>
        </w:rPr>
        <w:t>opt</w:t>
      </w:r>
      <w:proofErr w:type="spellEnd"/>
      <w:r w:rsidRPr="00A54D0C">
        <w:rPr>
          <w:rFonts w:eastAsia="Times New Roman"/>
          <w:i/>
          <w:vertAlign w:val="superscript"/>
        </w:rPr>
        <w:t xml:space="preserve"> </w:t>
      </w:r>
      <w:r w:rsidRPr="00A54D0C">
        <w:rPr>
          <w:rFonts w:eastAsia="Times New Roman"/>
        </w:rPr>
        <w:t xml:space="preserve">(Meeker &amp; Escobar, 1995; </w:t>
      </w:r>
      <w:proofErr w:type="spellStart"/>
      <w:r w:rsidRPr="00A54D0C">
        <w:rPr>
          <w:rFonts w:eastAsia="Times New Roman"/>
        </w:rPr>
        <w:t>Vugrin</w:t>
      </w:r>
      <w:proofErr w:type="spellEnd"/>
      <w:r w:rsidRPr="00A54D0C">
        <w:rPr>
          <w:rFonts w:eastAsia="Times New Roman"/>
        </w:rPr>
        <w:t xml:space="preserve"> et al., 2007). Confidence intervals for the single parameters for a given confidence level </w:t>
      </w:r>
      <w:r w:rsidRPr="00A54D0C">
        <w:rPr>
          <w:rFonts w:eastAsia="Times New Roman"/>
          <w:i/>
        </w:rPr>
        <w:t>α</w:t>
      </w:r>
      <w:r w:rsidRPr="00A54D0C">
        <w:rPr>
          <w:rFonts w:eastAsia="Times New Roman"/>
        </w:rPr>
        <w:t xml:space="preserve"> were calculated as those parameter values, for which the likelihood ratio fulfils the condition </w:t>
      </w:r>
    </w:p>
    <w:p w14:paraId="44B3C51B" w14:textId="77777777" w:rsidR="009D6A15" w:rsidRPr="00A54D0C" w:rsidRDefault="009D6A15" w:rsidP="00D04C25">
      <w:pPr>
        <w:spacing w:before="120" w:after="0"/>
        <w:ind w:firstLine="720"/>
        <w:jc w:val="both"/>
      </w:pPr>
      <m:oMath>
        <m:r>
          <w:rPr>
            <w:rFonts w:ascii="Cambria Math" w:eastAsia="Times New Roman" w:hAnsi="Cambria Math"/>
            <w:sz w:val="22"/>
          </w:rPr>
          <m:t>-2</m:t>
        </m:r>
        <m:func>
          <m:funcPr>
            <m:ctrlPr>
              <w:rPr>
                <w:rFonts w:ascii="Cambria Math" w:eastAsia="Times New Roman" w:hAnsi="Cambria Math"/>
                <w:i/>
                <w:sz w:val="22"/>
              </w:rPr>
            </m:ctrlPr>
          </m:funcPr>
          <m:fName>
            <m:d>
              <m:dPr>
                <m:begChr m:val="["/>
                <m:endChr m:val="]"/>
                <m:ctrlPr>
                  <w:rPr>
                    <w:rFonts w:ascii="Cambria Math" w:eastAsia="Times New Roman" w:hAnsi="Cambria Math"/>
                    <w:sz w:val="22"/>
                  </w:rPr>
                </m:ctrlPr>
              </m:dPr>
              <m:e>
                <m:func>
                  <m:funcPr>
                    <m:ctrlPr>
                      <w:rPr>
                        <w:rFonts w:ascii="Cambria Math" w:eastAsia="Times New Roman" w:hAnsi="Cambria Math"/>
                        <w:i/>
                        <w:sz w:val="22"/>
                      </w:rPr>
                    </m:ctrlPr>
                  </m:funcPr>
                  <m:fName>
                    <m:r>
                      <m:rPr>
                        <m:sty m:val="p"/>
                      </m:rPr>
                      <w:rPr>
                        <w:rFonts w:ascii="Cambria Math" w:eastAsia="Times New Roman" w:hAnsi="Cambria Math"/>
                        <w:sz w:val="22"/>
                      </w:rPr>
                      <m:t>ln</m:t>
                    </m:r>
                  </m:fName>
                  <m:e>
                    <m:r>
                      <w:rPr>
                        <w:rFonts w:ascii="Cambria Math" w:eastAsia="Times New Roman" w:hAnsi="Cambria Math"/>
                        <w:sz w:val="22"/>
                      </w:rPr>
                      <m:t>l</m:t>
                    </m:r>
                    <m:d>
                      <m:dPr>
                        <m:ctrlPr>
                          <w:rPr>
                            <w:rFonts w:ascii="Cambria Math" w:eastAsia="Times New Roman" w:hAnsi="Cambria Math"/>
                            <w:i/>
                            <w:sz w:val="22"/>
                          </w:rPr>
                        </m:ctrlPr>
                      </m:dPr>
                      <m:e>
                        <m:r>
                          <w:rPr>
                            <w:rFonts w:ascii="Cambria Math" w:eastAsia="Times New Roman" w:hAnsi="Cambria Math"/>
                            <w:sz w:val="22"/>
                          </w:rPr>
                          <m:t>y</m:t>
                        </m:r>
                      </m:e>
                      <m:e>
                        <m:r>
                          <m:rPr>
                            <m:sty m:val="p"/>
                          </m:rPr>
                          <w:rPr>
                            <w:rFonts w:ascii="Cambria Math" w:eastAsia="Times New Roman" w:hAnsi="Cambria Math"/>
                            <w:sz w:val="22"/>
                          </w:rPr>
                          <m:t>Θ</m:t>
                        </m:r>
                      </m:e>
                    </m:d>
                    <m:r>
                      <w:rPr>
                        <w:rFonts w:ascii="Cambria Math" w:eastAsia="Times New Roman" w:hAnsi="Cambria Math"/>
                        <w:sz w:val="22"/>
                      </w:rPr>
                      <m:t>-</m:t>
                    </m:r>
                    <m:func>
                      <m:funcPr>
                        <m:ctrlPr>
                          <w:rPr>
                            <w:rFonts w:ascii="Cambria Math" w:eastAsia="Times New Roman" w:hAnsi="Cambria Math"/>
                            <w:i/>
                            <w:sz w:val="22"/>
                          </w:rPr>
                        </m:ctrlPr>
                      </m:funcPr>
                      <m:fName>
                        <m:r>
                          <m:rPr>
                            <m:sty m:val="p"/>
                          </m:rPr>
                          <w:rPr>
                            <w:rFonts w:ascii="Cambria Math" w:eastAsia="Times New Roman" w:hAnsi="Cambria Math"/>
                            <w:sz w:val="22"/>
                          </w:rPr>
                          <m:t>ln</m:t>
                        </m:r>
                      </m:fName>
                      <m:e>
                        <m:r>
                          <w:rPr>
                            <w:rFonts w:ascii="Cambria Math" w:eastAsia="Times New Roman" w:hAnsi="Cambria Math"/>
                            <w:sz w:val="22"/>
                          </w:rPr>
                          <m:t>l</m:t>
                        </m:r>
                        <m:d>
                          <m:dPr>
                            <m:ctrlPr>
                              <w:rPr>
                                <w:rFonts w:ascii="Cambria Math" w:eastAsia="Times New Roman" w:hAnsi="Cambria Math"/>
                                <w:i/>
                                <w:sz w:val="22"/>
                              </w:rPr>
                            </m:ctrlPr>
                          </m:dPr>
                          <m:e>
                            <m:r>
                              <w:rPr>
                                <w:rFonts w:ascii="Cambria Math" w:eastAsia="Times New Roman" w:hAnsi="Cambria Math"/>
                                <w:sz w:val="22"/>
                              </w:rPr>
                              <m:t>y</m:t>
                            </m:r>
                          </m:e>
                          <m:e>
                            <m:sSup>
                              <m:sSupPr>
                                <m:ctrlPr>
                                  <w:rPr>
                                    <w:rFonts w:ascii="Cambria Math" w:eastAsia="Times New Roman" w:hAnsi="Cambria Math"/>
                                    <w:sz w:val="22"/>
                                  </w:rPr>
                                </m:ctrlPr>
                              </m:sSupPr>
                              <m:e>
                                <m:r>
                                  <m:rPr>
                                    <m:sty m:val="p"/>
                                  </m:rPr>
                                  <w:rPr>
                                    <w:rFonts w:ascii="Cambria Math" w:eastAsia="Times New Roman" w:hAnsi="Cambria Math"/>
                                    <w:sz w:val="22"/>
                                  </w:rPr>
                                  <m:t>Θ</m:t>
                                </m:r>
                              </m:e>
                              <m:sup>
                                <m:r>
                                  <w:rPr>
                                    <w:rFonts w:ascii="Cambria Math" w:eastAsia="Times New Roman" w:hAnsi="Cambria Math"/>
                                    <w:sz w:val="22"/>
                                  </w:rPr>
                                  <m:t>opt</m:t>
                                </m:r>
                              </m:sup>
                            </m:sSup>
                          </m:e>
                        </m:d>
                      </m:e>
                    </m:func>
                  </m:e>
                </m:func>
              </m:e>
            </m:d>
          </m:fName>
          <m:e>
            <m:r>
              <w:rPr>
                <w:rFonts w:ascii="Cambria Math" w:eastAsia="Times New Roman" w:hAnsi="Cambria Math"/>
                <w:sz w:val="22"/>
              </w:rPr>
              <m:t>≤</m:t>
            </m:r>
          </m:e>
        </m:func>
        <m:sSubSup>
          <m:sSubSupPr>
            <m:ctrlPr>
              <w:rPr>
                <w:rFonts w:ascii="Cambria Math" w:eastAsia="Times New Roman" w:hAnsi="Cambria Math"/>
                <w:i/>
                <w:sz w:val="22"/>
              </w:rPr>
            </m:ctrlPr>
          </m:sSubSupPr>
          <m:e>
            <m:r>
              <w:rPr>
                <w:rFonts w:ascii="Cambria Math" w:eastAsia="Times New Roman" w:hAnsi="Cambria Math"/>
                <w:sz w:val="22"/>
              </w:rPr>
              <m:t>χ</m:t>
            </m:r>
          </m:e>
          <m:sub>
            <m:r>
              <w:rPr>
                <w:rFonts w:ascii="Cambria Math" w:eastAsia="Times New Roman" w:hAnsi="Cambria Math"/>
                <w:sz w:val="22"/>
              </w:rPr>
              <m:t>df,1-α</m:t>
            </m:r>
          </m:sub>
          <m:sup>
            <m:r>
              <w:rPr>
                <w:rFonts w:ascii="Cambria Math" w:eastAsia="Times New Roman" w:hAnsi="Cambria Math"/>
                <w:sz w:val="22"/>
              </w:rPr>
              <m:t>2</m:t>
            </m:r>
          </m:sup>
        </m:sSubSup>
      </m:oMath>
      <w:r w:rsidRPr="00A54D0C">
        <w:rPr>
          <w:rFonts w:eastAsia="Times New Roman"/>
          <w:sz w:val="20"/>
        </w:rPr>
        <w:tab/>
      </w:r>
      <w:r w:rsidR="00D04C25">
        <w:rPr>
          <w:rFonts w:eastAsia="Times New Roman"/>
        </w:rPr>
        <w:tab/>
      </w:r>
      <w:r w:rsidR="00D04C25">
        <w:rPr>
          <w:rFonts w:eastAsia="Times New Roman"/>
        </w:rPr>
        <w:tab/>
      </w:r>
      <w:r w:rsidR="00D04C25">
        <w:rPr>
          <w:rFonts w:eastAsia="Times New Roman"/>
        </w:rPr>
        <w:tab/>
      </w:r>
      <w:r w:rsidR="00D04C25">
        <w:rPr>
          <w:rFonts w:eastAsia="Times New Roman"/>
        </w:rPr>
        <w:tab/>
      </w:r>
      <w:r w:rsidRPr="00A54D0C">
        <w:t xml:space="preserve">Eq. </w:t>
      </w:r>
      <w:r w:rsidR="006377E2">
        <w:t>S</w:t>
      </w:r>
      <w:r w:rsidRPr="00A54D0C">
        <w:t>9</w:t>
      </w:r>
    </w:p>
    <w:p w14:paraId="3F9D644A" w14:textId="77777777" w:rsidR="009D6A15" w:rsidRPr="00A54D0C" w:rsidRDefault="009D6A15" w:rsidP="00D04C25">
      <w:pPr>
        <w:spacing w:before="120" w:after="0"/>
        <w:jc w:val="both"/>
      </w:pPr>
      <w:r w:rsidRPr="00A54D0C">
        <w:t xml:space="preserve">with </w:t>
      </w:r>
      <m:oMath>
        <m:sSubSup>
          <m:sSubSupPr>
            <m:ctrlPr>
              <w:rPr>
                <w:rFonts w:ascii="Cambria Math" w:hAnsi="Cambria Math"/>
              </w:rPr>
            </m:ctrlPr>
          </m:sSubSupPr>
          <m:e>
            <m:r>
              <m:rPr>
                <m:sty m:val="p"/>
              </m:rPr>
              <w:rPr>
                <w:rFonts w:ascii="Cambria Math" w:hAnsi="Cambria Math"/>
              </w:rPr>
              <m:t>χ</m:t>
            </m:r>
          </m:e>
          <m:sub>
            <m:r>
              <m:rPr>
                <m:sty m:val="p"/>
              </m:rPr>
              <w:rPr>
                <w:rFonts w:ascii="Cambria Math" w:hAnsi="Cambria Math"/>
              </w:rPr>
              <m:t>df,1-α</m:t>
            </m:r>
          </m:sub>
          <m:sup>
            <m:r>
              <m:rPr>
                <m:sty m:val="p"/>
              </m:rPr>
              <w:rPr>
                <w:rFonts w:ascii="Cambria Math" w:hAnsi="Cambria Math"/>
              </w:rPr>
              <m:t>2</m:t>
            </m:r>
          </m:sup>
        </m:sSubSup>
      </m:oMath>
      <w:r w:rsidRPr="00A54D0C">
        <w:t xml:space="preserve"> being the value of the Chi-square-distribution for the confidence level α, and the degrees of freedom of the likelihood ratio (for single parameter confidence intervals df=1). To find these parameter values, one value in the </w:t>
      </w:r>
      <w:r w:rsidRPr="00A54D0C">
        <w:lastRenderedPageBreak/>
        <w:t xml:space="preserve">parameter vector, say parameter </w:t>
      </w:r>
      <w:proofErr w:type="spellStart"/>
      <w:r w:rsidRPr="00A54D0C">
        <w:t>Θ</w:t>
      </w:r>
      <w:r w:rsidRPr="00503065">
        <w:rPr>
          <w:vertAlign w:val="subscript"/>
        </w:rPr>
        <w:t>i</w:t>
      </w:r>
      <w:proofErr w:type="spellEnd"/>
      <w:r w:rsidRPr="00A54D0C">
        <w:t>, was successively decreas</w:t>
      </w:r>
      <w:r>
        <w:t>ed</w:t>
      </w:r>
      <w:r w:rsidRPr="00A54D0C">
        <w:t xml:space="preserve">, starting at the maximum-likelihood estimate, i.e. the best parameter value. All parameter values with exception of parameter </w:t>
      </w:r>
      <w:proofErr w:type="spellStart"/>
      <w:r w:rsidRPr="00A54D0C">
        <w:t>i</w:t>
      </w:r>
      <w:proofErr w:type="spellEnd"/>
      <w:r w:rsidRPr="00A54D0C">
        <w:t xml:space="preserve"> were again optimised (using the </w:t>
      </w:r>
      <w:proofErr w:type="spellStart"/>
      <w:r w:rsidRPr="00A54D0C">
        <w:t>NMinimize</w:t>
      </w:r>
      <w:proofErr w:type="spellEnd"/>
      <w:r w:rsidRPr="00A54D0C">
        <w:t xml:space="preserve"> method and the </w:t>
      </w:r>
      <w:proofErr w:type="spellStart"/>
      <w:r w:rsidRPr="00A54D0C">
        <w:t>SimulatedAnnealing</w:t>
      </w:r>
      <w:proofErr w:type="spellEnd"/>
      <w:r w:rsidRPr="00A54D0C">
        <w:t xml:space="preserve"> algorithm in Mathematica) to give a best fit to the experimental data. The value </w:t>
      </w:r>
      <m:oMath>
        <m:func>
          <m:funcPr>
            <m:ctrlPr>
              <w:rPr>
                <w:rFonts w:ascii="Cambria Math" w:hAnsi="Cambria Math"/>
              </w:rPr>
            </m:ctrlPr>
          </m:funcPr>
          <m:fName>
            <m:r>
              <m:rPr>
                <m:sty m:val="p"/>
              </m:rPr>
              <w:rPr>
                <w:rFonts w:ascii="Cambria Math" w:hAnsi="Cambria Math"/>
              </w:rPr>
              <m:t>ln</m:t>
            </m:r>
          </m:fName>
          <m:e>
            <m:r>
              <m:rPr>
                <m:sty m:val="p"/>
              </m:rPr>
              <w:rPr>
                <w:rFonts w:ascii="Cambria Math" w:hAnsi="Cambria Math"/>
              </w:rPr>
              <m:t>l</m:t>
            </m:r>
            <m:d>
              <m:dPr>
                <m:ctrlPr>
                  <w:rPr>
                    <w:rFonts w:ascii="Cambria Math" w:hAnsi="Cambria Math"/>
                  </w:rPr>
                </m:ctrlPr>
              </m:dPr>
              <m:e>
                <m:r>
                  <m:rPr>
                    <m:sty m:val="p"/>
                  </m:rPr>
                  <w:rPr>
                    <w:rFonts w:ascii="Cambria Math" w:hAnsi="Cambria Math"/>
                  </w:rPr>
                  <m:t>y</m:t>
                </m:r>
              </m:e>
              <m:e>
                <m:r>
                  <m:rPr>
                    <m:sty m:val="p"/>
                  </m:rPr>
                  <w:rPr>
                    <w:rFonts w:ascii="Cambria Math" w:hAnsi="Cambria Math"/>
                  </w:rPr>
                  <m:t>Θ</m:t>
                </m:r>
              </m:e>
            </m:d>
          </m:e>
        </m:func>
      </m:oMath>
      <w:r w:rsidRPr="00A54D0C">
        <w:t xml:space="preserve"> of the log-likelihood function corresponding to the parameter vector </w:t>
      </w:r>
      <m:oMath>
        <m:r>
          <m:rPr>
            <m:sty m:val="p"/>
          </m:rPr>
          <w:rPr>
            <w:rFonts w:ascii="Cambria Math" w:hAnsi="Cambria Math"/>
          </w:rPr>
          <m:t xml:space="preserve">Θ </m:t>
        </m:r>
      </m:oMath>
      <w:r w:rsidRPr="00A54D0C">
        <w:t>= (</w:t>
      </w:r>
      <m:oMath>
        <m:sSubSup>
          <m:sSubSupPr>
            <m:ctrlPr>
              <w:rPr>
                <w:rFonts w:ascii="Cambria Math" w:hAnsi="Cambria Math"/>
              </w:rPr>
            </m:ctrlPr>
          </m:sSubSupPr>
          <m:e>
            <m:r>
              <m:rPr>
                <m:sty m:val="p"/>
              </m:rPr>
              <w:rPr>
                <w:rFonts w:ascii="Cambria Math" w:hAnsi="Cambria Math"/>
              </w:rPr>
              <m:t>Θ</m:t>
            </m:r>
          </m:e>
          <m:sub>
            <m:r>
              <m:rPr>
                <m:sty m:val="p"/>
              </m:rPr>
              <w:rPr>
                <w:rFonts w:ascii="Cambria Math" w:hAnsi="Cambria Math"/>
              </w:rPr>
              <m:t>1</m:t>
            </m:r>
          </m:sub>
          <m:sup>
            <m:r>
              <m:rPr>
                <m:sty m:val="p"/>
              </m:rPr>
              <w:rPr>
                <w:rFonts w:ascii="Cambria Math" w:hAnsi="Cambria Math"/>
              </w:rPr>
              <m:t>opt</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Θ</m:t>
            </m:r>
          </m:e>
          <m:sub>
            <m:r>
              <m:rPr>
                <m:sty m:val="p"/>
              </m:rPr>
              <w:rPr>
                <w:rFonts w:ascii="Cambria Math" w:hAnsi="Cambria Math"/>
              </w:rPr>
              <m:t>2</m:t>
            </m:r>
          </m:sub>
          <m:sup>
            <m:r>
              <m:rPr>
                <m:sty m:val="p"/>
              </m:rPr>
              <w:rPr>
                <w:rFonts w:ascii="Cambria Math" w:hAnsi="Cambria Math"/>
              </w:rPr>
              <m:t>opt</m:t>
            </m:r>
          </m:sup>
        </m:sSubSup>
        <m:r>
          <m:rPr>
            <m:sty m:val="p"/>
          </m:rPr>
          <w:rPr>
            <w:rFonts w:ascii="Cambria Math" w:hAnsi="Cambria Math"/>
          </w:rPr>
          <m:t>,…,</m:t>
        </m:r>
        <m:sSub>
          <m:sSubPr>
            <m:ctrlPr>
              <w:rPr>
                <w:rFonts w:ascii="Cambria Math" w:hAnsi="Cambria Math"/>
              </w:rPr>
            </m:ctrlPr>
          </m:sSubPr>
          <m:e>
            <m:r>
              <m:rPr>
                <m:sty m:val="p"/>
              </m:rPr>
              <w:rPr>
                <w:rFonts w:ascii="Cambria Math" w:hAnsi="Cambria Math"/>
              </w:rPr>
              <m:t>Θ</m:t>
            </m:r>
          </m:e>
          <m:sub>
            <m:r>
              <m:rPr>
                <m:sty m:val="p"/>
              </m:rPr>
              <w:rPr>
                <w:rFonts w:ascii="Cambria Math" w:hAnsi="Cambria Math"/>
              </w:rPr>
              <m:t>i</m:t>
            </m:r>
          </m:sub>
        </m:sSub>
        <m:r>
          <m:rPr>
            <m:sty m:val="p"/>
          </m:rPr>
          <w:rPr>
            <w:rFonts w:ascii="Cambria Math" w:hAnsi="Cambria Math"/>
          </w:rPr>
          <m:t>, …,</m:t>
        </m:r>
        <m:sSubSup>
          <m:sSubSupPr>
            <m:ctrlPr>
              <w:rPr>
                <w:rFonts w:ascii="Cambria Math" w:hAnsi="Cambria Math"/>
              </w:rPr>
            </m:ctrlPr>
          </m:sSubSupPr>
          <m:e>
            <m:r>
              <m:rPr>
                <m:sty m:val="p"/>
              </m:rPr>
              <w:rPr>
                <w:rFonts w:ascii="Cambria Math" w:hAnsi="Cambria Math"/>
              </w:rPr>
              <m:t>Θ</m:t>
            </m:r>
          </m:e>
          <m:sub>
            <m:r>
              <m:rPr>
                <m:sty m:val="p"/>
              </m:rPr>
              <w:rPr>
                <w:rFonts w:ascii="Cambria Math" w:hAnsi="Cambria Math"/>
              </w:rPr>
              <m:t>n</m:t>
            </m:r>
          </m:sub>
          <m:sup>
            <m:r>
              <m:rPr>
                <m:sty m:val="p"/>
              </m:rPr>
              <w:rPr>
                <w:rFonts w:ascii="Cambria Math" w:hAnsi="Cambria Math"/>
              </w:rPr>
              <m:t>opt</m:t>
            </m:r>
          </m:sup>
        </m:sSubSup>
        <m:r>
          <m:rPr>
            <m:sty m:val="p"/>
          </m:rPr>
          <w:rPr>
            <w:rFonts w:ascii="Cambria Math" w:hAnsi="Cambria Math"/>
          </w:rPr>
          <m:t>)</m:t>
        </m:r>
      </m:oMath>
      <w:r w:rsidRPr="00A54D0C">
        <w:t xml:space="preserve"> was calculated. This procedure was repeated until the value of </w:t>
      </w:r>
      <m:oMath>
        <m:func>
          <m:funcPr>
            <m:ctrlPr>
              <w:rPr>
                <w:rFonts w:ascii="Cambria Math" w:hAnsi="Cambria Math"/>
              </w:rPr>
            </m:ctrlPr>
          </m:funcPr>
          <m:fName>
            <m:r>
              <m:rPr>
                <m:sty m:val="p"/>
              </m:rPr>
              <w:rPr>
                <w:rFonts w:ascii="Cambria Math" w:hAnsi="Cambria Math"/>
              </w:rPr>
              <m:t>ln</m:t>
            </m:r>
          </m:fName>
          <m:e>
            <m:r>
              <m:rPr>
                <m:sty m:val="p"/>
              </m:rPr>
              <w:rPr>
                <w:rFonts w:ascii="Cambria Math" w:hAnsi="Cambria Math"/>
              </w:rPr>
              <m:t>l</m:t>
            </m:r>
            <m:d>
              <m:dPr>
                <m:ctrlPr>
                  <w:rPr>
                    <w:rFonts w:ascii="Cambria Math" w:hAnsi="Cambria Math"/>
                  </w:rPr>
                </m:ctrlPr>
              </m:dPr>
              <m:e>
                <m:r>
                  <m:rPr>
                    <m:sty m:val="p"/>
                  </m:rPr>
                  <w:rPr>
                    <w:rFonts w:ascii="Cambria Math" w:hAnsi="Cambria Math"/>
                  </w:rPr>
                  <m:t>y</m:t>
                </m:r>
              </m:e>
              <m:e>
                <m:r>
                  <m:rPr>
                    <m:sty m:val="p"/>
                  </m:rPr>
                  <w:rPr>
                    <w:rFonts w:ascii="Cambria Math" w:hAnsi="Cambria Math"/>
                  </w:rPr>
                  <m:t>Θ</m:t>
                </m:r>
              </m:e>
            </m:d>
          </m:e>
        </m:func>
        <m:r>
          <m:rPr>
            <m:sty m:val="p"/>
          </m:rPr>
          <w:rPr>
            <w:rFonts w:ascii="Cambria Math" w:hAnsi="Cambria Math"/>
          </w:rPr>
          <m:t xml:space="preserve"> </m:t>
        </m:r>
      </m:oMath>
      <w:r w:rsidRPr="00A54D0C">
        <w:t xml:space="preserve">satisfied equation </w:t>
      </w:r>
      <w:r w:rsidR="00E21CE4">
        <w:t>S</w:t>
      </w:r>
      <w:r w:rsidRPr="00A54D0C">
        <w:t xml:space="preserve">9. Likewise, this procedure was repeated for successively increasing parameter values, again starting with the optimal maximum-likelihood estimate. The first parameter values that did not fulfil condition (eq. </w:t>
      </w:r>
      <w:r w:rsidR="006377E2">
        <w:t>S</w:t>
      </w:r>
      <w:r w:rsidRPr="00A54D0C">
        <w:t>9) were taken as lower and upper confidence interval limits to the confidence level α. This procedure was performed for all parameters and α=0.95.</w:t>
      </w:r>
    </w:p>
    <w:p w14:paraId="141D4FAA" w14:textId="77777777" w:rsidR="009D6A15" w:rsidRPr="00A54D0C" w:rsidRDefault="009D6A15" w:rsidP="00D04C25">
      <w:pPr>
        <w:spacing w:before="120" w:after="0"/>
        <w:jc w:val="both"/>
      </w:pPr>
    </w:p>
    <w:p w14:paraId="4385EBFF" w14:textId="77777777" w:rsidR="009D6A15" w:rsidRPr="00A54D0C" w:rsidRDefault="009D6A15" w:rsidP="00C96E9E">
      <w:pPr>
        <w:pStyle w:val="Heading2"/>
      </w:pPr>
      <w:bookmarkStart w:id="8" w:name="_Toc427583312"/>
      <w:bookmarkStart w:id="9" w:name="_Toc510179361"/>
      <w:r w:rsidRPr="00A54D0C">
        <w:t>Model predictions and calculation of model performance statistics</w:t>
      </w:r>
      <w:bookmarkEnd w:id="8"/>
      <w:bookmarkEnd w:id="9"/>
    </w:p>
    <w:p w14:paraId="03BB7B2B" w14:textId="2B01CAD4" w:rsidR="00503065" w:rsidRPr="00503065" w:rsidRDefault="00503065" w:rsidP="00D04C25">
      <w:pPr>
        <w:spacing w:before="120" w:after="0"/>
        <w:jc w:val="both"/>
        <w:rPr>
          <w:bCs/>
        </w:rPr>
      </w:pPr>
      <w:bookmarkStart w:id="10" w:name="_Toc427583314"/>
      <w:r>
        <w:rPr>
          <w:bCs/>
        </w:rPr>
        <w:t xml:space="preserve">Next to biological variability , the main </w:t>
      </w:r>
      <w:r w:rsidRPr="00503065">
        <w:rPr>
          <w:bCs/>
        </w:rPr>
        <w:t xml:space="preserve">sources of uncertainty in model predictions are </w:t>
      </w:r>
      <w:proofErr w:type="spellStart"/>
      <w:r w:rsidRPr="00503065">
        <w:rPr>
          <w:bCs/>
        </w:rPr>
        <w:t>i</w:t>
      </w:r>
      <w:proofErr w:type="spellEnd"/>
      <w:r w:rsidRPr="00503065">
        <w:rPr>
          <w:bCs/>
        </w:rPr>
        <w:t>) the stochasticity of the survival process in small cohorts of individuals, and ii) the uncertainty of the estimated model parameters. These uncertainties can be quantified and hence taken into account.</w:t>
      </w:r>
      <w:r w:rsidR="00EC4D3C">
        <w:rPr>
          <w:bCs/>
        </w:rPr>
        <w:t xml:space="preserve"> We followed the approach as outlined in </w:t>
      </w:r>
      <w:r w:rsidR="00E6219F">
        <w:rPr>
          <w:bCs/>
          <w:highlight w:val="yellow"/>
        </w:rPr>
        <w:t>Ashauer</w:t>
      </w:r>
      <w:r w:rsidR="000B3077">
        <w:rPr>
          <w:bCs/>
          <w:highlight w:val="yellow"/>
        </w:rPr>
        <w:t xml:space="preserve"> et al. (</w:t>
      </w:r>
      <w:r w:rsidR="00E6219F">
        <w:rPr>
          <w:bCs/>
          <w:highlight w:val="yellow"/>
        </w:rPr>
        <w:t>2016</w:t>
      </w:r>
      <w:r w:rsidR="000B3077">
        <w:rPr>
          <w:bCs/>
          <w:highlight w:val="yellow"/>
        </w:rPr>
        <w:t>)</w:t>
      </w:r>
      <w:r w:rsidR="00EC4D3C">
        <w:rPr>
          <w:bCs/>
        </w:rPr>
        <w:t xml:space="preserve">. For convenience, the methodology is repeated here. </w:t>
      </w:r>
      <w:r w:rsidRPr="00503065">
        <w:rPr>
          <w:bCs/>
        </w:rPr>
        <w:t xml:space="preserve"> </w:t>
      </w:r>
    </w:p>
    <w:p w14:paraId="4A70D8D1" w14:textId="77777777" w:rsidR="009D6A15" w:rsidRPr="00A54D0C" w:rsidRDefault="009D6A15" w:rsidP="00C96E9E">
      <w:pPr>
        <w:pStyle w:val="Heading3"/>
      </w:pPr>
      <w:bookmarkStart w:id="11" w:name="_Toc510179362"/>
      <w:r w:rsidRPr="00A54D0C">
        <w:t>Stochasticity of survival</w:t>
      </w:r>
      <w:bookmarkEnd w:id="10"/>
      <w:r w:rsidRPr="00A54D0C">
        <w:t xml:space="preserve"> and </w:t>
      </w:r>
      <w:bookmarkStart w:id="12" w:name="_Toc427583316"/>
      <w:r w:rsidRPr="00A54D0C">
        <w:t>probabilistic modelling of survival over time</w:t>
      </w:r>
      <w:bookmarkEnd w:id="11"/>
      <w:bookmarkEnd w:id="12"/>
    </w:p>
    <w:p w14:paraId="663AAC9B" w14:textId="346909BA" w:rsidR="009D6A15" w:rsidRPr="00A54D0C" w:rsidRDefault="009D6A15" w:rsidP="00D04C25">
      <w:pPr>
        <w:spacing w:before="120" w:after="0"/>
        <w:jc w:val="both"/>
        <w:rPr>
          <w:i/>
        </w:rPr>
      </w:pPr>
      <w:r w:rsidRPr="00A54D0C">
        <w:t>Survival is a binary process, i.e. an individual can be either alive or death. The number of individuals in a group of individuals influences the uncertainty of model predictions about the survival of the group of individuals, especially for small numbers (n&lt;100) such as in the</w:t>
      </w:r>
      <w:r>
        <w:t xml:space="preserve"> current</w:t>
      </w:r>
      <w:r w:rsidRPr="00A54D0C">
        <w:t xml:space="preserve"> experiments. </w:t>
      </w:r>
      <w:r>
        <w:t>Therefore,</w:t>
      </w:r>
      <w:r w:rsidRPr="00A54D0C">
        <w:t xml:space="preserve"> survival </w:t>
      </w:r>
      <w:r>
        <w:t xml:space="preserve">from the pulsed exposure </w:t>
      </w:r>
      <w:r w:rsidR="00C96E9E">
        <w:t>profiles</w:t>
      </w:r>
      <w:r>
        <w:t xml:space="preserve"> as used in </w:t>
      </w:r>
      <w:commentRangeStart w:id="13"/>
      <w:r>
        <w:t xml:space="preserve">experiments </w:t>
      </w:r>
      <w:r w:rsidR="000B3077">
        <w:t>MS_V</w:t>
      </w:r>
      <w:r>
        <w:t xml:space="preserve"> and </w:t>
      </w:r>
      <w:r w:rsidR="000B3077">
        <w:t>MC_V</w:t>
      </w:r>
      <w:commentRangeEnd w:id="13"/>
      <w:r w:rsidR="000967EA">
        <w:rPr>
          <w:rStyle w:val="CommentReference"/>
        </w:rPr>
        <w:commentReference w:id="13"/>
      </w:r>
      <w:r>
        <w:t xml:space="preserve"> wa</w:t>
      </w:r>
      <w:r w:rsidRPr="00A54D0C">
        <w:t xml:space="preserve">s modelled as a binomial process, with the number of surviving individuals being proportional to the conditional binomial distribution </w:t>
      </w:r>
    </w:p>
    <w:p w14:paraId="73FC989D" w14:textId="77777777" w:rsidR="009D6A15" w:rsidRPr="00A54D0C" w:rsidRDefault="002572F7" w:rsidP="00D04C25">
      <w:pPr>
        <w:spacing w:before="120" w:after="0"/>
        <w:ind w:firstLine="720"/>
        <w:jc w:val="both"/>
      </w:pPr>
      <m:oMath>
        <m:sSub>
          <m:sSubPr>
            <m:ctrlPr>
              <w:rPr>
                <w:rFonts w:ascii="Cambria Math" w:hAnsi="Cambria Math"/>
                <w:i/>
                <w:sz w:val="22"/>
              </w:rPr>
            </m:ctrlPr>
          </m:sSubPr>
          <m:e>
            <m:r>
              <w:rPr>
                <w:rFonts w:ascii="Cambria Math" w:hAnsi="Cambria Math"/>
                <w:sz w:val="22"/>
              </w:rPr>
              <m:t>Y</m:t>
            </m:r>
          </m:e>
          <m:sub>
            <m:r>
              <w:rPr>
                <w:rFonts w:ascii="Cambria Math" w:hAnsi="Cambria Math"/>
                <w:sz w:val="22"/>
              </w:rPr>
              <m:t>t+</m:t>
            </m:r>
            <m:r>
              <m:rPr>
                <m:sty m:val="p"/>
              </m:rPr>
              <w:rPr>
                <w:rFonts w:ascii="Cambria Math" w:hAnsi="Cambria Math"/>
                <w:sz w:val="22"/>
              </w:rPr>
              <m:t>Δ</m:t>
            </m:r>
            <m:r>
              <w:rPr>
                <w:rFonts w:ascii="Cambria Math" w:hAnsi="Cambria Math"/>
                <w:sz w:val="22"/>
              </w:rPr>
              <m:t>t</m:t>
            </m:r>
          </m:sub>
        </m:sSub>
        <m:r>
          <m:rPr>
            <m:scr m:val="script"/>
          </m:rPr>
          <w:rPr>
            <w:rFonts w:ascii="Cambria Math" w:hAnsi="Cambria Math"/>
            <w:sz w:val="22"/>
          </w:rPr>
          <m:t>∼B(</m:t>
        </m:r>
        <m:sSub>
          <m:sSubPr>
            <m:ctrlPr>
              <w:rPr>
                <w:rFonts w:ascii="Cambria Math" w:hAnsi="Cambria Math"/>
                <w:i/>
                <w:sz w:val="22"/>
              </w:rPr>
            </m:ctrlPr>
          </m:sSubPr>
          <m:e>
            <m:r>
              <w:rPr>
                <w:rFonts w:ascii="Cambria Math" w:hAnsi="Cambria Math"/>
                <w:sz w:val="22"/>
              </w:rPr>
              <m:t>p</m:t>
            </m:r>
          </m:e>
          <m:sub>
            <m:r>
              <w:rPr>
                <w:rFonts w:ascii="Cambria Math" w:hAnsi="Cambria Math"/>
                <w:sz w:val="22"/>
              </w:rPr>
              <m:t>t+1</m:t>
            </m:r>
          </m:sub>
        </m:sSub>
        <m:r>
          <w:rPr>
            <w:rFonts w:ascii="Cambria Math" w:hAnsi="Cambria Math"/>
            <w:sz w:val="22"/>
          </w:rPr>
          <m:t>,</m:t>
        </m:r>
        <m:sSub>
          <m:sSubPr>
            <m:ctrlPr>
              <w:rPr>
                <w:rFonts w:ascii="Cambria Math" w:hAnsi="Cambria Math"/>
                <w:i/>
                <w:sz w:val="22"/>
              </w:rPr>
            </m:ctrlPr>
          </m:sSubPr>
          <m:e>
            <m:r>
              <w:rPr>
                <w:rFonts w:ascii="Cambria Math" w:hAnsi="Cambria Math"/>
                <w:sz w:val="22"/>
              </w:rPr>
              <m:t>Y</m:t>
            </m:r>
          </m:e>
          <m:sub>
            <m:r>
              <w:rPr>
                <w:rFonts w:ascii="Cambria Math" w:hAnsi="Cambria Math"/>
                <w:sz w:val="22"/>
              </w:rPr>
              <m:t>t</m:t>
            </m:r>
          </m:sub>
        </m:sSub>
        <m:r>
          <w:rPr>
            <w:rFonts w:ascii="Cambria Math" w:hAnsi="Cambria Math"/>
            <w:sz w:val="22"/>
          </w:rPr>
          <m:t>)</m:t>
        </m:r>
      </m:oMath>
      <w:r w:rsidR="009D6A15" w:rsidRPr="00D04C25">
        <w:rPr>
          <w:sz w:val="18"/>
        </w:rPr>
        <w:tab/>
      </w:r>
      <w:r w:rsidR="009D6A15" w:rsidRPr="00A54D0C">
        <w:tab/>
      </w:r>
      <w:r w:rsidR="009D6A15" w:rsidRPr="00A54D0C">
        <w:tab/>
      </w:r>
      <w:r w:rsidR="009D6A15" w:rsidRPr="00A54D0C">
        <w:tab/>
      </w:r>
      <w:r w:rsidR="009D6A15" w:rsidRPr="00A54D0C">
        <w:tab/>
      </w:r>
      <w:r w:rsidR="009D6A15" w:rsidRPr="00A54D0C">
        <w:tab/>
      </w:r>
      <w:r w:rsidR="009D6A15" w:rsidRPr="00A54D0C">
        <w:tab/>
      </w:r>
      <w:r w:rsidR="009D6A15" w:rsidRPr="00A54D0C">
        <w:tab/>
        <w:t xml:space="preserve">Eq. </w:t>
      </w:r>
      <w:r w:rsidR="006377E2">
        <w:t>S</w:t>
      </w:r>
      <w:r w:rsidR="009D6A15" w:rsidRPr="00A54D0C">
        <w:t>10</w:t>
      </w:r>
    </w:p>
    <w:p w14:paraId="3C77A4DD" w14:textId="77777777" w:rsidR="009D6A15" w:rsidRPr="00A54D0C" w:rsidRDefault="009D6A15" w:rsidP="00D04C25">
      <w:pPr>
        <w:spacing w:before="120" w:after="0"/>
        <w:jc w:val="both"/>
      </w:pPr>
      <w:r w:rsidRPr="00A54D0C">
        <w:t>where</w:t>
      </w:r>
      <m:oMath>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t+</m:t>
            </m:r>
            <m:r>
              <m:rPr>
                <m:sty m:val="p"/>
              </m:rPr>
              <w:rPr>
                <w:rFonts w:ascii="Cambria Math" w:hAnsi="Cambria Math"/>
              </w:rPr>
              <m:t>Δ</m:t>
            </m:r>
            <m:r>
              <w:rPr>
                <w:rFonts w:ascii="Cambria Math" w:hAnsi="Cambria Math"/>
              </w:rPr>
              <m:t>t</m:t>
            </m:r>
          </m:sub>
        </m:sSub>
      </m:oMath>
      <w:r w:rsidRPr="00A54D0C">
        <w:t xml:space="preserve">is the number of survivors in a population at time </w:t>
      </w:r>
      <m:oMath>
        <m:r>
          <w:rPr>
            <w:rFonts w:ascii="Cambria Math" w:hAnsi="Cambria Math"/>
          </w:rPr>
          <m:t>t+</m:t>
        </m:r>
        <m:r>
          <m:rPr>
            <m:sty m:val="p"/>
          </m:rPr>
          <w:rPr>
            <w:rFonts w:ascii="Cambria Math" w:hAnsi="Cambria Math"/>
          </w:rPr>
          <m:t>Δ</m:t>
        </m:r>
        <m:r>
          <w:rPr>
            <w:rFonts w:ascii="Cambria Math" w:hAnsi="Cambria Math"/>
          </w:rPr>
          <m:t>t</m:t>
        </m:r>
      </m:oMath>
      <w:r w:rsidRPr="00A54D0C">
        <w:t xml:space="preserve">, </w:t>
      </w:r>
      <w:proofErr w:type="spellStart"/>
      <w:r w:rsidRPr="00A54D0C">
        <w:rPr>
          <w:i/>
        </w:rPr>
        <w:t>Y</w:t>
      </w:r>
      <w:r w:rsidRPr="00A54D0C">
        <w:rPr>
          <w:i/>
          <w:vertAlign w:val="subscript"/>
        </w:rPr>
        <w:t>t</w:t>
      </w:r>
      <w:proofErr w:type="spellEnd"/>
      <w:r w:rsidRPr="00A54D0C">
        <w:t xml:space="preserve"> is the number of individuals being alive at time </w:t>
      </w:r>
      <m:oMath>
        <m:r>
          <w:rPr>
            <w:rFonts w:ascii="Cambria Math" w:hAnsi="Cambria Math"/>
          </w:rPr>
          <m:t>t</m:t>
        </m:r>
      </m:oMath>
      <w:r w:rsidRPr="00A54D0C">
        <w:t xml:space="preserve">, and </w:t>
      </w:r>
      <m:oMath>
        <m:sSub>
          <m:sSubPr>
            <m:ctrlPr>
              <w:rPr>
                <w:rFonts w:ascii="Cambria Math" w:hAnsi="Cambria Math"/>
                <w:i/>
              </w:rPr>
            </m:ctrlPr>
          </m:sSubPr>
          <m:e>
            <m:r>
              <w:rPr>
                <w:rFonts w:ascii="Cambria Math" w:hAnsi="Cambria Math"/>
              </w:rPr>
              <m:t>p</m:t>
            </m:r>
          </m:e>
          <m:sub>
            <m:r>
              <w:rPr>
                <w:rFonts w:ascii="Cambria Math" w:hAnsi="Cambria Math"/>
              </w:rPr>
              <m:t>t+</m:t>
            </m:r>
            <m:r>
              <m:rPr>
                <m:sty m:val="p"/>
              </m:rPr>
              <w:rPr>
                <w:rFonts w:ascii="Cambria Math" w:hAnsi="Cambria Math"/>
              </w:rPr>
              <m:t>Δ</m:t>
            </m:r>
            <m:r>
              <w:rPr>
                <w:rFonts w:ascii="Cambria Math" w:hAnsi="Cambria Math"/>
              </w:rPr>
              <m:t>t</m:t>
            </m:r>
          </m:sub>
        </m:sSub>
      </m:oMath>
      <w:r w:rsidRPr="00A54D0C">
        <w:t xml:space="preserve"> is the conditional probability to survive from time </w:t>
      </w:r>
      <m:oMath>
        <m:r>
          <w:rPr>
            <w:rFonts w:ascii="Cambria Math" w:hAnsi="Cambria Math"/>
          </w:rPr>
          <m:t>t</m:t>
        </m:r>
      </m:oMath>
      <w:r w:rsidRPr="00A54D0C">
        <w:t xml:space="preserve"> until time </w:t>
      </w:r>
      <m:oMath>
        <m:r>
          <w:rPr>
            <w:rFonts w:ascii="Cambria Math" w:hAnsi="Cambria Math"/>
          </w:rPr>
          <m:t>t+</m:t>
        </m:r>
        <m:r>
          <m:rPr>
            <m:sty m:val="p"/>
          </m:rPr>
          <w:rPr>
            <w:rFonts w:ascii="Cambria Math" w:hAnsi="Cambria Math"/>
          </w:rPr>
          <m:t>Δ</m:t>
        </m:r>
        <m:r>
          <w:rPr>
            <w:rFonts w:ascii="Cambria Math" w:hAnsi="Cambria Math"/>
          </w:rPr>
          <m:t>t</m:t>
        </m:r>
      </m:oMath>
      <w:r w:rsidRPr="00A54D0C">
        <w:t xml:space="preserve">, given as </w:t>
      </w:r>
    </w:p>
    <w:p w14:paraId="54FC866E" w14:textId="77777777" w:rsidR="009D6A15" w:rsidRPr="00A54D0C" w:rsidRDefault="002572F7" w:rsidP="00D04C25">
      <w:pPr>
        <w:spacing w:before="120" w:after="0"/>
        <w:ind w:firstLine="720"/>
        <w:jc w:val="both"/>
      </w:pPr>
      <m:oMath>
        <m:sSub>
          <m:sSubPr>
            <m:ctrlPr>
              <w:rPr>
                <w:rFonts w:ascii="Cambria Math" w:hAnsi="Cambria Math"/>
                <w:i/>
                <w:sz w:val="22"/>
              </w:rPr>
            </m:ctrlPr>
          </m:sSubPr>
          <m:e>
            <m:r>
              <w:rPr>
                <w:rFonts w:ascii="Cambria Math" w:hAnsi="Cambria Math"/>
                <w:sz w:val="22"/>
              </w:rPr>
              <m:t>p</m:t>
            </m:r>
          </m:e>
          <m:sub>
            <m:r>
              <w:rPr>
                <w:rFonts w:ascii="Cambria Math" w:hAnsi="Cambria Math"/>
                <w:sz w:val="22"/>
              </w:rPr>
              <m:t>t+</m:t>
            </m:r>
            <m:r>
              <m:rPr>
                <m:sty m:val="p"/>
              </m:rPr>
              <w:rPr>
                <w:rFonts w:ascii="Cambria Math" w:hAnsi="Cambria Math"/>
                <w:sz w:val="22"/>
              </w:rPr>
              <m:t>Δ</m:t>
            </m:r>
            <m:r>
              <w:rPr>
                <w:rFonts w:ascii="Cambria Math" w:hAnsi="Cambria Math"/>
                <w:sz w:val="22"/>
              </w:rPr>
              <m:t>t</m:t>
            </m:r>
          </m:sub>
        </m:sSub>
        <m:r>
          <w:rPr>
            <w:rFonts w:ascii="Cambria Math" w:hAnsi="Cambria Math"/>
            <w:sz w:val="22"/>
          </w:rPr>
          <m:t>=</m:t>
        </m:r>
        <m:f>
          <m:fPr>
            <m:ctrlPr>
              <w:rPr>
                <w:rFonts w:ascii="Cambria Math" w:hAnsi="Cambria Math"/>
                <w:i/>
                <w:sz w:val="22"/>
              </w:rPr>
            </m:ctrlPr>
          </m:fPr>
          <m:num>
            <m:r>
              <w:rPr>
                <w:rFonts w:ascii="Cambria Math" w:hAnsi="Cambria Math"/>
                <w:sz w:val="22"/>
              </w:rPr>
              <m:t>S(θ,</m:t>
            </m:r>
            <m:sSub>
              <m:sSubPr>
                <m:ctrlPr>
                  <w:rPr>
                    <w:rFonts w:ascii="Cambria Math" w:hAnsi="Cambria Math"/>
                    <w:i/>
                    <w:sz w:val="22"/>
                  </w:rPr>
                </m:ctrlPr>
              </m:sSubPr>
              <m:e>
                <m:r>
                  <w:rPr>
                    <w:rFonts w:ascii="Cambria Math" w:hAnsi="Cambria Math"/>
                    <w:sz w:val="22"/>
                  </w:rPr>
                  <m:t>C</m:t>
                </m:r>
              </m:e>
              <m:sub>
                <m:r>
                  <w:rPr>
                    <w:rFonts w:ascii="Cambria Math" w:hAnsi="Cambria Math"/>
                    <w:sz w:val="22"/>
                  </w:rPr>
                  <m:t>ext</m:t>
                </m:r>
              </m:sub>
            </m:sSub>
            <m:r>
              <w:rPr>
                <w:rFonts w:ascii="Cambria Math" w:hAnsi="Cambria Math"/>
                <w:sz w:val="22"/>
              </w:rPr>
              <m:t>,t+</m:t>
            </m:r>
            <m:r>
              <m:rPr>
                <m:sty m:val="p"/>
              </m:rPr>
              <w:rPr>
                <w:rFonts w:ascii="Cambria Math" w:hAnsi="Cambria Math"/>
                <w:sz w:val="22"/>
              </w:rPr>
              <m:t>Δ</m:t>
            </m:r>
            <m:r>
              <w:rPr>
                <w:rFonts w:ascii="Cambria Math" w:hAnsi="Cambria Math"/>
                <w:sz w:val="22"/>
              </w:rPr>
              <m:t>t)</m:t>
            </m:r>
          </m:num>
          <m:den>
            <m:r>
              <w:rPr>
                <w:rFonts w:ascii="Cambria Math" w:hAnsi="Cambria Math"/>
                <w:sz w:val="22"/>
              </w:rPr>
              <m:t>S(θ,</m:t>
            </m:r>
            <m:sSub>
              <m:sSubPr>
                <m:ctrlPr>
                  <w:rPr>
                    <w:rFonts w:ascii="Cambria Math" w:hAnsi="Cambria Math"/>
                    <w:i/>
                    <w:sz w:val="22"/>
                  </w:rPr>
                </m:ctrlPr>
              </m:sSubPr>
              <m:e>
                <m:r>
                  <w:rPr>
                    <w:rFonts w:ascii="Cambria Math" w:hAnsi="Cambria Math"/>
                    <w:sz w:val="22"/>
                  </w:rPr>
                  <m:t>C</m:t>
                </m:r>
              </m:e>
              <m:sub>
                <m:r>
                  <w:rPr>
                    <w:rFonts w:ascii="Cambria Math" w:hAnsi="Cambria Math"/>
                    <w:sz w:val="22"/>
                  </w:rPr>
                  <m:t>ext</m:t>
                </m:r>
              </m:sub>
            </m:sSub>
            <m:r>
              <w:rPr>
                <w:rFonts w:ascii="Cambria Math" w:hAnsi="Cambria Math"/>
                <w:sz w:val="22"/>
              </w:rPr>
              <m:t>,t)</m:t>
            </m:r>
          </m:den>
        </m:f>
      </m:oMath>
      <w:r w:rsidR="009D6A15" w:rsidRPr="00D04C25">
        <w:rPr>
          <w:sz w:val="18"/>
        </w:rPr>
        <w:tab/>
      </w:r>
      <w:r w:rsidR="009D6A15" w:rsidRPr="00A54D0C">
        <w:tab/>
      </w:r>
      <w:r w:rsidR="009D6A15" w:rsidRPr="00A54D0C">
        <w:tab/>
      </w:r>
      <w:r w:rsidR="009D6A15" w:rsidRPr="00A54D0C">
        <w:tab/>
      </w:r>
      <w:r w:rsidR="009D6A15" w:rsidRPr="00A54D0C">
        <w:tab/>
      </w:r>
      <w:r w:rsidR="009D6A15" w:rsidRPr="00A54D0C">
        <w:tab/>
      </w:r>
      <w:r w:rsidR="009D6A15" w:rsidRPr="00A54D0C">
        <w:tab/>
      </w:r>
      <w:r w:rsidR="009D6A15" w:rsidRPr="00A54D0C">
        <w:tab/>
        <w:t xml:space="preserve">Eq. </w:t>
      </w:r>
      <w:r w:rsidR="006377E2">
        <w:t>S</w:t>
      </w:r>
      <w:r w:rsidR="009D6A15" w:rsidRPr="00A54D0C">
        <w:t>11</w:t>
      </w:r>
    </w:p>
    <w:p w14:paraId="76BE031F" w14:textId="77777777" w:rsidR="009D6A15" w:rsidRPr="00A54D0C" w:rsidRDefault="009D6A15" w:rsidP="00D04C25">
      <w:pPr>
        <w:spacing w:before="120" w:after="0"/>
        <w:jc w:val="both"/>
      </w:pPr>
      <w:r w:rsidRPr="00A54D0C">
        <w:t>where</w:t>
      </w:r>
      <m:oMath>
        <m:r>
          <w:rPr>
            <w:rFonts w:ascii="Cambria Math" w:hAnsi="Cambria Math"/>
          </w:rPr>
          <m:t xml:space="preserve"> S(θ,C,t)</m:t>
        </m:r>
      </m:oMath>
      <w:r w:rsidRPr="00A54D0C">
        <w:t xml:space="preserve"> is the survival probability calculated by the SD or the IT model for the parameter vector </w:t>
      </w:r>
      <m:oMath>
        <m:r>
          <w:rPr>
            <w:rFonts w:ascii="Cambria Math" w:hAnsi="Cambria Math"/>
          </w:rPr>
          <m:t>θ</m:t>
        </m:r>
      </m:oMath>
      <w:r w:rsidRPr="00A54D0C">
        <w:t xml:space="preserve">, the external concentration time course </w:t>
      </w:r>
      <m:oMath>
        <m:sSub>
          <m:sSubPr>
            <m:ctrlPr>
              <w:rPr>
                <w:rFonts w:ascii="Cambria Math" w:hAnsi="Cambria Math"/>
                <w:i/>
              </w:rPr>
            </m:ctrlPr>
          </m:sSubPr>
          <m:e>
            <m:r>
              <w:rPr>
                <w:rFonts w:ascii="Cambria Math" w:hAnsi="Cambria Math"/>
              </w:rPr>
              <m:t>C</m:t>
            </m:r>
          </m:e>
          <m:sub>
            <m:r>
              <w:rPr>
                <w:rFonts w:ascii="Cambria Math" w:hAnsi="Cambria Math"/>
              </w:rPr>
              <m:t>ext</m:t>
            </m:r>
          </m:sub>
        </m:sSub>
      </m:oMath>
      <w:r w:rsidRPr="00A54D0C">
        <w:t xml:space="preserve">, and the time point </w:t>
      </w:r>
      <m:oMath>
        <m:r>
          <w:rPr>
            <w:rFonts w:ascii="Cambria Math" w:hAnsi="Cambria Math"/>
          </w:rPr>
          <m:t>t</m:t>
        </m:r>
      </m:oMath>
      <w:r w:rsidRPr="00A54D0C">
        <w:t>. Survival probability is the probability to survive until time t, which is different to the conditional probability of eq. (</w:t>
      </w:r>
      <w:r w:rsidR="006377E2">
        <w:t>S</w:t>
      </w:r>
      <w:r w:rsidRPr="00A54D0C">
        <w:t xml:space="preserve">11). Note that time steps are not fixed to 1 here, as the survival probabilities can be evaluated for arbitrary small or large time steps, hence conditional probabilities can be modelled as a random process using a flexible time step </w:t>
      </w:r>
      <m:oMath>
        <m:r>
          <m:rPr>
            <m:sty m:val="p"/>
          </m:rPr>
          <w:rPr>
            <w:rFonts w:ascii="Cambria Math" w:hAnsi="Cambria Math"/>
          </w:rPr>
          <m:t>Δ</m:t>
        </m:r>
        <m:r>
          <w:rPr>
            <w:rFonts w:ascii="Cambria Math" w:hAnsi="Cambria Math"/>
          </w:rPr>
          <m:t>t</m:t>
        </m:r>
      </m:oMath>
      <w:r w:rsidRPr="00A54D0C">
        <w:t>.</w:t>
      </w:r>
    </w:p>
    <w:p w14:paraId="728AC24E" w14:textId="77777777" w:rsidR="009D6A15" w:rsidRDefault="009D6A15" w:rsidP="00D04C25">
      <w:pPr>
        <w:spacing w:before="120" w:after="0"/>
        <w:jc w:val="both"/>
      </w:pPr>
      <w:r w:rsidRPr="00A54D0C">
        <w:t xml:space="preserve">For a parameter vector </w:t>
      </w:r>
      <m:oMath>
        <m:r>
          <w:rPr>
            <w:rFonts w:ascii="Cambria Math" w:hAnsi="Cambria Math"/>
          </w:rPr>
          <m:t>θ</m:t>
        </m:r>
      </m:oMath>
      <w:r w:rsidRPr="00A54D0C">
        <w:t xml:space="preserve">, an external concentration regime </w:t>
      </w:r>
      <w:proofErr w:type="spellStart"/>
      <w:r w:rsidRPr="00A54D0C">
        <w:rPr>
          <w:i/>
        </w:rPr>
        <w:t>C</w:t>
      </w:r>
      <w:r w:rsidRPr="00A54D0C">
        <w:rPr>
          <w:i/>
          <w:vertAlign w:val="subscript"/>
        </w:rPr>
        <w:t>ext</w:t>
      </w:r>
      <w:proofErr w:type="spellEnd"/>
      <w:r w:rsidRPr="00A54D0C">
        <w:t xml:space="preserve"> and an initial population size </w:t>
      </w:r>
      <w:r w:rsidRPr="00A54D0C">
        <w:rPr>
          <w:i/>
        </w:rPr>
        <w:t>Y</w:t>
      </w:r>
      <w:r w:rsidRPr="00A54D0C">
        <w:rPr>
          <w:i/>
          <w:vertAlign w:val="subscript"/>
        </w:rPr>
        <w:t>0</w:t>
      </w:r>
      <w:r w:rsidRPr="00A54D0C">
        <w:t xml:space="preserve">, the number of surviving individuals in the population is modelled in an iterative way, starting with </w:t>
      </w:r>
      <w:r w:rsidRPr="00A54D0C">
        <w:rPr>
          <w:i/>
        </w:rPr>
        <w:t>Y</w:t>
      </w:r>
      <w:r w:rsidRPr="00A54D0C">
        <w:rPr>
          <w:i/>
          <w:vertAlign w:val="subscript"/>
        </w:rPr>
        <w:t>0</w:t>
      </w:r>
      <w:r w:rsidRPr="00A54D0C">
        <w:t xml:space="preserve"> individuals at t=0, by drawing for every new time step </w:t>
      </w:r>
      <m:oMath>
        <m:r>
          <w:rPr>
            <w:rFonts w:ascii="Cambria Math" w:hAnsi="Cambria Math"/>
          </w:rPr>
          <m:t>t+</m:t>
        </m:r>
        <m:r>
          <m:rPr>
            <m:sty m:val="p"/>
          </m:rPr>
          <w:rPr>
            <w:rFonts w:ascii="Cambria Math" w:hAnsi="Cambria Math"/>
          </w:rPr>
          <m:t>Δ</m:t>
        </m:r>
        <m:r>
          <w:rPr>
            <w:rFonts w:ascii="Cambria Math" w:hAnsi="Cambria Math"/>
          </w:rPr>
          <m:t>t</m:t>
        </m:r>
      </m:oMath>
      <w:r w:rsidRPr="00A54D0C">
        <w:t xml:space="preserve"> from a binomial distribution parameterised by the number of living organisms at time </w:t>
      </w:r>
      <m:oMath>
        <m:r>
          <w:rPr>
            <w:rFonts w:ascii="Cambria Math" w:hAnsi="Cambria Math"/>
          </w:rPr>
          <m:t>t</m:t>
        </m:r>
      </m:oMath>
      <w:r w:rsidRPr="00A54D0C">
        <w:t xml:space="preserve">, and the calculated survival rates for times </w:t>
      </w:r>
      <m:oMath>
        <m:r>
          <w:rPr>
            <w:rFonts w:ascii="Cambria Math" w:hAnsi="Cambria Math"/>
          </w:rPr>
          <m:t>t</m:t>
        </m:r>
      </m:oMath>
      <w:r w:rsidRPr="00A54D0C">
        <w:t xml:space="preserve"> and </w:t>
      </w:r>
      <m:oMath>
        <m:r>
          <w:rPr>
            <w:rFonts w:ascii="Cambria Math" w:hAnsi="Cambria Math"/>
          </w:rPr>
          <m:t>t+</m:t>
        </m:r>
        <m:r>
          <m:rPr>
            <m:sty m:val="p"/>
          </m:rPr>
          <w:rPr>
            <w:rFonts w:ascii="Cambria Math" w:hAnsi="Cambria Math"/>
          </w:rPr>
          <m:t>Δ</m:t>
        </m:r>
        <m:r>
          <w:rPr>
            <w:rFonts w:ascii="Cambria Math" w:hAnsi="Cambria Math"/>
          </w:rPr>
          <m:t>t</m:t>
        </m:r>
      </m:oMath>
      <w:r w:rsidRPr="00A54D0C">
        <w:t xml:space="preserve"> as given in equations </w:t>
      </w:r>
      <w:r w:rsidR="006377E2">
        <w:t>S</w:t>
      </w:r>
      <w:r w:rsidRPr="00A54D0C">
        <w:t xml:space="preserve">10 and </w:t>
      </w:r>
      <w:r w:rsidR="006377E2">
        <w:t>S</w:t>
      </w:r>
      <w:r w:rsidRPr="00A54D0C">
        <w:t xml:space="preserve">11. By performing </w:t>
      </w:r>
      <w:proofErr w:type="spellStart"/>
      <w:r w:rsidRPr="00A54D0C">
        <w:rPr>
          <w:i/>
        </w:rPr>
        <w:t>n</w:t>
      </w:r>
      <w:r w:rsidRPr="00A54D0C">
        <w:rPr>
          <w:i/>
          <w:vertAlign w:val="subscript"/>
        </w:rPr>
        <w:t>Smax</w:t>
      </w:r>
      <w:proofErr w:type="spellEnd"/>
      <w:r w:rsidRPr="00A54D0C">
        <w:t xml:space="preserve"> repetitions of this procedure, we obtain </w:t>
      </w:r>
      <w:proofErr w:type="spellStart"/>
      <w:r w:rsidRPr="00A54D0C">
        <w:rPr>
          <w:i/>
        </w:rPr>
        <w:t>n</w:t>
      </w:r>
      <w:r w:rsidRPr="00A54D0C">
        <w:rPr>
          <w:i/>
          <w:vertAlign w:val="subscript"/>
        </w:rPr>
        <w:t>Smax</w:t>
      </w:r>
      <w:proofErr w:type="spellEnd"/>
      <w:r w:rsidRPr="00A54D0C">
        <w:t xml:space="preserve"> realisations of the survival probabilities within a population of initial size </w:t>
      </w:r>
      <w:r w:rsidRPr="00A54D0C">
        <w:rPr>
          <w:i/>
        </w:rPr>
        <w:t>Y</w:t>
      </w:r>
      <w:r w:rsidRPr="00A54D0C">
        <w:rPr>
          <w:i/>
          <w:vertAlign w:val="subscript"/>
        </w:rPr>
        <w:t>0</w:t>
      </w:r>
      <w:r w:rsidRPr="00A54D0C">
        <w:t xml:space="preserve">, given the parameter vector </w:t>
      </w:r>
      <m:oMath>
        <m:r>
          <w:rPr>
            <w:rFonts w:ascii="Cambria Math" w:hAnsi="Cambria Math"/>
          </w:rPr>
          <m:t>θ</m:t>
        </m:r>
      </m:oMath>
      <w:r w:rsidRPr="00A54D0C">
        <w:t xml:space="preserve"> and the external exposure </w:t>
      </w:r>
      <w:proofErr w:type="spellStart"/>
      <w:r w:rsidRPr="00A54D0C">
        <w:rPr>
          <w:i/>
        </w:rPr>
        <w:t>C</w:t>
      </w:r>
      <w:r w:rsidRPr="00A54D0C">
        <w:rPr>
          <w:i/>
          <w:vertAlign w:val="subscript"/>
        </w:rPr>
        <w:t>ext</w:t>
      </w:r>
      <w:proofErr w:type="spellEnd"/>
      <w:r w:rsidRPr="00A54D0C">
        <w:t>, from which statistical descriptors such as median and percentiles are calculated.</w:t>
      </w:r>
    </w:p>
    <w:p w14:paraId="504D28E4" w14:textId="77777777" w:rsidR="00EC4D3C" w:rsidRPr="00EC4D3C" w:rsidRDefault="00EC4D3C" w:rsidP="00C96E9E">
      <w:pPr>
        <w:pStyle w:val="Heading3"/>
      </w:pPr>
      <w:bookmarkStart w:id="14" w:name="_Toc510179363"/>
      <w:r w:rsidRPr="00EC4D3C">
        <w:t>Including parametric uncertainty in forecasts</w:t>
      </w:r>
      <w:bookmarkEnd w:id="14"/>
    </w:p>
    <w:p w14:paraId="3B2684BA" w14:textId="77777777" w:rsidR="00EC4D3C" w:rsidRDefault="00EC4D3C" w:rsidP="00D04C25">
      <w:pPr>
        <w:spacing w:before="120" w:after="0"/>
        <w:jc w:val="both"/>
      </w:pPr>
      <w:r>
        <w:t>Parametric uncertainty in model simulations is in addition to the stochasticity of survival itself. To consider parameter uncertainties, the following approach is used.</w:t>
      </w:r>
    </w:p>
    <w:p w14:paraId="4FBE9B80" w14:textId="77777777" w:rsidR="00EC4D3C" w:rsidRDefault="00EC4D3C" w:rsidP="00D04C25">
      <w:pPr>
        <w:spacing w:before="120" w:after="0"/>
        <w:jc w:val="both"/>
      </w:pPr>
      <w:r>
        <w:t xml:space="preserve">To approximate the joint confidence regions for the parameters, </w:t>
      </w:r>
      <w:r w:rsidRPr="00305564">
        <w:t xml:space="preserve">a number of </w:t>
      </w:r>
      <w:proofErr w:type="spellStart"/>
      <w:r w:rsidRPr="00305564">
        <w:rPr>
          <w:i/>
        </w:rPr>
        <w:t>n</w:t>
      </w:r>
      <w:r w:rsidRPr="00305564">
        <w:rPr>
          <w:i/>
          <w:vertAlign w:val="subscript"/>
        </w:rPr>
        <w:t>Umax</w:t>
      </w:r>
      <w:proofErr w:type="spellEnd"/>
      <w:r w:rsidRPr="00305564">
        <w:t xml:space="preserve"> parameter</w:t>
      </w:r>
      <w:r>
        <w:t xml:space="preserve"> sets</w:t>
      </w:r>
      <w:r w:rsidRPr="00305564">
        <w:t xml:space="preserve"> from the confidence region </w:t>
      </w:r>
      <m:oMath>
        <m:sSub>
          <m:sSubPr>
            <m:ctrlPr>
              <w:rPr>
                <w:rFonts w:ascii="Cambria Math" w:hAnsi="Cambria Math"/>
              </w:rPr>
            </m:ctrlPr>
          </m:sSubPr>
          <m:e>
            <m:r>
              <m:rPr>
                <m:sty m:val="p"/>
              </m:rPr>
              <w:rPr>
                <w:rFonts w:ascii="Cambria Math" w:hAnsi="Cambria Math"/>
              </w:rPr>
              <m:t>Θ</m:t>
            </m:r>
          </m:e>
          <m:sub>
            <m:r>
              <w:rPr>
                <w:rFonts w:ascii="Cambria Math" w:hAnsi="Cambria Math"/>
              </w:rPr>
              <m:t>conf</m:t>
            </m:r>
          </m:sub>
        </m:sSub>
      </m:oMath>
      <w:r w:rsidRPr="00305564">
        <w:t xml:space="preserve"> </w:t>
      </w:r>
      <w:r>
        <w:t xml:space="preserve">are </w:t>
      </w:r>
      <w:r w:rsidRPr="00305564">
        <w:t>drawn</w:t>
      </w:r>
      <w:r>
        <w:t xml:space="preserve"> (critical value in a likelihood ratio test = 7.81473 from chi-square distribution, </w:t>
      </w:r>
      <w:proofErr w:type="spellStart"/>
      <w:r>
        <w:t>df</w:t>
      </w:r>
      <w:proofErr w:type="spellEnd"/>
      <w:r>
        <w:t>=3, p=0.05), formally expressed as</w:t>
      </w:r>
    </w:p>
    <w:p w14:paraId="5E6065B9" w14:textId="77777777" w:rsidR="00EC4D3C" w:rsidRPr="00D04C25" w:rsidRDefault="002572F7" w:rsidP="00D04C25">
      <w:pPr>
        <w:spacing w:before="120" w:after="0"/>
        <w:ind w:firstLine="720"/>
        <w:jc w:val="both"/>
        <w:rPr>
          <w:rFonts w:eastAsia="Times New Roman"/>
          <w:sz w:val="22"/>
        </w:rPr>
      </w:pPr>
      <m:oMath>
        <m:sSub>
          <m:sSubPr>
            <m:ctrlPr>
              <w:rPr>
                <w:rFonts w:ascii="Cambria Math" w:eastAsia="Times New Roman" w:hAnsi="Cambria Math"/>
                <w:sz w:val="22"/>
              </w:rPr>
            </m:ctrlPr>
          </m:sSubPr>
          <m:e>
            <m:r>
              <m:rPr>
                <m:sty m:val="p"/>
              </m:rPr>
              <w:rPr>
                <w:rFonts w:ascii="Cambria Math" w:eastAsia="Times New Roman" w:hAnsi="Cambria Math"/>
                <w:sz w:val="22"/>
              </w:rPr>
              <m:t>Θ</m:t>
            </m:r>
          </m:e>
          <m:sub>
            <m:r>
              <w:rPr>
                <w:rFonts w:ascii="Cambria Math" w:eastAsia="Times New Roman" w:hAnsi="Cambria Math"/>
                <w:sz w:val="22"/>
              </w:rPr>
              <m:t>conf</m:t>
            </m:r>
          </m:sub>
        </m:sSub>
        <m:r>
          <w:rPr>
            <w:rFonts w:ascii="Cambria Math" w:eastAsia="Times New Roman" w:hAnsi="Cambria Math"/>
            <w:sz w:val="22"/>
          </w:rPr>
          <m:t>=</m:t>
        </m:r>
        <m:d>
          <m:dPr>
            <m:begChr m:val="{"/>
            <m:endChr m:val="|"/>
            <m:ctrlPr>
              <w:rPr>
                <w:rFonts w:ascii="Cambria Math" w:eastAsia="Times New Roman" w:hAnsi="Cambria Math"/>
                <w:i/>
                <w:sz w:val="22"/>
              </w:rPr>
            </m:ctrlPr>
          </m:dPr>
          <m:e>
            <m:sSup>
              <m:sSupPr>
                <m:ctrlPr>
                  <w:rPr>
                    <w:rFonts w:ascii="Cambria Math" w:eastAsia="Times New Roman" w:hAnsi="Cambria Math"/>
                    <w:i/>
                    <w:sz w:val="22"/>
                  </w:rPr>
                </m:ctrlPr>
              </m:sSupPr>
              <m:e>
                <m:r>
                  <w:rPr>
                    <w:rFonts w:ascii="Cambria Math" w:eastAsia="Times New Roman" w:hAnsi="Cambria Math"/>
                    <w:sz w:val="22"/>
                  </w:rPr>
                  <m:t>θ</m:t>
                </m:r>
              </m:e>
              <m:sup>
                <m:r>
                  <w:rPr>
                    <w:rFonts w:ascii="Cambria Math" w:eastAsia="Times New Roman" w:hAnsi="Cambria Math"/>
                    <w:sz w:val="22"/>
                  </w:rPr>
                  <m:t xml:space="preserve"> </m:t>
                </m:r>
              </m:sup>
            </m:sSup>
          </m:e>
        </m:d>
        <m:r>
          <w:rPr>
            <w:rFonts w:ascii="Cambria Math" w:eastAsia="Times New Roman" w:hAnsi="Cambria Math"/>
            <w:sz w:val="22"/>
          </w:rPr>
          <m:t>-</m:t>
        </m:r>
        <m:func>
          <m:funcPr>
            <m:ctrlPr>
              <w:rPr>
                <w:rFonts w:ascii="Cambria Math" w:eastAsia="Times New Roman" w:hAnsi="Cambria Math"/>
                <w:i/>
                <w:sz w:val="22"/>
              </w:rPr>
            </m:ctrlPr>
          </m:funcPr>
          <m:fName>
            <m:func>
              <m:funcPr>
                <m:ctrlPr>
                  <w:rPr>
                    <w:rFonts w:ascii="Cambria Math" w:eastAsia="Times New Roman" w:hAnsi="Cambria Math"/>
                    <w:i/>
                    <w:sz w:val="22"/>
                  </w:rPr>
                </m:ctrlPr>
              </m:funcPr>
              <m:fName>
                <m:r>
                  <m:rPr>
                    <m:sty m:val="p"/>
                  </m:rPr>
                  <w:rPr>
                    <w:rFonts w:ascii="Cambria Math" w:eastAsia="Times New Roman" w:hAnsi="Cambria Math"/>
                    <w:sz w:val="22"/>
                  </w:rPr>
                  <m:t>ln</m:t>
                </m:r>
              </m:fName>
              <m:e>
                <m:r>
                  <w:rPr>
                    <w:rFonts w:ascii="Cambria Math" w:eastAsia="Times New Roman" w:hAnsi="Cambria Math"/>
                    <w:sz w:val="22"/>
                  </w:rPr>
                  <m:t>l</m:t>
                </m:r>
                <m:d>
                  <m:dPr>
                    <m:ctrlPr>
                      <w:rPr>
                        <w:rFonts w:ascii="Cambria Math" w:eastAsia="Times New Roman" w:hAnsi="Cambria Math"/>
                        <w:i/>
                        <w:sz w:val="22"/>
                      </w:rPr>
                    </m:ctrlPr>
                  </m:dPr>
                  <m:e>
                    <m:r>
                      <w:rPr>
                        <w:rFonts w:ascii="Cambria Math" w:eastAsia="Times New Roman" w:hAnsi="Cambria Math"/>
                        <w:sz w:val="22"/>
                      </w:rPr>
                      <m:t>y</m:t>
                    </m:r>
                  </m:e>
                  <m:e>
                    <m:r>
                      <w:rPr>
                        <w:rFonts w:ascii="Cambria Math" w:eastAsia="Times New Roman" w:hAnsi="Cambria Math"/>
                        <w:sz w:val="22"/>
                      </w:rPr>
                      <m:t>θ</m:t>
                    </m:r>
                  </m:e>
                </m:d>
              </m:e>
            </m:func>
          </m:fName>
          <m:e>
            <m:r>
              <w:rPr>
                <w:rFonts w:ascii="Cambria Math" w:eastAsia="Times New Roman" w:hAnsi="Cambria Math"/>
                <w:sz w:val="22"/>
              </w:rPr>
              <m:t>≤</m:t>
            </m:r>
            <m:func>
              <m:funcPr>
                <m:ctrlPr>
                  <w:rPr>
                    <w:rFonts w:ascii="Cambria Math" w:eastAsia="Times New Roman" w:hAnsi="Cambria Math"/>
                    <w:i/>
                    <w:sz w:val="22"/>
                  </w:rPr>
                </m:ctrlPr>
              </m:funcPr>
              <m:fName>
                <m:r>
                  <m:rPr>
                    <m:sty m:val="p"/>
                  </m:rPr>
                  <w:rPr>
                    <w:rFonts w:ascii="Cambria Math" w:eastAsia="Times New Roman" w:hAnsi="Cambria Math"/>
                    <w:sz w:val="22"/>
                  </w:rPr>
                  <m:t>-ln</m:t>
                </m:r>
              </m:fName>
              <m:e>
                <m:r>
                  <w:rPr>
                    <w:rFonts w:ascii="Cambria Math" w:eastAsia="Times New Roman" w:hAnsi="Cambria Math"/>
                    <w:sz w:val="22"/>
                  </w:rPr>
                  <m:t>l</m:t>
                </m:r>
                <m:d>
                  <m:dPr>
                    <m:ctrlPr>
                      <w:rPr>
                        <w:rFonts w:ascii="Cambria Math" w:eastAsia="Times New Roman" w:hAnsi="Cambria Math"/>
                        <w:i/>
                        <w:sz w:val="22"/>
                      </w:rPr>
                    </m:ctrlPr>
                  </m:dPr>
                  <m:e>
                    <m:r>
                      <w:rPr>
                        <w:rFonts w:ascii="Cambria Math" w:eastAsia="Times New Roman" w:hAnsi="Cambria Math"/>
                        <w:sz w:val="22"/>
                      </w:rPr>
                      <m:t>y</m:t>
                    </m:r>
                  </m:e>
                  <m:e>
                    <m:sSup>
                      <m:sSupPr>
                        <m:ctrlPr>
                          <w:rPr>
                            <w:rFonts w:ascii="Cambria Math" w:eastAsia="Times New Roman" w:hAnsi="Cambria Math"/>
                            <w:i/>
                            <w:sz w:val="22"/>
                          </w:rPr>
                        </m:ctrlPr>
                      </m:sSupPr>
                      <m:e>
                        <m:r>
                          <w:rPr>
                            <w:rFonts w:ascii="Cambria Math" w:eastAsia="Times New Roman" w:hAnsi="Cambria Math"/>
                            <w:sz w:val="22"/>
                          </w:rPr>
                          <m:t>θ</m:t>
                        </m:r>
                      </m:e>
                      <m:sup>
                        <m:r>
                          <w:rPr>
                            <w:rFonts w:ascii="Cambria Math" w:eastAsia="Times New Roman" w:hAnsi="Cambria Math"/>
                            <w:sz w:val="22"/>
                          </w:rPr>
                          <m:t>opt</m:t>
                        </m:r>
                      </m:sup>
                    </m:sSup>
                  </m:e>
                </m:d>
              </m:e>
            </m:func>
            <m:r>
              <w:rPr>
                <w:rFonts w:ascii="Cambria Math" w:eastAsia="Times New Roman" w:hAnsi="Cambria Math"/>
                <w:sz w:val="22"/>
              </w:rPr>
              <m:t>∙</m:t>
            </m:r>
          </m:e>
        </m:func>
        <m:f>
          <m:fPr>
            <m:ctrlPr>
              <w:rPr>
                <w:rFonts w:ascii="Cambria Math" w:eastAsia="Times New Roman" w:hAnsi="Cambria Math"/>
                <w:i/>
                <w:sz w:val="22"/>
              </w:rPr>
            </m:ctrlPr>
          </m:fPr>
          <m:num>
            <m:sSubSup>
              <m:sSubSupPr>
                <m:ctrlPr>
                  <w:rPr>
                    <w:rFonts w:ascii="Cambria Math" w:eastAsia="Times New Roman" w:hAnsi="Cambria Math"/>
                    <w:i/>
                    <w:sz w:val="22"/>
                  </w:rPr>
                </m:ctrlPr>
              </m:sSubSupPr>
              <m:e>
                <m:r>
                  <w:rPr>
                    <w:rFonts w:ascii="Cambria Math" w:eastAsia="Times New Roman" w:hAnsi="Cambria Math"/>
                    <w:sz w:val="22"/>
                  </w:rPr>
                  <m:t>χ</m:t>
                </m:r>
              </m:e>
              <m:sub>
                <m:r>
                  <w:rPr>
                    <w:rFonts w:ascii="Cambria Math" w:eastAsia="Times New Roman" w:hAnsi="Cambria Math"/>
                    <w:sz w:val="22"/>
                  </w:rPr>
                  <m:t>df,1-α</m:t>
                </m:r>
              </m:sub>
              <m:sup>
                <m:r>
                  <w:rPr>
                    <w:rFonts w:ascii="Cambria Math" w:eastAsia="Times New Roman" w:hAnsi="Cambria Math"/>
                    <w:sz w:val="22"/>
                  </w:rPr>
                  <m:t>2</m:t>
                </m:r>
              </m:sup>
            </m:sSubSup>
          </m:num>
          <m:den>
            <m:r>
              <w:rPr>
                <w:rFonts w:ascii="Cambria Math" w:eastAsia="Times New Roman" w:hAnsi="Cambria Math"/>
                <w:sz w:val="22"/>
              </w:rPr>
              <m:t>2</m:t>
            </m:r>
          </m:den>
        </m:f>
        <m:r>
          <w:rPr>
            <w:rFonts w:ascii="Cambria Math" w:eastAsia="Times New Roman" w:hAnsi="Cambria Math"/>
            <w:sz w:val="22"/>
          </w:rPr>
          <m:t>}</m:t>
        </m:r>
      </m:oMath>
      <w:r w:rsidR="00EC4D3C" w:rsidRPr="00D04C25">
        <w:rPr>
          <w:rFonts w:eastAsia="Times New Roman"/>
          <w:sz w:val="22"/>
        </w:rPr>
        <w:tab/>
      </w:r>
      <w:r w:rsidR="00D04C25">
        <w:rPr>
          <w:rFonts w:eastAsia="Times New Roman"/>
          <w:sz w:val="22"/>
        </w:rPr>
        <w:tab/>
      </w:r>
      <w:r w:rsidR="00D04C25">
        <w:rPr>
          <w:rFonts w:eastAsia="Times New Roman"/>
          <w:sz w:val="22"/>
        </w:rPr>
        <w:tab/>
      </w:r>
      <w:r w:rsidR="00D04C25">
        <w:rPr>
          <w:rFonts w:eastAsia="Times New Roman"/>
          <w:sz w:val="22"/>
        </w:rPr>
        <w:tab/>
      </w:r>
      <w:r w:rsidR="00D04C25" w:rsidRPr="00A54D0C">
        <w:t xml:space="preserve">Eq. </w:t>
      </w:r>
      <w:r w:rsidR="00D04C25">
        <w:t>S</w:t>
      </w:r>
      <w:r w:rsidR="00D04C25" w:rsidRPr="00A54D0C">
        <w:t>1</w:t>
      </w:r>
      <w:r w:rsidR="00D04C25">
        <w:t>2</w:t>
      </w:r>
    </w:p>
    <w:p w14:paraId="332B5D73" w14:textId="77777777" w:rsidR="00EB75B0" w:rsidRDefault="00EB75B0" w:rsidP="00D04C25">
      <w:pPr>
        <w:spacing w:before="120" w:after="0"/>
        <w:jc w:val="both"/>
      </w:pPr>
    </w:p>
    <w:p w14:paraId="21ACC631" w14:textId="696AC653" w:rsidR="00EC4D3C" w:rsidRDefault="00EC4D3C" w:rsidP="00D04C25">
      <w:pPr>
        <w:jc w:val="both"/>
        <w:rPr>
          <w:rFonts w:eastAsia="Times New Roman"/>
        </w:rPr>
      </w:pPr>
      <w:r>
        <w:t xml:space="preserve">The degrees of freedom for the likelihood ratio that is being used for the construction of the joint confidence region are defined by the difference in free model parameters, that is in this case </w:t>
      </w:r>
      <w:proofErr w:type="spellStart"/>
      <w:r>
        <w:t>df</w:t>
      </w:r>
      <w:proofErr w:type="spellEnd"/>
      <w:r>
        <w:t>=3, because for optimisation all three model parameters of the GUTS-SIC-SD or GUTS-SIC-IT models were free, whereas for the construction of the three-dimensional joint confidence region all model parameters were fixed. The background mortality rate constant was not taken into account here, because it was not considered for the uncertainty calculations. F</w:t>
      </w:r>
      <w:r w:rsidRPr="00305564">
        <w:t xml:space="preserve">or every </w:t>
      </w:r>
      <w:r>
        <w:t xml:space="preserve">drawn </w:t>
      </w:r>
      <w:r w:rsidRPr="00305564">
        <w:t>parameter vector</w:t>
      </w:r>
      <w:r>
        <w:t xml:space="preserve">, </w:t>
      </w:r>
      <w:r w:rsidRPr="00305564">
        <w:t xml:space="preserve">survival over time </w:t>
      </w:r>
      <w:r>
        <w:t xml:space="preserve">is </w:t>
      </w:r>
      <w:r w:rsidRPr="00305564">
        <w:t>simulated</w:t>
      </w:r>
      <w:r>
        <w:t xml:space="preserve"> p</w:t>
      </w:r>
      <w:r w:rsidRPr="00EC4D3C">
        <w:t xml:space="preserve">erforming </w:t>
      </w:r>
      <w:proofErr w:type="spellStart"/>
      <w:r w:rsidRPr="00EC4D3C">
        <w:t>n</w:t>
      </w:r>
      <w:r w:rsidRPr="00EC4D3C">
        <w:rPr>
          <w:vertAlign w:val="subscript"/>
        </w:rPr>
        <w:t>Smax</w:t>
      </w:r>
      <w:proofErr w:type="spellEnd"/>
      <w:r w:rsidRPr="00EC4D3C">
        <w:t xml:space="preserve"> repetitions</w:t>
      </w:r>
      <w:r>
        <w:t xml:space="preserve"> to account for the stochasticity of survival per exposure profile, and the results are. </w:t>
      </w:r>
      <w:r w:rsidRPr="000432F1">
        <w:rPr>
          <w:rFonts w:eastAsia="Times New Roman"/>
        </w:rPr>
        <w:t xml:space="preserve">The total numbers of simulations hence amounts to </w:t>
      </w:r>
      <w:proofErr w:type="spellStart"/>
      <w:r w:rsidRPr="000432F1">
        <w:rPr>
          <w:rFonts w:eastAsia="Times New Roman"/>
          <w:i/>
        </w:rPr>
        <w:t>n</w:t>
      </w:r>
      <w:r w:rsidRPr="000432F1">
        <w:rPr>
          <w:rFonts w:eastAsia="Times New Roman"/>
          <w:i/>
          <w:vertAlign w:val="subscript"/>
        </w:rPr>
        <w:t>max</w:t>
      </w:r>
      <w:proofErr w:type="spellEnd"/>
      <w:r w:rsidRPr="000432F1">
        <w:rPr>
          <w:rFonts w:eastAsia="Times New Roman"/>
        </w:rPr>
        <w:t xml:space="preserve"> = </w:t>
      </w:r>
      <w:proofErr w:type="spellStart"/>
      <w:r w:rsidRPr="000432F1">
        <w:rPr>
          <w:rFonts w:eastAsia="Times New Roman"/>
          <w:i/>
        </w:rPr>
        <w:t>n</w:t>
      </w:r>
      <w:r w:rsidRPr="000432F1">
        <w:rPr>
          <w:rFonts w:eastAsia="Times New Roman"/>
          <w:i/>
          <w:vertAlign w:val="subscript"/>
        </w:rPr>
        <w:t>Umax</w:t>
      </w:r>
      <w:proofErr w:type="spellEnd"/>
      <w:r w:rsidRPr="000432F1">
        <w:rPr>
          <w:rFonts w:eastAsia="Times New Roman"/>
          <w:i/>
          <w:vertAlign w:val="subscript"/>
        </w:rPr>
        <w:t xml:space="preserve"> * </w:t>
      </w:r>
      <w:proofErr w:type="spellStart"/>
      <w:r w:rsidRPr="000432F1">
        <w:rPr>
          <w:rFonts w:eastAsia="Times New Roman"/>
          <w:i/>
        </w:rPr>
        <w:t>n</w:t>
      </w:r>
      <w:r w:rsidRPr="000432F1">
        <w:rPr>
          <w:rFonts w:eastAsia="Times New Roman"/>
          <w:i/>
          <w:vertAlign w:val="subscript"/>
        </w:rPr>
        <w:t>Smax</w:t>
      </w:r>
      <w:proofErr w:type="spellEnd"/>
      <w:r w:rsidRPr="000432F1">
        <w:rPr>
          <w:rFonts w:eastAsia="Times New Roman"/>
        </w:rPr>
        <w:t xml:space="preserve">. These </w:t>
      </w:r>
      <w:proofErr w:type="spellStart"/>
      <w:r w:rsidRPr="000432F1">
        <w:rPr>
          <w:rFonts w:eastAsia="Times New Roman"/>
          <w:i/>
        </w:rPr>
        <w:t>n</w:t>
      </w:r>
      <w:r w:rsidRPr="000432F1">
        <w:rPr>
          <w:rFonts w:eastAsia="Times New Roman"/>
          <w:i/>
          <w:vertAlign w:val="subscript"/>
        </w:rPr>
        <w:t>max</w:t>
      </w:r>
      <w:proofErr w:type="spellEnd"/>
      <w:r w:rsidRPr="000432F1">
        <w:rPr>
          <w:rFonts w:eastAsia="Times New Roman"/>
        </w:rPr>
        <w:t xml:space="preserve"> realisations of the simulated numbers of surviving individuals within the population of initial size </w:t>
      </w:r>
      <w:r w:rsidRPr="000432F1">
        <w:rPr>
          <w:rFonts w:eastAsia="Times New Roman"/>
          <w:i/>
        </w:rPr>
        <w:t>Y</w:t>
      </w:r>
      <w:r w:rsidRPr="000432F1">
        <w:rPr>
          <w:rFonts w:eastAsia="Times New Roman"/>
          <w:i/>
          <w:vertAlign w:val="subscript"/>
        </w:rPr>
        <w:t xml:space="preserve">0 </w:t>
      </w:r>
      <w:r>
        <w:rPr>
          <w:rFonts w:eastAsia="Times New Roman"/>
        </w:rPr>
        <w:t xml:space="preserve">is </w:t>
      </w:r>
      <w:r w:rsidRPr="000432F1">
        <w:rPr>
          <w:rFonts w:eastAsia="Times New Roman"/>
        </w:rPr>
        <w:t xml:space="preserve">described statistically by the median and </w:t>
      </w:r>
      <w:r w:rsidR="00035504">
        <w:rPr>
          <w:rFonts w:eastAsia="Times New Roman"/>
        </w:rPr>
        <w:t xml:space="preserve">upper and lower percentiles </w:t>
      </w:r>
      <w:r w:rsidRPr="000432F1">
        <w:rPr>
          <w:rFonts w:eastAsia="Times New Roman"/>
        </w:rPr>
        <w:t xml:space="preserve">of the distribution of the numbers of survivors, quantifying </w:t>
      </w:r>
      <w:r w:rsidRPr="000432F1">
        <w:rPr>
          <w:rFonts w:eastAsia="Times New Roman"/>
        </w:rPr>
        <w:lastRenderedPageBreak/>
        <w:t xml:space="preserve">uncertainty in the model predictions. For this study, we used </w:t>
      </w:r>
      <w:proofErr w:type="spellStart"/>
      <w:r w:rsidRPr="000432F1">
        <w:rPr>
          <w:rFonts w:eastAsia="Times New Roman"/>
          <w:i/>
        </w:rPr>
        <w:t>n</w:t>
      </w:r>
      <w:r w:rsidRPr="000432F1">
        <w:rPr>
          <w:rFonts w:eastAsia="Times New Roman"/>
          <w:i/>
          <w:vertAlign w:val="subscript"/>
        </w:rPr>
        <w:t>Smax</w:t>
      </w:r>
      <w:proofErr w:type="spellEnd"/>
      <w:r w:rsidRPr="000432F1">
        <w:rPr>
          <w:rFonts w:eastAsia="Times New Roman"/>
        </w:rPr>
        <w:t>=10,</w:t>
      </w:r>
      <w:r>
        <w:rPr>
          <w:rFonts w:eastAsia="Times New Roman"/>
        </w:rPr>
        <w:t xml:space="preserve"> </w:t>
      </w:r>
      <w:proofErr w:type="spellStart"/>
      <w:r w:rsidRPr="000432F1">
        <w:rPr>
          <w:rFonts w:eastAsia="Times New Roman"/>
          <w:i/>
        </w:rPr>
        <w:t>n</w:t>
      </w:r>
      <w:r w:rsidRPr="000432F1">
        <w:rPr>
          <w:rFonts w:eastAsia="Times New Roman"/>
          <w:i/>
          <w:vertAlign w:val="subscript"/>
        </w:rPr>
        <w:t>Umax</w:t>
      </w:r>
      <w:proofErr w:type="spellEnd"/>
      <w:r w:rsidR="00035504">
        <w:rPr>
          <w:rFonts w:eastAsia="Times New Roman"/>
        </w:rPr>
        <w:t>=1</w:t>
      </w:r>
      <w:r w:rsidR="000B3077">
        <w:rPr>
          <w:rFonts w:eastAsia="Times New Roman"/>
        </w:rPr>
        <w:t>,</w:t>
      </w:r>
      <w:r w:rsidR="00035504">
        <w:rPr>
          <w:rFonts w:eastAsia="Times New Roman"/>
        </w:rPr>
        <w:t xml:space="preserve">000, </w:t>
      </w:r>
      <w:r w:rsidRPr="000432F1">
        <w:rPr>
          <w:rFonts w:eastAsia="Times New Roman"/>
        </w:rPr>
        <w:t xml:space="preserve">hence performed </w:t>
      </w:r>
      <w:proofErr w:type="spellStart"/>
      <w:r w:rsidRPr="000432F1">
        <w:rPr>
          <w:rFonts w:eastAsia="Times New Roman"/>
          <w:i/>
        </w:rPr>
        <w:t>n</w:t>
      </w:r>
      <w:r w:rsidRPr="000432F1">
        <w:rPr>
          <w:rFonts w:eastAsia="Times New Roman"/>
          <w:i/>
          <w:vertAlign w:val="subscript"/>
        </w:rPr>
        <w:t>max</w:t>
      </w:r>
      <w:proofErr w:type="spellEnd"/>
      <w:r w:rsidRPr="000432F1">
        <w:rPr>
          <w:rFonts w:eastAsia="Times New Roman"/>
        </w:rPr>
        <w:t>=10</w:t>
      </w:r>
      <w:r w:rsidR="000B3077">
        <w:rPr>
          <w:rFonts w:eastAsia="Times New Roman"/>
        </w:rPr>
        <w:t>,</w:t>
      </w:r>
      <w:r w:rsidRPr="000432F1">
        <w:rPr>
          <w:rFonts w:eastAsia="Times New Roman"/>
        </w:rPr>
        <w:t>000 simulations of survival over time</w:t>
      </w:r>
      <w:r w:rsidR="00035504">
        <w:rPr>
          <w:rFonts w:eastAsia="Times New Roman"/>
        </w:rPr>
        <w:t xml:space="preserve"> per exposure scenario </w:t>
      </w:r>
      <w:r>
        <w:rPr>
          <w:rFonts w:eastAsia="Times New Roman"/>
        </w:rPr>
        <w:t>.</w:t>
      </w:r>
    </w:p>
    <w:p w14:paraId="7C3C0F3A" w14:textId="77777777" w:rsidR="009737B6" w:rsidRPr="009737B6" w:rsidRDefault="009737B6" w:rsidP="00C96E9E">
      <w:pPr>
        <w:pStyle w:val="Heading3"/>
      </w:pPr>
      <w:bookmarkStart w:id="15" w:name="_Toc510179364"/>
      <w:r w:rsidRPr="009737B6">
        <w:t>Dose response curves</w:t>
      </w:r>
      <w:bookmarkStart w:id="16" w:name="_GoBack"/>
      <w:bookmarkEnd w:id="16"/>
      <w:r w:rsidRPr="009737B6">
        <w:t xml:space="preserve"> for pulsed exposures</w:t>
      </w:r>
      <w:bookmarkEnd w:id="15"/>
    </w:p>
    <w:p w14:paraId="27212493" w14:textId="77777777" w:rsidR="00EC4D3C" w:rsidRPr="00D04C25" w:rsidRDefault="009737B6" w:rsidP="00D04C25">
      <w:pPr>
        <w:jc w:val="both"/>
        <w:rPr>
          <w:rFonts w:eastAsia="Times New Roman"/>
        </w:rPr>
      </w:pPr>
      <w:r w:rsidRPr="009737B6">
        <w:rPr>
          <w:rFonts w:eastAsia="Times New Roman"/>
        </w:rPr>
        <w:t xml:space="preserve">Simulated dose response relationships for </w:t>
      </w:r>
      <w:r>
        <w:rPr>
          <w:rFonts w:eastAsia="Times New Roman"/>
        </w:rPr>
        <w:t xml:space="preserve">the </w:t>
      </w:r>
      <w:r w:rsidRPr="009737B6">
        <w:rPr>
          <w:rFonts w:eastAsia="Times New Roman"/>
        </w:rPr>
        <w:t xml:space="preserve">pulsed exposure </w:t>
      </w:r>
      <w:r>
        <w:rPr>
          <w:rFonts w:eastAsia="Times New Roman"/>
        </w:rPr>
        <w:t xml:space="preserve">profiles as tested experimentally in experiments MS_V and MC_V </w:t>
      </w:r>
      <w:r w:rsidRPr="009737B6">
        <w:rPr>
          <w:rFonts w:eastAsia="Times New Roman"/>
        </w:rPr>
        <w:t xml:space="preserve">were constructed by prediction </w:t>
      </w:r>
      <w:r>
        <w:rPr>
          <w:rFonts w:eastAsia="Times New Roman"/>
        </w:rPr>
        <w:t xml:space="preserve">of </w:t>
      </w:r>
      <w:r w:rsidRPr="009737B6">
        <w:rPr>
          <w:rFonts w:eastAsia="Times New Roman"/>
        </w:rPr>
        <w:t xml:space="preserve">survival over time for a series of manipulated pulsed exposure profiles. The concentrations as </w:t>
      </w:r>
      <w:r>
        <w:rPr>
          <w:rFonts w:eastAsia="Times New Roman"/>
        </w:rPr>
        <w:t xml:space="preserve">measured </w:t>
      </w:r>
      <w:r w:rsidRPr="009737B6">
        <w:rPr>
          <w:rFonts w:eastAsia="Times New Roman"/>
        </w:rPr>
        <w:t xml:space="preserve">in the original pulsed exposure experiments were multiplied with a </w:t>
      </w:r>
      <w:r w:rsidR="000269BF">
        <w:rPr>
          <w:rFonts w:eastAsia="Times New Roman"/>
        </w:rPr>
        <w:t xml:space="preserve">set </w:t>
      </w:r>
      <w:r w:rsidRPr="009737B6">
        <w:rPr>
          <w:rFonts w:eastAsia="Times New Roman"/>
        </w:rPr>
        <w:t xml:space="preserve">of </w:t>
      </w:r>
      <w:r w:rsidR="000269BF">
        <w:rPr>
          <w:rFonts w:eastAsia="Times New Roman"/>
        </w:rPr>
        <w:t xml:space="preserve">61 </w:t>
      </w:r>
      <w:r w:rsidRPr="009737B6">
        <w:rPr>
          <w:rFonts w:eastAsia="Times New Roman"/>
        </w:rPr>
        <w:t>multiplication factors</w:t>
      </w:r>
      <w:r w:rsidR="000269BF">
        <w:rPr>
          <w:rFonts w:eastAsia="Times New Roman"/>
        </w:rPr>
        <w:t>, ranging from 10</w:t>
      </w:r>
      <w:r w:rsidR="000269BF" w:rsidRPr="000269BF">
        <w:rPr>
          <w:rFonts w:eastAsia="Times New Roman"/>
          <w:vertAlign w:val="superscript"/>
        </w:rPr>
        <w:t>-2.5</w:t>
      </w:r>
      <w:r w:rsidR="000269BF">
        <w:rPr>
          <w:rFonts w:eastAsia="Times New Roman"/>
        </w:rPr>
        <w:t xml:space="preserve"> to 10</w:t>
      </w:r>
      <w:r w:rsidR="000269BF" w:rsidRPr="000269BF">
        <w:rPr>
          <w:rFonts w:eastAsia="Times New Roman"/>
          <w:vertAlign w:val="superscript"/>
        </w:rPr>
        <w:t>3.5</w:t>
      </w:r>
      <w:r w:rsidRPr="009737B6">
        <w:rPr>
          <w:rFonts w:eastAsia="Times New Roman"/>
        </w:rPr>
        <w:t xml:space="preserve">. Predictions were done both deterministic (using the optimal parameter vector) and probabilistic (with 10000 Monte Carlo runs). Simulated survival at the end of the pulsed experiments as appearing from the optimal parameter sets, and median, </w:t>
      </w:r>
      <w:r>
        <w:rPr>
          <w:rFonts w:eastAsia="Times New Roman"/>
        </w:rPr>
        <w:t>and the 10</w:t>
      </w:r>
      <w:r w:rsidRPr="009737B6">
        <w:rPr>
          <w:rFonts w:eastAsia="Times New Roman"/>
          <w:vertAlign w:val="superscript"/>
        </w:rPr>
        <w:t>th</w:t>
      </w:r>
      <w:r>
        <w:rPr>
          <w:rFonts w:eastAsia="Times New Roman"/>
        </w:rPr>
        <w:t xml:space="preserve"> and 90</w:t>
      </w:r>
      <w:r w:rsidRPr="009737B6">
        <w:rPr>
          <w:rFonts w:eastAsia="Times New Roman"/>
          <w:vertAlign w:val="superscript"/>
        </w:rPr>
        <w:t>th</w:t>
      </w:r>
      <w:r>
        <w:rPr>
          <w:rFonts w:eastAsia="Times New Roman"/>
        </w:rPr>
        <w:t xml:space="preserve"> percentiles </w:t>
      </w:r>
      <w:r w:rsidRPr="009737B6">
        <w:rPr>
          <w:rFonts w:eastAsia="Times New Roman"/>
        </w:rPr>
        <w:t xml:space="preserve">as </w:t>
      </w:r>
      <w:r>
        <w:rPr>
          <w:rFonts w:eastAsia="Times New Roman"/>
        </w:rPr>
        <w:t xml:space="preserve">obtained from </w:t>
      </w:r>
      <w:r w:rsidRPr="009737B6">
        <w:rPr>
          <w:rFonts w:eastAsia="Times New Roman"/>
        </w:rPr>
        <w:t xml:space="preserve">the probabilistic simulations together with the exposure concentrations generated a series of data points that were interpolated to create the dose response curves </w:t>
      </w:r>
      <w:r>
        <w:rPr>
          <w:rFonts w:eastAsia="Times New Roman"/>
        </w:rPr>
        <w:t xml:space="preserve">corresponding to </w:t>
      </w:r>
      <w:r w:rsidRPr="009737B6">
        <w:rPr>
          <w:rFonts w:eastAsia="Times New Roman"/>
        </w:rPr>
        <w:t xml:space="preserve">the last day of the </w:t>
      </w:r>
      <w:r>
        <w:rPr>
          <w:rFonts w:eastAsia="Times New Roman"/>
        </w:rPr>
        <w:t xml:space="preserve">respective </w:t>
      </w:r>
      <w:r w:rsidRPr="009737B6">
        <w:rPr>
          <w:rFonts w:eastAsia="Times New Roman"/>
        </w:rPr>
        <w:t>experiment</w:t>
      </w:r>
      <w:r>
        <w:rPr>
          <w:rFonts w:eastAsia="Times New Roman"/>
        </w:rPr>
        <w:t>s</w:t>
      </w:r>
      <w:r w:rsidRPr="009737B6">
        <w:rPr>
          <w:rFonts w:eastAsia="Times New Roman"/>
        </w:rPr>
        <w:t>.</w:t>
      </w:r>
    </w:p>
    <w:p w14:paraId="3D84E2A9" w14:textId="77777777" w:rsidR="009D6A15" w:rsidRPr="00A54D0C" w:rsidRDefault="009D6A15" w:rsidP="00C96E9E">
      <w:pPr>
        <w:pStyle w:val="Heading3"/>
      </w:pPr>
      <w:bookmarkStart w:id="17" w:name="_Toc510179365"/>
      <w:r w:rsidRPr="00A54D0C">
        <w:t>Calculation of model performance statistics</w:t>
      </w:r>
      <w:bookmarkEnd w:id="17"/>
    </w:p>
    <w:p w14:paraId="2DF83D45" w14:textId="3773AE2D" w:rsidR="008E0DDA" w:rsidRDefault="00181ECD" w:rsidP="00D04C25">
      <w:pPr>
        <w:spacing w:before="120" w:after="0"/>
        <w:jc w:val="both"/>
      </w:pPr>
      <w:r w:rsidRPr="00181ECD">
        <w:t xml:space="preserve">A set of indicators for the accuracy of the model predictions were calculated for the survival over time. </w:t>
      </w:r>
      <w:r>
        <w:t>T</w:t>
      </w:r>
      <w:r w:rsidR="00722EA8">
        <w:t>he model prediction error (MPE) (</w:t>
      </w:r>
      <w:r w:rsidR="00E6219F" w:rsidRPr="000B3077">
        <w:rPr>
          <w:highlight w:val="yellow"/>
        </w:rPr>
        <w:t>Nyman</w:t>
      </w:r>
      <w:r w:rsidR="000B3077" w:rsidRPr="000B3077">
        <w:rPr>
          <w:highlight w:val="yellow"/>
        </w:rPr>
        <w:t xml:space="preserve"> et al., 2012</w:t>
      </w:r>
      <w:r w:rsidR="00722EA8">
        <w:t xml:space="preserve">) </w:t>
      </w:r>
      <w:r>
        <w:t xml:space="preserve">was calculated </w:t>
      </w:r>
      <w:r w:rsidR="00722EA8">
        <w:t xml:space="preserve">defined as </w:t>
      </w:r>
    </w:p>
    <w:p w14:paraId="27534BAC" w14:textId="77777777" w:rsidR="008E0DDA" w:rsidRDefault="002572F7" w:rsidP="00D04C25">
      <w:pPr>
        <w:spacing w:before="120" w:after="0"/>
        <w:ind w:firstLine="720"/>
        <w:jc w:val="both"/>
        <w:rPr>
          <w:rFonts w:eastAsiaTheme="minorEastAsia"/>
        </w:rPr>
      </w:pPr>
      <m:oMath>
        <m:f>
          <m:fPr>
            <m:ctrlPr>
              <w:rPr>
                <w:rFonts w:ascii="Cambria Math" w:hAnsi="Cambria Math"/>
                <w:i/>
                <w:sz w:val="22"/>
              </w:rPr>
            </m:ctrlPr>
          </m:fPr>
          <m:num>
            <m:r>
              <w:rPr>
                <w:rFonts w:ascii="Cambria Math" w:hAnsi="Cambria Math"/>
                <w:sz w:val="22"/>
              </w:rPr>
              <m:t>1</m:t>
            </m:r>
          </m:num>
          <m:den>
            <m:r>
              <w:rPr>
                <w:rFonts w:ascii="Cambria Math" w:hAnsi="Cambria Math"/>
                <w:sz w:val="22"/>
              </w:rPr>
              <m:t>n</m:t>
            </m:r>
          </m:den>
        </m:f>
        <m:nary>
          <m:naryPr>
            <m:chr m:val="∑"/>
            <m:limLoc m:val="undOvr"/>
            <m:subHide m:val="1"/>
            <m:supHide m:val="1"/>
            <m:ctrlPr>
              <w:rPr>
                <w:rFonts w:ascii="Cambria Math" w:hAnsi="Cambria Math"/>
                <w:i/>
                <w:sz w:val="22"/>
              </w:rPr>
            </m:ctrlPr>
          </m:naryPr>
          <m:sub/>
          <m:sup/>
          <m:e>
            <m:f>
              <m:fPr>
                <m:ctrlPr>
                  <w:rPr>
                    <w:rFonts w:ascii="Cambria Math" w:hAnsi="Cambria Math"/>
                    <w:i/>
                    <w:sz w:val="22"/>
                  </w:rPr>
                </m:ctrlPr>
              </m:fPr>
              <m:num>
                <m:d>
                  <m:dPr>
                    <m:begChr m:val="|"/>
                    <m:endChr m:val="|"/>
                    <m:ctrlPr>
                      <w:rPr>
                        <w:rFonts w:ascii="Cambria Math" w:hAnsi="Cambria Math"/>
                        <w:i/>
                        <w:sz w:val="22"/>
                      </w:rPr>
                    </m:ctrlPr>
                  </m:dPr>
                  <m:e>
                    <m:sSub>
                      <m:sSubPr>
                        <m:ctrlPr>
                          <w:rPr>
                            <w:rFonts w:ascii="Cambria Math" w:hAnsi="Cambria Math"/>
                            <w:i/>
                            <w:sz w:val="22"/>
                          </w:rPr>
                        </m:ctrlPr>
                      </m:sSubPr>
                      <m:e>
                        <m:r>
                          <w:rPr>
                            <w:rFonts w:ascii="Cambria Math" w:hAnsi="Cambria Math"/>
                            <w:sz w:val="22"/>
                          </w:rPr>
                          <m:t>S</m:t>
                        </m:r>
                      </m:e>
                      <m:sub>
                        <m:r>
                          <w:rPr>
                            <w:rFonts w:ascii="Cambria Math" w:hAnsi="Cambria Math"/>
                            <w:sz w:val="22"/>
                          </w:rPr>
                          <m:t>obs</m:t>
                        </m:r>
                      </m:sub>
                    </m:sSub>
                    <m:r>
                      <w:rPr>
                        <w:rFonts w:ascii="Cambria Math" w:hAnsi="Cambria Math"/>
                        <w:sz w:val="22"/>
                      </w:rPr>
                      <m:t>-</m:t>
                    </m:r>
                    <m:sSub>
                      <m:sSubPr>
                        <m:ctrlPr>
                          <w:rPr>
                            <w:rFonts w:ascii="Cambria Math" w:hAnsi="Cambria Math"/>
                            <w:i/>
                            <w:sz w:val="22"/>
                          </w:rPr>
                        </m:ctrlPr>
                      </m:sSubPr>
                      <m:e>
                        <m:r>
                          <w:rPr>
                            <w:rFonts w:ascii="Cambria Math" w:hAnsi="Cambria Math"/>
                            <w:sz w:val="22"/>
                          </w:rPr>
                          <m:t>S</m:t>
                        </m:r>
                      </m:e>
                      <m:sub>
                        <m:r>
                          <w:rPr>
                            <w:rFonts w:ascii="Cambria Math" w:hAnsi="Cambria Math"/>
                            <w:sz w:val="22"/>
                          </w:rPr>
                          <m:t>model</m:t>
                        </m:r>
                      </m:sub>
                    </m:sSub>
                  </m:e>
                </m:d>
              </m:num>
              <m:den>
                <m:sSub>
                  <m:sSubPr>
                    <m:ctrlPr>
                      <w:rPr>
                        <w:rFonts w:ascii="Cambria Math" w:hAnsi="Cambria Math"/>
                        <w:i/>
                        <w:sz w:val="22"/>
                      </w:rPr>
                    </m:ctrlPr>
                  </m:sSubPr>
                  <m:e>
                    <m:r>
                      <w:rPr>
                        <w:rFonts w:ascii="Cambria Math" w:hAnsi="Cambria Math"/>
                        <w:sz w:val="22"/>
                      </w:rPr>
                      <m:t>S</m:t>
                    </m:r>
                  </m:e>
                  <m:sub>
                    <m:r>
                      <w:rPr>
                        <w:rFonts w:ascii="Cambria Math" w:hAnsi="Cambria Math"/>
                        <w:sz w:val="22"/>
                      </w:rPr>
                      <m:t>model</m:t>
                    </m:r>
                  </m:sub>
                </m:sSub>
              </m:den>
            </m:f>
          </m:e>
        </m:nary>
      </m:oMath>
      <w:r w:rsidR="00722EA8" w:rsidRPr="00D04C25">
        <w:rPr>
          <w:rFonts w:eastAsiaTheme="minorEastAsia"/>
          <w:sz w:val="22"/>
        </w:rPr>
        <w:t xml:space="preserve">, </w:t>
      </w:r>
      <w:r w:rsidR="00DB39AF" w:rsidRPr="00D04C25">
        <w:rPr>
          <w:rFonts w:eastAsiaTheme="minorEastAsia"/>
          <w:sz w:val="22"/>
        </w:rPr>
        <w:tab/>
      </w:r>
      <w:r w:rsidR="00DB39AF">
        <w:rPr>
          <w:rFonts w:eastAsiaTheme="minorEastAsia"/>
        </w:rPr>
        <w:tab/>
      </w:r>
      <w:r w:rsidR="00D04C25">
        <w:rPr>
          <w:rFonts w:eastAsiaTheme="minorEastAsia"/>
        </w:rPr>
        <w:tab/>
      </w:r>
      <w:r w:rsidR="00D04C25">
        <w:rPr>
          <w:rFonts w:eastAsiaTheme="minorEastAsia"/>
        </w:rPr>
        <w:tab/>
      </w:r>
      <w:r w:rsidR="00D04C25">
        <w:rPr>
          <w:rFonts w:eastAsiaTheme="minorEastAsia"/>
        </w:rPr>
        <w:tab/>
      </w:r>
      <w:r w:rsidR="00D04C25">
        <w:rPr>
          <w:rFonts w:eastAsiaTheme="minorEastAsia"/>
        </w:rPr>
        <w:tab/>
      </w:r>
      <w:r w:rsidR="00D04C25">
        <w:rPr>
          <w:rFonts w:eastAsiaTheme="minorEastAsia"/>
        </w:rPr>
        <w:tab/>
      </w:r>
      <w:r w:rsidR="00D04C25">
        <w:rPr>
          <w:rFonts w:eastAsiaTheme="minorEastAsia"/>
        </w:rPr>
        <w:tab/>
      </w:r>
      <w:r w:rsidR="00DB39AF" w:rsidRPr="00A54D0C">
        <w:t xml:space="preserve">Eq. </w:t>
      </w:r>
      <w:r w:rsidR="00DB39AF">
        <w:t>S1</w:t>
      </w:r>
      <w:r w:rsidR="00D04C25">
        <w:t>3</w:t>
      </w:r>
    </w:p>
    <w:p w14:paraId="418AC386" w14:textId="23D2D7AC" w:rsidR="00722EA8" w:rsidRDefault="00722EA8" w:rsidP="00D04C25">
      <w:pPr>
        <w:spacing w:before="120" w:after="0"/>
        <w:jc w:val="both"/>
      </w:pPr>
      <w:r>
        <w:rPr>
          <w:rFonts w:eastAsiaTheme="minorEastAsia"/>
        </w:rPr>
        <w:t>where n is the number of data points per experiments, and S are the fractions of observed and modelled survivors</w:t>
      </w:r>
      <w:r w:rsidR="008E0DDA">
        <w:rPr>
          <w:rFonts w:eastAsiaTheme="minorEastAsia"/>
        </w:rPr>
        <w:t xml:space="preserve">. Additionally, </w:t>
      </w:r>
      <w:r>
        <w:t xml:space="preserve">the correlation between observed and predicted survival probabilities </w:t>
      </w:r>
      <w:r w:rsidR="00DB39AF">
        <w:t xml:space="preserve">per time step </w:t>
      </w:r>
      <w:r w:rsidR="008E0DDA">
        <w:t xml:space="preserve">is </w:t>
      </w:r>
      <w:r>
        <w:t>calculated</w:t>
      </w:r>
      <w:r w:rsidR="008E0DDA">
        <w:t xml:space="preserve"> per data set</w:t>
      </w:r>
      <w:r w:rsidR="00DB39AF">
        <w:t xml:space="preserve">, where the survival probability between time t and the next observed time point t+1 is defined simply as the ratio </w:t>
      </w:r>
      <w:r w:rsidR="00DB39AF" w:rsidRPr="00DB39AF">
        <w:rPr>
          <w:i/>
        </w:rPr>
        <w:t>S(t+1)/S(t)</w:t>
      </w:r>
      <w:r w:rsidR="00DB39AF">
        <w:t>.</w:t>
      </w:r>
      <w:r w:rsidR="00181ECD">
        <w:t xml:space="preserve"> </w:t>
      </w:r>
    </w:p>
    <w:p w14:paraId="50767466" w14:textId="6AA89EEC" w:rsidR="00181ECD" w:rsidRPr="00181ECD" w:rsidRDefault="00181ECD" w:rsidP="00181ECD">
      <w:pPr>
        <w:spacing w:before="120" w:after="0"/>
        <w:jc w:val="both"/>
      </w:pPr>
      <w:r w:rsidRPr="00181ECD">
        <w:t>A second criterion is based on the expectation that predicted and observed survival numbers match the 1:1 line in a scatter plot. The classical root-mean-square error (RMSE) aggregates the magnitude of the prediction errors for various time-points into a single measure of predictive power. In order to provide a criterion expressed as a percentage, the RMSE normalised by the mean of the observations is used:</w:t>
      </w:r>
    </w:p>
    <w:p w14:paraId="6B5C5F78" w14:textId="5DF738A0" w:rsidR="00181ECD" w:rsidRPr="00181ECD" w:rsidRDefault="00181ECD" w:rsidP="00181ECD">
      <w:pPr>
        <w:spacing w:before="120" w:after="0"/>
        <w:jc w:val="both"/>
      </w:pPr>
      <m:oMath>
        <m:r>
          <w:rPr>
            <w:rFonts w:ascii="Cambria Math" w:hAnsi="Cambria Math"/>
          </w:rPr>
          <m:t>NRMSE=</m:t>
        </m:r>
        <m:f>
          <m:fPr>
            <m:ctrlPr>
              <w:rPr>
                <w:rFonts w:ascii="Cambria Math" w:hAnsi="Cambria Math"/>
                <w:i/>
              </w:rPr>
            </m:ctrlPr>
          </m:fPr>
          <m:num>
            <m:r>
              <w:rPr>
                <w:rFonts w:ascii="Cambria Math" w:hAnsi="Cambria Math"/>
              </w:rPr>
              <m:t>RMSE</m:t>
            </m:r>
          </m:num>
          <m:den>
            <m:acc>
              <m:accPr>
                <m:chr m:val="̅"/>
                <m:ctrlPr>
                  <w:rPr>
                    <w:rFonts w:ascii="Cambria Math" w:hAnsi="Cambria Math"/>
                    <w:i/>
                  </w:rPr>
                </m:ctrlPr>
              </m:accPr>
              <m:e>
                <m:r>
                  <w:rPr>
                    <w:rFonts w:ascii="Cambria Math" w:hAnsi="Cambria Math"/>
                  </w:rPr>
                  <m:t>Y</m:t>
                </m:r>
              </m:e>
            </m:acc>
          </m:den>
        </m:f>
        <m:r>
          <w:rPr>
            <w:rFonts w:ascii="Cambria Math" w:hAnsi="Cambria Math"/>
          </w:rPr>
          <m:t>=</m:t>
        </m:r>
        <m:f>
          <m:fPr>
            <m:ctrlPr>
              <w:rPr>
                <w:rFonts w:ascii="Cambria Math" w:hAnsi="Cambria Math"/>
                <w:i/>
              </w:rPr>
            </m:ctrlPr>
          </m:fPr>
          <m:num>
            <m:r>
              <w:rPr>
                <w:rFonts w:ascii="Cambria Math" w:hAnsi="Cambria Math"/>
              </w:rPr>
              <m:t>1</m:t>
            </m:r>
          </m:num>
          <m:den>
            <m:acc>
              <m:accPr>
                <m:chr m:val="̅"/>
                <m:ctrlPr>
                  <w:rPr>
                    <w:rFonts w:ascii="Cambria Math" w:hAnsi="Cambria Math"/>
                    <w:i/>
                  </w:rPr>
                </m:ctrlPr>
              </m:accPr>
              <m:e>
                <m:r>
                  <w:rPr>
                    <w:rFonts w:ascii="Cambria Math" w:hAnsi="Cambria Math"/>
                  </w:rPr>
                  <m:t>Y</m:t>
                </m:r>
              </m:e>
            </m:acc>
          </m:den>
        </m:f>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obs,i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pred,i</m:t>
                            </m:r>
                          </m:sub>
                        </m:sSub>
                      </m:e>
                    </m:d>
                  </m:e>
                  <m:sup>
                    <m:r>
                      <w:rPr>
                        <w:rFonts w:ascii="Cambria Math" w:hAnsi="Cambria Math"/>
                      </w:rPr>
                      <m:t>2</m:t>
                    </m:r>
                  </m:sup>
                </m:sSup>
              </m:e>
            </m:nary>
          </m:e>
        </m:rad>
      </m:oMath>
      <w:r w:rsidRPr="00181ECD">
        <w:tab/>
      </w:r>
      <w:r w:rsidRPr="00181ECD">
        <w:tab/>
      </w:r>
      <w:r w:rsidRPr="00181ECD">
        <w:tab/>
      </w:r>
      <w:r w:rsidRPr="00181ECD">
        <w:tab/>
      </w:r>
      <w:r w:rsidRPr="00181ECD">
        <w:tab/>
      </w:r>
      <w:r>
        <w:tab/>
      </w:r>
      <w:r>
        <w:tab/>
      </w:r>
      <w:r w:rsidRPr="00181ECD">
        <w:t xml:space="preserve">Eq. </w:t>
      </w:r>
      <w:r>
        <w:t>S14</w:t>
      </w:r>
    </w:p>
    <w:p w14:paraId="0684C44C" w14:textId="77777777" w:rsidR="00181ECD" w:rsidRDefault="00181ECD" w:rsidP="00181ECD">
      <w:pPr>
        <w:spacing w:before="120" w:after="0"/>
        <w:jc w:val="both"/>
      </w:pPr>
      <w:r w:rsidRPr="00181ECD">
        <w:t xml:space="preserve">where </w:t>
      </w:r>
      <m:oMath>
        <m:acc>
          <m:accPr>
            <m:chr m:val="̅"/>
            <m:ctrlPr>
              <w:rPr>
                <w:rFonts w:ascii="Cambria Math" w:hAnsi="Cambria Math"/>
                <w:i/>
              </w:rPr>
            </m:ctrlPr>
          </m:accPr>
          <m:e>
            <m:r>
              <w:rPr>
                <w:rFonts w:ascii="Cambria Math" w:hAnsi="Cambria Math"/>
              </w:rPr>
              <m:t>Y</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y</m:t>
                </m:r>
              </m:e>
              <m:sub>
                <m:r>
                  <w:rPr>
                    <w:rFonts w:ascii="Cambria Math" w:hAnsi="Cambria Math"/>
                  </w:rPr>
                  <m:t>obs,i</m:t>
                </m:r>
              </m:sub>
            </m:sSub>
          </m:e>
        </m:nary>
      </m:oMath>
      <w:r w:rsidRPr="00181ECD">
        <w:t xml:space="preserve"> is the mean of the </w:t>
      </w:r>
      <w:r w:rsidRPr="00181ECD">
        <w:rPr>
          <w:i/>
        </w:rPr>
        <w:t>n</w:t>
      </w:r>
      <w:r w:rsidRPr="00181ECD">
        <w:t xml:space="preserve"> observed numbers of survivors </w:t>
      </w:r>
      <m:oMath>
        <m:sSub>
          <m:sSubPr>
            <m:ctrlPr>
              <w:rPr>
                <w:rFonts w:ascii="Cambria Math" w:hAnsi="Cambria Math"/>
                <w:i/>
              </w:rPr>
            </m:ctrlPr>
          </m:sSubPr>
          <m:e>
            <m:r>
              <w:rPr>
                <w:rFonts w:ascii="Cambria Math" w:hAnsi="Cambria Math"/>
              </w:rPr>
              <m:t>y</m:t>
            </m:r>
          </m:e>
          <m:sub>
            <m:r>
              <w:rPr>
                <w:rFonts w:ascii="Cambria Math" w:hAnsi="Cambria Math"/>
              </w:rPr>
              <m:t>obs,i</m:t>
            </m:r>
          </m:sub>
        </m:sSub>
      </m:oMath>
      <w:r w:rsidRPr="00181ECD">
        <w:t xml:space="preserve"> for i=1,…,n. Numbers </w:t>
      </w:r>
      <m:oMath>
        <m:sSub>
          <m:sSubPr>
            <m:ctrlPr>
              <w:rPr>
                <w:rFonts w:ascii="Cambria Math" w:hAnsi="Cambria Math"/>
                <w:i/>
              </w:rPr>
            </m:ctrlPr>
          </m:sSubPr>
          <m:e>
            <m:r>
              <w:rPr>
                <w:rFonts w:ascii="Cambria Math" w:hAnsi="Cambria Math"/>
              </w:rPr>
              <m:t>y</m:t>
            </m:r>
          </m:e>
          <m:sub>
            <m:r>
              <w:rPr>
                <w:rFonts w:ascii="Cambria Math" w:hAnsi="Cambria Math"/>
              </w:rPr>
              <m:t>pred,i</m:t>
            </m:r>
          </m:sub>
        </m:sSub>
      </m:oMath>
      <w:r w:rsidRPr="00181ECD">
        <w:t xml:space="preserve"> correspond to the median of the predicted numbers of survivors at each time-point. </w:t>
      </w:r>
    </w:p>
    <w:p w14:paraId="51C76672" w14:textId="704447D6" w:rsidR="00181ECD" w:rsidRPr="00181ECD" w:rsidRDefault="00181ECD" w:rsidP="00181ECD">
      <w:pPr>
        <w:spacing w:before="120" w:after="0"/>
        <w:jc w:val="both"/>
      </w:pPr>
      <w:r w:rsidRPr="00181ECD">
        <w:t>A third criterion for the model accuracy at the end of the experiments was developed based on the survival probabilities. The probability to survive an exposure profile from the beginning to the end of an experiment is given as ratio between the number of surviving (</w:t>
      </w:r>
      <w:proofErr w:type="spellStart"/>
      <w:r w:rsidRPr="00181ECD">
        <w:t>Y</w:t>
      </w:r>
      <w:r w:rsidRPr="00181ECD">
        <w:rPr>
          <w:vertAlign w:val="subscript"/>
        </w:rPr>
        <w:t>obs,tend</w:t>
      </w:r>
      <w:proofErr w:type="spellEnd"/>
      <w:r w:rsidRPr="00181ECD">
        <w:t>) and the number of initial individuals (</w:t>
      </w:r>
      <w:proofErr w:type="spellStart"/>
      <w:r w:rsidRPr="00181ECD">
        <w:t>Y</w:t>
      </w:r>
      <w:r w:rsidRPr="00181ECD">
        <w:rPr>
          <w:vertAlign w:val="subscript"/>
        </w:rPr>
        <w:t>init</w:t>
      </w:r>
      <w:proofErr w:type="spellEnd"/>
      <w:r w:rsidRPr="00181ECD">
        <w:t xml:space="preserve">) in a test, hence the difference between the observed and modelled survival probabilities, or in other words the survival probability prediction error (SPPE) is given as </w:t>
      </w:r>
    </w:p>
    <w:p w14:paraId="69B1F3F6" w14:textId="06E3EEFC" w:rsidR="00181ECD" w:rsidRPr="00181ECD" w:rsidRDefault="00181ECD" w:rsidP="00181ECD">
      <w:pPr>
        <w:spacing w:before="120" w:after="0"/>
        <w:jc w:val="both"/>
      </w:pPr>
      <w:r w:rsidRPr="00181ECD">
        <w:tab/>
      </w:r>
      <m:oMath>
        <m:r>
          <w:rPr>
            <w:rFonts w:ascii="Cambria Math" w:hAnsi="Cambria Math"/>
          </w:rPr>
          <m:t>SPPE=</m:t>
        </m:r>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obs,tend</m:t>
                </m:r>
              </m:sub>
            </m:sSub>
          </m:num>
          <m:den>
            <m:sSub>
              <m:sSubPr>
                <m:ctrlPr>
                  <w:rPr>
                    <w:rFonts w:ascii="Cambria Math" w:hAnsi="Cambria Math"/>
                    <w:i/>
                  </w:rPr>
                </m:ctrlPr>
              </m:sSubPr>
              <m:e>
                <m:r>
                  <w:rPr>
                    <w:rFonts w:ascii="Cambria Math" w:hAnsi="Cambria Math"/>
                  </w:rPr>
                  <m:t>Y</m:t>
                </m:r>
              </m:e>
              <m:sub>
                <m:r>
                  <w:rPr>
                    <w:rFonts w:ascii="Cambria Math" w:hAnsi="Cambria Math"/>
                  </w:rPr>
                  <m:t>init</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modelled,tend</m:t>
                </m:r>
              </m:sub>
            </m:sSub>
          </m:num>
          <m:den>
            <m:sSub>
              <m:sSubPr>
                <m:ctrlPr>
                  <w:rPr>
                    <w:rFonts w:ascii="Cambria Math" w:hAnsi="Cambria Math"/>
                    <w:i/>
                  </w:rPr>
                </m:ctrlPr>
              </m:sSubPr>
              <m:e>
                <m:r>
                  <w:rPr>
                    <w:rFonts w:ascii="Cambria Math" w:hAnsi="Cambria Math"/>
                  </w:rPr>
                  <m:t>Y</m:t>
                </m:r>
              </m:e>
              <m:sub>
                <m:r>
                  <w:rPr>
                    <w:rFonts w:ascii="Cambria Math" w:hAnsi="Cambria Math"/>
                  </w:rPr>
                  <m:t>init</m:t>
                </m:r>
              </m:sub>
            </m:sSub>
          </m:den>
        </m:f>
        <m:r>
          <w:rPr>
            <w:rFonts w:ascii="Cambria Math" w:hAnsi="Cambria Math"/>
          </w:rPr>
          <m:t>*100=</m:t>
        </m:r>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obs,tend</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modelled,tend</m:t>
                </m:r>
              </m:sub>
            </m:sSub>
          </m:num>
          <m:den>
            <m:sSub>
              <m:sSubPr>
                <m:ctrlPr>
                  <w:rPr>
                    <w:rFonts w:ascii="Cambria Math" w:hAnsi="Cambria Math"/>
                    <w:i/>
                  </w:rPr>
                </m:ctrlPr>
              </m:sSubPr>
              <m:e>
                <m:r>
                  <w:rPr>
                    <w:rFonts w:ascii="Cambria Math" w:hAnsi="Cambria Math"/>
                  </w:rPr>
                  <m:t>Y</m:t>
                </m:r>
              </m:e>
              <m:sub>
                <m:r>
                  <w:rPr>
                    <w:rFonts w:ascii="Cambria Math" w:hAnsi="Cambria Math"/>
                  </w:rPr>
                  <m:t>init</m:t>
                </m:r>
              </m:sub>
            </m:sSub>
          </m:den>
        </m:f>
        <m:r>
          <w:rPr>
            <w:rFonts w:ascii="Cambria Math" w:hAnsi="Cambria Math"/>
          </w:rPr>
          <m:t>*100</m:t>
        </m:r>
      </m:oMath>
      <w:r w:rsidRPr="00181ECD">
        <w:tab/>
      </w:r>
      <w:r w:rsidRPr="00181ECD">
        <w:tab/>
      </w:r>
      <w:r w:rsidRPr="00181ECD">
        <w:tab/>
      </w:r>
      <w:r>
        <w:tab/>
      </w:r>
      <w:r w:rsidRPr="00181ECD">
        <w:t xml:space="preserve">Eq. </w:t>
      </w:r>
      <w:r>
        <w:t>S.15</w:t>
      </w:r>
    </w:p>
    <w:p w14:paraId="6AE90852" w14:textId="77777777" w:rsidR="00181ECD" w:rsidRPr="00181ECD" w:rsidRDefault="00181ECD" w:rsidP="00181ECD">
      <w:pPr>
        <w:spacing w:before="120" w:after="0"/>
        <w:jc w:val="both"/>
      </w:pPr>
      <w:r w:rsidRPr="00181ECD">
        <w:t xml:space="preserve">The SPPE is suggested as indicator of  model accuracy considering survival probabilities only at the end of a tested exposure profile. The SPPE indicator is negative (between 0 and -100%) for an underestimation of effects, and positive (between 0 and 100%) for an overestimation of effects. An SPPE value of 0% means an exact prediction of the observed survival probability at the end of the experiment.  </w:t>
      </w:r>
    </w:p>
    <w:p w14:paraId="09CC7EBB" w14:textId="77777777" w:rsidR="00181ECD" w:rsidRPr="00DB39AF" w:rsidRDefault="00181ECD" w:rsidP="00D04C25">
      <w:pPr>
        <w:spacing w:before="120" w:after="0"/>
        <w:jc w:val="both"/>
      </w:pPr>
    </w:p>
    <w:sectPr w:rsidR="00181ECD" w:rsidRPr="00DB39AF" w:rsidSect="00697E2C">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3" w:author="Focks, Andreas" w:date="2018-02-27T14:59:00Z" w:initials="AF">
    <w:p w14:paraId="595C1600" w14:textId="77777777" w:rsidR="00603347" w:rsidRDefault="00603347">
      <w:pPr>
        <w:pStyle w:val="CommentText"/>
      </w:pPr>
      <w:r>
        <w:rPr>
          <w:rStyle w:val="CommentReference"/>
        </w:rPr>
        <w:annotationRef/>
      </w:r>
      <w:r>
        <w:t>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95C160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A2B73"/>
    <w:multiLevelType w:val="multilevel"/>
    <w:tmpl w:val="794E0298"/>
    <w:lvl w:ilvl="0">
      <w:start w:val="1"/>
      <w:numFmt w:val="decimal"/>
      <w:pStyle w:val="Heading1"/>
      <w:lvlText w:val="%1."/>
      <w:lvlJc w:val="left"/>
      <w:pPr>
        <w:ind w:left="357" w:hanging="357"/>
      </w:pPr>
      <w:rPr>
        <w:rFonts w:cs="Times New Roman" w:hint="default"/>
        <w:i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pStyle w:val="Heading2"/>
      <w:lvlText w:val="%1.%2."/>
      <w:lvlJc w:val="left"/>
      <w:pPr>
        <w:ind w:left="567" w:hanging="567"/>
      </w:pPr>
      <w:rPr>
        <w:rFonts w:ascii="Arial" w:hAnsi="Arial" w:hint="default"/>
        <w:b/>
        <w:i w:val="0"/>
        <w:sz w:val="22"/>
      </w:rPr>
    </w:lvl>
    <w:lvl w:ilvl="2">
      <w:start w:val="1"/>
      <w:numFmt w:val="decimal"/>
      <w:lvlRestart w:val="1"/>
      <w:pStyle w:val="Heading3"/>
      <w:lvlText w:val="%1.%2.%3."/>
      <w:lvlJc w:val="left"/>
      <w:pPr>
        <w:ind w:left="851" w:hanging="851"/>
      </w:pPr>
      <w:rPr>
        <w:rFonts w:ascii="Arial" w:hAnsi="Arial" w:hint="default"/>
        <w:b/>
        <w:i w:val="0"/>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ocks, Andreas">
    <w15:presenceInfo w15:providerId="None" w15:userId="Focks, Andre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35B"/>
    <w:rsid w:val="000269BF"/>
    <w:rsid w:val="00031BD8"/>
    <w:rsid w:val="00035504"/>
    <w:rsid w:val="00050FDE"/>
    <w:rsid w:val="00054C78"/>
    <w:rsid w:val="0007290A"/>
    <w:rsid w:val="000967EA"/>
    <w:rsid w:val="000B3077"/>
    <w:rsid w:val="000C7DC6"/>
    <w:rsid w:val="000D0FF5"/>
    <w:rsid w:val="000F5368"/>
    <w:rsid w:val="00181ECD"/>
    <w:rsid w:val="00213B13"/>
    <w:rsid w:val="002151F8"/>
    <w:rsid w:val="0025568C"/>
    <w:rsid w:val="002572F7"/>
    <w:rsid w:val="002721F1"/>
    <w:rsid w:val="002950E4"/>
    <w:rsid w:val="002967A2"/>
    <w:rsid w:val="00297665"/>
    <w:rsid w:val="002D32ED"/>
    <w:rsid w:val="00321D28"/>
    <w:rsid w:val="00333CE3"/>
    <w:rsid w:val="00356D8C"/>
    <w:rsid w:val="00371B7E"/>
    <w:rsid w:val="00386F6D"/>
    <w:rsid w:val="003F36C1"/>
    <w:rsid w:val="00417180"/>
    <w:rsid w:val="0042163F"/>
    <w:rsid w:val="00435C86"/>
    <w:rsid w:val="00446195"/>
    <w:rsid w:val="00457226"/>
    <w:rsid w:val="004E0232"/>
    <w:rsid w:val="00503065"/>
    <w:rsid w:val="00536D9B"/>
    <w:rsid w:val="005A082A"/>
    <w:rsid w:val="005D69F7"/>
    <w:rsid w:val="005E739B"/>
    <w:rsid w:val="00603347"/>
    <w:rsid w:val="00615E30"/>
    <w:rsid w:val="00623C2D"/>
    <w:rsid w:val="006377E2"/>
    <w:rsid w:val="00654D9E"/>
    <w:rsid w:val="00697E2C"/>
    <w:rsid w:val="007033F2"/>
    <w:rsid w:val="00722EA8"/>
    <w:rsid w:val="0087035F"/>
    <w:rsid w:val="0088388C"/>
    <w:rsid w:val="00885C39"/>
    <w:rsid w:val="008E0DDA"/>
    <w:rsid w:val="008F0162"/>
    <w:rsid w:val="0090491B"/>
    <w:rsid w:val="00956B05"/>
    <w:rsid w:val="009737B6"/>
    <w:rsid w:val="00985D20"/>
    <w:rsid w:val="009B7408"/>
    <w:rsid w:val="009D6A15"/>
    <w:rsid w:val="009E3068"/>
    <w:rsid w:val="009F2FBA"/>
    <w:rsid w:val="009F79DA"/>
    <w:rsid w:val="00A16610"/>
    <w:rsid w:val="00A430AE"/>
    <w:rsid w:val="00A45237"/>
    <w:rsid w:val="00A57AF5"/>
    <w:rsid w:val="00AA2E16"/>
    <w:rsid w:val="00AA3D53"/>
    <w:rsid w:val="00AF6B80"/>
    <w:rsid w:val="00B01F1D"/>
    <w:rsid w:val="00B23CCD"/>
    <w:rsid w:val="00B45767"/>
    <w:rsid w:val="00B4713E"/>
    <w:rsid w:val="00BD77D2"/>
    <w:rsid w:val="00BE4626"/>
    <w:rsid w:val="00C2453E"/>
    <w:rsid w:val="00C34A89"/>
    <w:rsid w:val="00C667A9"/>
    <w:rsid w:val="00C703C2"/>
    <w:rsid w:val="00C81756"/>
    <w:rsid w:val="00C96E9E"/>
    <w:rsid w:val="00D04C25"/>
    <w:rsid w:val="00D677A6"/>
    <w:rsid w:val="00DB39AF"/>
    <w:rsid w:val="00DB3F34"/>
    <w:rsid w:val="00DD3E93"/>
    <w:rsid w:val="00DD6E53"/>
    <w:rsid w:val="00DE335B"/>
    <w:rsid w:val="00E12DD3"/>
    <w:rsid w:val="00E21CE4"/>
    <w:rsid w:val="00E479D3"/>
    <w:rsid w:val="00E6219F"/>
    <w:rsid w:val="00E90766"/>
    <w:rsid w:val="00EB75B0"/>
    <w:rsid w:val="00EC4D3C"/>
    <w:rsid w:val="00ED1B0A"/>
    <w:rsid w:val="00F102D6"/>
    <w:rsid w:val="00F16FEE"/>
    <w:rsid w:val="00F30DE5"/>
    <w:rsid w:val="00F54650"/>
    <w:rsid w:val="00F65993"/>
    <w:rsid w:val="00F76398"/>
    <w:rsid w:val="00F91705"/>
    <w:rsid w:val="00FE4A91"/>
    <w:rsid w:val="00FE51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76047"/>
  <w15:docId w15:val="{4E64E96F-B5A5-4823-AFBD-143BDC62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A15"/>
  </w:style>
  <w:style w:type="paragraph" w:styleId="Heading1">
    <w:name w:val="heading 1"/>
    <w:basedOn w:val="Normal"/>
    <w:next w:val="Normal"/>
    <w:link w:val="Heading1Char"/>
    <w:uiPriority w:val="9"/>
    <w:qFormat/>
    <w:rsid w:val="009D6A15"/>
    <w:pPr>
      <w:keepNext/>
      <w:numPr>
        <w:numId w:val="1"/>
      </w:numPr>
      <w:spacing w:before="360" w:after="120" w:line="240" w:lineRule="auto"/>
      <w:outlineLvl w:val="0"/>
    </w:pPr>
    <w:rPr>
      <w:rFonts w:ascii="Arial" w:eastAsia="Times New Roman" w:hAnsi="Arial" w:cs="Times New Roman"/>
      <w:b/>
      <w:bCs/>
      <w:noProof/>
      <w:kern w:val="32"/>
      <w:sz w:val="24"/>
      <w:szCs w:val="32"/>
    </w:rPr>
  </w:style>
  <w:style w:type="paragraph" w:styleId="Heading2">
    <w:name w:val="heading 2"/>
    <w:basedOn w:val="Normal"/>
    <w:next w:val="Normal"/>
    <w:link w:val="Heading2Char"/>
    <w:uiPriority w:val="9"/>
    <w:unhideWhenUsed/>
    <w:qFormat/>
    <w:rsid w:val="009D6A15"/>
    <w:pPr>
      <w:keepNext/>
      <w:numPr>
        <w:ilvl w:val="1"/>
        <w:numId w:val="1"/>
      </w:numPr>
      <w:spacing w:before="240" w:after="120" w:line="240" w:lineRule="auto"/>
      <w:outlineLvl w:val="1"/>
    </w:pPr>
    <w:rPr>
      <w:rFonts w:ascii="Arial" w:eastAsia="Times New Roman" w:hAnsi="Arial" w:cs="Times New Roman"/>
      <w:b/>
      <w:bCs/>
      <w:iCs/>
      <w:sz w:val="22"/>
      <w:szCs w:val="28"/>
    </w:rPr>
  </w:style>
  <w:style w:type="paragraph" w:styleId="Heading3">
    <w:name w:val="heading 3"/>
    <w:basedOn w:val="Normal"/>
    <w:next w:val="Normal"/>
    <w:link w:val="Heading3Char"/>
    <w:uiPriority w:val="9"/>
    <w:unhideWhenUsed/>
    <w:qFormat/>
    <w:rsid w:val="009D6A15"/>
    <w:pPr>
      <w:keepNext/>
      <w:numPr>
        <w:ilvl w:val="2"/>
        <w:numId w:val="1"/>
      </w:numPr>
      <w:spacing w:before="180" w:after="120" w:line="240" w:lineRule="auto"/>
      <w:outlineLvl w:val="2"/>
    </w:pPr>
    <w:rPr>
      <w:rFonts w:ascii="Arial" w:eastAsia="Times New Roman" w:hAnsi="Arial" w:cs="Times New Roman"/>
      <w:b/>
      <w:bCs/>
      <w:noProof/>
      <w:sz w:val="20"/>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D6A15"/>
    <w:rPr>
      <w:sz w:val="16"/>
      <w:szCs w:val="16"/>
    </w:rPr>
  </w:style>
  <w:style w:type="paragraph" w:styleId="CommentText">
    <w:name w:val="annotation text"/>
    <w:basedOn w:val="Normal"/>
    <w:link w:val="CommentTextChar"/>
    <w:uiPriority w:val="99"/>
    <w:semiHidden/>
    <w:unhideWhenUsed/>
    <w:rsid w:val="009D6A15"/>
    <w:pPr>
      <w:spacing w:line="240" w:lineRule="auto"/>
    </w:pPr>
    <w:rPr>
      <w:sz w:val="20"/>
      <w:szCs w:val="20"/>
    </w:rPr>
  </w:style>
  <w:style w:type="character" w:customStyle="1" w:styleId="CommentTextChar">
    <w:name w:val="Comment Text Char"/>
    <w:basedOn w:val="DefaultParagraphFont"/>
    <w:link w:val="CommentText"/>
    <w:uiPriority w:val="99"/>
    <w:semiHidden/>
    <w:rsid w:val="009D6A15"/>
    <w:rPr>
      <w:sz w:val="20"/>
      <w:szCs w:val="20"/>
    </w:rPr>
  </w:style>
  <w:style w:type="paragraph" w:styleId="BalloonText">
    <w:name w:val="Balloon Text"/>
    <w:basedOn w:val="Normal"/>
    <w:link w:val="BalloonTextChar"/>
    <w:uiPriority w:val="99"/>
    <w:semiHidden/>
    <w:unhideWhenUsed/>
    <w:rsid w:val="009D6A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A15"/>
    <w:rPr>
      <w:rFonts w:ascii="Tahoma" w:hAnsi="Tahoma" w:cs="Tahoma"/>
      <w:sz w:val="16"/>
      <w:szCs w:val="16"/>
    </w:rPr>
  </w:style>
  <w:style w:type="character" w:customStyle="1" w:styleId="Heading1Char">
    <w:name w:val="Heading 1 Char"/>
    <w:basedOn w:val="DefaultParagraphFont"/>
    <w:link w:val="Heading1"/>
    <w:uiPriority w:val="9"/>
    <w:rsid w:val="009D6A15"/>
    <w:rPr>
      <w:rFonts w:ascii="Arial" w:eastAsia="Times New Roman" w:hAnsi="Arial" w:cs="Times New Roman"/>
      <w:b/>
      <w:bCs/>
      <w:noProof/>
      <w:kern w:val="32"/>
      <w:sz w:val="24"/>
      <w:szCs w:val="32"/>
    </w:rPr>
  </w:style>
  <w:style w:type="character" w:customStyle="1" w:styleId="Heading2Char">
    <w:name w:val="Heading 2 Char"/>
    <w:basedOn w:val="DefaultParagraphFont"/>
    <w:link w:val="Heading2"/>
    <w:uiPriority w:val="9"/>
    <w:rsid w:val="009D6A15"/>
    <w:rPr>
      <w:rFonts w:ascii="Arial" w:eastAsia="Times New Roman" w:hAnsi="Arial" w:cs="Times New Roman"/>
      <w:b/>
      <w:bCs/>
      <w:iCs/>
      <w:sz w:val="22"/>
      <w:szCs w:val="28"/>
    </w:rPr>
  </w:style>
  <w:style w:type="character" w:customStyle="1" w:styleId="Heading3Char">
    <w:name w:val="Heading 3 Char"/>
    <w:basedOn w:val="DefaultParagraphFont"/>
    <w:link w:val="Heading3"/>
    <w:uiPriority w:val="9"/>
    <w:rsid w:val="009D6A15"/>
    <w:rPr>
      <w:rFonts w:ascii="Arial" w:eastAsia="Times New Roman" w:hAnsi="Arial" w:cs="Times New Roman"/>
      <w:b/>
      <w:bCs/>
      <w:noProof/>
      <w:sz w:val="20"/>
      <w:szCs w:val="26"/>
      <w:u w:val="single"/>
    </w:rPr>
  </w:style>
  <w:style w:type="table" w:styleId="TableGrid">
    <w:name w:val="Table Grid"/>
    <w:basedOn w:val="TableNormal"/>
    <w:uiPriority w:val="59"/>
    <w:rsid w:val="00637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33CE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Heading">
    <w:name w:val="TOC Heading"/>
    <w:basedOn w:val="Heading1"/>
    <w:next w:val="Normal"/>
    <w:uiPriority w:val="39"/>
    <w:semiHidden/>
    <w:unhideWhenUsed/>
    <w:qFormat/>
    <w:rsid w:val="00333CE3"/>
    <w:pPr>
      <w:keepLines/>
      <w:numPr>
        <w:numId w:val="0"/>
      </w:numPr>
      <w:spacing w:before="480" w:after="0" w:line="276" w:lineRule="auto"/>
      <w:outlineLvl w:val="9"/>
    </w:pPr>
    <w:rPr>
      <w:rFonts w:asciiTheme="majorHAnsi" w:eastAsiaTheme="majorEastAsia" w:hAnsiTheme="majorHAnsi" w:cstheme="majorBidi"/>
      <w:noProof w:val="0"/>
      <w:color w:val="365F91" w:themeColor="accent1" w:themeShade="BF"/>
      <w:kern w:val="0"/>
      <w:sz w:val="28"/>
      <w:szCs w:val="28"/>
      <w:lang w:val="en-US" w:eastAsia="ja-JP"/>
    </w:rPr>
  </w:style>
  <w:style w:type="paragraph" w:styleId="TOC1">
    <w:name w:val="toc 1"/>
    <w:basedOn w:val="Normal"/>
    <w:next w:val="Normal"/>
    <w:autoRedefine/>
    <w:uiPriority w:val="39"/>
    <w:unhideWhenUsed/>
    <w:rsid w:val="00333CE3"/>
    <w:pPr>
      <w:spacing w:after="100"/>
    </w:pPr>
  </w:style>
  <w:style w:type="paragraph" w:styleId="TOC2">
    <w:name w:val="toc 2"/>
    <w:basedOn w:val="Normal"/>
    <w:next w:val="Normal"/>
    <w:autoRedefine/>
    <w:uiPriority w:val="39"/>
    <w:unhideWhenUsed/>
    <w:rsid w:val="00333CE3"/>
    <w:pPr>
      <w:spacing w:after="100"/>
      <w:ind w:left="170"/>
    </w:pPr>
  </w:style>
  <w:style w:type="paragraph" w:styleId="TOC3">
    <w:name w:val="toc 3"/>
    <w:basedOn w:val="Normal"/>
    <w:next w:val="Normal"/>
    <w:autoRedefine/>
    <w:uiPriority w:val="39"/>
    <w:unhideWhenUsed/>
    <w:rsid w:val="00333CE3"/>
    <w:pPr>
      <w:spacing w:after="100"/>
      <w:ind w:left="340"/>
    </w:pPr>
  </w:style>
  <w:style w:type="character" w:styleId="Hyperlink">
    <w:name w:val="Hyperlink"/>
    <w:basedOn w:val="DefaultParagraphFont"/>
    <w:uiPriority w:val="99"/>
    <w:unhideWhenUsed/>
    <w:rsid w:val="00333CE3"/>
    <w:rPr>
      <w:color w:val="0000FF" w:themeColor="hyperlink"/>
      <w:u w:val="single"/>
    </w:rPr>
  </w:style>
  <w:style w:type="table" w:customStyle="1" w:styleId="TableGrid1">
    <w:name w:val="Table Grid1"/>
    <w:basedOn w:val="TableNormal"/>
    <w:next w:val="TableGrid"/>
    <w:uiPriority w:val="39"/>
    <w:rsid w:val="00973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85D20"/>
    <w:rPr>
      <w:color w:val="808080"/>
    </w:rPr>
  </w:style>
  <w:style w:type="paragraph" w:styleId="CommentSubject">
    <w:name w:val="annotation subject"/>
    <w:basedOn w:val="CommentText"/>
    <w:next w:val="CommentText"/>
    <w:link w:val="CommentSubjectChar"/>
    <w:uiPriority w:val="99"/>
    <w:semiHidden/>
    <w:unhideWhenUsed/>
    <w:rsid w:val="00F102D6"/>
    <w:rPr>
      <w:b/>
      <w:bCs/>
    </w:rPr>
  </w:style>
  <w:style w:type="character" w:customStyle="1" w:styleId="CommentSubjectChar">
    <w:name w:val="Comment Subject Char"/>
    <w:basedOn w:val="CommentTextChar"/>
    <w:link w:val="CommentSubject"/>
    <w:uiPriority w:val="99"/>
    <w:semiHidden/>
    <w:rsid w:val="00F102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95F57-9560-4F6E-8C93-E652EEDB4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DC6797AD.dotm</Template>
  <TotalTime>15</TotalTime>
  <Pages>5</Pages>
  <Words>3095</Words>
  <Characters>17644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Wageningen UR</Company>
  <LinksUpToDate>false</LinksUpToDate>
  <CharactersWithSpaces>20698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Focks, Andreas</dc:creator>
  <cp:lastModifiedBy>Focks, Andreas</cp:lastModifiedBy>
  <cp:revision>7</cp:revision>
  <cp:lastPrinted>2017-11-29T13:05:00Z</cp:lastPrinted>
  <dcterms:created xsi:type="dcterms:W3CDTF">2018-03-30T11:19:00Z</dcterms:created>
  <dcterms:modified xsi:type="dcterms:W3CDTF">2018-03-31T15:23:00Z</dcterms:modified>
</cp:coreProperties>
</file>