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8FD" w:rsidRPr="00A11603" w:rsidRDefault="00AD08FD" w:rsidP="00AD08FD">
      <w:pPr>
        <w:spacing w:line="480" w:lineRule="auto"/>
        <w:jc w:val="center"/>
        <w:rPr>
          <w:rFonts w:ascii="Times New Roman" w:hAnsi="Times New Roman" w:cs="Times New Roman"/>
          <w:b/>
          <w:bCs/>
          <w:sz w:val="28"/>
          <w:szCs w:val="28"/>
          <w:lang w:val="en-GB"/>
        </w:rPr>
      </w:pPr>
      <w:r w:rsidRPr="00A11603">
        <w:rPr>
          <w:rFonts w:ascii="Times New Roman" w:hAnsi="Times New Roman" w:cs="Times New Roman"/>
          <w:b/>
          <w:bCs/>
          <w:sz w:val="28"/>
          <w:szCs w:val="28"/>
          <w:lang w:val="en-GB"/>
        </w:rPr>
        <w:t>SUPPLEMENTAL MATERIAL</w:t>
      </w:r>
    </w:p>
    <w:p w:rsidR="00AD08FD" w:rsidRPr="00A11603" w:rsidRDefault="00AD08FD" w:rsidP="00AD08FD">
      <w:pPr>
        <w:spacing w:line="480" w:lineRule="auto"/>
        <w:rPr>
          <w:rFonts w:ascii="Times New Roman" w:eastAsia="Times New Roman" w:hAnsi="Times New Roman" w:cs="Times New Roman"/>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32"/>
          <w:szCs w:val="32"/>
          <w:lang w:val="en-GB"/>
        </w:rPr>
      </w:pPr>
      <w:r w:rsidRPr="00A11603">
        <w:rPr>
          <w:rFonts w:ascii="Times New Roman" w:eastAsia="Times New Roman" w:hAnsi="Times New Roman" w:cs="Times New Roman"/>
          <w:b/>
          <w:bCs/>
          <w:sz w:val="32"/>
          <w:szCs w:val="32"/>
          <w:lang w:val="en-GB"/>
        </w:rPr>
        <w:t>The impasse on gender differences in intelligence: A meta-analysis on WISC batteries</w:t>
      </w:r>
    </w:p>
    <w:p w:rsidR="00AD08FD" w:rsidRPr="00A11603" w:rsidRDefault="00AD08FD" w:rsidP="00AD08FD">
      <w:pPr>
        <w:spacing w:line="480" w:lineRule="auto"/>
        <w:jc w:val="center"/>
        <w:rPr>
          <w:rFonts w:ascii="Times New Roman" w:eastAsia="Times New Roman" w:hAnsi="Times New Roman" w:cs="Times New Roman"/>
          <w:sz w:val="24"/>
          <w:szCs w:val="24"/>
          <w:lang w:val="en-GB"/>
        </w:rPr>
      </w:pPr>
    </w:p>
    <w:p w:rsidR="00AD08FD" w:rsidRPr="00A11603" w:rsidRDefault="00AD08FD" w:rsidP="00AD08FD">
      <w:pPr>
        <w:spacing w:line="480" w:lineRule="auto"/>
        <w:jc w:val="center"/>
        <w:rPr>
          <w:rFonts w:ascii="Times New Roman" w:eastAsia="Times New Roman" w:hAnsi="Times New Roman" w:cs="Times New Roman"/>
          <w:sz w:val="24"/>
          <w:szCs w:val="24"/>
          <w:lang w:val="en-GB"/>
        </w:rPr>
      </w:pPr>
    </w:p>
    <w:p w:rsidR="00AD08FD" w:rsidRPr="00A11603" w:rsidRDefault="00AD08FD" w:rsidP="00AD08FD">
      <w:pPr>
        <w:spacing w:line="480" w:lineRule="auto"/>
        <w:jc w:val="center"/>
        <w:rPr>
          <w:rFonts w:ascii="Times New Roman" w:eastAsia="Times New Roman" w:hAnsi="Times New Roman" w:cs="Times New Roman"/>
          <w:sz w:val="24"/>
          <w:szCs w:val="24"/>
          <w:lang w:val="en-GB"/>
        </w:rPr>
      </w:pPr>
    </w:p>
    <w:p w:rsidR="00AD08FD" w:rsidRPr="00A11603" w:rsidRDefault="00AD08FD" w:rsidP="00AD08FD">
      <w:pPr>
        <w:jc w:val="both"/>
        <w:rPr>
          <w:rFonts w:ascii="Times New Roman" w:eastAsia="Times New Roman" w:hAnsi="Times New Roman" w:cs="Times New Roman"/>
          <w:sz w:val="18"/>
          <w:szCs w:val="18"/>
          <w:lang w:val="en-GB"/>
        </w:rPr>
        <w:sectPr w:rsidR="00AD08FD" w:rsidRPr="00A11603" w:rsidSect="009821AF">
          <w:pgSz w:w="11900" w:h="16840"/>
          <w:pgMar w:top="1418" w:right="1134" w:bottom="1134" w:left="1134" w:header="709" w:footer="709" w:gutter="0"/>
          <w:cols w:space="708"/>
          <w:docGrid w:linePitch="360"/>
        </w:sectPr>
      </w:pPr>
      <w:r w:rsidRPr="00A11603">
        <w:rPr>
          <w:rFonts w:ascii="Times New Roman" w:eastAsia="Times New Roman" w:hAnsi="Times New Roman" w:cs="Times New Roman"/>
          <w:sz w:val="18"/>
          <w:szCs w:val="18"/>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CHC AREA: g factor (full-scale IQ)</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t>Figure S1</w:t>
      </w:r>
    </w:p>
    <w:p w:rsidR="00AD08FD" w:rsidRPr="00A11603" w:rsidRDefault="00AD08FD" w:rsidP="00AD08FD">
      <w:pPr>
        <w:spacing w:line="480" w:lineRule="auto"/>
        <w:jc w:val="both"/>
        <w:rPr>
          <w:rFonts w:ascii="Times New Roman" w:eastAsia="Times New Roman" w:hAnsi="Times New Roman" w:cs="Times New Roman"/>
          <w:b/>
          <w:bCs/>
          <w:i/>
          <w:iCs/>
          <w:sz w:val="24"/>
          <w:szCs w:val="24"/>
          <w:lang w:val="en-GB"/>
        </w:rPr>
      </w:pPr>
      <w:r w:rsidRPr="00A11603">
        <w:rPr>
          <w:rFonts w:ascii="Times New Roman" w:eastAsia="Times New Roman" w:hAnsi="Times New Roman" w:cs="Times New Roman"/>
          <w:i/>
          <w:iCs/>
          <w:sz w:val="24"/>
          <w:szCs w:val="24"/>
          <w:lang w:val="en-GB"/>
        </w:rPr>
        <w:t>Forest plot of all effects aggregated by sample, for g factor/FSIQ. Error bars represent 95% CIs. Larger dots indicate higher precision (i.e., smaller standard errors). The diamond below represents the overall meta-analytic mean effect (its width represents the 95% CI).</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rPr>
        <w:lastRenderedPageBreak/>
        <w:drawing>
          <wp:inline distT="0" distB="0" distL="0" distR="0" wp14:anchorId="7A7BF62C" wp14:editId="00A00121">
            <wp:extent cx="6115050" cy="8220075"/>
            <wp:effectExtent l="0" t="0" r="0" b="9525"/>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5050" cy="8220075"/>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S2</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Funnel plot of all effects (aggregated by sample) for g factor/FSIQ, graphically clustered by study with PET-PEESE meta-regression method applied (dot with 95% CI at SE = 0 indicate the estimate bias-free effect).</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drawing>
          <wp:inline distT="0" distB="0" distL="0" distR="0" wp14:anchorId="15580E4E" wp14:editId="6E298C78">
            <wp:extent cx="6105525" cy="3905250"/>
            <wp:effectExtent l="0" t="0" r="9525"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S3</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Leave-one-out sensitivity analysis for g factor/FSIQ. The plot shows how the estimated mean meta-analytic effect varies with each individual study being removed one at a time. Shaded area represents the variation of the 95% CI of the meta-analytic estimate.</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rPr>
        <w:drawing>
          <wp:inline distT="0" distB="0" distL="0" distR="0" wp14:anchorId="4AFEBD89" wp14:editId="29B9FC13">
            <wp:extent cx="6105525" cy="3505200"/>
            <wp:effectExtent l="0" t="0" r="9525" b="0"/>
            <wp:docPr id="5" name="Picture 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525" cy="3505200"/>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CHC AREA: fluid reasoning (gF)</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t>Figure S4</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Forest plot of all effects aggregated by sample, for fluid reasoning (gF). Error bars represent 95% CIs. Larger dots indicate higher precision (i.e., smaller standard errors). The diamond below represents the overall meta-analytic mean effect (its width represents the 95% CI).</w:t>
      </w:r>
    </w:p>
    <w:p w:rsidR="00AD08FD" w:rsidRPr="00A11603" w:rsidRDefault="00AD08FD" w:rsidP="00AD08FD">
      <w:pPr>
        <w:spacing w:line="480" w:lineRule="auto"/>
        <w:jc w:val="both"/>
        <w:rPr>
          <w:rFonts w:ascii="Times New Roman" w:eastAsia="Times New Roman" w:hAnsi="Times New Roman" w:cs="Times New Roman"/>
          <w:b/>
          <w:bCs/>
          <w:i/>
          <w:iCs/>
          <w:sz w:val="24"/>
          <w:szCs w:val="24"/>
          <w:lang w:val="en-GB"/>
        </w:rPr>
      </w:pPr>
      <w:r w:rsidRPr="00A11603">
        <w:rPr>
          <w:rFonts w:ascii="Times New Roman" w:eastAsia="Times New Roman" w:hAnsi="Times New Roman" w:cs="Times New Roman"/>
          <w:i/>
          <w:iCs/>
          <w:sz w:val="24"/>
          <w:szCs w:val="24"/>
        </w:rPr>
        <w:drawing>
          <wp:inline distT="0" distB="0" distL="0" distR="0" wp14:anchorId="5F082D6E" wp14:editId="57C3CE92">
            <wp:extent cx="6115050" cy="4095750"/>
            <wp:effectExtent l="0" t="0" r="0" b="0"/>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0957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S5</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Funnel plot of all effects (aggregated by sample) for fluid reasoning (gF), graphically clustered by study with PET-PEESE meta-regression method applied (dot with 95% CI at SE = 0 indicate the estimate bias-free effect).</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drawing>
          <wp:inline distT="0" distB="0" distL="0" distR="0" wp14:anchorId="0DD88950" wp14:editId="47188679">
            <wp:extent cx="6105525" cy="3905250"/>
            <wp:effectExtent l="0" t="0" r="9525"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S6</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Leave-one-out sensitivity analysis for fluid reasoning (gF). The plot shows how the estimated mean meta-analytic effect varies with each individual study being removed one at a time. Shaded area represents the variation of the 95% CI of the meta-analytic estimate.</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rPr>
        <w:drawing>
          <wp:inline distT="0" distB="0" distL="0" distR="0" wp14:anchorId="12EBA395" wp14:editId="74EF3383">
            <wp:extent cx="6105525" cy="5067300"/>
            <wp:effectExtent l="0" t="0" r="9525"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5067300"/>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CHC AREA: visual spatial factor (gV)</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t>Figure S7</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Forest plot of all effects aggregated by sample, for visual spatial factor (gV). Error bars represent 95% CIs. Larger dots indicate higher precision (i.e., smaller standard errors). The diamond below represents the overall meta-analytic mean effect (its width represents the 95% CI).</w:t>
      </w:r>
    </w:p>
    <w:p w:rsidR="00AD08FD" w:rsidRPr="00A11603" w:rsidRDefault="00AD08FD" w:rsidP="00AD08FD">
      <w:pPr>
        <w:spacing w:line="480" w:lineRule="auto"/>
        <w:jc w:val="both"/>
        <w:rPr>
          <w:rFonts w:ascii="Times New Roman" w:eastAsia="Times New Roman" w:hAnsi="Times New Roman" w:cs="Times New Roman"/>
          <w:b/>
          <w:bCs/>
          <w:i/>
          <w:iCs/>
          <w:sz w:val="24"/>
          <w:szCs w:val="24"/>
          <w:lang w:val="en-GB"/>
        </w:rPr>
      </w:pPr>
      <w:r w:rsidRPr="00A11603">
        <w:rPr>
          <w:rFonts w:ascii="Times New Roman" w:eastAsia="Times New Roman" w:hAnsi="Times New Roman" w:cs="Times New Roman"/>
          <w:i/>
          <w:iCs/>
          <w:sz w:val="24"/>
          <w:szCs w:val="24"/>
        </w:rPr>
        <w:drawing>
          <wp:inline distT="0" distB="0" distL="0" distR="0" wp14:anchorId="17982520" wp14:editId="42D4EBC1">
            <wp:extent cx="6115050" cy="4724400"/>
            <wp:effectExtent l="0" t="0" r="0"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472440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S8</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Funnel plot of all effects (aggregated by sample) for visual spatial factor (gV), graphically clustered by study with PET-PEESE meta-regression method applied (dot with 95% CI at SE = 0 indicate the estimate bias-free effect).</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drawing>
          <wp:inline distT="0" distB="0" distL="0" distR="0" wp14:anchorId="7D652E9D" wp14:editId="2DBA45A2">
            <wp:extent cx="6105525" cy="3905250"/>
            <wp:effectExtent l="0" t="0" r="9525"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S9</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Leave-one-out sensitivity analysis for visual spatial factor (gV). The plot shows how the estimated mean meta-analytic effect varies with each individual study being removed one at a time. Shaded area represents the variation of the 95% CI of the meta-analytic estimate.</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rPr>
        <w:drawing>
          <wp:inline distT="0" distB="0" distL="0" distR="0" wp14:anchorId="5E0E106C" wp14:editId="5C98DE64">
            <wp:extent cx="6115050" cy="4743450"/>
            <wp:effectExtent l="0" t="0" r="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4743450"/>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CHC AREA: crystallized intelligence (gC)</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t>Figure S10</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Forest plot of all effects aggregated by sample, for crystallized intelligence (gC). Error bars represent 95% CIs. Larger dots indicate higher precision (i.e., smaller standard errors). The diamond below represents the overall meta-analytic mean effect (its width represents the 95% CI).</w:t>
      </w:r>
    </w:p>
    <w:p w:rsidR="00AD08FD" w:rsidRPr="00A11603" w:rsidRDefault="00AD08FD" w:rsidP="00AD08FD">
      <w:pPr>
        <w:spacing w:line="480" w:lineRule="auto"/>
        <w:jc w:val="both"/>
        <w:rPr>
          <w:rFonts w:ascii="Times New Roman" w:eastAsia="Times New Roman" w:hAnsi="Times New Roman" w:cs="Times New Roman"/>
          <w:b/>
          <w:bCs/>
          <w:i/>
          <w:iCs/>
          <w:sz w:val="24"/>
          <w:szCs w:val="24"/>
          <w:lang w:val="en-GB"/>
        </w:rPr>
      </w:pPr>
      <w:r w:rsidRPr="00A11603">
        <w:rPr>
          <w:rFonts w:ascii="Times New Roman" w:eastAsia="Times New Roman" w:hAnsi="Times New Roman" w:cs="Times New Roman"/>
          <w:i/>
          <w:iCs/>
          <w:sz w:val="24"/>
          <w:szCs w:val="24"/>
        </w:rPr>
        <w:lastRenderedPageBreak/>
        <w:drawing>
          <wp:inline distT="0" distB="0" distL="0" distR="0" wp14:anchorId="6F989664" wp14:editId="4BCE6207">
            <wp:extent cx="6115050" cy="7677150"/>
            <wp:effectExtent l="0" t="0" r="0" b="0"/>
            <wp:docPr id="22" name="Picture 2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schematic&#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76771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S11</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Funnel plot of all effects (aggregated by sample) for crystallized intelligence (gC), graphically clustered by study with PET-PEESE meta-regression method applied (dot with 95% CI at SE = 0 indicate the estimate bias-free effect).</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drawing>
          <wp:inline distT="0" distB="0" distL="0" distR="0" wp14:anchorId="47938F5E" wp14:editId="02EFE76A">
            <wp:extent cx="6105525" cy="3905250"/>
            <wp:effectExtent l="0" t="0" r="9525" b="0"/>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S12</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Leave-one-out sensitivity analysis for crystallized intelligence (gC). The plot shows how the estimated mean meta-analytic effect varies with each individual study being removed one at a time. Shaded area represents the variation of the 95% CI of the meta-analytic estimate.</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rPr>
        <w:drawing>
          <wp:inline distT="0" distB="0" distL="0" distR="0" wp14:anchorId="488D6DF4" wp14:editId="74BFF611">
            <wp:extent cx="6115050" cy="3648075"/>
            <wp:effectExtent l="0" t="0" r="0" b="9525"/>
            <wp:docPr id="24" name="Picture 2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3648075"/>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CHC AREA: short-term memory (gSM)</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t>Figure S13</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Forest plot of all effects aggregated by sample, for short-term memory (gSM). Error bars represent 95% CIs. Larger dots indicate higher precision (i.e., smaller standard errors). The diamond below represents the overall meta-analytic mean effect (its width represents the 95% CI).</w:t>
      </w:r>
    </w:p>
    <w:p w:rsidR="00AD08FD" w:rsidRPr="00A11603" w:rsidRDefault="00AD08FD" w:rsidP="00AD08FD">
      <w:pPr>
        <w:spacing w:line="480" w:lineRule="auto"/>
        <w:jc w:val="both"/>
        <w:rPr>
          <w:rFonts w:ascii="Times New Roman" w:eastAsia="Times New Roman" w:hAnsi="Times New Roman" w:cs="Times New Roman"/>
          <w:b/>
          <w:bCs/>
          <w:i/>
          <w:iCs/>
          <w:sz w:val="24"/>
          <w:szCs w:val="24"/>
          <w:lang w:val="en-GB"/>
        </w:rPr>
      </w:pPr>
      <w:r w:rsidRPr="00A11603">
        <w:rPr>
          <w:rFonts w:ascii="Times New Roman" w:eastAsia="Times New Roman" w:hAnsi="Times New Roman" w:cs="Times New Roman"/>
          <w:i/>
          <w:iCs/>
          <w:sz w:val="24"/>
          <w:szCs w:val="24"/>
        </w:rPr>
        <w:drawing>
          <wp:inline distT="0" distB="0" distL="0" distR="0" wp14:anchorId="034FE583" wp14:editId="2B248551">
            <wp:extent cx="6115050" cy="5524500"/>
            <wp:effectExtent l="0" t="0" r="0" b="0"/>
            <wp:docPr id="28" name="Picture 2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chematic&#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552450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S14</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Funnel plot of all effects (aggregated by sample) for short-term memory (gSM), graphically clustered by study with PET-PEESE meta-regression method applied (dot with 95% CI at SE = 0 indicate the estimate bias-free effect).</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drawing>
          <wp:inline distT="0" distB="0" distL="0" distR="0" wp14:anchorId="331B4D25" wp14:editId="396B5152">
            <wp:extent cx="6105525" cy="3905250"/>
            <wp:effectExtent l="0" t="0" r="9525" b="0"/>
            <wp:docPr id="29" name="Picture 2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scatte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S15</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Leave-one-out sensitivity analysis for short-term memory (gSM). The plot shows how the estimated mean meta-analytic effect varies with each individual study being removed one at a time. Shaded area represents the variation of the 95% CI of the meta-analytic estimate.</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rPr>
        <w:drawing>
          <wp:inline distT="0" distB="0" distL="0" distR="0" wp14:anchorId="651B7833" wp14:editId="69DF2C51">
            <wp:extent cx="6115050" cy="4391025"/>
            <wp:effectExtent l="0" t="0" r="0" b="9525"/>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4391025"/>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CHC AREA: speed of processing (gS)</w:t>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t>Figure S16</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Forest plot of all effects aggregated by sample, for speed of processing (gS). Error bars represent 95% CIs. Larger dots indicate higher precision (i.e., smaller standard errors). The diamond below represents the overall meta-analytic mean effect (its width represents the 95% CI).</w:t>
      </w:r>
    </w:p>
    <w:p w:rsidR="00AD08FD" w:rsidRPr="00A11603" w:rsidRDefault="00AD08FD" w:rsidP="00AD08FD">
      <w:pPr>
        <w:spacing w:line="480" w:lineRule="auto"/>
        <w:jc w:val="both"/>
        <w:rPr>
          <w:rFonts w:ascii="Times New Roman" w:eastAsia="Times New Roman" w:hAnsi="Times New Roman" w:cs="Times New Roman"/>
          <w:b/>
          <w:bCs/>
          <w:i/>
          <w:iCs/>
          <w:sz w:val="24"/>
          <w:szCs w:val="24"/>
          <w:lang w:val="en-GB"/>
        </w:rPr>
      </w:pPr>
      <w:r w:rsidRPr="00A11603">
        <w:rPr>
          <w:rFonts w:ascii="Times New Roman" w:eastAsia="Times New Roman" w:hAnsi="Times New Roman" w:cs="Times New Roman"/>
          <w:i/>
          <w:iCs/>
          <w:sz w:val="24"/>
          <w:szCs w:val="24"/>
        </w:rPr>
        <w:drawing>
          <wp:inline distT="0" distB="0" distL="0" distR="0" wp14:anchorId="31B41FEE" wp14:editId="6639B4A4">
            <wp:extent cx="6115050" cy="5972175"/>
            <wp:effectExtent l="0" t="0" r="0" b="9525"/>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5050" cy="5972175"/>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S17</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Funnel plot of all effects (aggregated by sample) for speed of processing (gS), graphically clustered by study with PET-PEESE meta-regression method applied (dot with 95% CI at SE = 0 indicate the estimate bias-free effect).</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drawing>
          <wp:inline distT="0" distB="0" distL="0" distR="0" wp14:anchorId="4ED3E6D9" wp14:editId="324BE28F">
            <wp:extent cx="6105525" cy="3905250"/>
            <wp:effectExtent l="0" t="0" r="952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p>
    <w:p w:rsidR="00AD08FD" w:rsidRPr="00A11603" w:rsidRDefault="00AD08FD" w:rsidP="00AD08FD">
      <w:pP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br w:type="page"/>
      </w:r>
    </w:p>
    <w:p w:rsidR="00AD08FD" w:rsidRPr="00A11603" w:rsidRDefault="00AD08FD" w:rsidP="00AD08FD">
      <w:pPr>
        <w:spacing w:line="480" w:lineRule="auto"/>
        <w:jc w:val="both"/>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Figure S18</w:t>
      </w:r>
    </w:p>
    <w:p w:rsidR="00AD08FD" w:rsidRPr="00A11603" w:rsidRDefault="00AD08FD" w:rsidP="00AD08FD">
      <w:pPr>
        <w:spacing w:line="480" w:lineRule="auto"/>
        <w:jc w:val="both"/>
        <w:rPr>
          <w:rFonts w:ascii="Times New Roman" w:eastAsia="Times New Roman" w:hAnsi="Times New Roman" w:cs="Times New Roman"/>
          <w:i/>
          <w:iCs/>
          <w:sz w:val="24"/>
          <w:szCs w:val="24"/>
          <w:lang w:val="en-GB"/>
        </w:rPr>
      </w:pPr>
      <w:r w:rsidRPr="00A11603">
        <w:rPr>
          <w:rFonts w:ascii="Times New Roman" w:eastAsia="Times New Roman" w:hAnsi="Times New Roman" w:cs="Times New Roman"/>
          <w:i/>
          <w:iCs/>
          <w:sz w:val="24"/>
          <w:szCs w:val="24"/>
          <w:lang w:val="en-GB"/>
        </w:rPr>
        <w:t>Leave-one-out sensitivity analysis for speed of processing (gS). The plot shows how the estimated mean meta-analytic effect varies with each individual study being removed one at a time. Shaded area represents the variation of the 95% CI of the meta-analytic estimate.</w:t>
      </w:r>
    </w:p>
    <w:p w:rsidR="00AD08FD" w:rsidRPr="00A11603" w:rsidRDefault="00AD08FD" w:rsidP="00AD08FD">
      <w:pPr>
        <w:spacing w:line="480" w:lineRule="auto"/>
        <w:jc w:val="both"/>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rPr>
        <w:drawing>
          <wp:inline distT="0" distB="0" distL="0" distR="0" wp14:anchorId="243F459E" wp14:editId="2A5E84AF">
            <wp:extent cx="6115050" cy="4210050"/>
            <wp:effectExtent l="0" t="0" r="0" b="0"/>
            <wp:docPr id="6" name="Picture 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ackground patter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4210050"/>
                    </a:xfrm>
                    <a:prstGeom prst="rect">
                      <a:avLst/>
                    </a:prstGeom>
                    <a:noFill/>
                    <a:ln>
                      <a:noFill/>
                    </a:ln>
                  </pic:spPr>
                </pic:pic>
              </a:graphicData>
            </a:graphic>
          </wp:inline>
        </w:drawing>
      </w:r>
    </w:p>
    <w:p w:rsidR="00AD08FD" w:rsidRPr="00A11603" w:rsidRDefault="00AD08FD" w:rsidP="00AD08FD">
      <w:pPr>
        <w:rPr>
          <w:rFonts w:ascii="Times New Roman" w:eastAsia="Times New Roman" w:hAnsi="Times New Roman" w:cs="Times New Roman"/>
          <w:sz w:val="24"/>
          <w:szCs w:val="24"/>
          <w:lang w:val="en-GB"/>
        </w:rPr>
      </w:pPr>
      <w:r w:rsidRPr="00A11603">
        <w:rPr>
          <w:rFonts w:ascii="Times New Roman" w:eastAsia="Times New Roman" w:hAnsi="Times New Roman" w:cs="Times New Roman"/>
          <w:sz w:val="24"/>
          <w:szCs w:val="24"/>
          <w:lang w:val="en-GB"/>
        </w:rPr>
        <w:br w:type="page"/>
      </w: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sectPr w:rsidR="00AD08FD" w:rsidRPr="00A11603" w:rsidSect="009821AF">
          <w:headerReference w:type="default" r:id="rId23"/>
          <w:footerReference w:type="even" r:id="rId24"/>
          <w:footerReference w:type="default" r:id="rId25"/>
          <w:pgSz w:w="11900" w:h="16840"/>
          <w:pgMar w:top="1418" w:right="1134" w:bottom="1134" w:left="1134" w:header="709" w:footer="709" w:gutter="0"/>
          <w:cols w:space="708"/>
          <w:docGrid w:linePitch="360"/>
        </w:sectPr>
      </w:pPr>
    </w:p>
    <w:p w:rsidR="00AD08FD" w:rsidRPr="00A11603" w:rsidRDefault="00AD08FD" w:rsidP="00AD08FD">
      <w:pPr>
        <w:rPr>
          <w:rFonts w:ascii="Times New Roman" w:hAnsi="Times New Roman" w:cs="Times New Roman"/>
          <w:i/>
          <w:iCs/>
          <w:lang w:val="en-GB"/>
        </w:rPr>
      </w:pPr>
      <w:r w:rsidRPr="00A11603">
        <w:rPr>
          <w:rFonts w:ascii="Times New Roman" w:hAnsi="Times New Roman" w:cs="Times New Roman"/>
          <w:i/>
          <w:iCs/>
          <w:lang w:val="en-GB"/>
        </w:rPr>
        <w:lastRenderedPageBreak/>
        <w:t>Table S1. Codebook Variable Definitions and Coding scheme (selected variables example only)</w:t>
      </w: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tbl>
      <w:tblPr>
        <w:tblStyle w:val="TableGrid"/>
        <w:tblpPr w:leftFromText="141" w:rightFromText="141" w:horzAnchor="margin" w:tblpY="5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0290"/>
      </w:tblGrid>
      <w:tr w:rsidR="00AD08FD" w:rsidRPr="00A11603" w:rsidTr="00B30A44">
        <w:trPr>
          <w:trHeight w:val="422"/>
        </w:trPr>
        <w:tc>
          <w:tcPr>
            <w:tcW w:w="3402" w:type="dxa"/>
            <w:tcBorders>
              <w:top w:val="single" w:sz="4" w:space="0" w:color="auto"/>
              <w:bottom w:val="single" w:sz="4" w:space="0" w:color="auto"/>
            </w:tcBorders>
            <w:vAlign w:val="center"/>
          </w:tcPr>
          <w:p w:rsidR="00AD08FD" w:rsidRPr="00A11603" w:rsidRDefault="00AD08FD" w:rsidP="00B30A44">
            <w:pPr>
              <w:rPr>
                <w:rFonts w:ascii="Times New Roman" w:hAnsi="Times New Roman" w:cs="Times New Roman"/>
                <w:i/>
                <w:iCs/>
                <w:lang w:val="en-GB"/>
              </w:rPr>
            </w:pPr>
            <w:r w:rsidRPr="00A11603">
              <w:rPr>
                <w:rFonts w:ascii="Times New Roman" w:hAnsi="Times New Roman" w:cs="Times New Roman"/>
                <w:i/>
                <w:iCs/>
                <w:lang w:val="en-GB"/>
              </w:rPr>
              <w:t>Term</w:t>
            </w:r>
          </w:p>
        </w:tc>
        <w:tc>
          <w:tcPr>
            <w:tcW w:w="10290" w:type="dxa"/>
            <w:tcBorders>
              <w:top w:val="single" w:sz="4" w:space="0" w:color="auto"/>
              <w:bottom w:val="single" w:sz="4" w:space="0" w:color="auto"/>
            </w:tcBorders>
            <w:vAlign w:val="center"/>
          </w:tcPr>
          <w:p w:rsidR="00AD08FD" w:rsidRPr="00A11603" w:rsidRDefault="00AD08FD" w:rsidP="00B30A44">
            <w:pPr>
              <w:jc w:val="center"/>
              <w:rPr>
                <w:rFonts w:ascii="Times New Roman" w:hAnsi="Times New Roman" w:cs="Times New Roman"/>
                <w:i/>
                <w:iCs/>
                <w:lang w:val="en-GB"/>
              </w:rPr>
            </w:pPr>
            <w:r w:rsidRPr="00A11603">
              <w:rPr>
                <w:rFonts w:ascii="Times New Roman" w:hAnsi="Times New Roman" w:cs="Times New Roman"/>
                <w:i/>
                <w:iCs/>
                <w:lang w:val="en-GB"/>
              </w:rPr>
              <w:t>Definitions</w:t>
            </w:r>
          </w:p>
        </w:tc>
      </w:tr>
      <w:tr w:rsidR="00AD08FD" w:rsidRPr="00A11603" w:rsidTr="00B30A44">
        <w:tc>
          <w:tcPr>
            <w:tcW w:w="3402" w:type="dxa"/>
            <w:tcBorders>
              <w:top w:val="single" w:sz="4" w:space="0" w:color="auto"/>
            </w:tcBorders>
          </w:tcPr>
          <w:p w:rsidR="00AD08FD" w:rsidRPr="00A11603" w:rsidRDefault="00AD08FD" w:rsidP="00B30A44">
            <w:pPr>
              <w:rPr>
                <w:rFonts w:ascii="Times New Roman" w:hAnsi="Times New Roman" w:cs="Times New Roman"/>
                <w:sz w:val="10"/>
                <w:szCs w:val="10"/>
                <w:lang w:val="en-GB"/>
              </w:rPr>
            </w:pPr>
          </w:p>
        </w:tc>
        <w:tc>
          <w:tcPr>
            <w:tcW w:w="10290" w:type="dxa"/>
            <w:tcBorders>
              <w:top w:val="single" w:sz="4" w:space="0" w:color="auto"/>
            </w:tcBorders>
          </w:tcPr>
          <w:p w:rsidR="00AD08FD" w:rsidRPr="00A11603" w:rsidRDefault="00AD08FD" w:rsidP="00B30A44">
            <w:pPr>
              <w:rPr>
                <w:rFonts w:ascii="Times New Roman" w:hAnsi="Times New Roman" w:cs="Times New Roman"/>
                <w:sz w:val="10"/>
                <w:szCs w:val="10"/>
                <w:lang w:val="en-GB"/>
              </w:rPr>
            </w:pP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Study</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Include the reference for each included study (e.g., Mercer et al., 1972).</w:t>
            </w: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Sample ID</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Contain the reference of each study divided for sub-samples (e.g., Mercer et al., 1972 - Sample1; Mercer et al., 1972 - Sample1).</w:t>
            </w: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 xml:space="preserve">Country [Block Continent] </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Include the information of the Country [and correspondent Continent] where data were collected.</w:t>
            </w: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 xml:space="preserve">Battery [Battery regrouped]  </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 xml:space="preserve">Specify the Battery edition (e.g., WISC; WISC-R; WISC-III; WISC-IV; WISC-V). </w:t>
            </w:r>
          </w:p>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The grouping variable identifies the editions as follows:</w:t>
            </w:r>
          </w:p>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WISC 1-2 when WISC and WISC-R;</w:t>
            </w:r>
          </w:p>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WISC-345 when WISC-III; WISC-IV; WISC-V.</w:t>
            </w: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Task</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 xml:space="preserve">Name of each sub-test of the WISC batteries. When not all sub-tests were listed, main Indexes were </w:t>
            </w:r>
            <w:r w:rsidRPr="00A11603">
              <w:rPr>
                <w:rFonts w:ascii="Times New Roman" w:hAnsi="Times New Roman" w:cs="Times New Roman"/>
                <w:lang w:val="en-GB"/>
              </w:rPr>
              <w:lastRenderedPageBreak/>
              <w:t>coded instead (e.g., Verbal IQ; Performance IQ; FISQ; VCI; PRI; WMI; PSI)</w:t>
            </w: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lastRenderedPageBreak/>
              <w:t>CHC</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Include the correspondence with the CHC factorial model (e.g., gC; gQ; gV; gF; gS; gSM).</w:t>
            </w:r>
          </w:p>
        </w:tc>
      </w:tr>
      <w:tr w:rsidR="00AD08FD" w:rsidRPr="00A11603" w:rsidTr="00B30A44">
        <w:tc>
          <w:tcPr>
            <w:tcW w:w="3402" w:type="dxa"/>
          </w:tcPr>
          <w:p w:rsidR="00AD08FD" w:rsidRPr="00A11603" w:rsidRDefault="00AD08FD" w:rsidP="00B30A44">
            <w:pPr>
              <w:rPr>
                <w:rFonts w:ascii="Times New Roman" w:hAnsi="Times New Roman" w:cs="Times New Roman"/>
                <w:vertAlign w:val="subscript"/>
                <w:lang w:val="en-GB"/>
              </w:rPr>
            </w:pPr>
            <w:r w:rsidRPr="00A11603">
              <w:rPr>
                <w:rFonts w:ascii="Times New Roman" w:hAnsi="Times New Roman" w:cs="Times New Roman"/>
                <w:lang w:val="en-GB"/>
              </w:rPr>
              <w:t>Male– Female [N/M/SD]</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Number of participants, means and standard deviations for each sub-test or index reported were coded with reference to male and female participants.</w:t>
            </w:r>
          </w:p>
        </w:tc>
      </w:tr>
      <w:tr w:rsidR="00AD08FD" w:rsidRPr="00A11603" w:rsidTr="00B30A44">
        <w:tc>
          <w:tcPr>
            <w:tcW w:w="3402"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Age Range</w:t>
            </w:r>
          </w:p>
        </w:tc>
        <w:tc>
          <w:tcPr>
            <w:tcW w:w="10290" w:type="dxa"/>
          </w:tcPr>
          <w:p w:rsidR="00AD08FD" w:rsidRPr="00A11603" w:rsidRDefault="00AD08FD" w:rsidP="00B30A44">
            <w:pPr>
              <w:rPr>
                <w:rFonts w:ascii="Times New Roman" w:hAnsi="Times New Roman" w:cs="Times New Roman"/>
                <w:lang w:val="en-GB"/>
              </w:rPr>
            </w:pPr>
            <w:r w:rsidRPr="00A11603">
              <w:rPr>
                <w:rFonts w:ascii="Times New Roman" w:hAnsi="Times New Roman" w:cs="Times New Roman"/>
                <w:lang w:val="en-GB"/>
              </w:rPr>
              <w:t>Age range of the overall sample was reported.</w:t>
            </w:r>
          </w:p>
        </w:tc>
      </w:tr>
      <w:tr w:rsidR="00AD08FD" w:rsidRPr="00A11603" w:rsidTr="00B30A44">
        <w:tc>
          <w:tcPr>
            <w:tcW w:w="3402" w:type="dxa"/>
            <w:tcBorders>
              <w:bottom w:val="single" w:sz="4" w:space="0" w:color="auto"/>
            </w:tcBorders>
          </w:tcPr>
          <w:p w:rsidR="00AD08FD" w:rsidRPr="00A11603" w:rsidRDefault="00AD08FD" w:rsidP="00B30A44">
            <w:pPr>
              <w:rPr>
                <w:rFonts w:ascii="Times New Roman" w:hAnsi="Times New Roman" w:cs="Times New Roman"/>
                <w:sz w:val="10"/>
                <w:szCs w:val="10"/>
                <w:lang w:val="en-GB"/>
              </w:rPr>
            </w:pPr>
          </w:p>
        </w:tc>
        <w:tc>
          <w:tcPr>
            <w:tcW w:w="10290" w:type="dxa"/>
            <w:tcBorders>
              <w:bottom w:val="single" w:sz="4" w:space="0" w:color="auto"/>
            </w:tcBorders>
          </w:tcPr>
          <w:p w:rsidR="00AD08FD" w:rsidRPr="00A11603" w:rsidRDefault="00AD08FD" w:rsidP="00B30A44">
            <w:pPr>
              <w:rPr>
                <w:rFonts w:ascii="Times New Roman" w:hAnsi="Times New Roman" w:cs="Times New Roman"/>
                <w:sz w:val="10"/>
                <w:szCs w:val="10"/>
                <w:lang w:val="en-GB"/>
              </w:rPr>
            </w:pPr>
          </w:p>
        </w:tc>
      </w:tr>
    </w:tbl>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sectPr w:rsidR="00AD08FD" w:rsidRPr="00A11603" w:rsidSect="009E3869">
          <w:pgSz w:w="16840" w:h="11900" w:orient="landscape"/>
          <w:pgMar w:top="1134" w:right="1134" w:bottom="1134" w:left="1418" w:header="709" w:footer="709" w:gutter="0"/>
          <w:cols w:space="708"/>
          <w:docGrid w:linePitch="360"/>
        </w:sectPr>
      </w:pPr>
    </w:p>
    <w:p w:rsidR="00AD08FD" w:rsidRPr="00A11603" w:rsidRDefault="00AD08FD" w:rsidP="00AD08FD">
      <w:pPr>
        <w:spacing w:line="480" w:lineRule="auto"/>
        <w:jc w:val="center"/>
        <w:rPr>
          <w:rFonts w:ascii="Times New Roman" w:eastAsia="Times New Roman" w:hAnsi="Times New Roman" w:cs="Times New Roman"/>
          <w:b/>
          <w:bCs/>
          <w:sz w:val="24"/>
          <w:szCs w:val="24"/>
          <w:lang w:val="en-GB"/>
        </w:rPr>
      </w:pPr>
      <w:r w:rsidRPr="00A11603">
        <w:rPr>
          <w:rFonts w:ascii="Times New Roman" w:eastAsia="Times New Roman" w:hAnsi="Times New Roman" w:cs="Times New Roman"/>
          <w:b/>
          <w:bCs/>
          <w:sz w:val="24"/>
          <w:szCs w:val="24"/>
          <w:lang w:val="en-GB"/>
        </w:rPr>
        <w:lastRenderedPageBreak/>
        <w:t>References</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Alexopoulos, D. (1979) ‘Revision and standardization of the Wechsler intelligence scale for children - revised (WISC-R) for the age range 1 3 — 1 5 years in Greece.’</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Al-Shahomee, A.A., Abdalla, S.E.G., &amp;Lynn, R. (2016). Sex differences on the WISC-R in Libya. </w:t>
      </w:r>
      <w:r w:rsidRPr="00A11603">
        <w:rPr>
          <w:rFonts w:ascii="Times New Roman" w:hAnsi="Times New Roman" w:cs="Times New Roman"/>
          <w:i/>
          <w:iCs/>
          <w:sz w:val="24"/>
          <w:szCs w:val="24"/>
          <w:lang w:val="en-GB"/>
        </w:rPr>
        <w:t>Mankind Quarterly</w:t>
      </w:r>
      <w:r w:rsidRPr="00A11603">
        <w:rPr>
          <w:rFonts w:ascii="Times New Roman" w:hAnsi="Times New Roman" w:cs="Times New Roman"/>
          <w:sz w:val="24"/>
          <w:szCs w:val="24"/>
          <w:lang w:val="en-GB"/>
        </w:rPr>
        <w:t>, 57(1), pp. 91–94. doi:10.46469/mq.2016.57.1.12.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Antshel, K. M., AbdulSabur, N., Roizen, N., Fremont, W., &amp; Kates, W. R. (2005). Sex differences in cognitive functioning in velocardiofacial syndrome (VCFS). </w:t>
      </w:r>
      <w:r w:rsidRPr="00A11603">
        <w:rPr>
          <w:rFonts w:ascii="Times New Roman" w:hAnsi="Times New Roman" w:cs="Times New Roman"/>
          <w:i/>
          <w:iCs/>
          <w:sz w:val="24"/>
          <w:szCs w:val="24"/>
          <w:lang w:val="en-GB"/>
        </w:rPr>
        <w:t xml:space="preserve">Developmental </w:t>
      </w:r>
      <w:r>
        <w:rPr>
          <w:rFonts w:ascii="Times New Roman" w:hAnsi="Times New Roman" w:cs="Times New Roman"/>
          <w:i/>
          <w:iCs/>
          <w:sz w:val="24"/>
          <w:szCs w:val="24"/>
          <w:lang w:val="en-GB"/>
        </w:rPr>
        <w:t>N</w:t>
      </w:r>
      <w:r w:rsidRPr="00A11603">
        <w:rPr>
          <w:rFonts w:ascii="Times New Roman" w:hAnsi="Times New Roman" w:cs="Times New Roman"/>
          <w:i/>
          <w:iCs/>
          <w:sz w:val="24"/>
          <w:szCs w:val="24"/>
          <w:lang w:val="en-GB"/>
        </w:rPr>
        <w:t>europsychology</w:t>
      </w:r>
      <w:r w:rsidRPr="00A11603">
        <w:rPr>
          <w:rFonts w:ascii="Times New Roman" w:hAnsi="Times New Roman" w:cs="Times New Roman"/>
          <w:sz w:val="24"/>
          <w:szCs w:val="24"/>
          <w:lang w:val="en-GB"/>
        </w:rPr>
        <w:t xml:space="preserve">, </w:t>
      </w:r>
      <w:r w:rsidRPr="00A11603">
        <w:rPr>
          <w:rFonts w:ascii="Times New Roman" w:hAnsi="Times New Roman" w:cs="Times New Roman"/>
          <w:i/>
          <w:iCs/>
          <w:sz w:val="24"/>
          <w:szCs w:val="24"/>
          <w:lang w:val="en-GB"/>
        </w:rPr>
        <w:t>28</w:t>
      </w:r>
      <w:r w:rsidRPr="00A11603">
        <w:rPr>
          <w:rFonts w:ascii="Times New Roman" w:hAnsi="Times New Roman" w:cs="Times New Roman"/>
          <w:sz w:val="24"/>
          <w:szCs w:val="24"/>
          <w:lang w:val="en-GB"/>
        </w:rPr>
        <w:t>(3), 849–869. https://doi.org/10.1207/s15326942dn2803_6.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it-IT"/>
        </w:rPr>
        <w:t xml:space="preserve">Bajgar, J., Ciarrochi, J., Lane, R., &amp; Deane, F. P. (2005). </w:t>
      </w:r>
      <w:r w:rsidRPr="00A11603">
        <w:rPr>
          <w:rFonts w:ascii="Times New Roman" w:hAnsi="Times New Roman" w:cs="Times New Roman"/>
          <w:sz w:val="24"/>
          <w:szCs w:val="24"/>
          <w:lang w:val="en-GB"/>
        </w:rPr>
        <w:t xml:space="preserve">Development of the Levels of Emotional Awareness Scale for Children (LEAS-C). </w:t>
      </w:r>
      <w:r w:rsidRPr="00A11603">
        <w:rPr>
          <w:rFonts w:ascii="Times New Roman" w:hAnsi="Times New Roman" w:cs="Times New Roman"/>
          <w:i/>
          <w:iCs/>
          <w:sz w:val="24"/>
          <w:szCs w:val="24"/>
          <w:lang w:val="en-GB"/>
        </w:rPr>
        <w:t>British Journal of Developmental Psychology, 23</w:t>
      </w:r>
      <w:r w:rsidRPr="00A11603">
        <w:rPr>
          <w:rFonts w:ascii="Times New Roman" w:hAnsi="Times New Roman" w:cs="Times New Roman"/>
          <w:sz w:val="24"/>
          <w:szCs w:val="24"/>
          <w:lang w:val="en-GB"/>
        </w:rPr>
        <w:t>(4), 569–586. https://doi.org/10.1348/026151005X35417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Bakhiet, S. F., Albursan, I. S., Al Qudah, M. F., Abduljabbar, A. S., Aljomaa, S. S., Toto, H. S. A., &amp; Lynn, R. (2017). Sex differences on the WISC-III among children in Sudan and the United States. </w:t>
      </w:r>
      <w:r w:rsidRPr="00A11603">
        <w:rPr>
          <w:rFonts w:ascii="Times New Roman" w:hAnsi="Times New Roman" w:cs="Times New Roman"/>
          <w:i/>
          <w:iCs/>
          <w:sz w:val="24"/>
          <w:szCs w:val="24"/>
          <w:lang w:val="en-GB"/>
        </w:rPr>
        <w:t>Journal of Biosocial Science, 49</w:t>
      </w:r>
      <w:r w:rsidRPr="00A11603">
        <w:rPr>
          <w:rFonts w:ascii="Times New Roman" w:hAnsi="Times New Roman" w:cs="Times New Roman"/>
          <w:sz w:val="24"/>
          <w:szCs w:val="24"/>
          <w:lang w:val="en-GB"/>
        </w:rPr>
        <w:t>(6), 792–797. https://doi.org/10.1017/S0021932016000432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Bakhiet, S. F. A., &amp; Lynn, R. (2015). Sex differences on the Wechsler intelligence scale for children-</w:t>
      </w:r>
      <w:r>
        <w:rPr>
          <w:rFonts w:ascii="Times New Roman" w:hAnsi="Times New Roman" w:cs="Times New Roman"/>
          <w:sz w:val="24"/>
          <w:szCs w:val="24"/>
          <w:lang w:val="en-GB"/>
        </w:rPr>
        <w:t>III</w:t>
      </w:r>
      <w:r w:rsidRPr="00A11603">
        <w:rPr>
          <w:rFonts w:ascii="Times New Roman" w:hAnsi="Times New Roman" w:cs="Times New Roman"/>
          <w:sz w:val="24"/>
          <w:szCs w:val="24"/>
          <w:lang w:val="en-GB"/>
        </w:rPr>
        <w:t xml:space="preserve"> in Bahrain and the United States. </w:t>
      </w:r>
      <w:r w:rsidRPr="00A11603">
        <w:rPr>
          <w:rFonts w:ascii="Times New Roman" w:hAnsi="Times New Roman" w:cs="Times New Roman"/>
          <w:i/>
          <w:iCs/>
          <w:sz w:val="24"/>
          <w:szCs w:val="24"/>
          <w:lang w:val="en-GB"/>
        </w:rPr>
        <w:t>Psychological Reports, 117</w:t>
      </w:r>
      <w:r w:rsidRPr="00A11603">
        <w:rPr>
          <w:rFonts w:ascii="Times New Roman" w:hAnsi="Times New Roman" w:cs="Times New Roman"/>
          <w:sz w:val="24"/>
          <w:szCs w:val="24"/>
          <w:lang w:val="en-GB"/>
        </w:rPr>
        <w:t>(3), 794–798. https://doi.org/10.2466/03.17.PR0.117c26z9</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Berlin, D. F., &amp; Languis, M. L. (1980). Age and sex differences in measures of brain lateralization</w:t>
      </w:r>
      <w:r w:rsidRPr="00A11603">
        <w:rPr>
          <w:rFonts w:ascii="Times New Roman" w:hAnsi="Times New Roman" w:cs="Times New Roman"/>
          <w:i/>
          <w:iCs/>
          <w:sz w:val="24"/>
          <w:szCs w:val="24"/>
          <w:lang w:val="en-GB"/>
        </w:rPr>
        <w:t>. Perceptual and Motor Skills, 50</w:t>
      </w:r>
      <w:r w:rsidRPr="00A11603">
        <w:rPr>
          <w:rFonts w:ascii="Times New Roman" w:hAnsi="Times New Roman" w:cs="Times New Roman"/>
          <w:sz w:val="24"/>
          <w:szCs w:val="24"/>
          <w:lang w:val="en-GB"/>
        </w:rPr>
        <w:t>(3), 959–967. https://doi.org/10.2466/pms.1980.50.3.959</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Berlin, D.F. &amp; Languis, M.L. (1981). Hemispheric correlates of the rod-and-frame test field dependence / independence was originally conceived by H. A. Witkin and his associates (1962) as a measure of spatial perception. The current definition of field dependence / independence has, (1974), pp. 35–41.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Bölte, S., Duketis, E., Poustka, F., &amp; Holtmann, M. (2011). Sex differences in cognitive domains and their clinical correlates in higher-functioning autism spectrum disorders. </w:t>
      </w:r>
      <w:r w:rsidRPr="00A11603">
        <w:rPr>
          <w:rFonts w:ascii="Times New Roman" w:hAnsi="Times New Roman" w:cs="Times New Roman"/>
          <w:i/>
          <w:iCs/>
          <w:sz w:val="24"/>
          <w:szCs w:val="24"/>
          <w:lang w:val="en-GB"/>
        </w:rPr>
        <w:t>Autism, 15</w:t>
      </w:r>
      <w:r w:rsidRPr="00A11603">
        <w:rPr>
          <w:rFonts w:ascii="Times New Roman" w:hAnsi="Times New Roman" w:cs="Times New Roman"/>
          <w:sz w:val="24"/>
          <w:szCs w:val="24"/>
          <w:lang w:val="en-GB"/>
        </w:rPr>
        <w:t>(4), 497–511. https://doi.org/10.1177/1362361310391116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Born, M. P., &amp; Lynn, R. (1994). Sex Differences on the Dutch WISC-R: A comparison with the USA and Scotland. </w:t>
      </w:r>
      <w:r w:rsidRPr="00A11603">
        <w:rPr>
          <w:rFonts w:ascii="Times New Roman" w:hAnsi="Times New Roman" w:cs="Times New Roman"/>
          <w:i/>
          <w:iCs/>
          <w:sz w:val="24"/>
          <w:szCs w:val="24"/>
          <w:lang w:val="en-GB"/>
        </w:rPr>
        <w:t>Educational Psychology, 14</w:t>
      </w:r>
      <w:r w:rsidRPr="00A11603">
        <w:rPr>
          <w:rFonts w:ascii="Times New Roman" w:hAnsi="Times New Roman" w:cs="Times New Roman"/>
          <w:sz w:val="24"/>
          <w:szCs w:val="24"/>
          <w:lang w:val="en-GB"/>
        </w:rPr>
        <w:t>(2), 249–254. https://doi.org/10.1080/0144341940140208</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Brannigan, G. G. (1976). Children’s social desirability response tendencies and Wechsler comprehension and picture arrangement performance. </w:t>
      </w:r>
      <w:r w:rsidRPr="00A11603">
        <w:rPr>
          <w:rFonts w:ascii="Times New Roman" w:hAnsi="Times New Roman" w:cs="Times New Roman"/>
          <w:i/>
          <w:iCs/>
          <w:sz w:val="24"/>
          <w:szCs w:val="24"/>
          <w:lang w:val="en-GB"/>
        </w:rPr>
        <w:t>Psychological Reports, 38</w:t>
      </w:r>
      <w:r w:rsidRPr="00A11603">
        <w:rPr>
          <w:rFonts w:ascii="Times New Roman" w:hAnsi="Times New Roman" w:cs="Times New Roman"/>
          <w:sz w:val="24"/>
          <w:szCs w:val="24"/>
          <w:lang w:val="en-GB"/>
        </w:rPr>
        <w:t>(3_suppl), 1194–1194. https://doi.org/10.2466/pr0.1976.38.3c.1194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Brooking, L., Uehara, E., Charchat-Fichman, H., &amp; Landeira-Fernandez, J. (2012). Memory performance in Brazilian school-age children. </w:t>
      </w:r>
      <w:r w:rsidRPr="00A11603">
        <w:rPr>
          <w:rFonts w:ascii="Times New Roman" w:hAnsi="Times New Roman" w:cs="Times New Roman"/>
          <w:i/>
          <w:iCs/>
          <w:sz w:val="24"/>
          <w:szCs w:val="24"/>
          <w:lang w:val="en-GB"/>
        </w:rPr>
        <w:t>Psychology and Neuroscience, 5</w:t>
      </w:r>
      <w:r w:rsidRPr="00A11603">
        <w:rPr>
          <w:rFonts w:ascii="Times New Roman" w:hAnsi="Times New Roman" w:cs="Times New Roman"/>
          <w:sz w:val="24"/>
          <w:szCs w:val="24"/>
          <w:lang w:val="en-GB"/>
        </w:rPr>
        <w:t>(2), 165–173. https://doi.org/10.3922/j.psns.2012.2.06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Cao, Z., Bennett, M., Orr, C., Icke, I., Banaschewski, T., Barker, G. J., Bokde, A. L. W., Bromberg, U., Büchel, C., Quinlan, E. B., Desrivières, S., Flor, H., Frouin, V., Garavan, </w:t>
      </w:r>
      <w:r w:rsidRPr="00A11603">
        <w:rPr>
          <w:rFonts w:ascii="Times New Roman" w:hAnsi="Times New Roman" w:cs="Times New Roman"/>
          <w:sz w:val="24"/>
          <w:szCs w:val="24"/>
          <w:lang w:val="en-GB"/>
        </w:rPr>
        <w:lastRenderedPageBreak/>
        <w:t xml:space="preserve">H., Gowland, P., Heinz, A., Ittermann, B., Martinot, J. L., Nees, F., … Whelan, R. (2019). Mapping adolescent reward anticipation, receipt, and prediction error during the monetary incentive delay task. </w:t>
      </w:r>
      <w:r w:rsidRPr="00A11603">
        <w:rPr>
          <w:rFonts w:ascii="Times New Roman" w:hAnsi="Times New Roman" w:cs="Times New Roman"/>
          <w:i/>
          <w:iCs/>
          <w:sz w:val="24"/>
          <w:szCs w:val="24"/>
          <w:lang w:val="en-GB"/>
        </w:rPr>
        <w:t>Human Brain Mapping, 40</w:t>
      </w:r>
      <w:r w:rsidRPr="00A11603">
        <w:rPr>
          <w:rFonts w:ascii="Times New Roman" w:hAnsi="Times New Roman" w:cs="Times New Roman"/>
          <w:sz w:val="24"/>
          <w:szCs w:val="24"/>
          <w:lang w:val="en-GB"/>
        </w:rPr>
        <w:t>(1), 262–283. https://doi.org/10.1002/hbm.24370</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Chen, H.-Y., Lynn, R., &amp; Cheng, H. (2016). Sex differences on the WISC-III in Taiwan and the United States. </w:t>
      </w:r>
      <w:r w:rsidRPr="00A11603">
        <w:rPr>
          <w:rFonts w:ascii="Times New Roman" w:hAnsi="Times New Roman" w:cs="Times New Roman"/>
          <w:i/>
          <w:iCs/>
          <w:sz w:val="24"/>
          <w:szCs w:val="24"/>
          <w:lang w:val="en-GB"/>
        </w:rPr>
        <w:t>Mankind Quarterly, 57</w:t>
      </w:r>
      <w:r w:rsidRPr="00A11603">
        <w:rPr>
          <w:rFonts w:ascii="Times New Roman" w:hAnsi="Times New Roman" w:cs="Times New Roman"/>
          <w:sz w:val="24"/>
          <w:szCs w:val="24"/>
          <w:lang w:val="en-GB"/>
        </w:rPr>
        <w:t>(1), 66–71. https://doi.org/10.46469/mq.2016.57.1.7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Collinson, S. L., Mackay, C. E., James, A. C., Quested, D. J., Phillips, T., Roberts, N., &amp; Crow, T. J. (2003). Brain volume, asymmetry and intellectual impairment in relation to sex in early-onset schizophrenia. </w:t>
      </w:r>
      <w:r w:rsidRPr="00A11603">
        <w:rPr>
          <w:rFonts w:ascii="Times New Roman" w:hAnsi="Times New Roman" w:cs="Times New Roman"/>
          <w:i/>
          <w:iCs/>
          <w:sz w:val="24"/>
          <w:szCs w:val="24"/>
          <w:lang w:val="en-GB"/>
        </w:rPr>
        <w:t>British Journal of Psychiatry, 183</w:t>
      </w:r>
      <w:r w:rsidRPr="00A11603">
        <w:rPr>
          <w:rFonts w:ascii="Times New Roman" w:hAnsi="Times New Roman" w:cs="Times New Roman"/>
          <w:sz w:val="24"/>
          <w:szCs w:val="24"/>
          <w:lang w:val="en-GB"/>
        </w:rPr>
        <w:t>(AUG.), 114–120. https://doi.org/10.1192/bjp.183.2.114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Constable, R. T., Ment, L. R., Vohr, B. R., Kesler, S. R., Fulbright, R. K., Lacadie, C., Delancy, S., Katz, K. H., Schneider, K. C., Schafer, R. J., Makuch, R. W., &amp; Reiss, A. R. (2008). Prematurely born children demonstrate white matter microstructural differences at 12 years of age, relative to term control subjects: An investigation of group and gender effects. </w:t>
      </w:r>
      <w:r w:rsidRPr="00A11603">
        <w:rPr>
          <w:rFonts w:ascii="Times New Roman" w:hAnsi="Times New Roman" w:cs="Times New Roman"/>
          <w:i/>
          <w:iCs/>
          <w:sz w:val="24"/>
          <w:szCs w:val="24"/>
          <w:lang w:val="en-GB"/>
        </w:rPr>
        <w:t>Pediatrics, 121</w:t>
      </w:r>
      <w:r w:rsidRPr="00A11603">
        <w:rPr>
          <w:rFonts w:ascii="Times New Roman" w:hAnsi="Times New Roman" w:cs="Times New Roman"/>
          <w:sz w:val="24"/>
          <w:szCs w:val="24"/>
          <w:lang w:val="en-GB"/>
        </w:rPr>
        <w:t>(2), 306–316. https://doi.org/10.1542/peds.2007-0414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Creed, C. D., &amp; Robinson, W. P. (1971). Intelligence test scores in the evaluation of a “use of language-programme” for infant school children. </w:t>
      </w:r>
      <w:r w:rsidRPr="00A11603">
        <w:rPr>
          <w:rFonts w:ascii="Times New Roman" w:hAnsi="Times New Roman" w:cs="Times New Roman"/>
          <w:i/>
          <w:iCs/>
          <w:sz w:val="24"/>
          <w:szCs w:val="24"/>
          <w:lang w:val="en-GB"/>
        </w:rPr>
        <w:t>Research in Education, 6</w:t>
      </w:r>
      <w:r w:rsidRPr="00A11603">
        <w:rPr>
          <w:rFonts w:ascii="Times New Roman" w:hAnsi="Times New Roman" w:cs="Times New Roman"/>
          <w:sz w:val="24"/>
          <w:szCs w:val="24"/>
          <w:lang w:val="en-GB"/>
        </w:rPr>
        <w:t>(1), 1–11. https://doi.org/10.1177/003452377100600101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Cunningham, S. D., Thomas, P. D., &amp; Warschausky, S. (2007). Gender differences in peer relations of children with neurodevelopmental conditions. </w:t>
      </w:r>
      <w:r w:rsidRPr="00A11603">
        <w:rPr>
          <w:rFonts w:ascii="Times New Roman" w:hAnsi="Times New Roman" w:cs="Times New Roman"/>
          <w:i/>
          <w:iCs/>
          <w:sz w:val="24"/>
          <w:szCs w:val="24"/>
          <w:lang w:val="en-GB"/>
        </w:rPr>
        <w:t>Rehabilitation Psychology, 52</w:t>
      </w:r>
      <w:r w:rsidRPr="00A11603">
        <w:rPr>
          <w:rFonts w:ascii="Times New Roman" w:hAnsi="Times New Roman" w:cs="Times New Roman"/>
          <w:sz w:val="24"/>
          <w:szCs w:val="24"/>
          <w:lang w:val="en-GB"/>
        </w:rPr>
        <w:t>(3), 331–337. https://doi.org/10.1037/0090-5550.52.3.331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Darley, F. L., &amp; Winitz, H. (1961). Comparison of male and female kindergarten children on the WISC. </w:t>
      </w:r>
      <w:r w:rsidRPr="00A11603">
        <w:rPr>
          <w:rFonts w:ascii="Times New Roman" w:hAnsi="Times New Roman" w:cs="Times New Roman"/>
          <w:i/>
          <w:iCs/>
          <w:sz w:val="24"/>
          <w:szCs w:val="24"/>
          <w:lang w:val="en-GB"/>
        </w:rPr>
        <w:t>Journal of Genetic Psychology, 99</w:t>
      </w:r>
      <w:r w:rsidRPr="00A11603">
        <w:rPr>
          <w:rFonts w:ascii="Times New Roman" w:hAnsi="Times New Roman" w:cs="Times New Roman"/>
          <w:sz w:val="24"/>
          <w:szCs w:val="24"/>
          <w:lang w:val="en-GB"/>
        </w:rPr>
        <w:t>(1), 41–49. https://doi.org/10.1080/00221325.1961.10534389</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deHaas, P. A. (1986). Attention styles and peer relationships of hyperactive and normal boys and girls. </w:t>
      </w:r>
      <w:r w:rsidRPr="00A11603">
        <w:rPr>
          <w:rFonts w:ascii="Times New Roman" w:hAnsi="Times New Roman" w:cs="Times New Roman"/>
          <w:i/>
          <w:iCs/>
          <w:sz w:val="24"/>
          <w:szCs w:val="24"/>
          <w:lang w:val="en-GB"/>
        </w:rPr>
        <w:t>Journal of Abnormal Child Psychology, 14</w:t>
      </w:r>
      <w:r w:rsidRPr="00A11603">
        <w:rPr>
          <w:rFonts w:ascii="Times New Roman" w:hAnsi="Times New Roman" w:cs="Times New Roman"/>
          <w:sz w:val="24"/>
          <w:szCs w:val="24"/>
          <w:lang w:val="en-GB"/>
        </w:rPr>
        <w:t>(3), 457–467. https://doi.org/10.1007/BF00915438</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Engdahl, E., Svensson, K., Lin, P. I. D., Alavian-Ghavanini, A., Lindh, C., Rüegg, J., &amp; Bornehag, C. G. (2021). DNA methylation at GRIN2B partially mediates the association between prenatal bisphenol F exposure and cognitive functions in 7-year-old children in the SELMA study. </w:t>
      </w:r>
      <w:r w:rsidRPr="00A11603">
        <w:rPr>
          <w:rFonts w:ascii="Times New Roman" w:hAnsi="Times New Roman" w:cs="Times New Roman"/>
          <w:i/>
          <w:iCs/>
          <w:sz w:val="24"/>
          <w:szCs w:val="24"/>
          <w:lang w:val="en-GB"/>
        </w:rPr>
        <w:t>Environment International, 156</w:t>
      </w:r>
      <w:r w:rsidRPr="00A11603">
        <w:rPr>
          <w:rFonts w:ascii="Times New Roman" w:hAnsi="Times New Roman" w:cs="Times New Roman"/>
          <w:sz w:val="24"/>
          <w:szCs w:val="24"/>
          <w:lang w:val="en-GB"/>
        </w:rPr>
        <w:t>(April). https://doi.org/10.1016/j.envint.2021.106617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Fergusson, D. M., &amp; Horwood, L. J. (1997). Gender differences in educational achievement in a New Zealand birth cohort. </w:t>
      </w:r>
      <w:r w:rsidRPr="00A11603">
        <w:rPr>
          <w:rFonts w:ascii="Times New Roman" w:hAnsi="Times New Roman" w:cs="Times New Roman"/>
          <w:i/>
          <w:iCs/>
          <w:sz w:val="24"/>
          <w:szCs w:val="24"/>
          <w:lang w:val="en-GB"/>
        </w:rPr>
        <w:t>New Zealand Journal of Educational Studies, 32</w:t>
      </w:r>
      <w:r w:rsidRPr="00A11603">
        <w:rPr>
          <w:rFonts w:ascii="Times New Roman" w:hAnsi="Times New Roman" w:cs="Times New Roman"/>
          <w:sz w:val="24"/>
          <w:szCs w:val="24"/>
          <w:lang w:val="en-GB"/>
        </w:rPr>
        <w:t xml:space="preserve">(1), 83–96. </w:t>
      </w:r>
    </w:p>
    <w:p w:rsidR="00AD08FD" w:rsidRPr="00A11603" w:rsidRDefault="00AD08FD" w:rsidP="00AD08FD">
      <w:pPr>
        <w:spacing w:line="480" w:lineRule="auto"/>
        <w:ind w:left="709" w:hanging="709"/>
        <w:rPr>
          <w:rFonts w:ascii="Times New Roman" w:hAnsi="Times New Roman" w:cs="Times New Roman"/>
          <w:sz w:val="24"/>
          <w:szCs w:val="24"/>
          <w:lang w:val="it-IT"/>
        </w:rPr>
      </w:pPr>
      <w:r w:rsidRPr="00A11603">
        <w:rPr>
          <w:rFonts w:ascii="Times New Roman" w:hAnsi="Times New Roman" w:cs="Times New Roman"/>
          <w:sz w:val="24"/>
          <w:szCs w:val="24"/>
          <w:lang w:val="en-GB"/>
        </w:rPr>
        <w:t xml:space="preserve">Flores-Mendoza, C. E., Mansur-Alves, M., Lelé, Á. J., &amp; Bandeira, D. R. (2007). Inexistência de diferenças de sexo no fator g (inteligência geral) e nas habilidades específicas em crianças de duas capitais brasileiras. </w:t>
      </w:r>
      <w:r w:rsidRPr="00A11603">
        <w:rPr>
          <w:rFonts w:ascii="Times New Roman" w:hAnsi="Times New Roman" w:cs="Times New Roman"/>
          <w:i/>
          <w:iCs/>
          <w:sz w:val="24"/>
          <w:szCs w:val="24"/>
          <w:lang w:val="it-IT"/>
        </w:rPr>
        <w:t>Psicologia: Reflexão e Crítica, 20</w:t>
      </w:r>
      <w:r w:rsidRPr="00A11603">
        <w:rPr>
          <w:rFonts w:ascii="Times New Roman" w:hAnsi="Times New Roman" w:cs="Times New Roman"/>
          <w:sz w:val="24"/>
          <w:szCs w:val="24"/>
          <w:lang w:val="it-IT"/>
        </w:rPr>
        <w:t>(3), 499–506. https://doi.org/10.1590/s0102-79722007000300018</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it-IT"/>
        </w:rPr>
        <w:t xml:space="preserve">Fresson, M., Meulemans, T., Dardenne, B., &amp; Geurten, M. (2019). </w:t>
      </w:r>
      <w:r w:rsidRPr="00A11603">
        <w:rPr>
          <w:rFonts w:ascii="Times New Roman" w:hAnsi="Times New Roman" w:cs="Times New Roman"/>
          <w:sz w:val="24"/>
          <w:szCs w:val="24"/>
          <w:lang w:val="en-GB"/>
        </w:rPr>
        <w:t xml:space="preserve">Overdiagnosis of ADHD in boys: Stereotype impact on neuropsychological assessment. </w:t>
      </w:r>
      <w:r w:rsidRPr="00A11603">
        <w:rPr>
          <w:rFonts w:ascii="Times New Roman" w:hAnsi="Times New Roman" w:cs="Times New Roman"/>
          <w:i/>
          <w:iCs/>
          <w:sz w:val="24"/>
          <w:szCs w:val="24"/>
          <w:lang w:val="en-GB"/>
        </w:rPr>
        <w:t>Applied Neuropsychology: Child, 8</w:t>
      </w:r>
      <w:r w:rsidRPr="00A11603">
        <w:rPr>
          <w:rFonts w:ascii="Times New Roman" w:hAnsi="Times New Roman" w:cs="Times New Roman"/>
          <w:sz w:val="24"/>
          <w:szCs w:val="24"/>
          <w:lang w:val="en-GB"/>
        </w:rPr>
        <w:t>(3), 231–245. https://doi.org/10.1080/21622965.2018.1430576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Gao, Y., Borlam, D., &amp; Zhang, W. (2015). The association between heart rate reactivity and fluid intelligence in children. </w:t>
      </w:r>
      <w:r w:rsidRPr="00A11603">
        <w:rPr>
          <w:rFonts w:ascii="Times New Roman" w:hAnsi="Times New Roman" w:cs="Times New Roman"/>
          <w:i/>
          <w:iCs/>
          <w:sz w:val="24"/>
          <w:szCs w:val="24"/>
          <w:lang w:val="en-GB"/>
        </w:rPr>
        <w:t>Biological Psychology, 107</w:t>
      </w:r>
      <w:r w:rsidRPr="00A11603">
        <w:rPr>
          <w:rFonts w:ascii="Times New Roman" w:hAnsi="Times New Roman" w:cs="Times New Roman"/>
          <w:sz w:val="24"/>
          <w:szCs w:val="24"/>
          <w:lang w:val="en-GB"/>
        </w:rPr>
        <w:t>, 69–75. https://doi.org/10.1016/j.biopsycho.2015.03.006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Ghaffari, J., Abbaskhanian, A., Jalili, M., &amp; Yazdani Charati, J. (2014). IQ score of children with persistent or perennial allergic rhinitis: A comparison with healthy children. </w:t>
      </w:r>
      <w:r w:rsidRPr="00A11603">
        <w:rPr>
          <w:rFonts w:ascii="Times New Roman" w:hAnsi="Times New Roman" w:cs="Times New Roman"/>
          <w:i/>
          <w:iCs/>
          <w:sz w:val="24"/>
          <w:szCs w:val="24"/>
          <w:lang w:val="en-GB"/>
        </w:rPr>
        <w:t>Iranian Journal of Child Neurology, 8</w:t>
      </w:r>
      <w:r w:rsidRPr="00A11603">
        <w:rPr>
          <w:rFonts w:ascii="Times New Roman" w:hAnsi="Times New Roman" w:cs="Times New Roman"/>
          <w:sz w:val="24"/>
          <w:szCs w:val="24"/>
          <w:lang w:val="en-GB"/>
        </w:rPr>
        <w:t>(3), 44–48. https://doi.org/10.22037/ijcn.v8i3.5198</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Glutting, J. J., Oakland, T., &amp; Konold, T. R. (1994). Criterion-related bias with the guide to the assessment of test-session behavior for the WISC-III and WIAT: Possible race/ethnicity, gender, and SES effects. </w:t>
      </w:r>
      <w:r w:rsidRPr="00A11603">
        <w:rPr>
          <w:rFonts w:ascii="Times New Roman" w:hAnsi="Times New Roman" w:cs="Times New Roman"/>
          <w:i/>
          <w:iCs/>
          <w:sz w:val="24"/>
          <w:szCs w:val="24"/>
          <w:lang w:val="en-GB"/>
        </w:rPr>
        <w:t>Journal of School Psychology, 32</w:t>
      </w:r>
      <w:r w:rsidRPr="00A11603">
        <w:rPr>
          <w:rFonts w:ascii="Times New Roman" w:hAnsi="Times New Roman" w:cs="Times New Roman"/>
          <w:sz w:val="24"/>
          <w:szCs w:val="24"/>
          <w:lang w:val="en-GB"/>
        </w:rPr>
        <w:t>(4), 355–369. https://doi.org/10.1016/0022-4405(94)90033-7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Goldbeck, L., Daseking, M., Hellwig-Brida, S., Waldmann, H. C., &amp; Petermann, F. (2010). Sex differences on the German Wechsler Intelligence Test for Children (WISC-IV). </w:t>
      </w:r>
      <w:r w:rsidRPr="00A11603">
        <w:rPr>
          <w:rFonts w:ascii="Times New Roman" w:hAnsi="Times New Roman" w:cs="Times New Roman"/>
          <w:i/>
          <w:iCs/>
          <w:sz w:val="24"/>
          <w:szCs w:val="24"/>
          <w:lang w:val="en-GB"/>
        </w:rPr>
        <w:t>Journal of Individual Differences, 31</w:t>
      </w:r>
      <w:r w:rsidRPr="00A11603">
        <w:rPr>
          <w:rFonts w:ascii="Times New Roman" w:hAnsi="Times New Roman" w:cs="Times New Roman"/>
          <w:sz w:val="24"/>
          <w:szCs w:val="24"/>
          <w:lang w:val="en-GB"/>
        </w:rPr>
        <w:t>(1), 22–28. https://doi.org/10.1027/1614-0001/a000003</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González-Alzaga, B., Hernández, A. F., Rodríguez-Barranco, M., Gómez, I., Aguilar-Garduño, C., López-Flores, I., Parrón, T., &amp; Lacasaña, M. (2015). Pre- and postnatal exposures to pesticides and neurodevelopmental effects in children living in agricultural communities from South-Eastern Spain</w:t>
      </w:r>
      <w:r w:rsidRPr="00A11603">
        <w:rPr>
          <w:rFonts w:ascii="Times New Roman" w:hAnsi="Times New Roman" w:cs="Times New Roman"/>
          <w:i/>
          <w:iCs/>
          <w:sz w:val="24"/>
          <w:szCs w:val="24"/>
          <w:lang w:val="en-GB"/>
        </w:rPr>
        <w:t>. Environment International, 85</w:t>
      </w:r>
      <w:r w:rsidRPr="00A11603">
        <w:rPr>
          <w:rFonts w:ascii="Times New Roman" w:hAnsi="Times New Roman" w:cs="Times New Roman"/>
          <w:sz w:val="24"/>
          <w:szCs w:val="24"/>
          <w:lang w:val="en-GB"/>
        </w:rPr>
        <w:t>, 229–237. https://doi.org/10.1016/j.envint.2015.09.019</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Hernández, A., Aguilar, C., Paradell, È., Muñoz, M. R., Vannier, L. C., &amp; Vallar, F. (2017). El efecto de las variables demográficas en la evaluación de la aptitud cognitiva. </w:t>
      </w:r>
      <w:r w:rsidRPr="00A11603">
        <w:rPr>
          <w:rFonts w:ascii="Times New Roman" w:hAnsi="Times New Roman" w:cs="Times New Roman"/>
          <w:i/>
          <w:iCs/>
          <w:sz w:val="24"/>
          <w:szCs w:val="24"/>
          <w:lang w:val="en-GB"/>
        </w:rPr>
        <w:t>Psicothema, 29</w:t>
      </w:r>
      <w:r w:rsidRPr="00A11603">
        <w:rPr>
          <w:rFonts w:ascii="Times New Roman" w:hAnsi="Times New Roman" w:cs="Times New Roman"/>
          <w:sz w:val="24"/>
          <w:szCs w:val="24"/>
          <w:lang w:val="en-GB"/>
        </w:rPr>
        <w:t>(4), 469–474. https://doi.org/10.7334/psicothema2017.33</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Herting, M. M., Kim, R., Uban, K. A., Kan, E., Binley, A., &amp; Sowell, E. R. (2017). Longitudinal changes in pubertal maturation and white matter microstructure. </w:t>
      </w:r>
      <w:r w:rsidRPr="00A11603">
        <w:rPr>
          <w:rFonts w:ascii="Times New Roman" w:hAnsi="Times New Roman" w:cs="Times New Roman"/>
          <w:i/>
          <w:iCs/>
          <w:sz w:val="24"/>
          <w:szCs w:val="24"/>
          <w:lang w:val="en-GB"/>
        </w:rPr>
        <w:t>Psychoneuroendocrinology, 81</w:t>
      </w:r>
      <w:r w:rsidRPr="00A11603">
        <w:rPr>
          <w:rFonts w:ascii="Times New Roman" w:hAnsi="Times New Roman" w:cs="Times New Roman"/>
          <w:sz w:val="24"/>
          <w:szCs w:val="24"/>
          <w:lang w:val="en-GB"/>
        </w:rPr>
        <w:t>, 70–79. https://doi.org/10.1016/j.psyneuen.2017.03.017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Horne, J. (2007). Gender differences in computerised and conventional educational tests. </w:t>
      </w:r>
      <w:r w:rsidRPr="00A11603">
        <w:rPr>
          <w:rFonts w:ascii="Times New Roman" w:hAnsi="Times New Roman" w:cs="Times New Roman"/>
          <w:i/>
          <w:iCs/>
          <w:sz w:val="24"/>
          <w:szCs w:val="24"/>
          <w:lang w:val="en-GB"/>
        </w:rPr>
        <w:t>Journal of Computer Assisted Learning, 23</w:t>
      </w:r>
      <w:r w:rsidRPr="00A11603">
        <w:rPr>
          <w:rFonts w:ascii="Times New Roman" w:hAnsi="Times New Roman" w:cs="Times New Roman"/>
          <w:sz w:val="24"/>
          <w:szCs w:val="24"/>
          <w:lang w:val="en-GB"/>
        </w:rPr>
        <w:t xml:space="preserve">(1), 47–55. https://doi.org/10.1111/j.1365-2729.2007.00198.x </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Iliescu, D., Ilie, A., Ispas, D., Dobrean, A., &amp; Clinciu, A. I. (2016). Sex differences in intelligence: A multi-measure approach using nationally representative samples from Romania. </w:t>
      </w:r>
      <w:r w:rsidRPr="00A11603">
        <w:rPr>
          <w:rFonts w:ascii="Times New Roman" w:hAnsi="Times New Roman" w:cs="Times New Roman"/>
          <w:i/>
          <w:iCs/>
          <w:sz w:val="24"/>
          <w:szCs w:val="24"/>
          <w:lang w:val="en-GB"/>
        </w:rPr>
        <w:t>Intelligence, 58</w:t>
      </w:r>
      <w:r w:rsidRPr="00A11603">
        <w:rPr>
          <w:rFonts w:ascii="Times New Roman" w:hAnsi="Times New Roman" w:cs="Times New Roman"/>
          <w:sz w:val="24"/>
          <w:szCs w:val="24"/>
          <w:lang w:val="en-GB"/>
        </w:rPr>
        <w:t>, 54–61. https://doi.org/10.1016/j.intell.2016.06.007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Jensen, A. R., &amp; Reynolds, C. R. (1983). Sex differences on the WISC-R. </w:t>
      </w:r>
      <w:r w:rsidRPr="00A11603">
        <w:rPr>
          <w:rFonts w:ascii="Times New Roman" w:hAnsi="Times New Roman" w:cs="Times New Roman"/>
          <w:i/>
          <w:iCs/>
          <w:sz w:val="24"/>
          <w:szCs w:val="24"/>
          <w:lang w:val="en-GB"/>
        </w:rPr>
        <w:t>Personality and Individual Differences, 4</w:t>
      </w:r>
      <w:r w:rsidRPr="00A11603">
        <w:rPr>
          <w:rFonts w:ascii="Times New Roman" w:hAnsi="Times New Roman" w:cs="Times New Roman"/>
          <w:sz w:val="24"/>
          <w:szCs w:val="24"/>
          <w:lang w:val="en-GB"/>
        </w:rPr>
        <w:t>(2), 223–226. https://doi.org/10.1016/0191-8869(83)90029-6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Kaufman, A. S., &amp; Doppelt, J. E. (1976). Analysis of WISC-R standardization data in terms of the stratification variables. </w:t>
      </w:r>
      <w:r w:rsidRPr="00A11603">
        <w:rPr>
          <w:rStyle w:val="Emphasis"/>
          <w:rFonts w:ascii="Times New Roman" w:hAnsi="Times New Roman" w:cs="Times New Roman"/>
          <w:sz w:val="24"/>
          <w:szCs w:val="24"/>
          <w:lang w:val="en-GB"/>
        </w:rPr>
        <w:t>Child Development, 47</w:t>
      </w:r>
      <w:r w:rsidRPr="00A11603">
        <w:rPr>
          <w:rFonts w:ascii="Times New Roman" w:hAnsi="Times New Roman" w:cs="Times New Roman"/>
          <w:sz w:val="24"/>
          <w:szCs w:val="24"/>
          <w:lang w:val="en-GB"/>
        </w:rPr>
        <w:t>(1), 165–171. https://doi.org/10.2307/1128295.</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Kramer, J. H., Kaplan, E., Delis, D. C., O’Donnell, L., &amp; Prifitera, A. (1997). Developmental sex differences in verbal learning. </w:t>
      </w:r>
      <w:r w:rsidRPr="00A11603">
        <w:rPr>
          <w:rFonts w:ascii="Times New Roman" w:hAnsi="Times New Roman" w:cs="Times New Roman"/>
          <w:i/>
          <w:iCs/>
          <w:sz w:val="24"/>
          <w:szCs w:val="24"/>
          <w:lang w:val="en-GB"/>
        </w:rPr>
        <w:t>Neuropsychology, 11</w:t>
      </w:r>
      <w:r w:rsidRPr="00A11603">
        <w:rPr>
          <w:rFonts w:ascii="Times New Roman" w:hAnsi="Times New Roman" w:cs="Times New Roman"/>
          <w:sz w:val="24"/>
          <w:szCs w:val="24"/>
          <w:lang w:val="en-GB"/>
        </w:rPr>
        <w:t>(4), 577–584. https://doi.org/10.1037/0894-4105.11.4.577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Liu, J., &amp; Lynn, R. (2015). Chinese sex differences in intelligence: Some new evidence. </w:t>
      </w:r>
      <w:r w:rsidRPr="00A11603">
        <w:rPr>
          <w:rFonts w:ascii="Times New Roman" w:hAnsi="Times New Roman" w:cs="Times New Roman"/>
          <w:i/>
          <w:iCs/>
          <w:sz w:val="24"/>
          <w:szCs w:val="24"/>
          <w:lang w:val="en-GB"/>
        </w:rPr>
        <w:t>Personality and Individual Differences, 75</w:t>
      </w:r>
      <w:r w:rsidRPr="00A11603">
        <w:rPr>
          <w:rFonts w:ascii="Times New Roman" w:hAnsi="Times New Roman" w:cs="Times New Roman"/>
          <w:sz w:val="24"/>
          <w:szCs w:val="24"/>
          <w:lang w:val="en-GB"/>
        </w:rPr>
        <w:t>, 90–93. https://doi.org/10.1016/j.paid.2014.11.002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Lyle, J. G., &amp; Johnson, E. G. (1974). Analysis of WISC coding: 5. Prediction of coding performance. </w:t>
      </w:r>
      <w:r w:rsidRPr="00A11603">
        <w:rPr>
          <w:rFonts w:ascii="Times New Roman" w:hAnsi="Times New Roman" w:cs="Times New Roman"/>
          <w:i/>
          <w:iCs/>
          <w:sz w:val="24"/>
          <w:szCs w:val="24"/>
          <w:lang w:val="en-GB"/>
        </w:rPr>
        <w:t>Perceptual and Motor Skills, 39</w:t>
      </w:r>
      <w:r w:rsidRPr="00A11603">
        <w:rPr>
          <w:rFonts w:ascii="Times New Roman" w:hAnsi="Times New Roman" w:cs="Times New Roman"/>
          <w:sz w:val="24"/>
          <w:szCs w:val="24"/>
          <w:lang w:val="en-GB"/>
        </w:rPr>
        <w:t>(1), 111–114. https://doi.org/10.2466/pms.1974.39.1.111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Lynn, R., &amp; Mulhern, G. (1991). A comparison of sex differences on the Scottish and American standardisation samples of the WISC-R. </w:t>
      </w:r>
      <w:r w:rsidRPr="00A11603">
        <w:rPr>
          <w:rFonts w:ascii="Times New Roman" w:hAnsi="Times New Roman" w:cs="Times New Roman"/>
          <w:i/>
          <w:iCs/>
          <w:sz w:val="24"/>
          <w:szCs w:val="24"/>
          <w:lang w:val="en-GB"/>
        </w:rPr>
        <w:t>Personality and Individual Differences, 12</w:t>
      </w:r>
      <w:r w:rsidRPr="00A11603">
        <w:rPr>
          <w:rFonts w:ascii="Times New Roman" w:hAnsi="Times New Roman" w:cs="Times New Roman"/>
          <w:sz w:val="24"/>
          <w:szCs w:val="24"/>
          <w:lang w:val="en-GB"/>
        </w:rPr>
        <w:t xml:space="preserve">(11), 1179–1182. https://doi.org/10.1016/0191-8869(91)90082-M </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Lynn, R., Fergusson, D. M., &amp; Horwood, L. J. (2005). Sex differences on the WISC-R in New Zealand. </w:t>
      </w:r>
      <w:r w:rsidRPr="00A11603">
        <w:rPr>
          <w:rFonts w:ascii="Times New Roman" w:hAnsi="Times New Roman" w:cs="Times New Roman"/>
          <w:i/>
          <w:iCs/>
          <w:sz w:val="24"/>
          <w:szCs w:val="24"/>
          <w:lang w:val="en-GB"/>
        </w:rPr>
        <w:t>Personality and Individual Differences, 39</w:t>
      </w:r>
      <w:r w:rsidRPr="00A11603">
        <w:rPr>
          <w:rFonts w:ascii="Times New Roman" w:hAnsi="Times New Roman" w:cs="Times New Roman"/>
          <w:sz w:val="24"/>
          <w:szCs w:val="24"/>
          <w:lang w:val="en-GB"/>
        </w:rPr>
        <w:t>(1), 103–114. https://doi.org/10.1016/j.paid.2004.12.009</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Lynn, R., Raine, A., Venables, P. H., Mednick, S. A., &amp; Irwing, P. (2005). Sex differences on the WISC-R in Mauritius. </w:t>
      </w:r>
      <w:r w:rsidRPr="00A11603">
        <w:rPr>
          <w:rFonts w:ascii="Times New Roman" w:hAnsi="Times New Roman" w:cs="Times New Roman"/>
          <w:i/>
          <w:iCs/>
          <w:sz w:val="24"/>
          <w:szCs w:val="24"/>
          <w:lang w:val="en-GB"/>
        </w:rPr>
        <w:t>Intelligence, 33</w:t>
      </w:r>
      <w:r w:rsidRPr="00A11603">
        <w:rPr>
          <w:rFonts w:ascii="Times New Roman" w:hAnsi="Times New Roman" w:cs="Times New Roman"/>
          <w:sz w:val="24"/>
          <w:szCs w:val="24"/>
          <w:lang w:val="en-GB"/>
        </w:rPr>
        <w:t>(5), 527–533. https://doi.org/10.1016/j.intell.2005.05.001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May, T., Cornish, K., &amp; Rinehart, N. (2014). Does gender matter? A one year follow-up of autistic, attention and anxiety symptoms in high-functioning children with autism spectrum disorder. </w:t>
      </w:r>
      <w:r w:rsidRPr="00A11603">
        <w:rPr>
          <w:rFonts w:ascii="Times New Roman" w:hAnsi="Times New Roman" w:cs="Times New Roman"/>
          <w:i/>
          <w:iCs/>
          <w:sz w:val="24"/>
          <w:szCs w:val="24"/>
          <w:lang w:val="en-GB"/>
        </w:rPr>
        <w:t>Journal of Autism and Developmental Disorders, 44</w:t>
      </w:r>
      <w:r w:rsidRPr="00A11603">
        <w:rPr>
          <w:rFonts w:ascii="Times New Roman" w:hAnsi="Times New Roman" w:cs="Times New Roman"/>
          <w:sz w:val="24"/>
          <w:szCs w:val="24"/>
          <w:lang w:val="en-GB"/>
        </w:rPr>
        <w:t xml:space="preserve">(5), 1077–1086. https://doi.org/10.1007/s10803-013-1964-y </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Mercer, J. R., &amp; Smith, J. M. (1972). Subtest estimates of the WISC full scale IQ’s for children. Vital and Health Statistics. Ser. 1: Programs and Collection Procedures, 2(47), 1–42. </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Milne, L. C., &amp; Greenway, P. (1999). Do high scores on the adolescent-school problems and immaturity scales of the MMPI-A have implications for cognitive performance as </w:t>
      </w:r>
      <w:r w:rsidRPr="00A11603">
        <w:rPr>
          <w:rFonts w:ascii="Times New Roman" w:hAnsi="Times New Roman" w:cs="Times New Roman"/>
          <w:sz w:val="24"/>
          <w:szCs w:val="24"/>
          <w:lang w:val="en-GB"/>
        </w:rPr>
        <w:lastRenderedPageBreak/>
        <w:t xml:space="preserve">measured by the WISC-III? </w:t>
      </w:r>
      <w:r w:rsidRPr="00A11603">
        <w:rPr>
          <w:rFonts w:ascii="Times New Roman" w:hAnsi="Times New Roman" w:cs="Times New Roman"/>
          <w:i/>
          <w:iCs/>
          <w:sz w:val="24"/>
          <w:szCs w:val="24"/>
          <w:lang w:val="en-GB"/>
        </w:rPr>
        <w:t>Psychology in the Schools, 36</w:t>
      </w:r>
      <w:r w:rsidRPr="00A11603">
        <w:rPr>
          <w:rFonts w:ascii="Times New Roman" w:hAnsi="Times New Roman" w:cs="Times New Roman"/>
          <w:sz w:val="24"/>
          <w:szCs w:val="24"/>
          <w:lang w:val="en-GB"/>
        </w:rPr>
        <w:t>(3), 199–203. https://doi.org/10.1002/(SICI)1520-6807(199905)36:3&lt;199::AID-PITS3&gt;3.0.CO;2-K</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Moulden, J. A., &amp; Persinger, M. A. (1996). Visuospatial/vocabulary differences in boys and girls and a potential age-dependent drift in vocabulary proficiency. Perceptual and Motor Skills, 84(2), 472–474. https://doi.org/10.2466/pms.1996.82.2.472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Munford, P. R., &amp; Munoz, A. (1980). A comparison of the WISC and WISC-R on Hispanic children. </w:t>
      </w:r>
      <w:r w:rsidRPr="00A11603">
        <w:rPr>
          <w:rFonts w:ascii="Times New Roman" w:hAnsi="Times New Roman" w:cs="Times New Roman"/>
          <w:i/>
          <w:iCs/>
          <w:sz w:val="24"/>
          <w:szCs w:val="24"/>
          <w:lang w:val="en-GB"/>
        </w:rPr>
        <w:t>Journal of Clinical Psychology, 36</w:t>
      </w:r>
      <w:r w:rsidRPr="00A11603">
        <w:rPr>
          <w:rFonts w:ascii="Times New Roman" w:hAnsi="Times New Roman" w:cs="Times New Roman"/>
          <w:sz w:val="24"/>
          <w:szCs w:val="24"/>
          <w:lang w:val="en-GB"/>
        </w:rPr>
        <w:t>(2), 452–458. https://doi.org/10.1002/jclp.6120360211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Muñoz-Suazo, M. D., Navarro-Muñoz, J., Díaz-Román, A., Porcel-Gálvez, A. M., &amp; Gil-García, E. (2019). Sex differences in neuropsychological functioning among children with attention-deficit/hyperactivity disorder. </w:t>
      </w:r>
      <w:r w:rsidRPr="00A11603">
        <w:rPr>
          <w:rFonts w:ascii="Times New Roman" w:hAnsi="Times New Roman" w:cs="Times New Roman"/>
          <w:i/>
          <w:iCs/>
          <w:sz w:val="24"/>
          <w:szCs w:val="24"/>
          <w:lang w:val="en-GB"/>
        </w:rPr>
        <w:t>Psychiatry Research, 278</w:t>
      </w:r>
      <w:r w:rsidRPr="00A11603">
        <w:rPr>
          <w:rFonts w:ascii="Times New Roman" w:hAnsi="Times New Roman" w:cs="Times New Roman"/>
          <w:sz w:val="24"/>
          <w:szCs w:val="24"/>
          <w:lang w:val="en-GB"/>
        </w:rPr>
        <w:t>(January), 289–293. https://doi.org/10.1016/j.psychres.2019.06.028</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Neufang, S., Specht, K., Hausmann, M., Güntürkün, O., Herpertz-Dahlmann, B., Fink, G. R., &amp; Konrad, K. (2009). Sex differences and the impact of steroid hormones on the developing human brain. </w:t>
      </w:r>
      <w:r w:rsidRPr="00A11603">
        <w:rPr>
          <w:rFonts w:ascii="Times New Roman" w:hAnsi="Times New Roman" w:cs="Times New Roman"/>
          <w:i/>
          <w:iCs/>
          <w:sz w:val="24"/>
          <w:szCs w:val="24"/>
          <w:lang w:val="en-GB"/>
        </w:rPr>
        <w:t>Cerebral Cortex, 19</w:t>
      </w:r>
      <w:r w:rsidRPr="00A11603">
        <w:rPr>
          <w:rFonts w:ascii="Times New Roman" w:hAnsi="Times New Roman" w:cs="Times New Roman"/>
          <w:sz w:val="24"/>
          <w:szCs w:val="24"/>
          <w:lang w:val="en-GB"/>
        </w:rPr>
        <w:t>(2), 464–473. https://doi.org/10.1093/cercor/bhn100</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Nygaard, E., Moe, V., Slinning, K., &amp; Walhovd, K. B. (2015). Longitudinal cognitive development of children born to mothers with opioid and polysubstance use. </w:t>
      </w:r>
      <w:r w:rsidRPr="00A11603">
        <w:rPr>
          <w:rFonts w:ascii="Times New Roman" w:hAnsi="Times New Roman" w:cs="Times New Roman"/>
          <w:i/>
          <w:iCs/>
          <w:sz w:val="24"/>
          <w:szCs w:val="24"/>
          <w:lang w:val="en-GB"/>
        </w:rPr>
        <w:t>Pediatric Research, 78</w:t>
      </w:r>
      <w:r w:rsidRPr="00A11603">
        <w:rPr>
          <w:rFonts w:ascii="Times New Roman" w:hAnsi="Times New Roman" w:cs="Times New Roman"/>
          <w:sz w:val="24"/>
          <w:szCs w:val="24"/>
          <w:lang w:val="en-GB"/>
        </w:rPr>
        <w:t>(3), 330–335. https://doi.org/10.1038/pr.2015.95</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O’Brien, J. W., Dowell, L. R., Mostofsky, S. H., Denckla, M. B., &amp; Mahone, E. M. (2010). Neuropsychological profile of executive function in girls with attention-</w:t>
      </w:r>
      <w:r w:rsidRPr="00A11603">
        <w:rPr>
          <w:rFonts w:ascii="Times New Roman" w:hAnsi="Times New Roman" w:cs="Times New Roman"/>
          <w:sz w:val="24"/>
          <w:szCs w:val="24"/>
          <w:lang w:val="en-GB"/>
        </w:rPr>
        <w:lastRenderedPageBreak/>
        <w:t xml:space="preserve">deficit/hyperactivity disorder. </w:t>
      </w:r>
      <w:r w:rsidRPr="00A11603">
        <w:rPr>
          <w:rFonts w:ascii="Times New Roman" w:hAnsi="Times New Roman" w:cs="Times New Roman"/>
          <w:i/>
          <w:iCs/>
          <w:sz w:val="24"/>
          <w:szCs w:val="24"/>
          <w:lang w:val="en-GB"/>
        </w:rPr>
        <w:t>Archives of Clinical Neuropsychology, 25</w:t>
      </w:r>
      <w:r w:rsidRPr="00A11603">
        <w:rPr>
          <w:rFonts w:ascii="Times New Roman" w:hAnsi="Times New Roman" w:cs="Times New Roman"/>
          <w:sz w:val="24"/>
          <w:szCs w:val="24"/>
          <w:lang w:val="en-GB"/>
        </w:rPr>
        <w:t>(7), 656–670. https://doi.org/10.1093/arclin/acq050</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Oakland, T., &amp; Glutting, J. J. (1990). Examiner observations of children’s WISC-R test-related behaviors: Possible socioeconomic status, race, and gender effects. </w:t>
      </w:r>
      <w:r w:rsidRPr="00A11603">
        <w:rPr>
          <w:rFonts w:ascii="Times New Roman" w:hAnsi="Times New Roman" w:cs="Times New Roman"/>
          <w:i/>
          <w:iCs/>
          <w:sz w:val="24"/>
          <w:szCs w:val="24"/>
          <w:lang w:val="en-GB"/>
        </w:rPr>
        <w:t>Psychological Assessment, 2</w:t>
      </w:r>
      <w:r w:rsidRPr="00A11603">
        <w:rPr>
          <w:rFonts w:ascii="Times New Roman" w:hAnsi="Times New Roman" w:cs="Times New Roman"/>
          <w:sz w:val="24"/>
          <w:szCs w:val="24"/>
          <w:lang w:val="en-GB"/>
        </w:rPr>
        <w:t>(1), 86–90. https://doi.org/10.1037/1040-3590.2.1.86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Perrin, J. S., Leonard, G., Perron, M., Pike, G. B., Pitiot, A., Richer, L., Veillette, S., Pausova, Z., &amp; Paus, T. (2009). Sex differences in the growth of white matter during adolescence. </w:t>
      </w:r>
      <w:r w:rsidRPr="00A11603">
        <w:rPr>
          <w:rFonts w:ascii="Times New Roman" w:hAnsi="Times New Roman" w:cs="Times New Roman"/>
          <w:i/>
          <w:iCs/>
          <w:sz w:val="24"/>
          <w:szCs w:val="24"/>
          <w:lang w:val="en-GB"/>
        </w:rPr>
        <w:t>NeuroImage, 45</w:t>
      </w:r>
      <w:r w:rsidRPr="00A11603">
        <w:rPr>
          <w:rFonts w:ascii="Times New Roman" w:hAnsi="Times New Roman" w:cs="Times New Roman"/>
          <w:sz w:val="24"/>
          <w:szCs w:val="24"/>
          <w:lang w:val="en-GB"/>
        </w:rPr>
        <w:t>(4), 1055–1066. https://doi.org/10.1016/j.neuroimage.2009.01.023</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Peters, H. D. (1976). The validity of the Wechsler Intelligence Scale for children, revised. </w:t>
      </w:r>
      <w:r w:rsidRPr="00A11603">
        <w:rPr>
          <w:rFonts w:ascii="Times New Roman" w:hAnsi="Times New Roman" w:cs="Times New Roman"/>
          <w:i/>
          <w:iCs/>
          <w:sz w:val="24"/>
          <w:szCs w:val="24"/>
          <w:lang w:val="en-GB"/>
        </w:rPr>
        <w:t>Canadian Journal of Behavioural Science, 8</w:t>
      </w:r>
      <w:r w:rsidRPr="00A11603">
        <w:rPr>
          <w:rFonts w:ascii="Times New Roman" w:hAnsi="Times New Roman" w:cs="Times New Roman"/>
          <w:sz w:val="24"/>
          <w:szCs w:val="24"/>
          <w:lang w:val="en-GB"/>
        </w:rPr>
        <w:t>(4), 414–417. https://doi.org/10.1037/h0081967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Pezzuti, L., &amp; Orsini, A. (2016). Are there sex differences in the Wechsler Intelligence Scale for Children - Forth Edition? </w:t>
      </w:r>
      <w:r w:rsidRPr="00A11603">
        <w:rPr>
          <w:rFonts w:ascii="Times New Roman" w:hAnsi="Times New Roman" w:cs="Times New Roman"/>
          <w:i/>
          <w:iCs/>
          <w:sz w:val="24"/>
          <w:szCs w:val="24"/>
          <w:lang w:val="en-GB"/>
        </w:rPr>
        <w:t>Learning and Individual Differences, 45</w:t>
      </w:r>
      <w:r w:rsidRPr="00A11603">
        <w:rPr>
          <w:rFonts w:ascii="Times New Roman" w:hAnsi="Times New Roman" w:cs="Times New Roman"/>
          <w:sz w:val="24"/>
          <w:szCs w:val="24"/>
          <w:lang w:val="en-GB"/>
        </w:rPr>
        <w:t>, 307–312. https://doi.org/10.1016/j.lindif.2015.12.024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Preiss, M., &amp; Fráňová, L. (2006). Depressive symptoms, academic achievement, and intelligence. </w:t>
      </w:r>
      <w:r w:rsidRPr="00A11603">
        <w:rPr>
          <w:rStyle w:val="Emphasis"/>
          <w:rFonts w:ascii="Times New Roman" w:hAnsi="Times New Roman" w:cs="Times New Roman"/>
          <w:sz w:val="24"/>
          <w:szCs w:val="24"/>
          <w:lang w:val="en-GB"/>
        </w:rPr>
        <w:t>Studia Psychologica, 48</w:t>
      </w:r>
      <w:r w:rsidRPr="00A11603">
        <w:rPr>
          <w:rFonts w:ascii="Times New Roman" w:hAnsi="Times New Roman" w:cs="Times New Roman"/>
          <w:sz w:val="24"/>
          <w:szCs w:val="24"/>
          <w:lang w:val="en-GB"/>
        </w:rPr>
        <w:t>(1), 57–67.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Quereshi, M. Y., &amp; Seitz, R. (1994). Gender differences on the WPPSI, the WISC-R, and the WPPSI-R. </w:t>
      </w:r>
      <w:r w:rsidRPr="00A11603">
        <w:rPr>
          <w:rFonts w:ascii="Times New Roman" w:hAnsi="Times New Roman" w:cs="Times New Roman"/>
          <w:i/>
          <w:iCs/>
          <w:sz w:val="24"/>
          <w:szCs w:val="24"/>
          <w:lang w:val="en-GB"/>
        </w:rPr>
        <w:t>Current Psychology, 13</w:t>
      </w:r>
      <w:r w:rsidRPr="00A11603">
        <w:rPr>
          <w:rFonts w:ascii="Times New Roman" w:hAnsi="Times New Roman" w:cs="Times New Roman"/>
          <w:sz w:val="24"/>
          <w:szCs w:val="24"/>
          <w:lang w:val="en-GB"/>
        </w:rPr>
        <w:t>(2), 117–123. https://doi.org/10.1007/BF02686795</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Rosch, K. S., &amp; Mostofsky, S. H. (2016). Increased delay discounting on a novel real-time task among girls, but not boys, with ADHD. </w:t>
      </w:r>
      <w:r w:rsidRPr="00A11603">
        <w:rPr>
          <w:rFonts w:ascii="Times New Roman" w:hAnsi="Times New Roman" w:cs="Times New Roman"/>
          <w:i/>
          <w:iCs/>
          <w:sz w:val="24"/>
          <w:szCs w:val="24"/>
          <w:lang w:val="en-GB"/>
        </w:rPr>
        <w:t>Journal of the International Neuropsychological Society, 22</w:t>
      </w:r>
      <w:r w:rsidRPr="00A11603">
        <w:rPr>
          <w:rFonts w:ascii="Times New Roman" w:hAnsi="Times New Roman" w:cs="Times New Roman"/>
          <w:sz w:val="24"/>
          <w:szCs w:val="24"/>
          <w:lang w:val="en-GB"/>
        </w:rPr>
        <w:t>(1), 12–23. https://doi.org/10.1017/S1355617715001071</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Regard, M., Strauss, E., &amp; Knapp, P. (1982). Children’s production on verbal and non-verbal fluency tasks. </w:t>
      </w:r>
      <w:r w:rsidRPr="00A11603">
        <w:rPr>
          <w:rFonts w:ascii="Times New Roman" w:hAnsi="Times New Roman" w:cs="Times New Roman"/>
          <w:i/>
          <w:iCs/>
          <w:sz w:val="24"/>
          <w:szCs w:val="24"/>
          <w:lang w:val="en-GB"/>
        </w:rPr>
        <w:t>Perceptual and Motor Skills, 55</w:t>
      </w:r>
      <w:r w:rsidRPr="00A11603">
        <w:rPr>
          <w:rFonts w:ascii="Times New Roman" w:hAnsi="Times New Roman" w:cs="Times New Roman"/>
          <w:sz w:val="24"/>
          <w:szCs w:val="24"/>
          <w:lang w:val="en-GB"/>
        </w:rPr>
        <w:t>(3 Pt 1), 839–844. https://doi.org/10.2466/pms.1982.55.3.839</w:t>
      </w:r>
    </w:p>
    <w:p w:rsidR="00AD08FD" w:rsidRPr="00A11603" w:rsidRDefault="00AD08FD" w:rsidP="00AD08FD">
      <w:pPr>
        <w:spacing w:line="480" w:lineRule="auto"/>
        <w:ind w:left="709" w:hanging="709"/>
        <w:rPr>
          <w:rFonts w:ascii="Times New Roman" w:hAnsi="Times New Roman" w:cs="Times New Roman"/>
          <w:sz w:val="24"/>
          <w:szCs w:val="24"/>
          <w:lang w:val="it-IT"/>
        </w:rPr>
      </w:pPr>
      <w:r w:rsidRPr="00A11603">
        <w:rPr>
          <w:rFonts w:ascii="Times New Roman" w:hAnsi="Times New Roman" w:cs="Times New Roman"/>
          <w:sz w:val="24"/>
          <w:szCs w:val="24"/>
          <w:lang w:val="en-GB"/>
        </w:rPr>
        <w:t xml:space="preserve">Reynolds, C. R. (1980). Differential construct validity of intelligence as popularly measured: Correlations of age with raw scores on the WISC-R for Blacks Whites, males, and females. </w:t>
      </w:r>
      <w:r w:rsidRPr="00A11603">
        <w:rPr>
          <w:rFonts w:ascii="Times New Roman" w:hAnsi="Times New Roman" w:cs="Times New Roman"/>
          <w:i/>
          <w:iCs/>
          <w:sz w:val="24"/>
          <w:szCs w:val="24"/>
          <w:lang w:val="it-IT"/>
        </w:rPr>
        <w:t>Intelligence, 4</w:t>
      </w:r>
      <w:r w:rsidRPr="00A11603">
        <w:rPr>
          <w:rFonts w:ascii="Times New Roman" w:hAnsi="Times New Roman" w:cs="Times New Roman"/>
          <w:sz w:val="24"/>
          <w:szCs w:val="24"/>
          <w:lang w:val="it-IT"/>
        </w:rPr>
        <w:t>(4), 371–379. https://doi.org/10.1016/0160-2896(80)90030-6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it-IT"/>
        </w:rPr>
        <w:t xml:space="preserve">Ruiz-Veguilla, M., Moreno-Granados, J., Salcedo-Marin, M. D., Barrigon, M. L., Blanco-Morales, M. J., Igunza, E., Cañabate, A., Garcia, M. D., Guijarro, T., Diaz-Atienza, F., &amp; Ferrin, M. (2017). </w:t>
      </w:r>
      <w:r w:rsidRPr="00A11603">
        <w:rPr>
          <w:rFonts w:ascii="Times New Roman" w:hAnsi="Times New Roman" w:cs="Times New Roman"/>
          <w:sz w:val="24"/>
          <w:szCs w:val="24"/>
          <w:lang w:val="en-GB"/>
        </w:rPr>
        <w:t xml:space="preserve">Sex-specific cognitive abnormalities in early-onset psychosis. </w:t>
      </w:r>
      <w:r w:rsidRPr="00A11603">
        <w:rPr>
          <w:rFonts w:ascii="Times New Roman" w:hAnsi="Times New Roman" w:cs="Times New Roman"/>
          <w:i/>
          <w:iCs/>
          <w:sz w:val="24"/>
          <w:szCs w:val="24"/>
          <w:lang w:val="en-GB"/>
        </w:rPr>
        <w:t>Revista Brasileira de Psiquiatria, 39</w:t>
      </w:r>
      <w:r w:rsidRPr="00A11603">
        <w:rPr>
          <w:rFonts w:ascii="Times New Roman" w:hAnsi="Times New Roman" w:cs="Times New Roman"/>
          <w:sz w:val="24"/>
          <w:szCs w:val="24"/>
          <w:lang w:val="en-GB"/>
        </w:rPr>
        <w:t>(1), 28–35. https://doi.org/10.1590/1516-4446-2015-1807</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Samuel, W. (1983). Sex differences in spatial ability reflected in performance on IQ subtests by black or white examinees. </w:t>
      </w:r>
      <w:r w:rsidRPr="00A11603">
        <w:rPr>
          <w:rFonts w:ascii="Times New Roman" w:hAnsi="Times New Roman" w:cs="Times New Roman"/>
          <w:i/>
          <w:iCs/>
          <w:sz w:val="24"/>
          <w:szCs w:val="24"/>
          <w:lang w:val="en-GB"/>
        </w:rPr>
        <w:t>Personality and Individual Differences, 4</w:t>
      </w:r>
      <w:r w:rsidRPr="00A11603">
        <w:rPr>
          <w:rFonts w:ascii="Times New Roman" w:hAnsi="Times New Roman" w:cs="Times New Roman"/>
          <w:sz w:val="24"/>
          <w:szCs w:val="24"/>
          <w:lang w:val="en-GB"/>
        </w:rPr>
        <w:t>(2), 219–221. https://doi.org/10.1016/0191-8869(83)90028-4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Seunarine, K. K., Clayden, J. D., Jentschke, S., Muñoz, M., Cooper, J. M., Chadwick, M. J., Banks, T., Vargha-Khadem, F., &amp; Clark, C. A. (2016). Sexual dimorphism in white matter developmental trajectories using tract-based spatial statistics. </w:t>
      </w:r>
      <w:r w:rsidRPr="00A11603">
        <w:rPr>
          <w:rFonts w:ascii="Times New Roman" w:hAnsi="Times New Roman" w:cs="Times New Roman"/>
          <w:i/>
          <w:iCs/>
          <w:sz w:val="24"/>
          <w:szCs w:val="24"/>
          <w:lang w:val="en-GB"/>
        </w:rPr>
        <w:t>Brain Connectivity, 6</w:t>
      </w:r>
      <w:r w:rsidRPr="00A11603">
        <w:rPr>
          <w:rFonts w:ascii="Times New Roman" w:hAnsi="Times New Roman" w:cs="Times New Roman"/>
          <w:sz w:val="24"/>
          <w:szCs w:val="24"/>
          <w:lang w:val="en-GB"/>
        </w:rPr>
        <w:t>(1), 37–47. https://doi.org/10.1089/brain.2015.0340</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Seymour, K. E., Mostofsky, S. H., &amp; Rosch, K. S. (2016). Cognitive load differentially impacts response control in girls and boys with ADHD. </w:t>
      </w:r>
      <w:r w:rsidRPr="00A11603">
        <w:rPr>
          <w:rFonts w:ascii="Times New Roman" w:hAnsi="Times New Roman" w:cs="Times New Roman"/>
          <w:i/>
          <w:iCs/>
          <w:sz w:val="24"/>
          <w:szCs w:val="24"/>
          <w:lang w:val="en-GB"/>
        </w:rPr>
        <w:t>Journal of Abnormal Child Psychology, 44</w:t>
      </w:r>
      <w:r w:rsidRPr="00A11603">
        <w:rPr>
          <w:rFonts w:ascii="Times New Roman" w:hAnsi="Times New Roman" w:cs="Times New Roman"/>
          <w:sz w:val="24"/>
          <w:szCs w:val="24"/>
          <w:lang w:val="en-GB"/>
        </w:rPr>
        <w:t xml:space="preserve">(1), 141–154. https://doi.org/10.1007/s10802-015-9976-z </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Spironelli, C., Penolazzi, B., &amp; Angrilli, A. (2010). Gender differences in reading in school-aged children: An early ERP study. </w:t>
      </w:r>
      <w:r w:rsidRPr="00A11603">
        <w:rPr>
          <w:rFonts w:ascii="Times New Roman" w:hAnsi="Times New Roman" w:cs="Times New Roman"/>
          <w:i/>
          <w:iCs/>
          <w:sz w:val="24"/>
          <w:szCs w:val="24"/>
          <w:lang w:val="en-GB"/>
        </w:rPr>
        <w:t>Developmental Neuropsychology, 35</w:t>
      </w:r>
      <w:r w:rsidRPr="00A11603">
        <w:rPr>
          <w:rFonts w:ascii="Times New Roman" w:hAnsi="Times New Roman" w:cs="Times New Roman"/>
          <w:sz w:val="24"/>
          <w:szCs w:val="24"/>
          <w:lang w:val="en-GB"/>
        </w:rPr>
        <w:t>(4), 357–375. https://doi.org/10.1080/87565641.2010.480913</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Stutz, F., Schaffner, E., &amp; Schiefele, U. (2016). Relations among reading motivation, reading amount, and reading comprehension in the early elementary grades. </w:t>
      </w:r>
      <w:r w:rsidRPr="00A11603">
        <w:rPr>
          <w:rFonts w:ascii="Times New Roman" w:hAnsi="Times New Roman" w:cs="Times New Roman"/>
          <w:i/>
          <w:iCs/>
          <w:sz w:val="24"/>
          <w:szCs w:val="24"/>
          <w:lang w:val="en-GB"/>
        </w:rPr>
        <w:t>Learning and Individual Differences, 45</w:t>
      </w:r>
      <w:r w:rsidRPr="00A11603">
        <w:rPr>
          <w:rFonts w:ascii="Times New Roman" w:hAnsi="Times New Roman" w:cs="Times New Roman"/>
          <w:sz w:val="24"/>
          <w:szCs w:val="24"/>
          <w:lang w:val="en-GB"/>
        </w:rPr>
        <w:t>, 101–113. https://doi.org/10.1016/j.lindif.2015.11.022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Taji, W., Mandell, B., &amp; Liu, J. (2019). China’s urban-rural childhood cognitive divide: evidence from a longitudinal cohort study after a 6-year follow up. </w:t>
      </w:r>
      <w:r w:rsidRPr="00A11603">
        <w:rPr>
          <w:rFonts w:ascii="Times New Roman" w:hAnsi="Times New Roman" w:cs="Times New Roman"/>
          <w:i/>
          <w:iCs/>
          <w:sz w:val="24"/>
          <w:szCs w:val="24"/>
          <w:lang w:val="en-GB"/>
        </w:rPr>
        <w:t>Intelligence, 73</w:t>
      </w:r>
      <w:r w:rsidRPr="00A11603">
        <w:rPr>
          <w:rFonts w:ascii="Times New Roman" w:hAnsi="Times New Roman" w:cs="Times New Roman"/>
          <w:sz w:val="24"/>
          <w:szCs w:val="24"/>
          <w:lang w:val="en-GB"/>
        </w:rPr>
        <w:t>(January), 1–7. https://doi.org/10.1016/j.intell.2019.01.002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Tang, X., Seymour, K. E., Crocetti, D., Miller, M. I., Mostofsky, S. H., &amp; Rosch, K. S. (2019). Response control correlates of anomalous basal ganglia morphology in boys, but not girls, with attention-deficit/hyperactivity disorder. </w:t>
      </w:r>
      <w:r w:rsidRPr="00A11603">
        <w:rPr>
          <w:rFonts w:ascii="Times New Roman" w:hAnsi="Times New Roman" w:cs="Times New Roman"/>
          <w:i/>
          <w:iCs/>
          <w:sz w:val="24"/>
          <w:szCs w:val="24"/>
          <w:lang w:val="en-GB"/>
        </w:rPr>
        <w:t>Behavioural Brain Research, 367</w:t>
      </w:r>
      <w:r w:rsidRPr="00A11603">
        <w:rPr>
          <w:rFonts w:ascii="Times New Roman" w:hAnsi="Times New Roman" w:cs="Times New Roman"/>
          <w:sz w:val="24"/>
          <w:szCs w:val="24"/>
          <w:lang w:val="en-GB"/>
        </w:rPr>
        <w:t>(November 2018), 117–127. https://doi.org/10.1016/j.bbr.2019.03.036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Style w:val="cls-response"/>
          <w:rFonts w:ascii="Times New Roman" w:hAnsi="Times New Roman" w:cs="Times New Roman"/>
          <w:sz w:val="24"/>
          <w:szCs w:val="24"/>
          <w:lang w:val="en-GB"/>
        </w:rPr>
        <w:t xml:space="preserve">Taylor, L. J. (1977). Sex and psychological differentiation. </w:t>
      </w:r>
      <w:r w:rsidRPr="00A11603">
        <w:rPr>
          <w:rStyle w:val="cls-response"/>
          <w:rFonts w:ascii="Times New Roman" w:hAnsi="Times New Roman" w:cs="Times New Roman"/>
          <w:i/>
          <w:iCs/>
          <w:sz w:val="24"/>
          <w:szCs w:val="24"/>
          <w:lang w:val="en-GB"/>
        </w:rPr>
        <w:t>Psychological Reports</w:t>
      </w:r>
      <w:r w:rsidRPr="00A11603">
        <w:rPr>
          <w:rStyle w:val="cls-response"/>
          <w:rFonts w:ascii="Times New Roman" w:hAnsi="Times New Roman" w:cs="Times New Roman"/>
          <w:sz w:val="24"/>
          <w:szCs w:val="24"/>
          <w:lang w:val="en-GB"/>
        </w:rPr>
        <w:t xml:space="preserve">, </w:t>
      </w:r>
      <w:r w:rsidRPr="00A11603">
        <w:rPr>
          <w:rStyle w:val="cls-response"/>
          <w:rFonts w:ascii="Times New Roman" w:hAnsi="Times New Roman" w:cs="Times New Roman"/>
          <w:i/>
          <w:iCs/>
          <w:sz w:val="24"/>
          <w:szCs w:val="24"/>
          <w:lang w:val="en-GB"/>
        </w:rPr>
        <w:t>41</w:t>
      </w:r>
      <w:r w:rsidRPr="00A11603">
        <w:rPr>
          <w:rStyle w:val="cls-response"/>
          <w:rFonts w:ascii="Times New Roman" w:hAnsi="Times New Roman" w:cs="Times New Roman"/>
          <w:sz w:val="24"/>
          <w:szCs w:val="24"/>
          <w:lang w:val="en-GB"/>
        </w:rPr>
        <w:t>(1), 192–194. https://doi.org/10.2466/pr0.1977.41.1.192.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Townes, B. D., Trupin, E. W., Martin, D. C., &amp; Goldstein, D. (1980). Neuropsychological correlates of academic success among elementary school children. </w:t>
      </w:r>
      <w:r w:rsidRPr="00A11603">
        <w:rPr>
          <w:rFonts w:ascii="Times New Roman" w:hAnsi="Times New Roman" w:cs="Times New Roman"/>
          <w:i/>
          <w:iCs/>
          <w:sz w:val="24"/>
          <w:szCs w:val="24"/>
          <w:lang w:val="en-GB"/>
        </w:rPr>
        <w:t>Journal of Consulting and Clinical Psychology, 48</w:t>
      </w:r>
      <w:r w:rsidRPr="00A11603">
        <w:rPr>
          <w:rFonts w:ascii="Times New Roman" w:hAnsi="Times New Roman" w:cs="Times New Roman"/>
          <w:sz w:val="24"/>
          <w:szCs w:val="24"/>
          <w:lang w:val="en-GB"/>
        </w:rPr>
        <w:t>(6), 675–684. https://doi.org/10.1037/0022-006X.48.6.675</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van der Plas, E. A. A., Boes, A. D., Wemmie, J. A., Tranel, D., &amp; Nopoulos, P. (2010). Amygdala volume correlates positively with fearfulness in normal healthy girls. </w:t>
      </w:r>
      <w:r w:rsidRPr="00A11603">
        <w:rPr>
          <w:rFonts w:ascii="Times New Roman" w:hAnsi="Times New Roman" w:cs="Times New Roman"/>
          <w:i/>
          <w:iCs/>
          <w:sz w:val="24"/>
          <w:szCs w:val="24"/>
          <w:lang w:val="en-GB"/>
        </w:rPr>
        <w:t xml:space="preserve">Social </w:t>
      </w:r>
      <w:r w:rsidRPr="00A11603">
        <w:rPr>
          <w:rFonts w:ascii="Times New Roman" w:hAnsi="Times New Roman" w:cs="Times New Roman"/>
          <w:i/>
          <w:iCs/>
          <w:sz w:val="24"/>
          <w:szCs w:val="24"/>
          <w:lang w:val="en-GB"/>
        </w:rPr>
        <w:lastRenderedPageBreak/>
        <w:t>Cognitive and Affective Neuroscience, 5</w:t>
      </w:r>
      <w:r w:rsidRPr="00A11603">
        <w:rPr>
          <w:rFonts w:ascii="Times New Roman" w:hAnsi="Times New Roman" w:cs="Times New Roman"/>
          <w:sz w:val="24"/>
          <w:szCs w:val="24"/>
          <w:lang w:val="en-GB"/>
        </w:rPr>
        <w:t>(4), 424–431. https://doi.org/10.1093/scan/nsq009</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van der Sluis, S., Derom, C., Thiery, E., Bartels, M., Polderman, T. J. C., Verhulst, F. C., Jacobs, N., van Gestel, S., de Geus, E. J. C., Dolan, C. V., Boomsma, D. I., &amp; Posthuma, D. (2008). Sex differences on the WISC-R in Belgium and The Netherlands. </w:t>
      </w:r>
      <w:r w:rsidRPr="00A11603">
        <w:rPr>
          <w:rFonts w:ascii="Times New Roman" w:hAnsi="Times New Roman" w:cs="Times New Roman"/>
          <w:i/>
          <w:iCs/>
          <w:sz w:val="24"/>
          <w:szCs w:val="24"/>
          <w:lang w:val="en-GB"/>
        </w:rPr>
        <w:t>Intelligence, 36</w:t>
      </w:r>
      <w:r w:rsidRPr="00A11603">
        <w:rPr>
          <w:rFonts w:ascii="Times New Roman" w:hAnsi="Times New Roman" w:cs="Times New Roman"/>
          <w:sz w:val="24"/>
          <w:szCs w:val="24"/>
          <w:lang w:val="en-GB"/>
        </w:rPr>
        <w:t>(1), 48–67. https://doi.org/10.1016/j.intell.2007.01.003</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Vance, B., Hankins, N., &amp; Brown, W. (1988). Ethnic and sex differences on the test of Nonverbal intelligence, quick test of intelligence, and Wechsler intelligence scale for children-revised. </w:t>
      </w:r>
      <w:r w:rsidRPr="00A11603">
        <w:rPr>
          <w:rFonts w:ascii="Times New Roman" w:hAnsi="Times New Roman" w:cs="Times New Roman"/>
          <w:i/>
          <w:iCs/>
          <w:sz w:val="24"/>
          <w:szCs w:val="24"/>
          <w:lang w:val="en-GB"/>
        </w:rPr>
        <w:t>Journal of Clinical Psychology, 44</w:t>
      </w:r>
      <w:r w:rsidRPr="00A11603">
        <w:rPr>
          <w:rFonts w:ascii="Times New Roman" w:hAnsi="Times New Roman" w:cs="Times New Roman"/>
          <w:sz w:val="24"/>
          <w:szCs w:val="24"/>
          <w:lang w:val="en-GB"/>
        </w:rPr>
        <w:t>(2), 261–265. https://doi.org/10.1002/1097-4679(198803)44:2&lt;261::AID-JCLP2270440228&gt;3.0.CO;2-4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it-IT"/>
        </w:rPr>
        <w:t xml:space="preserve">Waber, D. P., Mann, M. B., Merola, J., &amp; Moylan, P. M. (1985). </w:t>
      </w:r>
      <w:r w:rsidRPr="00A11603">
        <w:rPr>
          <w:rFonts w:ascii="Times New Roman" w:hAnsi="Times New Roman" w:cs="Times New Roman"/>
          <w:sz w:val="24"/>
          <w:szCs w:val="24"/>
          <w:lang w:val="en-GB"/>
        </w:rPr>
        <w:t xml:space="preserve">Physical Maturation Rate and Cognitive Performance in Early Adolescence. A Longitudinal Examination. </w:t>
      </w:r>
      <w:r w:rsidRPr="00A11603">
        <w:rPr>
          <w:rFonts w:ascii="Times New Roman" w:hAnsi="Times New Roman" w:cs="Times New Roman"/>
          <w:i/>
          <w:iCs/>
          <w:sz w:val="24"/>
          <w:szCs w:val="24"/>
          <w:lang w:val="en-GB"/>
        </w:rPr>
        <w:t>Developmental Psychology, 21</w:t>
      </w:r>
      <w:r w:rsidRPr="00A11603">
        <w:rPr>
          <w:rFonts w:ascii="Times New Roman" w:hAnsi="Times New Roman" w:cs="Times New Roman"/>
          <w:sz w:val="24"/>
          <w:szCs w:val="24"/>
          <w:lang w:val="en-GB"/>
        </w:rPr>
        <w:t>(4), 666–681. https://doi.org/10.1037/0012-1649.21.4.666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Wang, L.-J., Lee, S.-Y., Chou, M.-C., Lee, M.-J., &amp; Chou, W.-J. (2019). Dehydroepiandrosterone sulfate, free testosterone, and sex hormone-binding globulin on susceptibility to attention-deficit/hyperactivity disorder. </w:t>
      </w:r>
      <w:r w:rsidRPr="00A11603">
        <w:rPr>
          <w:rFonts w:ascii="Times New Roman" w:hAnsi="Times New Roman" w:cs="Times New Roman"/>
          <w:i/>
          <w:iCs/>
          <w:sz w:val="24"/>
          <w:szCs w:val="24"/>
          <w:lang w:val="en-GB"/>
        </w:rPr>
        <w:t>Psychoneuroendocrinology, 103</w:t>
      </w:r>
      <w:r w:rsidRPr="00A11603">
        <w:rPr>
          <w:rFonts w:ascii="Times New Roman" w:hAnsi="Times New Roman" w:cs="Times New Roman"/>
          <w:sz w:val="24"/>
          <w:szCs w:val="24"/>
          <w:lang w:val="en-GB"/>
        </w:rPr>
        <w:t>(January), 212–218. https://doi.org/10.1016/j.psyneuen.2019.01.025</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Wersh, J., &amp; Briere, J. (1981). WISC-R subtest variability in normal Canadian children and its relationship to sex, age, and IQ. </w:t>
      </w:r>
      <w:r w:rsidRPr="00A11603">
        <w:rPr>
          <w:rFonts w:ascii="Times New Roman" w:hAnsi="Times New Roman" w:cs="Times New Roman"/>
          <w:i/>
          <w:iCs/>
          <w:sz w:val="24"/>
          <w:szCs w:val="24"/>
          <w:lang w:val="en-GB"/>
        </w:rPr>
        <w:t>Canadian Journal of Behavioural Science, 13</w:t>
      </w:r>
      <w:r w:rsidRPr="00A11603">
        <w:rPr>
          <w:rFonts w:ascii="Times New Roman" w:hAnsi="Times New Roman" w:cs="Times New Roman"/>
          <w:sz w:val="24"/>
          <w:szCs w:val="24"/>
          <w:lang w:val="en-GB"/>
        </w:rPr>
        <w:t>(1), 76–86. https://doi.org/10.1037/h0081112</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lastRenderedPageBreak/>
        <w:t xml:space="preserve">Wilbourn, M. P., Gottfried, A. W., &amp; Kee, D. W. (2011). Consistency of hand-preference across the early years: long-term relationship to verbal intelligence and reading achievement in girls. </w:t>
      </w:r>
      <w:r w:rsidRPr="00A11603">
        <w:rPr>
          <w:rFonts w:ascii="Times New Roman" w:hAnsi="Times New Roman" w:cs="Times New Roman"/>
          <w:i/>
          <w:iCs/>
          <w:sz w:val="24"/>
          <w:szCs w:val="24"/>
          <w:lang w:val="en-GB"/>
        </w:rPr>
        <w:t>Developmental Psychology, 47</w:t>
      </w:r>
      <w:r w:rsidRPr="00A11603">
        <w:rPr>
          <w:rFonts w:ascii="Times New Roman" w:hAnsi="Times New Roman" w:cs="Times New Roman"/>
          <w:sz w:val="24"/>
          <w:szCs w:val="24"/>
          <w:lang w:val="en-GB"/>
        </w:rPr>
        <w:t>(4), 931–942. https://doi.org/10.1037/a0023834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Williams, K. E., White, S. L. J., &amp; MacDonald, A. (2016). Early mathematics achievement of boys and girls: Do differences in early self-regulation pathways explain later achievement? </w:t>
      </w:r>
      <w:r w:rsidRPr="00A11603">
        <w:rPr>
          <w:rFonts w:ascii="Times New Roman" w:hAnsi="Times New Roman" w:cs="Times New Roman"/>
          <w:i/>
          <w:iCs/>
          <w:sz w:val="24"/>
          <w:szCs w:val="24"/>
          <w:lang w:val="en-GB"/>
        </w:rPr>
        <w:t>Learning and Individual Differences, 51</w:t>
      </w:r>
      <w:r w:rsidRPr="00A11603">
        <w:rPr>
          <w:rFonts w:ascii="Times New Roman" w:hAnsi="Times New Roman" w:cs="Times New Roman"/>
          <w:sz w:val="24"/>
          <w:szCs w:val="24"/>
          <w:lang w:val="en-GB"/>
        </w:rPr>
        <w:t>, 199–209. https://doi.org/10.1016/j.lindif.2016.09.006</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Wodka, E. L., Loftis, C., Mostofsky, S. H., Prahme, C., Larson, J. C. G., Denckla, M. B., &amp; Mahone, E. M. (2008). Prediction of ADHD in boys and girls using the D-KEFS. </w:t>
      </w:r>
      <w:r w:rsidRPr="00A11603">
        <w:rPr>
          <w:rFonts w:ascii="Times New Roman" w:hAnsi="Times New Roman" w:cs="Times New Roman"/>
          <w:i/>
          <w:iCs/>
          <w:sz w:val="24"/>
          <w:szCs w:val="24"/>
          <w:lang w:val="en-GB"/>
        </w:rPr>
        <w:t>Archives of Clinical Neuropsychology, 23</w:t>
      </w:r>
      <w:r w:rsidRPr="00A11603">
        <w:rPr>
          <w:rFonts w:ascii="Times New Roman" w:hAnsi="Times New Roman" w:cs="Times New Roman"/>
          <w:sz w:val="24"/>
          <w:szCs w:val="24"/>
          <w:lang w:val="en-GB"/>
        </w:rPr>
        <w:t>(3), 283–293. https://doi.org/10.1016/j.acn.2007.12.004</w:t>
      </w:r>
    </w:p>
    <w:p w:rsidR="00AD08FD" w:rsidRPr="00A11603" w:rsidRDefault="00AD08FD" w:rsidP="00AD08FD">
      <w:pPr>
        <w:spacing w:line="480" w:lineRule="auto"/>
        <w:ind w:left="709" w:hanging="709"/>
        <w:rPr>
          <w:rFonts w:ascii="Times New Roman" w:hAnsi="Times New Roman" w:cs="Times New Roman"/>
          <w:sz w:val="24"/>
          <w:szCs w:val="24"/>
          <w:lang w:val="en-GB"/>
        </w:rPr>
      </w:pPr>
      <w:r w:rsidRPr="00A11603">
        <w:rPr>
          <w:rFonts w:ascii="Times New Roman" w:hAnsi="Times New Roman" w:cs="Times New Roman"/>
          <w:sz w:val="24"/>
          <w:szCs w:val="24"/>
          <w:lang w:val="en-GB"/>
        </w:rPr>
        <w:t xml:space="preserve">Zeidner, M., Shani-Zinovich, I., Matthews, G., &amp; Roberts, R. D. (2005). Assessing emotional intelligence in gifted and non-gifted high school students: Outcomes depend on the measure. </w:t>
      </w:r>
      <w:r w:rsidRPr="00A11603">
        <w:rPr>
          <w:rFonts w:ascii="Times New Roman" w:hAnsi="Times New Roman" w:cs="Times New Roman"/>
          <w:i/>
          <w:iCs/>
          <w:sz w:val="24"/>
          <w:szCs w:val="24"/>
          <w:lang w:val="en-GB"/>
        </w:rPr>
        <w:t>Intelligence, 33</w:t>
      </w:r>
      <w:r w:rsidRPr="00A11603">
        <w:rPr>
          <w:rFonts w:ascii="Times New Roman" w:hAnsi="Times New Roman" w:cs="Times New Roman"/>
          <w:sz w:val="24"/>
          <w:szCs w:val="24"/>
          <w:lang w:val="en-GB"/>
        </w:rPr>
        <w:t>(4), 369–391. https://doi.org/10.1016/j.intell.2005.03.001</w:t>
      </w:r>
    </w:p>
    <w:p w:rsidR="00262BD7" w:rsidRDefault="00262BD7">
      <w:bookmarkStart w:id="0" w:name="_GoBack"/>
      <w:bookmarkEnd w:id="0"/>
    </w:p>
    <w:sectPr w:rsidR="00262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59123002"/>
      <w:docPartObj>
        <w:docPartGallery w:val="Page Numbers (Bottom of Page)"/>
        <w:docPartUnique/>
      </w:docPartObj>
    </w:sdtPr>
    <w:sdtEndPr>
      <w:rPr>
        <w:rStyle w:val="PageNumber"/>
      </w:rPr>
    </w:sdtEndPr>
    <w:sdtContent>
      <w:p w:rsidR="00AD1AE9" w:rsidRDefault="00AD08FD" w:rsidP="001263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D1AE9" w:rsidRDefault="00AD08FD" w:rsidP="002269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E9" w:rsidRDefault="00AD08FD" w:rsidP="006304CA">
    <w:pPr>
      <w:pStyle w:val="Footer"/>
      <w:ind w:right="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E9" w:rsidRDefault="00AD08FD" w:rsidP="000978C2">
    <w:pPr>
      <w:pStyle w:val="Header"/>
    </w:pPr>
    <w:r>
      <w:t>SUPPLEMENTAL MATERIALS</w:t>
    </w:r>
    <w:r>
      <w:tab/>
    </w:r>
    <w:r>
      <w:tab/>
    </w:r>
  </w:p>
  <w:p w:rsidR="00AD1AE9" w:rsidRDefault="00AD08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c2NDC2MDAwN7Iws7RU0lEKTi0uzszPAykwrAUAfgP17SwAAAA="/>
  </w:docVars>
  <w:rsids>
    <w:rsidRoot w:val="00AD08FD"/>
    <w:rsid w:val="00005912"/>
    <w:rsid w:val="00005FD4"/>
    <w:rsid w:val="000075DA"/>
    <w:rsid w:val="00011CFF"/>
    <w:rsid w:val="00012859"/>
    <w:rsid w:val="00013757"/>
    <w:rsid w:val="0001461B"/>
    <w:rsid w:val="00023CF4"/>
    <w:rsid w:val="000335C6"/>
    <w:rsid w:val="000524EF"/>
    <w:rsid w:val="00055C61"/>
    <w:rsid w:val="00055FAE"/>
    <w:rsid w:val="00057605"/>
    <w:rsid w:val="00064777"/>
    <w:rsid w:val="00064791"/>
    <w:rsid w:val="000716D2"/>
    <w:rsid w:val="00071ACA"/>
    <w:rsid w:val="00073A94"/>
    <w:rsid w:val="00074D60"/>
    <w:rsid w:val="00075061"/>
    <w:rsid w:val="00076134"/>
    <w:rsid w:val="00081D91"/>
    <w:rsid w:val="0008223F"/>
    <w:rsid w:val="0008499E"/>
    <w:rsid w:val="000873AC"/>
    <w:rsid w:val="0009094A"/>
    <w:rsid w:val="00092D6B"/>
    <w:rsid w:val="000969B3"/>
    <w:rsid w:val="00096BE1"/>
    <w:rsid w:val="000A425B"/>
    <w:rsid w:val="000A7A78"/>
    <w:rsid w:val="000B06E8"/>
    <w:rsid w:val="000B1981"/>
    <w:rsid w:val="000B31AA"/>
    <w:rsid w:val="000B3906"/>
    <w:rsid w:val="000B4623"/>
    <w:rsid w:val="000B4D4B"/>
    <w:rsid w:val="000C0129"/>
    <w:rsid w:val="000C7DEE"/>
    <w:rsid w:val="000D09EC"/>
    <w:rsid w:val="000D185D"/>
    <w:rsid w:val="000D4CE0"/>
    <w:rsid w:val="000D72DC"/>
    <w:rsid w:val="000E0124"/>
    <w:rsid w:val="000E0CC7"/>
    <w:rsid w:val="000E0D78"/>
    <w:rsid w:val="000F360D"/>
    <w:rsid w:val="000F38EB"/>
    <w:rsid w:val="000F5401"/>
    <w:rsid w:val="00100883"/>
    <w:rsid w:val="0010183C"/>
    <w:rsid w:val="0010395F"/>
    <w:rsid w:val="001048FF"/>
    <w:rsid w:val="001117B4"/>
    <w:rsid w:val="00112035"/>
    <w:rsid w:val="001133FD"/>
    <w:rsid w:val="00114370"/>
    <w:rsid w:val="00115EEC"/>
    <w:rsid w:val="0011607C"/>
    <w:rsid w:val="00121CF1"/>
    <w:rsid w:val="00124A78"/>
    <w:rsid w:val="001262D0"/>
    <w:rsid w:val="0013177E"/>
    <w:rsid w:val="00133CD4"/>
    <w:rsid w:val="0013493E"/>
    <w:rsid w:val="00134DA1"/>
    <w:rsid w:val="001352D5"/>
    <w:rsid w:val="00135D35"/>
    <w:rsid w:val="00136EEB"/>
    <w:rsid w:val="00140DB1"/>
    <w:rsid w:val="001478BD"/>
    <w:rsid w:val="00150740"/>
    <w:rsid w:val="00151232"/>
    <w:rsid w:val="00162780"/>
    <w:rsid w:val="00167A77"/>
    <w:rsid w:val="0017171A"/>
    <w:rsid w:val="0017187C"/>
    <w:rsid w:val="001729BA"/>
    <w:rsid w:val="001738B4"/>
    <w:rsid w:val="001851E9"/>
    <w:rsid w:val="001862A9"/>
    <w:rsid w:val="00190D88"/>
    <w:rsid w:val="00192EFD"/>
    <w:rsid w:val="001A20AC"/>
    <w:rsid w:val="001A3B94"/>
    <w:rsid w:val="001A62C1"/>
    <w:rsid w:val="001B346D"/>
    <w:rsid w:val="001B4C87"/>
    <w:rsid w:val="001C2BAC"/>
    <w:rsid w:val="001C5544"/>
    <w:rsid w:val="001D06D0"/>
    <w:rsid w:val="001D3861"/>
    <w:rsid w:val="001E0F9B"/>
    <w:rsid w:val="001E3B71"/>
    <w:rsid w:val="001E3BC4"/>
    <w:rsid w:val="001E7D92"/>
    <w:rsid w:val="001F04B5"/>
    <w:rsid w:val="001F117D"/>
    <w:rsid w:val="001F184A"/>
    <w:rsid w:val="001F1B10"/>
    <w:rsid w:val="001F61C6"/>
    <w:rsid w:val="00201622"/>
    <w:rsid w:val="00203C4A"/>
    <w:rsid w:val="00203E41"/>
    <w:rsid w:val="00205108"/>
    <w:rsid w:val="0020582E"/>
    <w:rsid w:val="00207237"/>
    <w:rsid w:val="00212D31"/>
    <w:rsid w:val="00221559"/>
    <w:rsid w:val="0022348F"/>
    <w:rsid w:val="0022679C"/>
    <w:rsid w:val="002277B7"/>
    <w:rsid w:val="002279CD"/>
    <w:rsid w:val="002300DA"/>
    <w:rsid w:val="002336DB"/>
    <w:rsid w:val="00236615"/>
    <w:rsid w:val="002379B0"/>
    <w:rsid w:val="00240532"/>
    <w:rsid w:val="00240643"/>
    <w:rsid w:val="00240A5B"/>
    <w:rsid w:val="00251C1F"/>
    <w:rsid w:val="00251EA7"/>
    <w:rsid w:val="002549BF"/>
    <w:rsid w:val="00255CE7"/>
    <w:rsid w:val="00261AA0"/>
    <w:rsid w:val="002629EF"/>
    <w:rsid w:val="00262BD7"/>
    <w:rsid w:val="002632E5"/>
    <w:rsid w:val="002644F4"/>
    <w:rsid w:val="00267E62"/>
    <w:rsid w:val="00270BB0"/>
    <w:rsid w:val="00271AF0"/>
    <w:rsid w:val="00272B21"/>
    <w:rsid w:val="00276EE5"/>
    <w:rsid w:val="00281C69"/>
    <w:rsid w:val="00283606"/>
    <w:rsid w:val="00285484"/>
    <w:rsid w:val="00291AF0"/>
    <w:rsid w:val="00293FBF"/>
    <w:rsid w:val="0029479B"/>
    <w:rsid w:val="00294F49"/>
    <w:rsid w:val="002955F7"/>
    <w:rsid w:val="002955FA"/>
    <w:rsid w:val="002A618D"/>
    <w:rsid w:val="002B1A1B"/>
    <w:rsid w:val="002B1F0C"/>
    <w:rsid w:val="002B2658"/>
    <w:rsid w:val="002B3F35"/>
    <w:rsid w:val="002C2771"/>
    <w:rsid w:val="002C7702"/>
    <w:rsid w:val="002D0B89"/>
    <w:rsid w:val="002D1251"/>
    <w:rsid w:val="002D1854"/>
    <w:rsid w:val="002D3EB3"/>
    <w:rsid w:val="002D62C1"/>
    <w:rsid w:val="002E0B56"/>
    <w:rsid w:val="002E12FC"/>
    <w:rsid w:val="002E1C44"/>
    <w:rsid w:val="002F3BB5"/>
    <w:rsid w:val="002F3CAD"/>
    <w:rsid w:val="002F5671"/>
    <w:rsid w:val="00302907"/>
    <w:rsid w:val="00304015"/>
    <w:rsid w:val="00306266"/>
    <w:rsid w:val="003112F2"/>
    <w:rsid w:val="00312257"/>
    <w:rsid w:val="0031358A"/>
    <w:rsid w:val="00313E12"/>
    <w:rsid w:val="00315792"/>
    <w:rsid w:val="00316BB2"/>
    <w:rsid w:val="00317D34"/>
    <w:rsid w:val="003204D8"/>
    <w:rsid w:val="0032380F"/>
    <w:rsid w:val="003272ED"/>
    <w:rsid w:val="00327D80"/>
    <w:rsid w:val="0033127F"/>
    <w:rsid w:val="00331365"/>
    <w:rsid w:val="00334FC3"/>
    <w:rsid w:val="00340774"/>
    <w:rsid w:val="00340868"/>
    <w:rsid w:val="00340AF7"/>
    <w:rsid w:val="00342E6C"/>
    <w:rsid w:val="0034371B"/>
    <w:rsid w:val="003448E2"/>
    <w:rsid w:val="00345D52"/>
    <w:rsid w:val="0034634F"/>
    <w:rsid w:val="00346E03"/>
    <w:rsid w:val="00347E1B"/>
    <w:rsid w:val="00350F09"/>
    <w:rsid w:val="00352B5B"/>
    <w:rsid w:val="003557C3"/>
    <w:rsid w:val="00357E47"/>
    <w:rsid w:val="00361C7C"/>
    <w:rsid w:val="003632D0"/>
    <w:rsid w:val="00363E99"/>
    <w:rsid w:val="00364B64"/>
    <w:rsid w:val="00367BD0"/>
    <w:rsid w:val="003763B7"/>
    <w:rsid w:val="0037673D"/>
    <w:rsid w:val="00377659"/>
    <w:rsid w:val="00377FC9"/>
    <w:rsid w:val="003814DF"/>
    <w:rsid w:val="003820FD"/>
    <w:rsid w:val="0038658A"/>
    <w:rsid w:val="00387144"/>
    <w:rsid w:val="00394B66"/>
    <w:rsid w:val="003A087C"/>
    <w:rsid w:val="003A10F7"/>
    <w:rsid w:val="003A26CB"/>
    <w:rsid w:val="003B1FC7"/>
    <w:rsid w:val="003B708B"/>
    <w:rsid w:val="003C034D"/>
    <w:rsid w:val="003C5F70"/>
    <w:rsid w:val="003C6BE7"/>
    <w:rsid w:val="003C6FB5"/>
    <w:rsid w:val="003D7BA4"/>
    <w:rsid w:val="003D7BBF"/>
    <w:rsid w:val="003E6FC2"/>
    <w:rsid w:val="003F6103"/>
    <w:rsid w:val="003F7CF6"/>
    <w:rsid w:val="004015EB"/>
    <w:rsid w:val="00401ABC"/>
    <w:rsid w:val="00402E21"/>
    <w:rsid w:val="00405506"/>
    <w:rsid w:val="004132EA"/>
    <w:rsid w:val="00414930"/>
    <w:rsid w:val="00415DD5"/>
    <w:rsid w:val="00417933"/>
    <w:rsid w:val="00420462"/>
    <w:rsid w:val="00426A24"/>
    <w:rsid w:val="00427C52"/>
    <w:rsid w:val="00427CE6"/>
    <w:rsid w:val="00430132"/>
    <w:rsid w:val="004302CC"/>
    <w:rsid w:val="004329A9"/>
    <w:rsid w:val="00433FFC"/>
    <w:rsid w:val="00437087"/>
    <w:rsid w:val="004405BC"/>
    <w:rsid w:val="00441FA2"/>
    <w:rsid w:val="004430BE"/>
    <w:rsid w:val="00443FDF"/>
    <w:rsid w:val="00444997"/>
    <w:rsid w:val="0045013C"/>
    <w:rsid w:val="00450460"/>
    <w:rsid w:val="004507A1"/>
    <w:rsid w:val="00451784"/>
    <w:rsid w:val="0045698C"/>
    <w:rsid w:val="00457B24"/>
    <w:rsid w:val="00462FD6"/>
    <w:rsid w:val="004670F3"/>
    <w:rsid w:val="00474772"/>
    <w:rsid w:val="00474F23"/>
    <w:rsid w:val="00475030"/>
    <w:rsid w:val="0047693B"/>
    <w:rsid w:val="00477BFD"/>
    <w:rsid w:val="00477FC7"/>
    <w:rsid w:val="004851C7"/>
    <w:rsid w:val="004858DB"/>
    <w:rsid w:val="0048709D"/>
    <w:rsid w:val="00491577"/>
    <w:rsid w:val="004932DD"/>
    <w:rsid w:val="0049687F"/>
    <w:rsid w:val="004A2A5A"/>
    <w:rsid w:val="004A2C2D"/>
    <w:rsid w:val="004A344D"/>
    <w:rsid w:val="004A5ACA"/>
    <w:rsid w:val="004B1ACC"/>
    <w:rsid w:val="004B6508"/>
    <w:rsid w:val="004B6733"/>
    <w:rsid w:val="004C075B"/>
    <w:rsid w:val="004C19ED"/>
    <w:rsid w:val="004C4353"/>
    <w:rsid w:val="004C606D"/>
    <w:rsid w:val="004D0130"/>
    <w:rsid w:val="004D440F"/>
    <w:rsid w:val="004D500C"/>
    <w:rsid w:val="004D5BC4"/>
    <w:rsid w:val="004D7248"/>
    <w:rsid w:val="004E073F"/>
    <w:rsid w:val="004E0A51"/>
    <w:rsid w:val="004E22F3"/>
    <w:rsid w:val="004E2862"/>
    <w:rsid w:val="004E6E61"/>
    <w:rsid w:val="004E74C2"/>
    <w:rsid w:val="004E7B7B"/>
    <w:rsid w:val="004F3174"/>
    <w:rsid w:val="004F4764"/>
    <w:rsid w:val="00501084"/>
    <w:rsid w:val="0051049F"/>
    <w:rsid w:val="00511500"/>
    <w:rsid w:val="0051234B"/>
    <w:rsid w:val="005129F5"/>
    <w:rsid w:val="00516C6A"/>
    <w:rsid w:val="005218B7"/>
    <w:rsid w:val="00525CFD"/>
    <w:rsid w:val="005301DD"/>
    <w:rsid w:val="005319D2"/>
    <w:rsid w:val="00532893"/>
    <w:rsid w:val="00534C80"/>
    <w:rsid w:val="005352A1"/>
    <w:rsid w:val="00536E5A"/>
    <w:rsid w:val="00540321"/>
    <w:rsid w:val="005440F0"/>
    <w:rsid w:val="005458AA"/>
    <w:rsid w:val="00547C85"/>
    <w:rsid w:val="00550DB8"/>
    <w:rsid w:val="00560073"/>
    <w:rsid w:val="00561651"/>
    <w:rsid w:val="00561BA5"/>
    <w:rsid w:val="00566977"/>
    <w:rsid w:val="00566A4B"/>
    <w:rsid w:val="0056723A"/>
    <w:rsid w:val="00570588"/>
    <w:rsid w:val="0057183B"/>
    <w:rsid w:val="00573114"/>
    <w:rsid w:val="00575D37"/>
    <w:rsid w:val="00581F00"/>
    <w:rsid w:val="0058305D"/>
    <w:rsid w:val="00583106"/>
    <w:rsid w:val="0058644F"/>
    <w:rsid w:val="0058698A"/>
    <w:rsid w:val="00587CA8"/>
    <w:rsid w:val="0059119B"/>
    <w:rsid w:val="00592F62"/>
    <w:rsid w:val="005941A3"/>
    <w:rsid w:val="00594ED1"/>
    <w:rsid w:val="005967DE"/>
    <w:rsid w:val="00596EDF"/>
    <w:rsid w:val="00597AEB"/>
    <w:rsid w:val="005A1257"/>
    <w:rsid w:val="005A3C51"/>
    <w:rsid w:val="005A6436"/>
    <w:rsid w:val="005B0E9D"/>
    <w:rsid w:val="005B36F0"/>
    <w:rsid w:val="005B58D2"/>
    <w:rsid w:val="005C0DFA"/>
    <w:rsid w:val="005D1589"/>
    <w:rsid w:val="005D5269"/>
    <w:rsid w:val="005D6258"/>
    <w:rsid w:val="005D67B5"/>
    <w:rsid w:val="005D7EBA"/>
    <w:rsid w:val="005E0DBF"/>
    <w:rsid w:val="005E491D"/>
    <w:rsid w:val="005E790F"/>
    <w:rsid w:val="005F05B8"/>
    <w:rsid w:val="005F0ED3"/>
    <w:rsid w:val="005F2F9B"/>
    <w:rsid w:val="005F38F2"/>
    <w:rsid w:val="005F5817"/>
    <w:rsid w:val="0060159C"/>
    <w:rsid w:val="00601653"/>
    <w:rsid w:val="00603B9B"/>
    <w:rsid w:val="00604650"/>
    <w:rsid w:val="00607390"/>
    <w:rsid w:val="0061314F"/>
    <w:rsid w:val="00613219"/>
    <w:rsid w:val="00615282"/>
    <w:rsid w:val="006168C2"/>
    <w:rsid w:val="00616976"/>
    <w:rsid w:val="00617503"/>
    <w:rsid w:val="00617A1E"/>
    <w:rsid w:val="00617AA6"/>
    <w:rsid w:val="00620D7B"/>
    <w:rsid w:val="00625FA3"/>
    <w:rsid w:val="00631876"/>
    <w:rsid w:val="006329C5"/>
    <w:rsid w:val="0063499D"/>
    <w:rsid w:val="00640AE4"/>
    <w:rsid w:val="0064255B"/>
    <w:rsid w:val="006472D7"/>
    <w:rsid w:val="00652844"/>
    <w:rsid w:val="00654133"/>
    <w:rsid w:val="00655779"/>
    <w:rsid w:val="00664442"/>
    <w:rsid w:val="006663FA"/>
    <w:rsid w:val="00667EC1"/>
    <w:rsid w:val="0067218E"/>
    <w:rsid w:val="006728E5"/>
    <w:rsid w:val="006733F5"/>
    <w:rsid w:val="006734BC"/>
    <w:rsid w:val="00674232"/>
    <w:rsid w:val="00675322"/>
    <w:rsid w:val="00680966"/>
    <w:rsid w:val="006846C3"/>
    <w:rsid w:val="006849EC"/>
    <w:rsid w:val="00686C12"/>
    <w:rsid w:val="00691CF4"/>
    <w:rsid w:val="00693F1B"/>
    <w:rsid w:val="006978DC"/>
    <w:rsid w:val="00697DA3"/>
    <w:rsid w:val="006A26D1"/>
    <w:rsid w:val="006A6576"/>
    <w:rsid w:val="006B613B"/>
    <w:rsid w:val="006B7E32"/>
    <w:rsid w:val="006C2697"/>
    <w:rsid w:val="006D31F5"/>
    <w:rsid w:val="006D680F"/>
    <w:rsid w:val="006E27B5"/>
    <w:rsid w:val="006E6681"/>
    <w:rsid w:val="00701B7A"/>
    <w:rsid w:val="007023B7"/>
    <w:rsid w:val="00704EEB"/>
    <w:rsid w:val="007071EF"/>
    <w:rsid w:val="007074FF"/>
    <w:rsid w:val="007100B2"/>
    <w:rsid w:val="0071034B"/>
    <w:rsid w:val="00713F2E"/>
    <w:rsid w:val="007147FC"/>
    <w:rsid w:val="007171FE"/>
    <w:rsid w:val="00720C0B"/>
    <w:rsid w:val="00725B4E"/>
    <w:rsid w:val="00731B9B"/>
    <w:rsid w:val="00740B8D"/>
    <w:rsid w:val="0074171F"/>
    <w:rsid w:val="00742520"/>
    <w:rsid w:val="00745C97"/>
    <w:rsid w:val="00746373"/>
    <w:rsid w:val="00746562"/>
    <w:rsid w:val="00747245"/>
    <w:rsid w:val="00754550"/>
    <w:rsid w:val="0075478C"/>
    <w:rsid w:val="00755ACD"/>
    <w:rsid w:val="00756A73"/>
    <w:rsid w:val="0076092C"/>
    <w:rsid w:val="007638AA"/>
    <w:rsid w:val="00764BB0"/>
    <w:rsid w:val="0076795C"/>
    <w:rsid w:val="007701CE"/>
    <w:rsid w:val="00772479"/>
    <w:rsid w:val="00772E5A"/>
    <w:rsid w:val="0077446E"/>
    <w:rsid w:val="00781FAB"/>
    <w:rsid w:val="00783076"/>
    <w:rsid w:val="00791240"/>
    <w:rsid w:val="007935D8"/>
    <w:rsid w:val="00795B74"/>
    <w:rsid w:val="007A16EB"/>
    <w:rsid w:val="007A3539"/>
    <w:rsid w:val="007A7451"/>
    <w:rsid w:val="007B1818"/>
    <w:rsid w:val="007B36BD"/>
    <w:rsid w:val="007B3AFE"/>
    <w:rsid w:val="007B718B"/>
    <w:rsid w:val="007C19A4"/>
    <w:rsid w:val="007D3C5A"/>
    <w:rsid w:val="007D3E5D"/>
    <w:rsid w:val="007D5D79"/>
    <w:rsid w:val="007D7171"/>
    <w:rsid w:val="007E46D2"/>
    <w:rsid w:val="007E63D6"/>
    <w:rsid w:val="007E791D"/>
    <w:rsid w:val="007F4031"/>
    <w:rsid w:val="007F5BB2"/>
    <w:rsid w:val="007F6870"/>
    <w:rsid w:val="007F74FB"/>
    <w:rsid w:val="0080034A"/>
    <w:rsid w:val="008021BA"/>
    <w:rsid w:val="008051BA"/>
    <w:rsid w:val="00805967"/>
    <w:rsid w:val="008075E5"/>
    <w:rsid w:val="008104BC"/>
    <w:rsid w:val="008113E0"/>
    <w:rsid w:val="008124E8"/>
    <w:rsid w:val="008167AF"/>
    <w:rsid w:val="008217AE"/>
    <w:rsid w:val="00822B51"/>
    <w:rsid w:val="008233CD"/>
    <w:rsid w:val="00831F0F"/>
    <w:rsid w:val="00832593"/>
    <w:rsid w:val="00837A16"/>
    <w:rsid w:val="00837CDC"/>
    <w:rsid w:val="008416A5"/>
    <w:rsid w:val="008434CD"/>
    <w:rsid w:val="00843DA7"/>
    <w:rsid w:val="0084407A"/>
    <w:rsid w:val="00853EA2"/>
    <w:rsid w:val="00854569"/>
    <w:rsid w:val="00857055"/>
    <w:rsid w:val="00860266"/>
    <w:rsid w:val="008657F5"/>
    <w:rsid w:val="00871B90"/>
    <w:rsid w:val="0087437A"/>
    <w:rsid w:val="008763A0"/>
    <w:rsid w:val="008830FB"/>
    <w:rsid w:val="00890C72"/>
    <w:rsid w:val="00891102"/>
    <w:rsid w:val="008957A4"/>
    <w:rsid w:val="008964C8"/>
    <w:rsid w:val="008967F3"/>
    <w:rsid w:val="008A1456"/>
    <w:rsid w:val="008A6B9D"/>
    <w:rsid w:val="008B2837"/>
    <w:rsid w:val="008B2C5C"/>
    <w:rsid w:val="008B3E6A"/>
    <w:rsid w:val="008B792D"/>
    <w:rsid w:val="008C3CF9"/>
    <w:rsid w:val="008D0C4C"/>
    <w:rsid w:val="008D1BC3"/>
    <w:rsid w:val="008D218D"/>
    <w:rsid w:val="008D37BA"/>
    <w:rsid w:val="008D39AA"/>
    <w:rsid w:val="008E2516"/>
    <w:rsid w:val="008E3BCF"/>
    <w:rsid w:val="008E3D4C"/>
    <w:rsid w:val="008E5785"/>
    <w:rsid w:val="008E70B6"/>
    <w:rsid w:val="008F186B"/>
    <w:rsid w:val="008F355B"/>
    <w:rsid w:val="008F4873"/>
    <w:rsid w:val="008F4AC5"/>
    <w:rsid w:val="008F4E47"/>
    <w:rsid w:val="008F56F7"/>
    <w:rsid w:val="008F6B48"/>
    <w:rsid w:val="008F755C"/>
    <w:rsid w:val="008F7BA8"/>
    <w:rsid w:val="009006EB"/>
    <w:rsid w:val="0090090E"/>
    <w:rsid w:val="00901309"/>
    <w:rsid w:val="00901D6C"/>
    <w:rsid w:val="00902B92"/>
    <w:rsid w:val="00903494"/>
    <w:rsid w:val="00904C97"/>
    <w:rsid w:val="009057CE"/>
    <w:rsid w:val="0091088F"/>
    <w:rsid w:val="0091445B"/>
    <w:rsid w:val="009145D9"/>
    <w:rsid w:val="009151A8"/>
    <w:rsid w:val="009156D3"/>
    <w:rsid w:val="00916A98"/>
    <w:rsid w:val="009175F8"/>
    <w:rsid w:val="009206BB"/>
    <w:rsid w:val="00920A05"/>
    <w:rsid w:val="00920AF4"/>
    <w:rsid w:val="0092208B"/>
    <w:rsid w:val="00924955"/>
    <w:rsid w:val="00926FAD"/>
    <w:rsid w:val="009301FE"/>
    <w:rsid w:val="009312F0"/>
    <w:rsid w:val="00932F46"/>
    <w:rsid w:val="00935A2E"/>
    <w:rsid w:val="00936BD8"/>
    <w:rsid w:val="009412AB"/>
    <w:rsid w:val="0094206D"/>
    <w:rsid w:val="00945D57"/>
    <w:rsid w:val="0094608D"/>
    <w:rsid w:val="00953904"/>
    <w:rsid w:val="0095494C"/>
    <w:rsid w:val="00961845"/>
    <w:rsid w:val="0096318A"/>
    <w:rsid w:val="009639F3"/>
    <w:rsid w:val="0096579C"/>
    <w:rsid w:val="00965B92"/>
    <w:rsid w:val="0096769B"/>
    <w:rsid w:val="00967DC5"/>
    <w:rsid w:val="0097061C"/>
    <w:rsid w:val="009721F8"/>
    <w:rsid w:val="009727FF"/>
    <w:rsid w:val="00972EE6"/>
    <w:rsid w:val="009731F8"/>
    <w:rsid w:val="00974E51"/>
    <w:rsid w:val="00975483"/>
    <w:rsid w:val="00982627"/>
    <w:rsid w:val="009842AD"/>
    <w:rsid w:val="00986B55"/>
    <w:rsid w:val="00991BFF"/>
    <w:rsid w:val="00996A8F"/>
    <w:rsid w:val="00996F4B"/>
    <w:rsid w:val="009A3C3A"/>
    <w:rsid w:val="009A4099"/>
    <w:rsid w:val="009A524A"/>
    <w:rsid w:val="009A73FA"/>
    <w:rsid w:val="009B1BB3"/>
    <w:rsid w:val="009B4A6B"/>
    <w:rsid w:val="009B7358"/>
    <w:rsid w:val="009C4A59"/>
    <w:rsid w:val="009C7A1C"/>
    <w:rsid w:val="009C7E72"/>
    <w:rsid w:val="009D1E60"/>
    <w:rsid w:val="009D59C0"/>
    <w:rsid w:val="009D74B3"/>
    <w:rsid w:val="009D7E4A"/>
    <w:rsid w:val="009E49AA"/>
    <w:rsid w:val="009E7424"/>
    <w:rsid w:val="009F043B"/>
    <w:rsid w:val="009F0AD9"/>
    <w:rsid w:val="009F132F"/>
    <w:rsid w:val="009F7600"/>
    <w:rsid w:val="00A00744"/>
    <w:rsid w:val="00A03B04"/>
    <w:rsid w:val="00A05609"/>
    <w:rsid w:val="00A062C0"/>
    <w:rsid w:val="00A12226"/>
    <w:rsid w:val="00A143CA"/>
    <w:rsid w:val="00A25225"/>
    <w:rsid w:val="00A30DF5"/>
    <w:rsid w:val="00A33D2D"/>
    <w:rsid w:val="00A518F2"/>
    <w:rsid w:val="00A5535A"/>
    <w:rsid w:val="00A56339"/>
    <w:rsid w:val="00A56484"/>
    <w:rsid w:val="00A61EAF"/>
    <w:rsid w:val="00A62AC1"/>
    <w:rsid w:val="00A63BCD"/>
    <w:rsid w:val="00A67073"/>
    <w:rsid w:val="00A73DF9"/>
    <w:rsid w:val="00A75312"/>
    <w:rsid w:val="00A7751B"/>
    <w:rsid w:val="00A80216"/>
    <w:rsid w:val="00A83B76"/>
    <w:rsid w:val="00A850BD"/>
    <w:rsid w:val="00A86734"/>
    <w:rsid w:val="00A87C79"/>
    <w:rsid w:val="00A90404"/>
    <w:rsid w:val="00A92D40"/>
    <w:rsid w:val="00A94462"/>
    <w:rsid w:val="00A956B7"/>
    <w:rsid w:val="00A95877"/>
    <w:rsid w:val="00A965CD"/>
    <w:rsid w:val="00AB4899"/>
    <w:rsid w:val="00AB690D"/>
    <w:rsid w:val="00AB7519"/>
    <w:rsid w:val="00AC0715"/>
    <w:rsid w:val="00AC1439"/>
    <w:rsid w:val="00AC23B0"/>
    <w:rsid w:val="00AC2479"/>
    <w:rsid w:val="00AD08FD"/>
    <w:rsid w:val="00AD0E7F"/>
    <w:rsid w:val="00AD1725"/>
    <w:rsid w:val="00AE132B"/>
    <w:rsid w:val="00AE2C4D"/>
    <w:rsid w:val="00AF0311"/>
    <w:rsid w:val="00AF239E"/>
    <w:rsid w:val="00AF75B4"/>
    <w:rsid w:val="00B01470"/>
    <w:rsid w:val="00B02338"/>
    <w:rsid w:val="00B026DE"/>
    <w:rsid w:val="00B036A2"/>
    <w:rsid w:val="00B05AD2"/>
    <w:rsid w:val="00B05F5A"/>
    <w:rsid w:val="00B069AB"/>
    <w:rsid w:val="00B130C3"/>
    <w:rsid w:val="00B13E3C"/>
    <w:rsid w:val="00B13FED"/>
    <w:rsid w:val="00B21821"/>
    <w:rsid w:val="00B2262C"/>
    <w:rsid w:val="00B31A95"/>
    <w:rsid w:val="00B34BA0"/>
    <w:rsid w:val="00B350FF"/>
    <w:rsid w:val="00B4249A"/>
    <w:rsid w:val="00B525B0"/>
    <w:rsid w:val="00B546D8"/>
    <w:rsid w:val="00B572FF"/>
    <w:rsid w:val="00B57B72"/>
    <w:rsid w:val="00B613AC"/>
    <w:rsid w:val="00B62D80"/>
    <w:rsid w:val="00B6302A"/>
    <w:rsid w:val="00B63FA6"/>
    <w:rsid w:val="00B65757"/>
    <w:rsid w:val="00B7150C"/>
    <w:rsid w:val="00B7396F"/>
    <w:rsid w:val="00B73E15"/>
    <w:rsid w:val="00B74626"/>
    <w:rsid w:val="00B76ADD"/>
    <w:rsid w:val="00B76ED6"/>
    <w:rsid w:val="00B80840"/>
    <w:rsid w:val="00B82F67"/>
    <w:rsid w:val="00B87131"/>
    <w:rsid w:val="00B87BC8"/>
    <w:rsid w:val="00B9617D"/>
    <w:rsid w:val="00B97842"/>
    <w:rsid w:val="00BA2546"/>
    <w:rsid w:val="00BA4363"/>
    <w:rsid w:val="00BB2784"/>
    <w:rsid w:val="00BB5E9E"/>
    <w:rsid w:val="00BC1888"/>
    <w:rsid w:val="00BC4D80"/>
    <w:rsid w:val="00BC728F"/>
    <w:rsid w:val="00BD2B75"/>
    <w:rsid w:val="00BE146C"/>
    <w:rsid w:val="00BE4247"/>
    <w:rsid w:val="00BE4B20"/>
    <w:rsid w:val="00BE5E79"/>
    <w:rsid w:val="00BE61F3"/>
    <w:rsid w:val="00BE6FFC"/>
    <w:rsid w:val="00BE7C5A"/>
    <w:rsid w:val="00BF1EFE"/>
    <w:rsid w:val="00BF2E1F"/>
    <w:rsid w:val="00BF329A"/>
    <w:rsid w:val="00BF73AE"/>
    <w:rsid w:val="00C014B6"/>
    <w:rsid w:val="00C049D7"/>
    <w:rsid w:val="00C10E3A"/>
    <w:rsid w:val="00C11115"/>
    <w:rsid w:val="00C116F3"/>
    <w:rsid w:val="00C12566"/>
    <w:rsid w:val="00C128E9"/>
    <w:rsid w:val="00C23FF9"/>
    <w:rsid w:val="00C27AEB"/>
    <w:rsid w:val="00C301D0"/>
    <w:rsid w:val="00C303E7"/>
    <w:rsid w:val="00C3137A"/>
    <w:rsid w:val="00C348C9"/>
    <w:rsid w:val="00C372E8"/>
    <w:rsid w:val="00C40C53"/>
    <w:rsid w:val="00C40CD7"/>
    <w:rsid w:val="00C45759"/>
    <w:rsid w:val="00C46BEC"/>
    <w:rsid w:val="00C5456F"/>
    <w:rsid w:val="00C61411"/>
    <w:rsid w:val="00C64722"/>
    <w:rsid w:val="00C64FCB"/>
    <w:rsid w:val="00C754D9"/>
    <w:rsid w:val="00C75FA4"/>
    <w:rsid w:val="00C7651A"/>
    <w:rsid w:val="00C77471"/>
    <w:rsid w:val="00C7788A"/>
    <w:rsid w:val="00C7791F"/>
    <w:rsid w:val="00C80E88"/>
    <w:rsid w:val="00C81151"/>
    <w:rsid w:val="00C850DF"/>
    <w:rsid w:val="00C940B1"/>
    <w:rsid w:val="00C94885"/>
    <w:rsid w:val="00CA3122"/>
    <w:rsid w:val="00CA3DF5"/>
    <w:rsid w:val="00CA773A"/>
    <w:rsid w:val="00CA775C"/>
    <w:rsid w:val="00CB0C71"/>
    <w:rsid w:val="00CB3A65"/>
    <w:rsid w:val="00CB5233"/>
    <w:rsid w:val="00CC0CED"/>
    <w:rsid w:val="00CC42F4"/>
    <w:rsid w:val="00CC4ABF"/>
    <w:rsid w:val="00CD1DA6"/>
    <w:rsid w:val="00CD6274"/>
    <w:rsid w:val="00CE0FEF"/>
    <w:rsid w:val="00CE3022"/>
    <w:rsid w:val="00CE3FA3"/>
    <w:rsid w:val="00CE5ED4"/>
    <w:rsid w:val="00CF0EAF"/>
    <w:rsid w:val="00CF5069"/>
    <w:rsid w:val="00D01013"/>
    <w:rsid w:val="00D0174E"/>
    <w:rsid w:val="00D01AAF"/>
    <w:rsid w:val="00D0288C"/>
    <w:rsid w:val="00D029D3"/>
    <w:rsid w:val="00D047DC"/>
    <w:rsid w:val="00D056D3"/>
    <w:rsid w:val="00D100BF"/>
    <w:rsid w:val="00D1065D"/>
    <w:rsid w:val="00D13D96"/>
    <w:rsid w:val="00D1747F"/>
    <w:rsid w:val="00D27008"/>
    <w:rsid w:val="00D27B1B"/>
    <w:rsid w:val="00D3295A"/>
    <w:rsid w:val="00D3696D"/>
    <w:rsid w:val="00D40B9E"/>
    <w:rsid w:val="00D4203D"/>
    <w:rsid w:val="00D4578F"/>
    <w:rsid w:val="00D4777A"/>
    <w:rsid w:val="00D500B0"/>
    <w:rsid w:val="00D5308A"/>
    <w:rsid w:val="00D55F2A"/>
    <w:rsid w:val="00D57838"/>
    <w:rsid w:val="00D5787D"/>
    <w:rsid w:val="00D60140"/>
    <w:rsid w:val="00D63BCF"/>
    <w:rsid w:val="00D6497F"/>
    <w:rsid w:val="00D66D42"/>
    <w:rsid w:val="00D67350"/>
    <w:rsid w:val="00D709EF"/>
    <w:rsid w:val="00D7742F"/>
    <w:rsid w:val="00D77AE1"/>
    <w:rsid w:val="00D836AC"/>
    <w:rsid w:val="00D83C7E"/>
    <w:rsid w:val="00D84458"/>
    <w:rsid w:val="00D863A9"/>
    <w:rsid w:val="00D87C1F"/>
    <w:rsid w:val="00D87E94"/>
    <w:rsid w:val="00D91D43"/>
    <w:rsid w:val="00D92CDB"/>
    <w:rsid w:val="00D953C7"/>
    <w:rsid w:val="00D974E5"/>
    <w:rsid w:val="00DA011C"/>
    <w:rsid w:val="00DA298B"/>
    <w:rsid w:val="00DA3DBD"/>
    <w:rsid w:val="00DB15F9"/>
    <w:rsid w:val="00DB3726"/>
    <w:rsid w:val="00DB4D52"/>
    <w:rsid w:val="00DB766C"/>
    <w:rsid w:val="00DC2B5A"/>
    <w:rsid w:val="00DC6B6C"/>
    <w:rsid w:val="00DD12D5"/>
    <w:rsid w:val="00DD1B29"/>
    <w:rsid w:val="00DD1DF7"/>
    <w:rsid w:val="00DD28E6"/>
    <w:rsid w:val="00DD3B99"/>
    <w:rsid w:val="00DD3EC6"/>
    <w:rsid w:val="00DD691C"/>
    <w:rsid w:val="00DF4682"/>
    <w:rsid w:val="00DF7D84"/>
    <w:rsid w:val="00E04878"/>
    <w:rsid w:val="00E05388"/>
    <w:rsid w:val="00E05C41"/>
    <w:rsid w:val="00E0721E"/>
    <w:rsid w:val="00E075A1"/>
    <w:rsid w:val="00E10DB8"/>
    <w:rsid w:val="00E1356B"/>
    <w:rsid w:val="00E166B3"/>
    <w:rsid w:val="00E23393"/>
    <w:rsid w:val="00E311BF"/>
    <w:rsid w:val="00E31379"/>
    <w:rsid w:val="00E32A66"/>
    <w:rsid w:val="00E32EA4"/>
    <w:rsid w:val="00E366F5"/>
    <w:rsid w:val="00E429C2"/>
    <w:rsid w:val="00E52A38"/>
    <w:rsid w:val="00E53D83"/>
    <w:rsid w:val="00E541B1"/>
    <w:rsid w:val="00E545BE"/>
    <w:rsid w:val="00E611F8"/>
    <w:rsid w:val="00E61844"/>
    <w:rsid w:val="00E6295A"/>
    <w:rsid w:val="00E645B1"/>
    <w:rsid w:val="00E656F3"/>
    <w:rsid w:val="00E70FDD"/>
    <w:rsid w:val="00E739BC"/>
    <w:rsid w:val="00E7450E"/>
    <w:rsid w:val="00E7735C"/>
    <w:rsid w:val="00E778D4"/>
    <w:rsid w:val="00E80867"/>
    <w:rsid w:val="00E82DCF"/>
    <w:rsid w:val="00E85988"/>
    <w:rsid w:val="00E8779E"/>
    <w:rsid w:val="00E90639"/>
    <w:rsid w:val="00E90C6C"/>
    <w:rsid w:val="00E9321F"/>
    <w:rsid w:val="00EB09F6"/>
    <w:rsid w:val="00EB3A7C"/>
    <w:rsid w:val="00EB56EA"/>
    <w:rsid w:val="00EC1E2C"/>
    <w:rsid w:val="00EC349E"/>
    <w:rsid w:val="00EC566C"/>
    <w:rsid w:val="00EC6C47"/>
    <w:rsid w:val="00EE2BE9"/>
    <w:rsid w:val="00EE310E"/>
    <w:rsid w:val="00EE543B"/>
    <w:rsid w:val="00EE6B3C"/>
    <w:rsid w:val="00EE7744"/>
    <w:rsid w:val="00EF6103"/>
    <w:rsid w:val="00EF6830"/>
    <w:rsid w:val="00F02284"/>
    <w:rsid w:val="00F03182"/>
    <w:rsid w:val="00F038C8"/>
    <w:rsid w:val="00F04F55"/>
    <w:rsid w:val="00F12640"/>
    <w:rsid w:val="00F14E13"/>
    <w:rsid w:val="00F1509D"/>
    <w:rsid w:val="00F161DE"/>
    <w:rsid w:val="00F1665E"/>
    <w:rsid w:val="00F2126C"/>
    <w:rsid w:val="00F259E8"/>
    <w:rsid w:val="00F27963"/>
    <w:rsid w:val="00F35E96"/>
    <w:rsid w:val="00F41AC1"/>
    <w:rsid w:val="00F50B14"/>
    <w:rsid w:val="00F526E0"/>
    <w:rsid w:val="00F5342D"/>
    <w:rsid w:val="00F53B0E"/>
    <w:rsid w:val="00F549D6"/>
    <w:rsid w:val="00F55E08"/>
    <w:rsid w:val="00F564A9"/>
    <w:rsid w:val="00F566E6"/>
    <w:rsid w:val="00F5798F"/>
    <w:rsid w:val="00F61E7C"/>
    <w:rsid w:val="00F66F9C"/>
    <w:rsid w:val="00F72C75"/>
    <w:rsid w:val="00F732D4"/>
    <w:rsid w:val="00F76A21"/>
    <w:rsid w:val="00F801CD"/>
    <w:rsid w:val="00FA01EC"/>
    <w:rsid w:val="00FA0AA5"/>
    <w:rsid w:val="00FA1456"/>
    <w:rsid w:val="00FA4DE0"/>
    <w:rsid w:val="00FA5156"/>
    <w:rsid w:val="00FA5B7C"/>
    <w:rsid w:val="00FB1118"/>
    <w:rsid w:val="00FB1626"/>
    <w:rsid w:val="00FB3114"/>
    <w:rsid w:val="00FB32EC"/>
    <w:rsid w:val="00FB401D"/>
    <w:rsid w:val="00FB66FA"/>
    <w:rsid w:val="00FB768B"/>
    <w:rsid w:val="00FC1CA3"/>
    <w:rsid w:val="00FD0F0A"/>
    <w:rsid w:val="00FE113B"/>
    <w:rsid w:val="00FE135B"/>
    <w:rsid w:val="00FE1720"/>
    <w:rsid w:val="00FE2C9D"/>
    <w:rsid w:val="00FE6938"/>
    <w:rsid w:val="00FF020E"/>
    <w:rsid w:val="00FF220A"/>
    <w:rsid w:val="00FF7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8FD"/>
    <w:pPr>
      <w:tabs>
        <w:tab w:val="center" w:pos="4513"/>
        <w:tab w:val="right" w:pos="9026"/>
      </w:tabs>
      <w:spacing w:after="0" w:line="240" w:lineRule="auto"/>
    </w:pPr>
    <w:rPr>
      <w:rFonts w:ascii="Arial" w:eastAsia="Arial" w:hAnsi="Arial" w:cs="Arial"/>
      <w:noProof w:val="0"/>
      <w:lang w:val="en" w:eastAsia="it-IT"/>
    </w:rPr>
  </w:style>
  <w:style w:type="character" w:customStyle="1" w:styleId="HeaderChar">
    <w:name w:val="Header Char"/>
    <w:basedOn w:val="DefaultParagraphFont"/>
    <w:link w:val="Header"/>
    <w:uiPriority w:val="99"/>
    <w:qFormat/>
    <w:rsid w:val="00AD08FD"/>
    <w:rPr>
      <w:rFonts w:ascii="Arial" w:eastAsia="Arial" w:hAnsi="Arial" w:cs="Arial"/>
      <w:lang w:val="en" w:eastAsia="it-IT"/>
    </w:rPr>
  </w:style>
  <w:style w:type="paragraph" w:styleId="Footer">
    <w:name w:val="footer"/>
    <w:basedOn w:val="Normal"/>
    <w:link w:val="FooterChar"/>
    <w:uiPriority w:val="99"/>
    <w:unhideWhenUsed/>
    <w:rsid w:val="00AD08FD"/>
    <w:pPr>
      <w:tabs>
        <w:tab w:val="center" w:pos="4513"/>
        <w:tab w:val="right" w:pos="9026"/>
      </w:tabs>
      <w:spacing w:after="0" w:line="240" w:lineRule="auto"/>
    </w:pPr>
    <w:rPr>
      <w:rFonts w:ascii="Arial" w:eastAsia="Arial" w:hAnsi="Arial" w:cs="Arial"/>
      <w:noProof w:val="0"/>
      <w:lang w:val="en" w:eastAsia="it-IT"/>
    </w:rPr>
  </w:style>
  <w:style w:type="character" w:customStyle="1" w:styleId="FooterChar">
    <w:name w:val="Footer Char"/>
    <w:basedOn w:val="DefaultParagraphFont"/>
    <w:link w:val="Footer"/>
    <w:uiPriority w:val="99"/>
    <w:rsid w:val="00AD08FD"/>
    <w:rPr>
      <w:rFonts w:ascii="Arial" w:eastAsia="Arial" w:hAnsi="Arial" w:cs="Arial"/>
      <w:lang w:val="en" w:eastAsia="it-IT"/>
    </w:rPr>
  </w:style>
  <w:style w:type="table" w:styleId="TableGrid">
    <w:name w:val="Table Grid"/>
    <w:basedOn w:val="TableNormal"/>
    <w:uiPriority w:val="39"/>
    <w:rsid w:val="00AD08FD"/>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D08FD"/>
  </w:style>
  <w:style w:type="character" w:styleId="Emphasis">
    <w:name w:val="Emphasis"/>
    <w:basedOn w:val="DefaultParagraphFont"/>
    <w:uiPriority w:val="20"/>
    <w:qFormat/>
    <w:rsid w:val="00AD08FD"/>
    <w:rPr>
      <w:i/>
      <w:iCs/>
    </w:rPr>
  </w:style>
  <w:style w:type="character" w:customStyle="1" w:styleId="cls-response">
    <w:name w:val="cls-response"/>
    <w:basedOn w:val="DefaultParagraphFont"/>
    <w:rsid w:val="00AD0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8FD"/>
    <w:pPr>
      <w:tabs>
        <w:tab w:val="center" w:pos="4513"/>
        <w:tab w:val="right" w:pos="9026"/>
      </w:tabs>
      <w:spacing w:after="0" w:line="240" w:lineRule="auto"/>
    </w:pPr>
    <w:rPr>
      <w:rFonts w:ascii="Arial" w:eastAsia="Arial" w:hAnsi="Arial" w:cs="Arial"/>
      <w:noProof w:val="0"/>
      <w:lang w:val="en" w:eastAsia="it-IT"/>
    </w:rPr>
  </w:style>
  <w:style w:type="character" w:customStyle="1" w:styleId="HeaderChar">
    <w:name w:val="Header Char"/>
    <w:basedOn w:val="DefaultParagraphFont"/>
    <w:link w:val="Header"/>
    <w:uiPriority w:val="99"/>
    <w:qFormat/>
    <w:rsid w:val="00AD08FD"/>
    <w:rPr>
      <w:rFonts w:ascii="Arial" w:eastAsia="Arial" w:hAnsi="Arial" w:cs="Arial"/>
      <w:lang w:val="en" w:eastAsia="it-IT"/>
    </w:rPr>
  </w:style>
  <w:style w:type="paragraph" w:styleId="Footer">
    <w:name w:val="footer"/>
    <w:basedOn w:val="Normal"/>
    <w:link w:val="FooterChar"/>
    <w:uiPriority w:val="99"/>
    <w:unhideWhenUsed/>
    <w:rsid w:val="00AD08FD"/>
    <w:pPr>
      <w:tabs>
        <w:tab w:val="center" w:pos="4513"/>
        <w:tab w:val="right" w:pos="9026"/>
      </w:tabs>
      <w:spacing w:after="0" w:line="240" w:lineRule="auto"/>
    </w:pPr>
    <w:rPr>
      <w:rFonts w:ascii="Arial" w:eastAsia="Arial" w:hAnsi="Arial" w:cs="Arial"/>
      <w:noProof w:val="0"/>
      <w:lang w:val="en" w:eastAsia="it-IT"/>
    </w:rPr>
  </w:style>
  <w:style w:type="character" w:customStyle="1" w:styleId="FooterChar">
    <w:name w:val="Footer Char"/>
    <w:basedOn w:val="DefaultParagraphFont"/>
    <w:link w:val="Footer"/>
    <w:uiPriority w:val="99"/>
    <w:rsid w:val="00AD08FD"/>
    <w:rPr>
      <w:rFonts w:ascii="Arial" w:eastAsia="Arial" w:hAnsi="Arial" w:cs="Arial"/>
      <w:lang w:val="en" w:eastAsia="it-IT"/>
    </w:rPr>
  </w:style>
  <w:style w:type="table" w:styleId="TableGrid">
    <w:name w:val="Table Grid"/>
    <w:basedOn w:val="TableNormal"/>
    <w:uiPriority w:val="39"/>
    <w:rsid w:val="00AD08FD"/>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D08FD"/>
  </w:style>
  <w:style w:type="character" w:styleId="Emphasis">
    <w:name w:val="Emphasis"/>
    <w:basedOn w:val="DefaultParagraphFont"/>
    <w:uiPriority w:val="20"/>
    <w:qFormat/>
    <w:rsid w:val="00AD08FD"/>
    <w:rPr>
      <w:i/>
      <w:iCs/>
    </w:rPr>
  </w:style>
  <w:style w:type="character" w:customStyle="1" w:styleId="cls-response">
    <w:name w:val="cls-response"/>
    <w:basedOn w:val="DefaultParagraphFont"/>
    <w:rsid w:val="00AD0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eader" Target="header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3874</Words>
  <Characters>22083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2022-09-10T19:06:00Z</dcterms:created>
  <dcterms:modified xsi:type="dcterms:W3CDTF">2022-09-10T19:07:00Z</dcterms:modified>
</cp:coreProperties>
</file>