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35CF" w14:textId="549172F4" w:rsidR="00EC171E" w:rsidRDefault="00DF663C" w:rsidP="00DB2559">
      <w:pPr>
        <w:spacing w:line="480" w:lineRule="auto"/>
        <w:rPr>
          <w:rFonts w:ascii="Times New Roman" w:hAnsi="Times New Roman" w:cs="Times New Roman"/>
          <w:lang w:val="en-US"/>
        </w:rPr>
      </w:pPr>
      <w:r w:rsidRPr="00DF663C">
        <w:rPr>
          <w:rFonts w:ascii="Times New Roman" w:hAnsi="Times New Roman" w:cs="Times New Roman"/>
          <w:lang w:val="en-US"/>
        </w:rPr>
        <w:t>Gamification on Mathematics Engagement and Motivation in Secondary School and Higher Education: a systematic review and meta-analysis; Educational Psychology Review; Authors [removed due to blinded review]</w:t>
      </w:r>
    </w:p>
    <w:p w14:paraId="3CFD1192" w14:textId="108F6054" w:rsidR="009E2C16" w:rsidRPr="00E24D03" w:rsidRDefault="00EC171E" w:rsidP="0071734B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E24D03">
        <w:rPr>
          <w:rFonts w:ascii="Times New Roman" w:hAnsi="Times New Roman" w:cs="Times New Roman"/>
          <w:b/>
          <w:bCs/>
          <w:lang w:val="en-US"/>
        </w:rPr>
        <w:t>Online Resource 1</w:t>
      </w:r>
    </w:p>
    <w:p w14:paraId="59291B48" w14:textId="141FE3E3" w:rsidR="00136F10" w:rsidRPr="00EC171E" w:rsidRDefault="009E2C16">
      <w:pPr>
        <w:rPr>
          <w:rFonts w:ascii="Times New Roman" w:hAnsi="Times New Roman" w:cs="Times New Roman"/>
          <w:i/>
          <w:iCs/>
          <w:lang w:val="en-US"/>
        </w:rPr>
      </w:pPr>
      <w:r w:rsidRPr="00EC171E">
        <w:rPr>
          <w:rFonts w:ascii="Times New Roman" w:hAnsi="Times New Roman" w:cs="Times New Roman"/>
          <w:i/>
          <w:iCs/>
          <w:lang w:val="en-US"/>
        </w:rPr>
        <w:t>Examples of full-text exclusions due to being game-based learning or other educational games rather than gamification</w:t>
      </w:r>
    </w:p>
    <w:p w14:paraId="5E4FC124" w14:textId="77777777" w:rsidR="009E2C16" w:rsidRPr="00F806C9" w:rsidRDefault="009E2C16">
      <w:pPr>
        <w:rPr>
          <w:rFonts w:ascii="Times New Roman" w:hAnsi="Times New Roman" w:cs="Times New Roman"/>
          <w:lang w:val="en-US"/>
        </w:rPr>
      </w:pP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078"/>
        <w:gridCol w:w="1926"/>
        <w:gridCol w:w="1497"/>
        <w:gridCol w:w="1841"/>
        <w:gridCol w:w="2162"/>
      </w:tblGrid>
      <w:tr w:rsidR="00E1121B" w:rsidRPr="00766BFB" w14:paraId="2D7A4DF4" w14:textId="77777777" w:rsidTr="00175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06F34A" w14:textId="77777777" w:rsidR="00E1121B" w:rsidRPr="00766BFB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Autor (Year)</w:t>
            </w:r>
          </w:p>
        </w:tc>
        <w:tc>
          <w:tcPr>
            <w:tcW w:w="0" w:type="auto"/>
          </w:tcPr>
          <w:p w14:paraId="0CB00F90" w14:textId="77777777" w:rsidR="00E1121B" w:rsidRPr="00766BFB" w:rsidRDefault="00E1121B" w:rsidP="00136F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0" w:type="auto"/>
          </w:tcPr>
          <w:p w14:paraId="5951CB32" w14:textId="77777777" w:rsidR="00E1121B" w:rsidRPr="00766BFB" w:rsidRDefault="00E1121B" w:rsidP="00136F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Reason for Exclusion</w:t>
            </w:r>
          </w:p>
        </w:tc>
        <w:tc>
          <w:tcPr>
            <w:tcW w:w="0" w:type="auto"/>
          </w:tcPr>
          <w:p w14:paraId="31ED2CBC" w14:textId="77777777" w:rsidR="00E1121B" w:rsidRPr="00766BFB" w:rsidRDefault="00E1121B" w:rsidP="00136F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Short Description of Intervention</w:t>
            </w:r>
          </w:p>
        </w:tc>
        <w:tc>
          <w:tcPr>
            <w:tcW w:w="0" w:type="auto"/>
          </w:tcPr>
          <w:p w14:paraId="72D9ED87" w14:textId="77777777" w:rsidR="00E1121B" w:rsidRPr="00766BFB" w:rsidRDefault="00E1121B" w:rsidP="00136F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Why It Is Not Gamification</w:t>
            </w:r>
          </w:p>
        </w:tc>
      </w:tr>
      <w:tr w:rsidR="00E1121B" w:rsidRPr="00766BFB" w14:paraId="5F8AA854" w14:textId="77777777" w:rsidTr="0013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0D517F" w14:textId="18412543" w:rsidR="00E1121B" w:rsidRPr="00136F10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Barana</w:t>
            </w: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</w:t>
            </w:r>
            <w:r w:rsidR="005C3E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</w:t>
            </w: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2025)</w:t>
            </w:r>
          </w:p>
        </w:tc>
        <w:tc>
          <w:tcPr>
            <w:tcW w:w="0" w:type="auto"/>
            <w:hideMark/>
          </w:tcPr>
          <w:p w14:paraId="41FC5665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Serious Game for Higher Mathematics Education: Evaluation of the Learning Tool</w:t>
            </w:r>
          </w:p>
        </w:tc>
        <w:tc>
          <w:tcPr>
            <w:tcW w:w="0" w:type="auto"/>
            <w:hideMark/>
          </w:tcPr>
          <w:p w14:paraId="088B31B1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Serious game</w:t>
            </w:r>
          </w:p>
        </w:tc>
        <w:tc>
          <w:tcPr>
            <w:tcW w:w="0" w:type="auto"/>
            <w:hideMark/>
          </w:tcPr>
          <w:p w14:paraId="5EFE1456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students use a fully developed serious game (“The murderer at the High-Tech Institute”) to learn functions of a real variable.</w:t>
            </w:r>
          </w:p>
        </w:tc>
        <w:tc>
          <w:tcPr>
            <w:tcW w:w="0" w:type="auto"/>
            <w:hideMark/>
          </w:tcPr>
          <w:p w14:paraId="545F1A8E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standalone serious game used as the instructional 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E1121B" w:rsidRPr="00766BFB" w14:paraId="1DA8D2E0" w14:textId="77777777" w:rsidTr="00136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688A30" w14:textId="77777777" w:rsidR="00E1121B" w:rsidRPr="00766BFB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Chen &amp; Tu (2021)</w:t>
            </w:r>
          </w:p>
        </w:tc>
        <w:tc>
          <w:tcPr>
            <w:tcW w:w="0" w:type="auto"/>
          </w:tcPr>
          <w:p w14:paraId="768A2DF3" w14:textId="77777777" w:rsidR="00E1121B" w:rsidRPr="00766BFB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Effect of Digital Game-Based Learning on Learning Motivation and Performance Under Social Cognitive Theory and Entrepreneurial Thinking</w:t>
            </w:r>
          </w:p>
        </w:tc>
        <w:tc>
          <w:tcPr>
            <w:tcW w:w="0" w:type="auto"/>
          </w:tcPr>
          <w:p w14:paraId="2E11AD4D" w14:textId="77777777" w:rsidR="00E1121B" w:rsidRPr="00766BFB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Game-Based Learning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(GBL)</w:t>
            </w:r>
          </w:p>
        </w:tc>
        <w:tc>
          <w:tcPr>
            <w:tcW w:w="0" w:type="auto"/>
          </w:tcPr>
          <w:p w14:paraId="77323DB5" w14:textId="77777777" w:rsidR="00E1121B" w:rsidRPr="00766BFB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uses a complete digital game-based learning system, with competitive and non-competitive game modes, to enhance student motivation and performance. </w:t>
            </w:r>
          </w:p>
        </w:tc>
        <w:tc>
          <w:tcPr>
            <w:tcW w:w="0" w:type="auto"/>
          </w:tcPr>
          <w:p w14:paraId="5D7647AE" w14:textId="77777777" w:rsidR="00E1121B" w:rsidRPr="00766BFB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is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GBL</w:t>
            </w:r>
            <w:r w:rsidRPr="009E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learning happens through playing a full digital game. It does not represent gamification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1121B" w:rsidRPr="00766BFB" w14:paraId="323002E8" w14:textId="77777777" w:rsidTr="0013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AEAE18" w14:textId="77777777" w:rsidR="00E1121B" w:rsidRPr="00766BFB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Elizondo-Noriega et al. (2025)</w:t>
            </w:r>
          </w:p>
        </w:tc>
        <w:tc>
          <w:tcPr>
            <w:tcW w:w="0" w:type="auto"/>
          </w:tcPr>
          <w:p w14:paraId="7859BCEF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Enhancing Student Knowledge Confidence Through Digital Gamification in Engineering</w:t>
            </w:r>
          </w:p>
        </w:tc>
        <w:tc>
          <w:tcPr>
            <w:tcW w:w="0" w:type="auto"/>
          </w:tcPr>
          <w:p w14:paraId="25B22485" w14:textId="6EAB150A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GBL</w:t>
            </w:r>
          </w:p>
        </w:tc>
        <w:tc>
          <w:tcPr>
            <w:tcW w:w="0" w:type="auto"/>
          </w:tcPr>
          <w:p w14:paraId="3E2FDA5C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Activity required students to create trivia/creative games for exam preparation.</w:t>
            </w:r>
          </w:p>
        </w:tc>
        <w:tc>
          <w:tcPr>
            <w:tcW w:w="0" w:type="auto"/>
          </w:tcPr>
          <w:p w14:paraId="4CD8BF4E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Students developed full video games using Nintendo Switch’s Game Builder Garage; Statistics learning occurred through playing a full game, not through integration of isolated game elements in a non-game context; does not meet gamification definition.</w:t>
            </w:r>
          </w:p>
        </w:tc>
      </w:tr>
      <w:tr w:rsidR="00E1121B" w:rsidRPr="00766BFB" w14:paraId="0864BEA4" w14:textId="77777777" w:rsidTr="00136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C4383" w14:textId="77777777" w:rsidR="00E1121B" w:rsidRPr="00136F10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Haase &amp; Hanel (2025)</w:t>
            </w:r>
          </w:p>
        </w:tc>
        <w:tc>
          <w:tcPr>
            <w:tcW w:w="0" w:type="auto"/>
            <w:hideMark/>
          </w:tcPr>
          <w:p w14:paraId="60E6F27F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Spillover Effects in Creative Thinking: The Impact of Gaming and Mathematics on Creativity and Emotions</w:t>
            </w:r>
          </w:p>
        </w:tc>
        <w:tc>
          <w:tcPr>
            <w:tcW w:w="0" w:type="auto"/>
            <w:hideMark/>
          </w:tcPr>
          <w:p w14:paraId="16F1E05C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Commercial / entertainment gaming, no educational gamification</w:t>
            </w:r>
          </w:p>
        </w:tc>
        <w:tc>
          <w:tcPr>
            <w:tcW w:w="0" w:type="auto"/>
            <w:hideMark/>
          </w:tcPr>
          <w:p w14:paraId="5838E450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Examines how playing digital games and doing mathematics tasks affects creativity and emotions.</w:t>
            </w:r>
          </w:p>
        </w:tc>
        <w:tc>
          <w:tcPr>
            <w:tcW w:w="0" w:type="auto"/>
            <w:hideMark/>
          </w:tcPr>
          <w:p w14:paraId="199BC86D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Focuses on entertainment gaming, not on adding game elements to an educational context. </w:t>
            </w:r>
          </w:p>
        </w:tc>
      </w:tr>
      <w:tr w:rsidR="00E1121B" w:rsidRPr="00766BFB" w14:paraId="76129F0E" w14:textId="77777777" w:rsidTr="0013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F2402B" w14:textId="163F39AF" w:rsidR="00E1121B" w:rsidRPr="00136F10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Moll-López</w:t>
            </w: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</w:t>
            </w:r>
            <w:r w:rsidR="005C3E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(2025)</w:t>
            </w:r>
          </w:p>
        </w:tc>
        <w:tc>
          <w:tcPr>
            <w:tcW w:w="0" w:type="auto"/>
            <w:hideMark/>
          </w:tcPr>
          <w:p w14:paraId="37947A01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Enhancing Student Motivation and Learning in Engineering Mathematics through Challenge-Based and 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Game-Based Learning</w:t>
            </w:r>
          </w:p>
        </w:tc>
        <w:tc>
          <w:tcPr>
            <w:tcW w:w="0" w:type="auto"/>
            <w:hideMark/>
          </w:tcPr>
          <w:p w14:paraId="56193DAC" w14:textId="3B390050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Challenge-Based 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(CBL) and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GBL</w:t>
            </w:r>
          </w:p>
        </w:tc>
        <w:tc>
          <w:tcPr>
            <w:tcW w:w="0" w:type="auto"/>
            <w:hideMark/>
          </w:tcPr>
          <w:p w14:paraId="215FCA00" w14:textId="6AC1073D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Integrates CBL</w:t>
            </w:r>
            <w:r w:rsidR="002A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GBL</w:t>
            </w:r>
            <w:r w:rsidR="002A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an engineering mathematics course, structured as a space 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exploration mission.</w:t>
            </w:r>
          </w:p>
        </w:tc>
        <w:tc>
          <w:tcPr>
            <w:tcW w:w="0" w:type="auto"/>
            <w:hideMark/>
          </w:tcPr>
          <w:p w14:paraId="72D525A8" w14:textId="77777777" w:rsidR="00E1121B" w:rsidRPr="00136F10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Combines CBL and GBL as core pedagogical models; students learn inside a game-like narrative and challenge structure. This is game-based 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learning, not gamification.</w:t>
            </w:r>
          </w:p>
        </w:tc>
      </w:tr>
      <w:tr w:rsidR="00E1121B" w:rsidRPr="00766BFB" w14:paraId="29E6552D" w14:textId="77777777" w:rsidTr="00136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6CD40C" w14:textId="77777777" w:rsidR="00E1121B" w:rsidRPr="00136F10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Szilágyi &amp; </w:t>
            </w:r>
            <w:proofErr w:type="spellStart"/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Körei</w:t>
            </w:r>
            <w:proofErr w:type="spellEnd"/>
            <w:r w:rsidRPr="00136F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(2025)</w:t>
            </w:r>
          </w:p>
        </w:tc>
        <w:tc>
          <w:tcPr>
            <w:tcW w:w="0" w:type="auto"/>
            <w:hideMark/>
          </w:tcPr>
          <w:p w14:paraId="410FA2DB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the Experiences of First-Year Engineering and IT Students with the LIM Digital Mathematical Card Game</w:t>
            </w:r>
          </w:p>
        </w:tc>
        <w:tc>
          <w:tcPr>
            <w:tcW w:w="0" w:type="auto"/>
            <w:hideMark/>
          </w:tcPr>
          <w:p w14:paraId="0FE784E0" w14:textId="5934C93B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Digital card game for </w:t>
            </w:r>
            <w:r w:rsidR="00F64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GBL</w:t>
            </w:r>
          </w:p>
        </w:tc>
        <w:tc>
          <w:tcPr>
            <w:tcW w:w="0" w:type="auto"/>
            <w:hideMark/>
          </w:tcPr>
          <w:p w14:paraId="3FE14CA2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is a digital version of a didactic card game (</w:t>
            </w:r>
            <w:proofErr w:type="spellStart"/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LimStorm</w:t>
            </w:r>
            <w:proofErr w:type="spellEnd"/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used for 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practicing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limits of sequences through gameplay.</w:t>
            </w:r>
          </w:p>
        </w:tc>
        <w:tc>
          <w:tcPr>
            <w:tcW w:w="0" w:type="auto"/>
            <w:hideMark/>
          </w:tcPr>
          <w:p w14:paraId="4145B2BA" w14:textId="77777777" w:rsidR="00E1121B" w:rsidRPr="00136F10" w:rsidRDefault="00E1121B" w:rsidP="0013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full educational game (digital card game) designed for learning mathematics. 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136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 is game-based learning, not gamification.</w:t>
            </w:r>
          </w:p>
        </w:tc>
      </w:tr>
      <w:tr w:rsidR="00E1121B" w:rsidRPr="00766BFB" w14:paraId="6C3E7026" w14:textId="77777777" w:rsidTr="0013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5E5D64" w14:textId="1294A6D9" w:rsidR="00E1121B" w:rsidRPr="00766BFB" w:rsidRDefault="00E1121B" w:rsidP="00136F1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Telles et al</w:t>
            </w:r>
            <w:r w:rsidR="005C3E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  <w:r w:rsidRPr="00766BF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(2022)  </w:t>
            </w:r>
          </w:p>
        </w:tc>
        <w:tc>
          <w:tcPr>
            <w:tcW w:w="0" w:type="auto"/>
          </w:tcPr>
          <w:p w14:paraId="33318817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Students’ perceptions about the influence of educational games on achievement and motivation, a study based on the Flow Theory</w:t>
            </w:r>
          </w:p>
        </w:tc>
        <w:tc>
          <w:tcPr>
            <w:tcW w:w="0" w:type="auto"/>
          </w:tcPr>
          <w:p w14:paraId="0E3EAE21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game / Serious game (“Space Race”)</w:t>
            </w:r>
          </w:p>
        </w:tc>
        <w:tc>
          <w:tcPr>
            <w:tcW w:w="0" w:type="auto"/>
          </w:tcPr>
          <w:p w14:paraId="15AADE50" w14:textId="77777777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study evaluates how an educational game called Space Race influences students’ motivation and perceived learning.</w:t>
            </w:r>
          </w:p>
        </w:tc>
        <w:tc>
          <w:tcPr>
            <w:tcW w:w="0" w:type="auto"/>
          </w:tcPr>
          <w:p w14:paraId="571F70FD" w14:textId="17E7E7D9" w:rsidR="00E1121B" w:rsidRPr="00766BFB" w:rsidRDefault="00E1121B" w:rsidP="00136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Uses a </w:t>
            </w:r>
            <w:r w:rsidR="002A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GBL</w:t>
            </w:r>
            <w:r w:rsidRPr="00766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 where students play an educational game to learn accounting content. Does not implement gamification (no integration of game elements into a non-game learning activity).</w:t>
            </w:r>
          </w:p>
        </w:tc>
      </w:tr>
    </w:tbl>
    <w:p w14:paraId="75CE5FAF" w14:textId="77777777" w:rsidR="00136F10" w:rsidRPr="00F806C9" w:rsidRDefault="00136F10">
      <w:pPr>
        <w:rPr>
          <w:rFonts w:ascii="Times New Roman" w:hAnsi="Times New Roman" w:cs="Times New Roman"/>
          <w:lang w:val="en-US"/>
        </w:rPr>
      </w:pPr>
    </w:p>
    <w:sectPr w:rsidR="00136F10" w:rsidRPr="00F80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10"/>
    <w:rsid w:val="00136F10"/>
    <w:rsid w:val="001436BE"/>
    <w:rsid w:val="00175038"/>
    <w:rsid w:val="002A0F7A"/>
    <w:rsid w:val="002B1DEB"/>
    <w:rsid w:val="002D4908"/>
    <w:rsid w:val="002D4FC6"/>
    <w:rsid w:val="00330700"/>
    <w:rsid w:val="00407B97"/>
    <w:rsid w:val="005014F9"/>
    <w:rsid w:val="005805BC"/>
    <w:rsid w:val="005C3E36"/>
    <w:rsid w:val="005C4000"/>
    <w:rsid w:val="006260A1"/>
    <w:rsid w:val="0071734B"/>
    <w:rsid w:val="00763E7F"/>
    <w:rsid w:val="00766BFB"/>
    <w:rsid w:val="00825EF6"/>
    <w:rsid w:val="009A23E2"/>
    <w:rsid w:val="009E07E5"/>
    <w:rsid w:val="009E2C16"/>
    <w:rsid w:val="00BB75C5"/>
    <w:rsid w:val="00C03073"/>
    <w:rsid w:val="00C21990"/>
    <w:rsid w:val="00CE600A"/>
    <w:rsid w:val="00D25D34"/>
    <w:rsid w:val="00DB2559"/>
    <w:rsid w:val="00DF663C"/>
    <w:rsid w:val="00E1121B"/>
    <w:rsid w:val="00E24D03"/>
    <w:rsid w:val="00E40FBD"/>
    <w:rsid w:val="00EC171E"/>
    <w:rsid w:val="00F425F1"/>
    <w:rsid w:val="00F64777"/>
    <w:rsid w:val="00F8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2DE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36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36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36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36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36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36F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36F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36F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36F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36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36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36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36F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36F1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36F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36F1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36F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36F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36F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36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36F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36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36F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36F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6F1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36F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36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36F1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36F10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136F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2025-11-21T10:58:00Z</dcterms:created>
  <dcterms:modified xsi:type="dcterms:W3CDTF">2025-12-15T08:36:00Z</dcterms:modified>
</cp:coreProperties>
</file>