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C0BA" w14:textId="361973E6" w:rsidR="00550043" w:rsidRPr="00442A0A" w:rsidRDefault="00550043" w:rsidP="00550043">
      <w:pPr>
        <w:spacing w:line="480" w:lineRule="auto"/>
        <w:jc w:val="both"/>
        <w:rPr>
          <w:rFonts w:ascii="Times New Roman" w:hAnsi="Times New Roman" w:cs="Times New Roman"/>
          <w:b/>
          <w:bCs/>
          <w:lang w:val="en-US"/>
        </w:rPr>
      </w:pPr>
      <w:r>
        <w:rPr>
          <w:rFonts w:ascii="Times New Roman" w:hAnsi="Times New Roman" w:cs="Times New Roman"/>
          <w:b/>
          <w:bCs/>
          <w:lang w:val="en-US"/>
        </w:rPr>
        <w:t>Exploratory C</w:t>
      </w:r>
      <w:r w:rsidRPr="00442A0A">
        <w:rPr>
          <w:rFonts w:ascii="Times New Roman" w:hAnsi="Times New Roman" w:cs="Times New Roman"/>
          <w:b/>
          <w:bCs/>
          <w:lang w:val="en-US"/>
        </w:rPr>
        <w:t>orrelation analysis</w:t>
      </w:r>
    </w:p>
    <w:p w14:paraId="00D17046" w14:textId="77777777" w:rsidR="00550043" w:rsidRDefault="00550043" w:rsidP="00550043">
      <w:pPr>
        <w:spacing w:line="480" w:lineRule="auto"/>
        <w:jc w:val="both"/>
        <w:rPr>
          <w:rFonts w:ascii="Times New Roman" w:hAnsi="Times New Roman" w:cs="Times New Roman"/>
          <w:lang w:val="en-US"/>
        </w:rPr>
      </w:pPr>
      <w:r w:rsidRPr="007156C9">
        <w:rPr>
          <w:rFonts w:ascii="Times New Roman" w:hAnsi="Times New Roman" w:cs="Times New Roman"/>
          <w:lang w:val="en-US"/>
        </w:rPr>
        <w:t xml:space="preserve">A post hoc correlation analysis on the pre-test data revealed several significant associations. Spatial Working Memory (SWM) total errors showed a weak to moderate negative yet significant correlation with the percentage of correct answers on both fraction-related questions (r = -0.18, </w:t>
      </w:r>
      <w:r w:rsidRPr="007156C9">
        <w:rPr>
          <w:rFonts w:ascii="Times New Roman" w:hAnsi="Times New Roman" w:cs="Times New Roman"/>
          <w:i/>
          <w:iCs/>
          <w:lang w:val="en-US"/>
        </w:rPr>
        <w:t>p</w:t>
      </w:r>
      <w:r w:rsidRPr="007156C9">
        <w:rPr>
          <w:rFonts w:ascii="Times New Roman" w:hAnsi="Times New Roman" w:cs="Times New Roman"/>
          <w:lang w:val="en-US"/>
        </w:rPr>
        <w:t xml:space="preserve"> &lt;</w:t>
      </w:r>
      <w:r>
        <w:rPr>
          <w:rFonts w:ascii="Times New Roman" w:hAnsi="Times New Roman" w:cs="Times New Roman"/>
          <w:lang w:val="en-US"/>
        </w:rPr>
        <w:t>.</w:t>
      </w:r>
      <w:r w:rsidRPr="007156C9">
        <w:rPr>
          <w:rFonts w:ascii="Times New Roman" w:hAnsi="Times New Roman" w:cs="Times New Roman"/>
          <w:lang w:val="en-US"/>
        </w:rPr>
        <w:t xml:space="preserve">01) and non-fraction questions (r = -0.24, </w:t>
      </w:r>
      <w:r w:rsidRPr="007156C9">
        <w:rPr>
          <w:rFonts w:ascii="Times New Roman" w:hAnsi="Times New Roman" w:cs="Times New Roman"/>
          <w:i/>
          <w:iCs/>
          <w:lang w:val="en-US"/>
        </w:rPr>
        <w:t>p</w:t>
      </w:r>
      <w:r w:rsidRPr="007156C9">
        <w:rPr>
          <w:rFonts w:ascii="Times New Roman" w:hAnsi="Times New Roman" w:cs="Times New Roman"/>
          <w:lang w:val="en-US"/>
        </w:rPr>
        <w:t xml:space="preserve"> </w:t>
      </w:r>
      <w:r>
        <w:rPr>
          <w:rFonts w:ascii="Times New Roman" w:hAnsi="Times New Roman" w:cs="Times New Roman"/>
          <w:lang w:val="en-US"/>
        </w:rPr>
        <w:t xml:space="preserve">= </w:t>
      </w:r>
      <w:r w:rsidRPr="007156C9">
        <w:rPr>
          <w:rFonts w:ascii="Times New Roman" w:hAnsi="Times New Roman" w:cs="Times New Roman"/>
          <w:lang w:val="en-US"/>
        </w:rPr>
        <w:t>&lt;.001). The observed correlations indicate that a higher number of SWM errors is associated with lower performance on mathematics tasks.</w:t>
      </w:r>
      <w:r w:rsidRPr="00442A0A">
        <w:rPr>
          <w:rFonts w:ascii="Times New Roman" w:hAnsi="Times New Roman" w:cs="Times New Roman"/>
          <w:lang w:val="en-US"/>
        </w:rPr>
        <w:t xml:space="preserve"> </w:t>
      </w:r>
      <w:r w:rsidRPr="007156C9">
        <w:rPr>
          <w:rFonts w:ascii="Times New Roman" w:hAnsi="Times New Roman" w:cs="Times New Roman"/>
          <w:lang w:val="en-US"/>
        </w:rPr>
        <w:t>Furthermore, SWM total errors w</w:t>
      </w:r>
      <w:r>
        <w:rPr>
          <w:rFonts w:ascii="Times New Roman" w:hAnsi="Times New Roman" w:cs="Times New Roman"/>
          <w:lang w:val="en-US"/>
        </w:rPr>
        <w:t>as</w:t>
      </w:r>
      <w:r w:rsidRPr="007156C9">
        <w:rPr>
          <w:rFonts w:ascii="Times New Roman" w:hAnsi="Times New Roman" w:cs="Times New Roman"/>
          <w:lang w:val="en-US"/>
        </w:rPr>
        <w:t xml:space="preserve"> also weakly but significantly correlated with scores on the slalom drill task (r = </w:t>
      </w:r>
      <w:r>
        <w:rPr>
          <w:rFonts w:ascii="Times New Roman" w:hAnsi="Times New Roman" w:cs="Times New Roman"/>
          <w:lang w:val="en-US"/>
        </w:rPr>
        <w:t>0.14</w:t>
      </w:r>
      <w:r w:rsidRPr="007156C9">
        <w:rPr>
          <w:rFonts w:ascii="Times New Roman" w:hAnsi="Times New Roman" w:cs="Times New Roman"/>
          <w:lang w:val="en-US"/>
        </w:rPr>
        <w:t xml:space="preserve">, </w:t>
      </w:r>
      <w:r w:rsidRPr="007156C9">
        <w:rPr>
          <w:rFonts w:ascii="Times New Roman" w:hAnsi="Times New Roman" w:cs="Times New Roman"/>
          <w:i/>
          <w:iCs/>
          <w:lang w:val="en-US"/>
        </w:rPr>
        <w:t>p</w:t>
      </w:r>
      <w:r w:rsidRPr="007156C9">
        <w:rPr>
          <w:rFonts w:ascii="Times New Roman" w:hAnsi="Times New Roman" w:cs="Times New Roman"/>
          <w:lang w:val="en-US"/>
        </w:rPr>
        <w:t xml:space="preserve"> &lt; </w:t>
      </w:r>
      <w:r>
        <w:rPr>
          <w:rFonts w:ascii="Times New Roman" w:hAnsi="Times New Roman" w:cs="Times New Roman"/>
          <w:lang w:val="en-US"/>
        </w:rPr>
        <w:t>.05</w:t>
      </w:r>
      <w:r w:rsidRPr="007156C9">
        <w:rPr>
          <w:rFonts w:ascii="Times New Roman" w:hAnsi="Times New Roman" w:cs="Times New Roman"/>
          <w:lang w:val="en-US"/>
        </w:rPr>
        <w:t>), suggesting a link between spatial working memory and motor</w:t>
      </w:r>
      <w:r>
        <w:rPr>
          <w:rFonts w:ascii="Times New Roman" w:hAnsi="Times New Roman" w:cs="Times New Roman"/>
          <w:lang w:val="en-US"/>
        </w:rPr>
        <w:t xml:space="preserve"> skills and</w:t>
      </w:r>
      <w:r w:rsidRPr="007156C9">
        <w:rPr>
          <w:rFonts w:ascii="Times New Roman" w:hAnsi="Times New Roman" w:cs="Times New Roman"/>
          <w:lang w:val="en-US"/>
        </w:rPr>
        <w:t xml:space="preserve"> coordination.</w:t>
      </w:r>
      <w:r>
        <w:rPr>
          <w:rFonts w:ascii="Times New Roman" w:hAnsi="Times New Roman" w:cs="Times New Roman"/>
          <w:lang w:val="en-US"/>
        </w:rPr>
        <w:t xml:space="preserve"> Additionally scores in dribbling slalom correlated weakly with fractions questions (r = -0.11, p &lt; .05), further indicating a link between motor skills and academic performance. </w:t>
      </w:r>
      <w:r w:rsidRPr="005F18BB">
        <w:rPr>
          <w:rFonts w:ascii="Times New Roman" w:hAnsi="Times New Roman" w:cs="Times New Roman"/>
          <w:lang w:val="en-US"/>
        </w:rPr>
        <w:t xml:space="preserve">The correlation analysis revealed a small </w:t>
      </w:r>
      <w:r>
        <w:rPr>
          <w:rFonts w:ascii="Times New Roman" w:hAnsi="Times New Roman" w:cs="Times New Roman"/>
          <w:lang w:val="en-US"/>
        </w:rPr>
        <w:t>and</w:t>
      </w:r>
      <w:r w:rsidRPr="005F18BB">
        <w:rPr>
          <w:rFonts w:ascii="Times New Roman" w:hAnsi="Times New Roman" w:cs="Times New Roman"/>
          <w:lang w:val="en-US"/>
        </w:rPr>
        <w:t xml:space="preserve"> statistically significant positive relationship between intrinsic motivation and performance on the questions not related to fractions (r = 0.17, </w:t>
      </w:r>
      <w:r w:rsidRPr="005F18BB">
        <w:rPr>
          <w:rFonts w:ascii="Times New Roman" w:hAnsi="Times New Roman" w:cs="Times New Roman"/>
          <w:i/>
          <w:iCs/>
          <w:lang w:val="en-US"/>
        </w:rPr>
        <w:t>p</w:t>
      </w:r>
      <w:r w:rsidRPr="005F18BB">
        <w:rPr>
          <w:rFonts w:ascii="Times New Roman" w:hAnsi="Times New Roman" w:cs="Times New Roman"/>
          <w:lang w:val="en-US"/>
        </w:rPr>
        <w:t xml:space="preserve"> &lt; .01).</w:t>
      </w:r>
    </w:p>
    <w:p w14:paraId="654AA939" w14:textId="77777777" w:rsidR="00550043" w:rsidRDefault="00550043" w:rsidP="00550043">
      <w:pPr>
        <w:spacing w:line="480" w:lineRule="auto"/>
        <w:jc w:val="both"/>
        <w:rPr>
          <w:rFonts w:ascii="Times New Roman" w:hAnsi="Times New Roman" w:cs="Times New Roman"/>
          <w:lang w:val="en-US"/>
        </w:rPr>
      </w:pPr>
    </w:p>
    <w:p w14:paraId="006685C0" w14:textId="77777777" w:rsidR="00550043" w:rsidRDefault="00550043" w:rsidP="00550043">
      <w:pPr>
        <w:spacing w:line="480" w:lineRule="auto"/>
        <w:jc w:val="both"/>
        <w:rPr>
          <w:rFonts w:ascii="Times New Roman" w:hAnsi="Times New Roman" w:cs="Times New Roman"/>
          <w:b/>
          <w:bCs/>
          <w:lang w:val="en-US"/>
        </w:rPr>
      </w:pPr>
      <w:r w:rsidRPr="004E0A19">
        <w:rPr>
          <w:rFonts w:ascii="Times New Roman" w:hAnsi="Times New Roman" w:cs="Times New Roman"/>
          <w:b/>
          <w:bCs/>
          <w:lang w:val="en-US"/>
        </w:rPr>
        <w:t>Associations Between Cognitive, Motor, and Motivational Factors at Baseline</w:t>
      </w:r>
    </w:p>
    <w:p w14:paraId="7825C281" w14:textId="77777777" w:rsidR="00550043" w:rsidRDefault="00550043" w:rsidP="00550043">
      <w:pPr>
        <w:spacing w:line="480" w:lineRule="auto"/>
        <w:jc w:val="both"/>
        <w:rPr>
          <w:rFonts w:ascii="Times New Roman" w:hAnsi="Times New Roman" w:cs="Times New Roman"/>
          <w:lang w:val="en-US"/>
        </w:rPr>
      </w:pPr>
      <w:r w:rsidRPr="0060762A">
        <w:rPr>
          <w:rFonts w:ascii="Times New Roman" w:hAnsi="Times New Roman" w:cs="Times New Roman"/>
          <w:lang w:val="en-US"/>
        </w:rPr>
        <w:t xml:space="preserve">The post hoc correlation analysis of pre-test data revealed several significant associations between cognitive, motor, and motivational variables. Notably, Spatial Working Memory (SWM) total errors were negatively correlated with performance on both fraction-related and non-fraction mathematics tasks. This finding aligns with previous research highlighting the role of working memory in mathematical reasoning and problem-solving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{"citationID":"KU3W3jcz","properties":{"formattedCitation":"(Alloway &amp; Passolunghi, 2011)","plainCitation":"(Alloway &amp; Passolunghi, 2011)","noteIndex":0},"citationItems":[{"id":492,"uris":["http://zotero.org/users/14523816/items/GEIVPWDP"],"itemData":{"id":492,"type":"article-journal","abstract":"The aim of the present study was to investigate the contribution of working memory and verbal ability (measured by vocabulary) to mathematical skills in children. A sample of 206 seven- and eight-year-olds was administered tests of these cognitive skills. A different pattern emerged that was dependent on both the memory task and the math skill. In the seven-year olds, visuo-spatial and verbal memory uniquely predicted performance on the math tests; however, in the eight-year olds, only visuo-spatial short-term memory predicted math scores. Even when differences in vocabulary were statistically accounted, memory skills uniquely predicted mathematical skills and arithmetical abilities. This pattern of findings provides a useful starting point that can add to existing research on the contributions of working memory and vocabulary to different mathematical skills.","collection-title":"Educational Needs of Children in Juvenile Detention: An International Perspective","container-title":"Learning and Individual Differences","DOI":"10.1016/j.lindif.2010.09.013","ISSN":"1041-6080","issue":"1","journalAbbreviation":"Learning and Individual Differences","page":"133-137","source":"ScienceDirect","title":"The relationship between working memory, IQ, and mathematical skills in children","volume":"21","author":[{"family":"Alloway","given":"Tracy Packiam"},{"family":"Passolunghi","given":"Maria Chiara"}],"issued":{"date-parts":[["2011",2,1]]}}}],"schema":"https://github.com/citation-style-language/schema/raw/master/csl-citation.json"}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noProof/>
          <w:lang w:val="en-US"/>
        </w:rPr>
        <w:t>(Alloway &amp; Passolunghi, 2011)</w:t>
      </w:r>
      <w:r>
        <w:rPr>
          <w:rFonts w:ascii="Times New Roman" w:hAnsi="Times New Roman" w:cs="Times New Roman"/>
          <w:lang w:val="en-US"/>
        </w:rPr>
        <w:fldChar w:fldCharType="end"/>
      </w:r>
      <w:r w:rsidRPr="0060762A">
        <w:rPr>
          <w:rFonts w:ascii="Times New Roman" w:hAnsi="Times New Roman" w:cs="Times New Roman"/>
          <w:lang w:val="en-US"/>
        </w:rPr>
        <w:t>.</w:t>
      </w:r>
      <w:r>
        <w:rPr>
          <w:rFonts w:ascii="Times New Roman" w:hAnsi="Times New Roman" w:cs="Times New Roman"/>
          <w:lang w:val="en-US"/>
        </w:rPr>
        <w:t xml:space="preserve"> </w:t>
      </w:r>
      <w:r w:rsidRPr="0060762A">
        <w:rPr>
          <w:rFonts w:ascii="Times New Roman" w:hAnsi="Times New Roman" w:cs="Times New Roman"/>
          <w:lang w:val="en-US"/>
        </w:rPr>
        <w:t>SWM errors also showed a weak but significant positive correlation with performance</w:t>
      </w:r>
      <w:r w:rsidRPr="00801199">
        <w:rPr>
          <w:rFonts w:ascii="Times New Roman" w:hAnsi="Times New Roman" w:cs="Times New Roman"/>
          <w:lang w:val="en-US"/>
        </w:rPr>
        <w:t xml:space="preserve"> in</w:t>
      </w:r>
      <w:r w:rsidRPr="0060762A">
        <w:rPr>
          <w:rFonts w:ascii="Times New Roman" w:hAnsi="Times New Roman" w:cs="Times New Roman"/>
          <w:lang w:val="en-US"/>
        </w:rPr>
        <w:t xml:space="preserve"> slalom dr</w:t>
      </w:r>
      <w:r w:rsidRPr="00801199">
        <w:rPr>
          <w:rFonts w:ascii="Times New Roman" w:hAnsi="Times New Roman" w:cs="Times New Roman"/>
          <w:lang w:val="en-US"/>
        </w:rPr>
        <w:t>ibbling</w:t>
      </w:r>
      <w:r w:rsidRPr="0060762A">
        <w:rPr>
          <w:rFonts w:ascii="Times New Roman" w:hAnsi="Times New Roman" w:cs="Times New Roman"/>
          <w:lang w:val="en-US"/>
        </w:rPr>
        <w:t xml:space="preserve">, suggesting a link between spatial working memory and motor coordination. This supports theories proposing that cognitive functions, particularly those related to spatial processing, contribute to motor planning and execution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{"citationID":"1Tcxyb7z","properties":{"formattedCitation":"(Anguera et al., 2010)","plainCitation":"(Anguera et al., 2010)","noteIndex":0},"citationItems":[{"id":494,"uris":["http://zotero.org/users/14523816/items/TJTLMFK7"],"itemData":{"id":494,"type":"article-journal","abstract":"Previous studies of motor learning have described the importance of cognitive processes during the early stages of learning; however, the precise nature of these processes and their neural correlates remains unclear. The present study investigated whether spatial working memory (SWM) contributes to visuomotor adaptation depending on the stage of learning. We tested the hypothesis that SWM would contribute early in the adaptation process by measuring (i) the correlation between SWM tasks and the rate of adaptation, and (ii) the overlap between the neural substrates of a SWM mental rotation task and visuomotor adaptation. Participants completed a battery of neuropsychological tests, a visuomotor adaptation task, and an SWM task involving mental rotation, with the latter two tasks performed in a 3.0-T MRI scanner. Performance on a neuropsychological test of SWM (two-dimensional mental rotation) correlated with the rate of early, but not late, visuomotor adaptation. During the early, but not late, adaptation period, participants showed overlapping brain activation with the SWM mental rotation task, in right dorsolateral prefrontal cortex and the bilateral inferior parietal lobules. These findings suggest that the early, but not late, phase of visuomotor adaptation engages SWM processes.","container-title":"Journal of Cognitive Neuroscience","DOI":"10.1162/jocn.2009.21351","ISSN":"0898-929X","issue":"9","journalAbbreviation":"Journal of Cognitive Neuroscience","page":"1917-1930","source":"Silverchair","title":"Contributions of Spatial Working Memory to Visuomotor Learning","volume":"22","author":[{"family":"Anguera","given":"Joaquin A."},{"family":"Reuter-Lorenz","given":"Patricia A."},{"family":"Willingham","given":"Daniel T."},{"family":"Seidler","given":"Rachael D."}],"issued":{"date-parts":[["2010",9,1]]}}}],"schema":"https://github.com/citation-style-language/schema/raw/master/csl-citation.json"}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noProof/>
          <w:lang w:val="en-US"/>
        </w:rPr>
        <w:t>(Anguera et al., 2010)</w:t>
      </w:r>
      <w:r>
        <w:rPr>
          <w:rFonts w:ascii="Times New Roman" w:hAnsi="Times New Roman" w:cs="Times New Roman"/>
          <w:lang w:val="en-US"/>
        </w:rPr>
        <w:fldChar w:fldCharType="end"/>
      </w:r>
      <w:r w:rsidRPr="0060762A">
        <w:rPr>
          <w:rFonts w:ascii="Times New Roman" w:hAnsi="Times New Roman" w:cs="Times New Roman"/>
          <w:lang w:val="en-US"/>
        </w:rPr>
        <w:t>.</w:t>
      </w:r>
    </w:p>
    <w:p w14:paraId="5BA3D210" w14:textId="77777777" w:rsidR="00550043" w:rsidRPr="00AE6B4F" w:rsidRDefault="00550043" w:rsidP="00550043">
      <w:pPr>
        <w:spacing w:before="240" w:after="240" w:line="480" w:lineRule="auto"/>
        <w:jc w:val="both"/>
        <w:rPr>
          <w:rFonts w:ascii="Times New Roman" w:hAnsi="Times New Roman" w:cs="Times New Roman"/>
          <w:lang w:val="en-US"/>
        </w:rPr>
      </w:pPr>
      <w:r w:rsidRPr="0060762A">
        <w:rPr>
          <w:rFonts w:ascii="Times New Roman" w:hAnsi="Times New Roman" w:cs="Times New Roman"/>
          <w:lang w:val="en-US"/>
        </w:rPr>
        <w:lastRenderedPageBreak/>
        <w:t xml:space="preserve">Additionally, a weak negative correlation was found between slalom performance and fraction-related mathematics scores, </w:t>
      </w:r>
      <w:r>
        <w:rPr>
          <w:rFonts w:ascii="Times New Roman" w:hAnsi="Times New Roman" w:cs="Times New Roman"/>
          <w:lang w:val="en-US"/>
        </w:rPr>
        <w:t>suggesting</w:t>
      </w:r>
      <w:r w:rsidRPr="0060762A">
        <w:rPr>
          <w:rFonts w:ascii="Times New Roman" w:hAnsi="Times New Roman" w:cs="Times New Roman"/>
          <w:lang w:val="en-US"/>
        </w:rPr>
        <w:t xml:space="preserve"> a modest association between motor skills and academic performance. </w:t>
      </w:r>
      <w:r w:rsidRPr="00ED792E">
        <w:rPr>
          <w:rFonts w:ascii="Times New Roman" w:hAnsi="Times New Roman" w:cs="Times New Roman"/>
          <w:lang w:val="en-US"/>
        </w:rPr>
        <w:t>This aligns with theories of embodied cognition, which propose tha</w:t>
      </w:r>
      <w:r>
        <w:rPr>
          <w:rFonts w:ascii="Times New Roman" w:hAnsi="Times New Roman" w:cs="Times New Roman"/>
          <w:lang w:val="en-US"/>
        </w:rPr>
        <w:t>t</w:t>
      </w:r>
      <w:r w:rsidRPr="00ED792E">
        <w:rPr>
          <w:rFonts w:ascii="Times New Roman" w:hAnsi="Times New Roman" w:cs="Times New Roman"/>
          <w:lang w:val="en-US"/>
        </w:rPr>
        <w:t xml:space="preserve"> engaging the body through movement can support the development of cognitive processes. Supporting this,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{"citationID":"8nwVpQPP","properties":{"formattedCitation":"(Fernandes et al., 2016)","plainCitation":"(Fernandes et al., 2016)","dontUpdate":true,"noteIndex":0},"citationItems":[{"id":536,"uris":["http://zotero.org/users/14523816/items/47A9UQ3A"],"itemData":{"id":536,"type":"article-journal","abstract":"The relationship between exercise and cognition is an important topic of research that only recently began to unravel. Here, we set out to investigate the relation between motor skills, cognitive function, and school performance in 45 students from 8 to 14 years of age. We used a cross-sectional design to evaluate motor coordination (Touch Test Disc), agility (Shuttle Run Speed—running back and forth), school performance (Academic Achievement Test), the Stroop test, and six sub-tests of the Wechsler Intelligence Scale for Children-IV (WISC-IV). We found, that the Touch Test Disc was the best predictor of school performance (R2 = 0.20). Significant correlations were also observed between motor coordination and several indices of cognitive function, such as the total score of the Academic Achievement Test (AAT; Spearman's rho = 0.536; p ≤ 0.001), as well as two WISC-IV sub-tests: block design (R = −0.438; p = 0.003) and cancelation (rho = −0.471; p = 0.001). All the other cognitive variables pointed in the same direction, and even correlated with agility, but did not reach statistical significance. Altogether, the data indicate that visual motor coordination and visual selective attention, but not agility, may influence academic achievement and cognitive function. The results highlight the importance of investigating the correlation between physical skills and different aspects of cognition.","container-title":"Frontiers in Psychology","DOI":"10.3389/fpsyg.2016.00318","ISSN":"1664-1078","journalAbbreviation":"Front Psychol","note":"PMID: 27014130\nPMCID: PMC4792186","page":"318","source":"PubMed Central","title":"Motor Coordination Correlates with Academic Achievement and Cognitive Function in Children","volume":"7","author":[{"family":"Fernandes","given":"Valter R."},{"family":"Ribeiro","given":"Michelle L. Scipião"},{"family":"Melo","given":"Thais"},{"family":"Tarso Maciel-Pinheiro","given":"Paulo","non-dropping-particle":"de"},{"family":"Guimarães","given":"Thiago T."},{"family":"Araújo","given":"Narahyana B."},{"family":"Ribeiro","given":"Sidarta"},{"family":"Deslandes","given":"Andréa C."}],"issued":{"date-parts":[["2016",3,15]]}}}],"schema":"https://github.com/citation-style-language/schema/raw/master/csl-citation.json"}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noProof/>
          <w:lang w:val="en-US"/>
        </w:rPr>
        <w:t>Fernandes et al. (2016)</w:t>
      </w:r>
      <w:r>
        <w:rPr>
          <w:rFonts w:ascii="Times New Roman" w:hAnsi="Times New Roman" w:cs="Times New Roman"/>
          <w:lang w:val="en-US"/>
        </w:rPr>
        <w:fldChar w:fldCharType="end"/>
      </w:r>
      <w:r w:rsidRPr="00ED792E">
        <w:rPr>
          <w:rFonts w:ascii="Times New Roman" w:hAnsi="Times New Roman" w:cs="Times New Roman"/>
          <w:lang w:val="en-US"/>
        </w:rPr>
        <w:t xml:space="preserve"> </w:t>
      </w:r>
      <w:r>
        <w:rPr>
          <w:rFonts w:ascii="Times New Roman" w:hAnsi="Times New Roman" w:cs="Times New Roman"/>
          <w:lang w:val="en-US"/>
        </w:rPr>
        <w:t xml:space="preserve">and </w:t>
      </w:r>
      <w:r w:rsidRPr="00150D64">
        <w:rPr>
          <w:rFonts w:ascii="Times New Roman" w:hAnsi="Times New Roman" w:cs="Times New Roman"/>
          <w:lang w:val="en-US"/>
        </w:rPr>
        <w:t>(Blinded Reference)</w:t>
      </w:r>
      <w:r>
        <w:rPr>
          <w:rFonts w:ascii="Times New Roman" w:hAnsi="Times New Roman" w:cs="Times New Roman"/>
          <w:lang w:val="en-US"/>
        </w:rPr>
        <w:t xml:space="preserve"> </w:t>
      </w:r>
      <w:r w:rsidRPr="00ED792E">
        <w:rPr>
          <w:rFonts w:ascii="Times New Roman" w:hAnsi="Times New Roman" w:cs="Times New Roman"/>
          <w:lang w:val="en-US"/>
        </w:rPr>
        <w:t xml:space="preserve">found that motor coordination was a significant predictor of both academic and cognitive performance in children, highlighting shared underlying mechanisms </w:t>
      </w:r>
      <w:r>
        <w:rPr>
          <w:rFonts w:ascii="Times New Roman" w:hAnsi="Times New Roman" w:cs="Times New Roman"/>
          <w:lang w:val="en-US"/>
        </w:rPr>
        <w:t xml:space="preserve">between </w:t>
      </w:r>
      <w:r w:rsidRPr="00ED792E">
        <w:rPr>
          <w:rFonts w:ascii="Times New Roman" w:hAnsi="Times New Roman" w:cs="Times New Roman"/>
          <w:lang w:val="en-US"/>
        </w:rPr>
        <w:t>domains.</w:t>
      </w:r>
      <w:r>
        <w:rPr>
          <w:rFonts w:ascii="Times New Roman" w:hAnsi="Times New Roman" w:cs="Times New Roman"/>
          <w:lang w:val="en-US"/>
        </w:rPr>
        <w:t xml:space="preserve"> </w:t>
      </w:r>
      <w:r w:rsidRPr="00AE6B4F">
        <w:rPr>
          <w:rFonts w:ascii="Times New Roman" w:hAnsi="Times New Roman" w:cs="Times New Roman"/>
          <w:lang w:val="en-US"/>
        </w:rPr>
        <w:t>However, since the correlation was specific to fraction-related items and not observed for overall math performance, interpretations regarding a general link between motor coordination and academic ability should be made with caution.</w:t>
      </w:r>
    </w:p>
    <w:p w14:paraId="36BE99FD" w14:textId="77777777" w:rsidR="00550043" w:rsidRDefault="00550043" w:rsidP="00550043">
      <w:pPr>
        <w:spacing w:line="480" w:lineRule="auto"/>
        <w:jc w:val="both"/>
        <w:rPr>
          <w:rFonts w:ascii="Times New Roman" w:hAnsi="Times New Roman" w:cs="Times New Roman"/>
          <w:lang w:val="en-US"/>
        </w:rPr>
      </w:pPr>
      <w:r w:rsidRPr="0060762A">
        <w:rPr>
          <w:rFonts w:ascii="Times New Roman" w:hAnsi="Times New Roman" w:cs="Times New Roman"/>
          <w:lang w:val="en-US"/>
        </w:rPr>
        <w:t xml:space="preserve">Motivational data revealed a small but significant positive correlation between intrinsic motivation and performance on non-fraction mathematics tasks. This is consistent with Self-Determination Theory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{"citationID":"ggbXGhVb","properties":{"formattedCitation":"(Deci &amp; Ryan, 1985)","plainCitation":"(Deci &amp; Ryan, 1985)","noteIndex":0},"citationItems":[{"id":499,"uris":["http://zotero.org/users/14523816/items/P7TW98CY"],"itemData":{"id":499,"type":"book","abstract":"This book is primarily about self-determination and competence (with particular emphasis on the former), and about the processes and structures that relate to these needs. The need for interpersonal relatedness, while no less important, remains to be explored, and the findings from those explorations will need to be integrated with the present theory to develop a broad, organismic theory of human motivation. Thus far, we have articulated self-determination theory, which is offered as a working theory-a theory in the making. To stimulate the research that will allow it to evolve further, we have stated self-determination theory in the form of minitheories that relate to more circumscribed domains, and we have developed paradigms for testing predictions from the various minitheories. (DIPF/Orig.).","collection-title":"Perspectives in Social Psychology","edition":"1","event-place":"Boston, MA","ISBN":"978-1-4899-2273-1","language":"eng","note":"DOI: 10.1007/978-1-4899-2271-7","publisher":"Springer Science+Business Media","publisher-place":"Boston, MA","source":"soeg.kb.dk","title":"Intrinsic motivation and self-determination in human behavior","author":[{"family":"Deci","given":"Edward L."},{"family":"Ryan","given":"Richard M."}],"issued":{"date-parts":[["1985"]]}}}],"schema":"https://github.com/citation-style-language/schema/raw/master/csl-citation.json"}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noProof/>
          <w:lang w:val="en-US"/>
        </w:rPr>
        <w:t>(Deci &amp; Ryan, 1985)</w:t>
      </w:r>
      <w:r>
        <w:rPr>
          <w:rFonts w:ascii="Times New Roman" w:hAnsi="Times New Roman" w:cs="Times New Roman"/>
          <w:lang w:val="en-US"/>
        </w:rPr>
        <w:fldChar w:fldCharType="end"/>
      </w:r>
      <w:r>
        <w:rPr>
          <w:rFonts w:ascii="Times New Roman" w:hAnsi="Times New Roman" w:cs="Times New Roman"/>
          <w:lang w:val="en-US"/>
        </w:rPr>
        <w:t>,</w:t>
      </w:r>
      <w:r w:rsidRPr="0060762A">
        <w:rPr>
          <w:rFonts w:ascii="Times New Roman" w:hAnsi="Times New Roman" w:cs="Times New Roman"/>
          <w:lang w:val="en-US"/>
        </w:rPr>
        <w:t xml:space="preserve"> which </w:t>
      </w:r>
      <w:r>
        <w:rPr>
          <w:rFonts w:ascii="Times New Roman" w:hAnsi="Times New Roman" w:cs="Times New Roman"/>
          <w:lang w:val="en-US"/>
        </w:rPr>
        <w:t>describes</w:t>
      </w:r>
      <w:r w:rsidRPr="0060762A">
        <w:rPr>
          <w:rFonts w:ascii="Times New Roman" w:hAnsi="Times New Roman" w:cs="Times New Roman"/>
          <w:lang w:val="en-US"/>
        </w:rPr>
        <w:t xml:space="preserve"> that autonomous motivation enhances engagement and learning outcomes. </w:t>
      </w:r>
      <w:r w:rsidRPr="00445748">
        <w:rPr>
          <w:rFonts w:ascii="Times New Roman" w:hAnsi="Times New Roman" w:cs="Times New Roman"/>
          <w:lang w:val="en-US"/>
        </w:rPr>
        <w:t>However, this correlation was not significant for fraction-related tasks, suggesting that intrinsic motivation does not uniformly predict performance across all mathematical domains</w:t>
      </w:r>
      <w:r>
        <w:rPr>
          <w:rFonts w:ascii="Times New Roman" w:hAnsi="Times New Roman" w:cs="Times New Roman"/>
          <w:lang w:val="en-US"/>
        </w:rPr>
        <w:t xml:space="preserve">. </w:t>
      </w:r>
      <w:r w:rsidRPr="0060762A">
        <w:rPr>
          <w:rFonts w:ascii="Times New Roman" w:hAnsi="Times New Roman" w:cs="Times New Roman"/>
          <w:lang w:val="en-US"/>
        </w:rPr>
        <w:t xml:space="preserve">The absence of correlation with fraction-related </w:t>
      </w:r>
      <w:r>
        <w:rPr>
          <w:rFonts w:ascii="Times New Roman" w:hAnsi="Times New Roman" w:cs="Times New Roman"/>
          <w:lang w:val="en-US"/>
        </w:rPr>
        <w:t>scores</w:t>
      </w:r>
      <w:r w:rsidRPr="0060762A">
        <w:rPr>
          <w:rFonts w:ascii="Times New Roman" w:hAnsi="Times New Roman" w:cs="Times New Roman"/>
          <w:lang w:val="en-US"/>
        </w:rPr>
        <w:t xml:space="preserve"> may reflect differences in perceived task difficulty or relevance</w:t>
      </w:r>
      <w:r>
        <w:rPr>
          <w:rFonts w:ascii="Times New Roman" w:hAnsi="Times New Roman" w:cs="Times New Roman"/>
          <w:lang w:val="en-US"/>
        </w:rPr>
        <w:t xml:space="preserve">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{"citationID":"4w9yk7Wj","properties":{"formattedCitation":"(Vu et al., 2022)","plainCitation":"(Vu et al., 2022)","noteIndex":0},"citationItems":[{"id":497,"uris":["http://zotero.org/users/14523816/items/5AM5WHHP"],"itemData":{"id":497,"type":"article-journal","abstract":"The question of how learners’ motivation influences their academic achievement and vice versa has been the subject of intensive research due to its theoretical relevance and important implications for the field of education. Here, we present our understanding of how influential theories of academic motivation have conceptualized reciprocal interactions between motivation and achievement and the kinds of evidence that support this reciprocity. While the reciprocal nature of the relationship between motivation and academic achievement has been established in the literature, further insights into several features of this relationship are still lacking. We therefore present a research agenda where we identify theoretical and methodological challenges that could inspire further understanding of the reciprocal relationship between motivation and achievement as well as inform future interventions. Specifically, the research agenda includes the recommendation that future research considers (1) multiple motivation constructs, (2) behavioral mediators, (3) a network approach, (4) alignment of intervals of measurement and the short vs. long time scales of motivation constructs, (5) designs that meet the criteria for making causal, reciprocal inferences, (6) appropriate statistical models, (7) alternatives to self-reports, (8) different ways of measuring achievement, and (9) generalizability of the reciprocal relations to various developmental, ethnic, and sociocultural groups.","container-title":"Educational Psychology Review","DOI":"10.1007/s10648-021-09616-7","ISSN":"1573-336X","issue":"1","journalAbbreviation":"Educ Psychol Rev","language":"en","page":"39-71","source":"Springer Link","title":"Motivation-Achievement Cycles in Learning: a Literature Review and Research Agenda","title-short":"Motivation-Achievement Cycles in Learning","volume":"34","author":[{"family":"Vu","given":"TuongVan"},{"family":"Magis-Weinberg","given":"Lucía"},{"family":"Jansen","given":"Brenda R. J."},{"family":"Atteveldt","given":"Nienke","non-dropping-particle":"van"},{"family":"Janssen","given":"Tieme W. P."},{"family":"Lee","given":"Nikki C."},{"family":"Maas","given":"Han L. J.","non-dropping-particle":"van der"},{"family":"Raijmakers","given":"Maartje E. J."},{"family":"Sachisthal","given":"Maien S. M."},{"family":"Meeter","given":"Martijn"}],"issued":{"date-parts":[["2022",3,1]]}}}],"schema":"https://github.com/citation-style-language/schema/raw/master/csl-citation.json"}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noProof/>
          <w:lang w:val="en-US"/>
        </w:rPr>
        <w:t>(Vu et al., 2022)</w:t>
      </w:r>
      <w:r>
        <w:rPr>
          <w:rFonts w:ascii="Times New Roman" w:hAnsi="Times New Roman" w:cs="Times New Roman"/>
          <w:lang w:val="en-US"/>
        </w:rPr>
        <w:fldChar w:fldCharType="end"/>
      </w:r>
      <w:r>
        <w:rPr>
          <w:rFonts w:ascii="Times New Roman" w:hAnsi="Times New Roman" w:cs="Times New Roman"/>
          <w:lang w:val="en-US"/>
        </w:rPr>
        <w:t xml:space="preserve">. </w:t>
      </w:r>
    </w:p>
    <w:p w14:paraId="1A07C86D" w14:textId="19C639DC" w:rsidR="00550043" w:rsidRPr="000060DD" w:rsidRDefault="00550043" w:rsidP="000060DD">
      <w:pPr>
        <w:spacing w:before="240" w:after="240" w:line="480" w:lineRule="auto"/>
        <w:jc w:val="both"/>
        <w:rPr>
          <w:rFonts w:ascii="Times New Roman" w:hAnsi="Times New Roman" w:cs="Times New Roman"/>
          <w:lang w:val="en-US"/>
        </w:rPr>
      </w:pPr>
      <w:r w:rsidRPr="0060762A">
        <w:rPr>
          <w:rFonts w:ascii="Times New Roman" w:hAnsi="Times New Roman" w:cs="Times New Roman"/>
          <w:lang w:val="en-US"/>
        </w:rPr>
        <w:t>Overall, the analysis suggests that cognitive, motor, and motivational domains are interconnected, even if the observed relationships are modest. These findings underscore the importance of considering multiple dimensions of learning and support the rationale for integrated educational approaches. Future research should explore these associations longitudinally and within intervention designs to better understand their causal</w:t>
      </w:r>
      <w:r>
        <w:rPr>
          <w:rFonts w:ascii="Times New Roman" w:hAnsi="Times New Roman" w:cs="Times New Roman"/>
          <w:lang w:val="en-US"/>
        </w:rPr>
        <w:t>ity</w:t>
      </w:r>
      <w:r w:rsidRPr="0060762A">
        <w:rPr>
          <w:rFonts w:ascii="Times New Roman" w:hAnsi="Times New Roman" w:cs="Times New Roman"/>
          <w:lang w:val="en-US"/>
        </w:rPr>
        <w:t>.</w:t>
      </w:r>
    </w:p>
    <w:sectPr w:rsidR="00550043" w:rsidRPr="000060D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43"/>
    <w:rsid w:val="000060DD"/>
    <w:rsid w:val="00011456"/>
    <w:rsid w:val="00256B07"/>
    <w:rsid w:val="002E1EF4"/>
    <w:rsid w:val="00550043"/>
    <w:rsid w:val="00586342"/>
    <w:rsid w:val="00786C6E"/>
    <w:rsid w:val="007F66BC"/>
    <w:rsid w:val="009D0835"/>
    <w:rsid w:val="00AE3952"/>
    <w:rsid w:val="00B1793C"/>
    <w:rsid w:val="00C533C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78E216F9"/>
  <w15:chartTrackingRefBased/>
  <w15:docId w15:val="{0A90D501-2252-354D-B926-C717EA71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43"/>
    <w:rPr>
      <w:kern w:val="0"/>
      <w14:ligatures w14:val="none"/>
    </w:rPr>
  </w:style>
  <w:style w:type="paragraph" w:styleId="Overskrift1">
    <w:name w:val="heading 1"/>
    <w:basedOn w:val="Normal"/>
    <w:next w:val="Normal"/>
    <w:link w:val="Overskrift1Tegn"/>
    <w:uiPriority w:val="9"/>
    <w:qFormat/>
    <w:rsid w:val="0055004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55004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55004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55004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55004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550043"/>
    <w:pPr>
      <w:keepNext/>
      <w:keepLines/>
      <w:spacing w:before="40"/>
      <w:outlineLvl w:val="5"/>
    </w:pPr>
    <w:rPr>
      <w:rFonts w:eastAsiaTheme="majorEastAsia"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550043"/>
    <w:pPr>
      <w:keepNext/>
      <w:keepLines/>
      <w:spacing w:before="40"/>
      <w:outlineLvl w:val="6"/>
    </w:pPr>
    <w:rPr>
      <w:rFonts w:eastAsiaTheme="majorEastAsia"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550043"/>
    <w:pPr>
      <w:keepNext/>
      <w:keepLines/>
      <w:outlineLvl w:val="7"/>
    </w:pPr>
    <w:rPr>
      <w:rFonts w:eastAsiaTheme="majorEastAsia"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550043"/>
    <w:pPr>
      <w:keepNext/>
      <w:keepLines/>
      <w:outlineLvl w:val="8"/>
    </w:pPr>
    <w:rPr>
      <w:rFonts w:eastAsiaTheme="majorEastAsia"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5004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5004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5004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5004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5004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5004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5004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5004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50043"/>
    <w:rPr>
      <w:rFonts w:eastAsiaTheme="majorEastAsia" w:cstheme="majorBidi"/>
      <w:color w:val="272727" w:themeColor="text1" w:themeTint="D8"/>
    </w:rPr>
  </w:style>
  <w:style w:type="paragraph" w:styleId="Titel">
    <w:name w:val="Title"/>
    <w:basedOn w:val="Normal"/>
    <w:next w:val="Normal"/>
    <w:link w:val="TitelTegn"/>
    <w:uiPriority w:val="10"/>
    <w:qFormat/>
    <w:rsid w:val="005500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55004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50043"/>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55004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50043"/>
    <w:pPr>
      <w:spacing w:before="160" w:after="160"/>
      <w:jc w:val="center"/>
    </w:pPr>
    <w:rPr>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550043"/>
    <w:rPr>
      <w:i/>
      <w:iCs/>
      <w:color w:val="404040" w:themeColor="text1" w:themeTint="BF"/>
    </w:rPr>
  </w:style>
  <w:style w:type="paragraph" w:styleId="Listeafsnit">
    <w:name w:val="List Paragraph"/>
    <w:basedOn w:val="Normal"/>
    <w:uiPriority w:val="34"/>
    <w:qFormat/>
    <w:rsid w:val="00550043"/>
    <w:pPr>
      <w:ind w:left="720"/>
      <w:contextualSpacing/>
    </w:pPr>
    <w:rPr>
      <w:kern w:val="2"/>
      <w14:ligatures w14:val="standardContextual"/>
    </w:rPr>
  </w:style>
  <w:style w:type="character" w:styleId="Kraftigfremhvning">
    <w:name w:val="Intense Emphasis"/>
    <w:basedOn w:val="Standardskrifttypeiafsnit"/>
    <w:uiPriority w:val="21"/>
    <w:qFormat/>
    <w:rsid w:val="00550043"/>
    <w:rPr>
      <w:i/>
      <w:iCs/>
      <w:color w:val="0F4761" w:themeColor="accent1" w:themeShade="BF"/>
    </w:rPr>
  </w:style>
  <w:style w:type="paragraph" w:styleId="Strktcitat">
    <w:name w:val="Intense Quote"/>
    <w:basedOn w:val="Normal"/>
    <w:next w:val="Normal"/>
    <w:link w:val="StrktcitatTegn"/>
    <w:uiPriority w:val="30"/>
    <w:qFormat/>
    <w:rsid w:val="00550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StrktcitatTegn">
    <w:name w:val="Stærkt citat Tegn"/>
    <w:basedOn w:val="Standardskrifttypeiafsnit"/>
    <w:link w:val="Strktcitat"/>
    <w:uiPriority w:val="30"/>
    <w:rsid w:val="00550043"/>
    <w:rPr>
      <w:i/>
      <w:iCs/>
      <w:color w:val="0F4761" w:themeColor="accent1" w:themeShade="BF"/>
    </w:rPr>
  </w:style>
  <w:style w:type="character" w:styleId="Kraftighenvisning">
    <w:name w:val="Intense Reference"/>
    <w:basedOn w:val="Standardskrifttypeiafsnit"/>
    <w:uiPriority w:val="32"/>
    <w:qFormat/>
    <w:rsid w:val="00550043"/>
    <w:rPr>
      <w:b/>
      <w:bCs/>
      <w:smallCaps/>
      <w:color w:val="0F4761" w:themeColor="accent1" w:themeShade="BF"/>
      <w:spacing w:val="5"/>
    </w:rPr>
  </w:style>
  <w:style w:type="character" w:styleId="Kommentarhenvisning">
    <w:name w:val="annotation reference"/>
    <w:basedOn w:val="Standardskrifttypeiafsnit"/>
    <w:uiPriority w:val="99"/>
    <w:semiHidden/>
    <w:unhideWhenUsed/>
    <w:rsid w:val="005500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2127</Words>
  <Characters>12976</Characters>
  <Application>Microsoft Office Word</Application>
  <DocSecurity>0</DocSecurity>
  <Lines>108</Lines>
  <Paragraphs>30</Paragraphs>
  <ScaleCrop>false</ScaleCrop>
  <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Emil Jensen</dc:creator>
  <cp:keywords/>
  <dc:description/>
  <cp:lastModifiedBy>Ole Emil Jensen</cp:lastModifiedBy>
  <cp:revision>6</cp:revision>
  <dcterms:created xsi:type="dcterms:W3CDTF">2026-04-28T10:17:00Z</dcterms:created>
  <dcterms:modified xsi:type="dcterms:W3CDTF">2026-05-22T05:56:00Z</dcterms:modified>
</cp:coreProperties>
</file>