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A6" w:rsidRPr="00234040" w:rsidRDefault="000506A6" w:rsidP="000506A6">
      <w:pPr>
        <w:pStyle w:val="Heading1"/>
        <w:spacing w:line="480" w:lineRule="auto"/>
        <w:rPr>
          <w:rFonts w:cs="Times New Roman"/>
          <w:color w:val="000000" w:themeColor="text1"/>
          <w:sz w:val="24"/>
          <w:szCs w:val="24"/>
        </w:rPr>
      </w:pPr>
      <w:r w:rsidRPr="00234040">
        <w:rPr>
          <w:rFonts w:cs="Times New Roman"/>
          <w:color w:val="000000" w:themeColor="text1"/>
          <w:sz w:val="24"/>
          <w:szCs w:val="24"/>
        </w:rPr>
        <w:t>Identifying the spatial pattern and driving factors of nitrate in groundwater using a novel framework of interpretable stacking ensemble learning</w:t>
      </w:r>
    </w:p>
    <w:p w:rsidR="001135A2" w:rsidRPr="00234040" w:rsidRDefault="001135A2" w:rsidP="001135A2">
      <w:pPr>
        <w:spacing w:line="480" w:lineRule="auto"/>
        <w:rPr>
          <w:rFonts w:cs="Times New Roman"/>
          <w:bCs/>
        </w:rPr>
      </w:pPr>
      <w:r w:rsidRPr="00234040">
        <w:rPr>
          <w:rFonts w:cs="Times New Roman"/>
        </w:rPr>
        <w:t xml:space="preserve">Xuan </w:t>
      </w:r>
      <w:proofErr w:type="spellStart"/>
      <w:r w:rsidRPr="00234040">
        <w:rPr>
          <w:rFonts w:cs="Times New Roman"/>
        </w:rPr>
        <w:t>Li</w:t>
      </w:r>
      <w:r w:rsidRPr="00234040">
        <w:rPr>
          <w:rFonts w:cs="Times New Roman"/>
          <w:vertAlign w:val="superscript"/>
        </w:rPr>
        <w:t>a</w:t>
      </w:r>
      <w:proofErr w:type="gramStart"/>
      <w:r w:rsidRPr="00234040">
        <w:rPr>
          <w:rFonts w:cs="Times New Roman"/>
          <w:vertAlign w:val="superscript"/>
        </w:rPr>
        <w:t>,b</w:t>
      </w:r>
      <w:proofErr w:type="spellEnd"/>
      <w:proofErr w:type="gramEnd"/>
      <w:r w:rsidRPr="00234040">
        <w:rPr>
          <w:rFonts w:cs="Times New Roman"/>
        </w:rPr>
        <w:t xml:space="preserve">, </w:t>
      </w:r>
      <w:proofErr w:type="spellStart"/>
      <w:r w:rsidRPr="00234040">
        <w:rPr>
          <w:rFonts w:cs="Times New Roman"/>
        </w:rPr>
        <w:t>Guohua</w:t>
      </w:r>
      <w:proofErr w:type="spellEnd"/>
      <w:r w:rsidRPr="00234040">
        <w:rPr>
          <w:rFonts w:cs="Times New Roman"/>
        </w:rPr>
        <w:t xml:space="preserve"> </w:t>
      </w:r>
      <w:proofErr w:type="spellStart"/>
      <w:r w:rsidRPr="00234040">
        <w:rPr>
          <w:rFonts w:cs="Times New Roman"/>
        </w:rPr>
        <w:t>Liang</w:t>
      </w:r>
      <w:r w:rsidRPr="00234040">
        <w:rPr>
          <w:rFonts w:cs="Times New Roman"/>
          <w:vertAlign w:val="superscript"/>
        </w:rPr>
        <w:t>a</w:t>
      </w:r>
      <w:proofErr w:type="spellEnd"/>
      <w:r w:rsidRPr="00234040">
        <w:rPr>
          <w:rFonts w:cs="Times New Roman"/>
        </w:rPr>
        <w:t xml:space="preserve">, Lei </w:t>
      </w:r>
      <w:proofErr w:type="spellStart"/>
      <w:r w:rsidRPr="00234040">
        <w:rPr>
          <w:rFonts w:cs="Times New Roman"/>
        </w:rPr>
        <w:t>Wang</w:t>
      </w:r>
      <w:r w:rsidRPr="00234040">
        <w:rPr>
          <w:rFonts w:cs="Times New Roman"/>
          <w:vertAlign w:val="superscript"/>
        </w:rPr>
        <w:t>b</w:t>
      </w:r>
      <w:proofErr w:type="spellEnd"/>
      <w:r w:rsidRPr="00234040">
        <w:rPr>
          <w:rFonts w:cs="Times New Roman"/>
        </w:rPr>
        <w:t xml:space="preserve">*, </w:t>
      </w:r>
      <w:proofErr w:type="spellStart"/>
      <w:r w:rsidRPr="00234040">
        <w:rPr>
          <w:rFonts w:cs="Times New Roman"/>
        </w:rPr>
        <w:t>Yuesuo</w:t>
      </w:r>
      <w:proofErr w:type="spellEnd"/>
      <w:r w:rsidRPr="00234040">
        <w:rPr>
          <w:rFonts w:cs="Times New Roman"/>
        </w:rPr>
        <w:t xml:space="preserve"> </w:t>
      </w:r>
      <w:proofErr w:type="spellStart"/>
      <w:r w:rsidRPr="00234040">
        <w:rPr>
          <w:rFonts w:cs="Times New Roman"/>
        </w:rPr>
        <w:t>Yang</w:t>
      </w:r>
      <w:r w:rsidRPr="00234040">
        <w:rPr>
          <w:rFonts w:cs="Times New Roman"/>
          <w:vertAlign w:val="superscript"/>
        </w:rPr>
        <w:t>c</w:t>
      </w:r>
      <w:proofErr w:type="spellEnd"/>
      <w:r w:rsidRPr="00234040">
        <w:rPr>
          <w:rFonts w:cs="Times New Roman"/>
        </w:rPr>
        <w:t xml:space="preserve">, </w:t>
      </w:r>
      <w:proofErr w:type="spellStart"/>
      <w:r w:rsidRPr="00234040">
        <w:rPr>
          <w:rFonts w:cs="Times New Roman"/>
        </w:rPr>
        <w:t>Yuanyin</w:t>
      </w:r>
      <w:proofErr w:type="spellEnd"/>
      <w:r w:rsidRPr="00234040">
        <w:rPr>
          <w:rFonts w:cs="Times New Roman"/>
        </w:rPr>
        <w:t xml:space="preserve"> </w:t>
      </w:r>
      <w:proofErr w:type="spellStart"/>
      <w:r w:rsidRPr="00234040">
        <w:rPr>
          <w:rFonts w:cs="Times New Roman"/>
        </w:rPr>
        <w:t>Li</w:t>
      </w:r>
      <w:r w:rsidRPr="00234040">
        <w:rPr>
          <w:rFonts w:cs="Times New Roman"/>
          <w:vertAlign w:val="superscript"/>
        </w:rPr>
        <w:t>b,e</w:t>
      </w:r>
      <w:proofErr w:type="spellEnd"/>
      <w:r w:rsidRPr="00234040">
        <w:rPr>
          <w:rFonts w:cs="Times New Roman"/>
        </w:rPr>
        <w:t xml:space="preserve">, </w:t>
      </w:r>
      <w:proofErr w:type="spellStart"/>
      <w:r w:rsidRPr="00234040">
        <w:rPr>
          <w:rFonts w:cs="Times New Roman"/>
        </w:rPr>
        <w:t>Zhongguo</w:t>
      </w:r>
      <w:proofErr w:type="spellEnd"/>
      <w:r w:rsidRPr="00234040">
        <w:rPr>
          <w:rFonts w:cs="Times New Roman"/>
        </w:rPr>
        <w:t xml:space="preserve"> Li</w:t>
      </w:r>
      <w:r w:rsidRPr="00234040">
        <w:rPr>
          <w:rFonts w:cs="Times New Roman"/>
          <w:vertAlign w:val="superscript"/>
        </w:rPr>
        <w:t>d</w:t>
      </w:r>
      <w:r w:rsidRPr="00234040">
        <w:rPr>
          <w:rFonts w:cs="Times New Roman"/>
        </w:rPr>
        <w:t xml:space="preserve">, Bin </w:t>
      </w:r>
      <w:proofErr w:type="spellStart"/>
      <w:r w:rsidRPr="00234040">
        <w:rPr>
          <w:rFonts w:cs="Times New Roman"/>
        </w:rPr>
        <w:t>He</w:t>
      </w:r>
      <w:r w:rsidRPr="00234040">
        <w:rPr>
          <w:rFonts w:cs="Times New Roman"/>
          <w:vertAlign w:val="superscript"/>
        </w:rPr>
        <w:t>a</w:t>
      </w:r>
      <w:proofErr w:type="spellEnd"/>
      <w:r w:rsidRPr="00234040">
        <w:rPr>
          <w:rFonts w:cs="Times New Roman"/>
        </w:rPr>
        <w:t xml:space="preserve">, </w:t>
      </w:r>
      <w:proofErr w:type="spellStart"/>
      <w:r w:rsidRPr="00234040">
        <w:rPr>
          <w:rFonts w:cs="Times New Roman"/>
        </w:rPr>
        <w:t>Guoli</w:t>
      </w:r>
      <w:proofErr w:type="spellEnd"/>
      <w:r w:rsidRPr="00234040">
        <w:rPr>
          <w:rFonts w:cs="Times New Roman"/>
        </w:rPr>
        <w:t xml:space="preserve"> </w:t>
      </w:r>
      <w:proofErr w:type="spellStart"/>
      <w:r w:rsidRPr="00234040">
        <w:rPr>
          <w:rFonts w:cs="Times New Roman"/>
        </w:rPr>
        <w:t>Wang</w:t>
      </w:r>
      <w:r w:rsidRPr="00234040">
        <w:rPr>
          <w:rFonts w:cs="Times New Roman"/>
          <w:vertAlign w:val="superscript"/>
        </w:rPr>
        <w:t>a</w:t>
      </w:r>
      <w:proofErr w:type="spellEnd"/>
      <w:r w:rsidRPr="00234040">
        <w:rPr>
          <w:rFonts w:cs="Times New Roman"/>
        </w:rPr>
        <w:t>.</w:t>
      </w:r>
    </w:p>
    <w:p w:rsidR="001135A2" w:rsidRPr="00234040" w:rsidRDefault="001135A2" w:rsidP="001135A2">
      <w:pPr>
        <w:widowControl/>
        <w:rPr>
          <w:rFonts w:cs="Times New Roman"/>
          <w:bCs/>
          <w:color w:val="000000" w:themeColor="text1"/>
          <w:sz w:val="22"/>
        </w:rPr>
      </w:pPr>
    </w:p>
    <w:p w:rsidR="001135A2" w:rsidRPr="00234040" w:rsidRDefault="001135A2" w:rsidP="001135A2">
      <w:pPr>
        <w:widowControl/>
        <w:spacing w:line="480" w:lineRule="auto"/>
        <w:rPr>
          <w:rFonts w:cs="Times New Roman"/>
          <w:bCs/>
          <w:i/>
          <w:iCs/>
          <w:color w:val="000000" w:themeColor="text1"/>
          <w:sz w:val="20"/>
          <w:szCs w:val="20"/>
        </w:rPr>
      </w:pPr>
      <w:r w:rsidRPr="00234040">
        <w:rPr>
          <w:rFonts w:cs="Times New Roman"/>
          <w:bCs/>
          <w:color w:val="000000" w:themeColor="text1"/>
          <w:sz w:val="20"/>
          <w:szCs w:val="20"/>
          <w:vertAlign w:val="superscript"/>
        </w:rPr>
        <w:t>a</w:t>
      </w:r>
      <w:r w:rsidRPr="00234040">
        <w:rPr>
          <w:rFonts w:cs="Times New Roman"/>
          <w:bCs/>
          <w:i/>
          <w:iCs/>
          <w:color w:val="000000" w:themeColor="text1"/>
          <w:sz w:val="20"/>
          <w:szCs w:val="20"/>
        </w:rPr>
        <w:t xml:space="preserve"> School of Hydraulic Engineering, Dalian University of Technology, Dalian, 116024, China.</w:t>
      </w:r>
    </w:p>
    <w:p w:rsidR="001135A2" w:rsidRPr="00234040" w:rsidRDefault="001135A2" w:rsidP="001135A2">
      <w:pPr>
        <w:widowControl/>
        <w:spacing w:line="480" w:lineRule="auto"/>
        <w:rPr>
          <w:rFonts w:cs="Times New Roman"/>
          <w:bCs/>
          <w:i/>
          <w:iCs/>
          <w:color w:val="000000" w:themeColor="text1"/>
          <w:sz w:val="20"/>
          <w:szCs w:val="20"/>
        </w:rPr>
      </w:pPr>
      <w:r w:rsidRPr="00234040">
        <w:rPr>
          <w:rFonts w:cs="Times New Roman"/>
          <w:bCs/>
          <w:color w:val="000000" w:themeColor="text1"/>
          <w:sz w:val="20"/>
          <w:szCs w:val="20"/>
          <w:vertAlign w:val="superscript"/>
        </w:rPr>
        <w:t>b</w:t>
      </w:r>
      <w:r w:rsidRPr="00234040">
        <w:rPr>
          <w:rFonts w:cs="Times New Roman"/>
          <w:bCs/>
          <w:i/>
          <w:iCs/>
          <w:color w:val="000000" w:themeColor="text1"/>
          <w:sz w:val="20"/>
          <w:szCs w:val="20"/>
        </w:rPr>
        <w:t xml:space="preserve"> British Geological Survey, Keyworth, Nottingham, NG12 5GG, UK.</w:t>
      </w:r>
    </w:p>
    <w:p w:rsidR="001135A2" w:rsidRPr="00234040" w:rsidRDefault="001135A2" w:rsidP="001135A2">
      <w:pPr>
        <w:widowControl/>
        <w:spacing w:line="480" w:lineRule="auto"/>
        <w:rPr>
          <w:rFonts w:cs="Times New Roman"/>
          <w:bCs/>
          <w:i/>
          <w:iCs/>
          <w:color w:val="000000" w:themeColor="text1"/>
          <w:sz w:val="20"/>
          <w:szCs w:val="20"/>
        </w:rPr>
      </w:pPr>
      <w:r w:rsidRPr="00234040">
        <w:rPr>
          <w:rFonts w:cs="Times New Roman"/>
          <w:bCs/>
          <w:color w:val="000000" w:themeColor="text1"/>
          <w:sz w:val="20"/>
          <w:szCs w:val="20"/>
          <w:vertAlign w:val="superscript"/>
        </w:rPr>
        <w:t>c</w:t>
      </w:r>
      <w:r w:rsidR="003B5B19">
        <w:rPr>
          <w:rFonts w:cs="Times New Roman"/>
          <w:bCs/>
          <w:i/>
          <w:iCs/>
          <w:color w:val="000000" w:themeColor="text1"/>
          <w:sz w:val="20"/>
          <w:szCs w:val="20"/>
        </w:rPr>
        <w:t xml:space="preserve"> </w:t>
      </w:r>
      <w:r w:rsidRPr="00234040">
        <w:rPr>
          <w:rFonts w:cs="Times New Roman"/>
          <w:bCs/>
          <w:i/>
          <w:iCs/>
          <w:color w:val="000000" w:themeColor="text1"/>
          <w:sz w:val="20"/>
          <w:szCs w:val="20"/>
        </w:rPr>
        <w:t>Key Laboratory of Groundwater Resources and Environment, Jilin University, Ministry of Education, Changchun, 130021, China.</w:t>
      </w:r>
    </w:p>
    <w:p w:rsidR="001135A2" w:rsidRPr="00234040" w:rsidRDefault="001135A2" w:rsidP="001135A2">
      <w:pPr>
        <w:widowControl/>
        <w:spacing w:line="480" w:lineRule="auto"/>
        <w:rPr>
          <w:rFonts w:cs="Times New Roman"/>
          <w:bCs/>
          <w:i/>
          <w:iCs/>
          <w:color w:val="000000" w:themeColor="text1"/>
          <w:sz w:val="20"/>
          <w:szCs w:val="20"/>
        </w:rPr>
      </w:pPr>
      <w:r w:rsidRPr="00234040">
        <w:rPr>
          <w:rFonts w:cs="Times New Roman"/>
          <w:bCs/>
          <w:color w:val="000000" w:themeColor="text1"/>
          <w:sz w:val="20"/>
          <w:szCs w:val="20"/>
          <w:vertAlign w:val="superscript"/>
        </w:rPr>
        <w:t>d</w:t>
      </w:r>
      <w:r w:rsidRPr="00234040">
        <w:rPr>
          <w:rFonts w:cs="Times New Roman"/>
          <w:bCs/>
          <w:i/>
          <w:iCs/>
          <w:color w:val="000000" w:themeColor="text1"/>
          <w:sz w:val="20"/>
          <w:szCs w:val="20"/>
        </w:rPr>
        <w:t xml:space="preserve"> Liaoning Water Affairs Service </w:t>
      </w:r>
      <w:proofErr w:type="spellStart"/>
      <w:r w:rsidRPr="00234040">
        <w:rPr>
          <w:rFonts w:cs="Times New Roman"/>
          <w:bCs/>
          <w:i/>
          <w:iCs/>
          <w:color w:val="000000" w:themeColor="text1"/>
          <w:sz w:val="20"/>
          <w:szCs w:val="20"/>
        </w:rPr>
        <w:t>Center</w:t>
      </w:r>
      <w:proofErr w:type="spellEnd"/>
      <w:r w:rsidRPr="00234040">
        <w:rPr>
          <w:rFonts w:cs="Times New Roman"/>
          <w:bCs/>
          <w:i/>
          <w:iCs/>
          <w:color w:val="000000" w:themeColor="text1"/>
          <w:sz w:val="20"/>
          <w:szCs w:val="20"/>
        </w:rPr>
        <w:t>, Shenyang, 110003, China.</w:t>
      </w:r>
    </w:p>
    <w:p w:rsidR="001135A2" w:rsidRPr="00234040" w:rsidRDefault="001135A2" w:rsidP="001135A2">
      <w:pPr>
        <w:widowControl/>
        <w:spacing w:line="480" w:lineRule="auto"/>
        <w:rPr>
          <w:rFonts w:cs="Times New Roman"/>
          <w:bCs/>
          <w:i/>
          <w:iCs/>
          <w:color w:val="000000" w:themeColor="text1"/>
          <w:sz w:val="20"/>
          <w:szCs w:val="20"/>
        </w:rPr>
      </w:pPr>
      <w:r w:rsidRPr="00234040">
        <w:rPr>
          <w:rFonts w:cs="Times New Roman"/>
          <w:bCs/>
          <w:color w:val="000000" w:themeColor="text1"/>
          <w:sz w:val="20"/>
          <w:szCs w:val="20"/>
          <w:vertAlign w:val="superscript"/>
        </w:rPr>
        <w:t>e</w:t>
      </w:r>
      <w:r w:rsidRPr="00234040">
        <w:rPr>
          <w:rFonts w:cs="Times New Roman"/>
          <w:bCs/>
          <w:i/>
          <w:iCs/>
          <w:color w:val="000000" w:themeColor="text1"/>
          <w:sz w:val="20"/>
          <w:szCs w:val="20"/>
        </w:rPr>
        <w:t xml:space="preserve"> Department of Geography, Durham University, Durham, DH1 3LE, UK.</w:t>
      </w:r>
    </w:p>
    <w:p w:rsidR="005A700D" w:rsidRPr="00234040" w:rsidRDefault="005A700D" w:rsidP="005A700D">
      <w:pPr>
        <w:widowControl/>
        <w:spacing w:line="480" w:lineRule="auto"/>
        <w:rPr>
          <w:rFonts w:cs="Times New Roman"/>
          <w:bCs/>
          <w:color w:val="000000" w:themeColor="text1"/>
          <w:sz w:val="20"/>
          <w:szCs w:val="20"/>
        </w:rPr>
      </w:pPr>
    </w:p>
    <w:p w:rsidR="001135A2" w:rsidRPr="00234040" w:rsidRDefault="001135A2" w:rsidP="001135A2">
      <w:pPr>
        <w:widowControl/>
        <w:spacing w:line="480" w:lineRule="auto"/>
        <w:rPr>
          <w:rFonts w:cs="Times New Roman"/>
          <w:bCs/>
          <w:color w:val="000000" w:themeColor="text1"/>
          <w:sz w:val="20"/>
          <w:szCs w:val="20"/>
        </w:rPr>
      </w:pPr>
      <w:r w:rsidRPr="00234040">
        <w:rPr>
          <w:rFonts w:cs="Times New Roman"/>
          <w:bCs/>
          <w:color w:val="000000" w:themeColor="text1"/>
          <w:sz w:val="20"/>
          <w:szCs w:val="20"/>
        </w:rPr>
        <w:t xml:space="preserve">Corresponding author: </w:t>
      </w:r>
      <w:proofErr w:type="spellStart"/>
      <w:r w:rsidRPr="00234040">
        <w:rPr>
          <w:rFonts w:cs="Times New Roman"/>
          <w:bCs/>
          <w:color w:val="000000" w:themeColor="text1"/>
          <w:sz w:val="20"/>
          <w:szCs w:val="20"/>
        </w:rPr>
        <w:t>L.Wang</w:t>
      </w:r>
      <w:proofErr w:type="spellEnd"/>
      <w:r w:rsidRPr="00234040">
        <w:rPr>
          <w:rFonts w:cs="Times New Roman"/>
          <w:bCs/>
          <w:color w:val="000000" w:themeColor="text1"/>
          <w:sz w:val="20"/>
          <w:szCs w:val="20"/>
        </w:rPr>
        <w:t xml:space="preserve"> (</w:t>
      </w:r>
      <w:hyperlink r:id="rId5" w:history="1">
        <w:r w:rsidRPr="00234040">
          <w:rPr>
            <w:rStyle w:val="Hyperlink"/>
            <w:rFonts w:cs="Times New Roman"/>
            <w:bCs/>
            <w:sz w:val="20"/>
            <w:szCs w:val="20"/>
          </w:rPr>
          <w:t>lelei@bgs.ac.uk</w:t>
        </w:r>
      </w:hyperlink>
      <w:r w:rsidRPr="00234040">
        <w:rPr>
          <w:rFonts w:cs="Times New Roman"/>
          <w:bCs/>
          <w:color w:val="000000" w:themeColor="text1"/>
          <w:sz w:val="20"/>
          <w:szCs w:val="20"/>
        </w:rPr>
        <w:t>)</w:t>
      </w:r>
    </w:p>
    <w:p w:rsidR="005A700D" w:rsidRPr="00234040" w:rsidRDefault="005A700D" w:rsidP="008A2DA7">
      <w:pPr>
        <w:autoSpaceDE w:val="0"/>
        <w:autoSpaceDN w:val="0"/>
        <w:adjustRightInd w:val="0"/>
        <w:jc w:val="left"/>
        <w:rPr>
          <w:rFonts w:cs="Times New Roman"/>
          <w:b/>
          <w:bCs/>
          <w:color w:val="000000" w:themeColor="text1"/>
        </w:rPr>
        <w:sectPr w:rsidR="005A700D" w:rsidRPr="00234040" w:rsidSect="00574AF1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:rsidR="008A2DA7" w:rsidRPr="00234040" w:rsidRDefault="008A2DA7" w:rsidP="008A2DA7">
      <w:pPr>
        <w:autoSpaceDE w:val="0"/>
        <w:autoSpaceDN w:val="0"/>
        <w:adjustRightInd w:val="0"/>
        <w:jc w:val="left"/>
        <w:rPr>
          <w:rFonts w:cs="Times New Roman"/>
          <w:b/>
          <w:bCs/>
          <w:color w:val="000000" w:themeColor="text1"/>
        </w:rPr>
      </w:pPr>
      <w:r w:rsidRPr="00234040">
        <w:rPr>
          <w:rFonts w:cs="Times New Roman"/>
          <w:b/>
          <w:bCs/>
          <w:color w:val="000000" w:themeColor="text1"/>
        </w:rPr>
        <w:lastRenderedPageBreak/>
        <w:t>Appendix A. Supplementary data</w:t>
      </w:r>
    </w:p>
    <w:p w:rsidR="008A2DA7" w:rsidRPr="00234040" w:rsidRDefault="008A2DA7" w:rsidP="008A2DA7">
      <w:pPr>
        <w:rPr>
          <w:rFonts w:cs="Times New Roman"/>
          <w:b/>
          <w:bCs/>
          <w:color w:val="000000" w:themeColor="text1"/>
          <w:szCs w:val="21"/>
        </w:rPr>
      </w:pPr>
    </w:p>
    <w:p w:rsidR="008A2DA7" w:rsidRPr="00234040" w:rsidRDefault="008A2DA7" w:rsidP="008A2DA7">
      <w:pPr>
        <w:rPr>
          <w:rFonts w:cs="Times New Roman"/>
          <w:b/>
          <w:bCs/>
          <w:color w:val="000000" w:themeColor="text1"/>
        </w:rPr>
      </w:pPr>
      <w:bookmarkStart w:id="0" w:name="_Hlk132295546"/>
      <w:r w:rsidRPr="00234040">
        <w:rPr>
          <w:rFonts w:cs="Times New Roman"/>
          <w:b/>
          <w:bCs/>
          <w:color w:val="000000" w:themeColor="text1"/>
        </w:rPr>
        <w:t>Table S1</w:t>
      </w:r>
    </w:p>
    <w:p w:rsidR="008A2DA7" w:rsidRPr="00234040" w:rsidRDefault="008A2DA7" w:rsidP="008A2DA7">
      <w:pPr>
        <w:rPr>
          <w:rFonts w:cs="Times New Roman"/>
          <w:color w:val="000000" w:themeColor="text1"/>
        </w:rPr>
      </w:pPr>
      <w:r w:rsidRPr="00234040">
        <w:rPr>
          <w:rFonts w:cs="Times New Roman"/>
          <w:color w:val="000000" w:themeColor="text1"/>
        </w:rPr>
        <w:t>Summary of predictor variables.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194"/>
        <w:gridCol w:w="2414"/>
      </w:tblGrid>
      <w:tr w:rsidR="008A2DA7" w:rsidRPr="00234040" w:rsidTr="00205C00">
        <w:trPr>
          <w:trHeight w:val="397"/>
          <w:jc w:val="center"/>
        </w:trPr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87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  <w:tc>
          <w:tcPr>
            <w:tcW w:w="133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Source</w:t>
            </w: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3663" w:type="pct"/>
            <w:gridSpan w:val="2"/>
            <w:tcBorders>
              <w:top w:val="single" w:sz="8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Topography</w:t>
            </w:r>
          </w:p>
        </w:tc>
        <w:tc>
          <w:tcPr>
            <w:tcW w:w="1337" w:type="pct"/>
            <w:tcBorders>
              <w:top w:val="single" w:sz="8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DEM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Land surface elevation, m</w:t>
            </w:r>
          </w:p>
        </w:tc>
        <w:tc>
          <w:tcPr>
            <w:tcW w:w="133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</w:rPr>
              <w:instrText xml:space="preserve"> ADDIN NE.Ref.{2A1C9330-37D2-45F8-8C82-9FF3C04C602A}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4B5873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(Wang &amp; Burke, 2017)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SLOPE</w:t>
            </w:r>
          </w:p>
        </w:tc>
        <w:tc>
          <w:tcPr>
            <w:tcW w:w="28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Average slope, degree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Derived from DEM</w:t>
            </w:r>
          </w:p>
        </w:tc>
      </w:tr>
      <w:tr w:rsidR="008A2DA7" w:rsidRPr="00234040" w:rsidTr="00E66CAB">
        <w:trPr>
          <w:trHeight w:val="283"/>
          <w:jc w:val="center"/>
        </w:trPr>
        <w:tc>
          <w:tcPr>
            <w:tcW w:w="3663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Climate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RAINFALL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Average precipitation, 2012- 2021, mm/a</w:t>
            </w:r>
          </w:p>
        </w:tc>
        <w:tc>
          <w:tcPr>
            <w:tcW w:w="1337" w:type="pct"/>
            <w:vMerge w:val="restar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  <w:instrText xml:space="preserve"> ADDIN NE.Ref.{707E874B-9118-418E-8C29-019F36CBB29E}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  <w:fldChar w:fldCharType="separate"/>
            </w:r>
            <w:r w:rsidR="004B5873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(Met Office et al., 2018)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PET</w:t>
            </w:r>
          </w:p>
        </w:tc>
        <w:tc>
          <w:tcPr>
            <w:tcW w:w="28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Average potential evapotranspiration, 2012- 2021, mm/a</w:t>
            </w:r>
          </w:p>
        </w:tc>
        <w:tc>
          <w:tcPr>
            <w:tcW w:w="133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Hydrology</w:t>
            </w:r>
          </w:p>
        </w:tc>
        <w:tc>
          <w:tcPr>
            <w:tcW w:w="2877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1" w:name="_Hlk154324889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BFI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Baseflow index</w:t>
            </w:r>
          </w:p>
        </w:tc>
        <w:tc>
          <w:tcPr>
            <w:tcW w:w="133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</w:rPr>
              <w:instrText xml:space="preserve"> ADDIN NE.Ref.{F2C7143E-FB8B-4EDB-A0BD-087EF05E2826}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4B5873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(Boorman et al., 1995)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RECHARGE</w:t>
            </w:r>
          </w:p>
        </w:tc>
        <w:tc>
          <w:tcPr>
            <w:tcW w:w="28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Average recharge for the </w:t>
            </w:r>
            <w:r w:rsidR="004115F9">
              <w:rPr>
                <w:rFonts w:cs="Times New Roman"/>
                <w:color w:val="000000" w:themeColor="text1"/>
                <w:sz w:val="20"/>
                <w:szCs w:val="20"/>
              </w:rPr>
              <w:t>period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 1961-2011, mm/d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</w:rPr>
              <w:instrText xml:space="preserve"> ADDIN NE.Ref.{EC3E02F3-2934-4A7B-9AFA-2F855204CC86}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4B5873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(Wang &amp; Burke, 2017)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bookmarkEnd w:id="1"/>
      <w:tr w:rsidR="008A2DA7" w:rsidRPr="00234040" w:rsidTr="00E66CAB">
        <w:trPr>
          <w:trHeight w:val="283"/>
          <w:jc w:val="center"/>
        </w:trPr>
        <w:tc>
          <w:tcPr>
            <w:tcW w:w="3663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Land use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1F0AAB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WOOD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Percentage of </w:t>
            </w:r>
            <w:r w:rsidR="00727B5E">
              <w:rPr>
                <w:rFonts w:cs="Times New Roman" w:hint="eastAsia"/>
                <w:color w:val="000000" w:themeColor="text1"/>
                <w:sz w:val="20"/>
                <w:szCs w:val="20"/>
              </w:rPr>
              <w:t>woodland</w:t>
            </w:r>
            <w:r w:rsidR="00727B5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in a 500m radius circular buffer, %</w:t>
            </w:r>
          </w:p>
        </w:tc>
        <w:tc>
          <w:tcPr>
            <w:tcW w:w="1337" w:type="pct"/>
            <w:vMerge w:val="restar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</w:rPr>
              <w:instrText xml:space="preserve"> ADDIN NE.Ref.{1EDA9111-3762-4110-839C-F315AD404A5F}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4B5873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(Morton et al., 2014)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ARABLE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Percentage of arable land in the buffer, %</w:t>
            </w:r>
          </w:p>
        </w:tc>
        <w:tc>
          <w:tcPr>
            <w:tcW w:w="1337" w:type="pct"/>
            <w:vMerge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GRASS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Percentage of grassland in the buffer, %</w:t>
            </w:r>
          </w:p>
        </w:tc>
        <w:tc>
          <w:tcPr>
            <w:tcW w:w="1337" w:type="pct"/>
            <w:vMerge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BUILTUP</w:t>
            </w:r>
          </w:p>
        </w:tc>
        <w:tc>
          <w:tcPr>
            <w:tcW w:w="28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Percentage of built-up areas in the buffer, %</w:t>
            </w:r>
          </w:p>
        </w:tc>
        <w:tc>
          <w:tcPr>
            <w:tcW w:w="133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E66CAB">
        <w:trPr>
          <w:trHeight w:val="283"/>
          <w:jc w:val="center"/>
        </w:trPr>
        <w:tc>
          <w:tcPr>
            <w:tcW w:w="3663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Soil property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S_SAND</w:t>
            </w:r>
          </w:p>
        </w:tc>
        <w:tc>
          <w:tcPr>
            <w:tcW w:w="2877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Sand content, %</w:t>
            </w:r>
          </w:p>
        </w:tc>
        <w:tc>
          <w:tcPr>
            <w:tcW w:w="1337" w:type="pct"/>
            <w:vMerge w:val="restar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</w:rPr>
              <w:instrText xml:space="preserve"> ADDIN NE.Ref.{47EC8743-A2C9-461C-BE4D-23E661517B1A}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4B5873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(Ballabio et al., 2016)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S_SILT</w:t>
            </w:r>
          </w:p>
        </w:tc>
        <w:tc>
          <w:tcPr>
            <w:tcW w:w="2877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Silt content, %</w:t>
            </w:r>
          </w:p>
        </w:tc>
        <w:tc>
          <w:tcPr>
            <w:tcW w:w="1337" w:type="pct"/>
            <w:vMerge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S_CLAY</w:t>
            </w:r>
          </w:p>
        </w:tc>
        <w:tc>
          <w:tcPr>
            <w:tcW w:w="2877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Clay content, %</w:t>
            </w:r>
          </w:p>
        </w:tc>
        <w:tc>
          <w:tcPr>
            <w:tcW w:w="1337" w:type="pct"/>
            <w:vMerge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S_COARSE</w:t>
            </w:r>
          </w:p>
        </w:tc>
        <w:tc>
          <w:tcPr>
            <w:tcW w:w="2877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Coarse fragments, %</w:t>
            </w:r>
          </w:p>
        </w:tc>
        <w:tc>
          <w:tcPr>
            <w:tcW w:w="1337" w:type="pct"/>
            <w:vMerge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S_CN</w:t>
            </w:r>
          </w:p>
        </w:tc>
        <w:tc>
          <w:tcPr>
            <w:tcW w:w="2877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Carbon to nitrogen ratio</w:t>
            </w:r>
          </w:p>
        </w:tc>
        <w:tc>
          <w:tcPr>
            <w:tcW w:w="1337" w:type="pct"/>
            <w:vMerge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S_C</w:t>
            </w:r>
          </w:p>
        </w:tc>
        <w:tc>
          <w:tcPr>
            <w:tcW w:w="2877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Organic carbon content of soils, g/kg</w:t>
            </w:r>
          </w:p>
        </w:tc>
        <w:tc>
          <w:tcPr>
            <w:tcW w:w="1337" w:type="pct"/>
            <w:vMerge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S_N</w:t>
            </w:r>
          </w:p>
        </w:tc>
        <w:tc>
          <w:tcPr>
            <w:tcW w:w="2877" w:type="pct"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Organic nitrogen content of soils, g/kg</w:t>
            </w:r>
          </w:p>
        </w:tc>
        <w:tc>
          <w:tcPr>
            <w:tcW w:w="1337" w:type="pct"/>
            <w:vMerge/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bottom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S_AWC</w:t>
            </w:r>
          </w:p>
        </w:tc>
        <w:tc>
          <w:tcPr>
            <w:tcW w:w="2877" w:type="pct"/>
            <w:tcBorders>
              <w:bottom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Available water capacity</w:t>
            </w:r>
          </w:p>
        </w:tc>
        <w:tc>
          <w:tcPr>
            <w:tcW w:w="1337" w:type="pct"/>
            <w:vMerge/>
            <w:tcBorders>
              <w:bottom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Geology</w:t>
            </w:r>
          </w:p>
        </w:tc>
        <w:tc>
          <w:tcPr>
            <w:tcW w:w="2877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bottom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SF_THICK</w:t>
            </w:r>
          </w:p>
        </w:tc>
        <w:tc>
          <w:tcPr>
            <w:tcW w:w="2877" w:type="pct"/>
            <w:tcBorders>
              <w:bottom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Superficial thickness, m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</w:rPr>
              <w:instrText xml:space="preserve"> ADDIN NE.Ref.{329A1DF2-ABC6-4CA4-824C-B2CD64D2E72C}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256000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(BGS, 2020)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A2DA7" w:rsidRPr="00234040" w:rsidTr="00E66CAB">
        <w:trPr>
          <w:trHeight w:val="283"/>
          <w:jc w:val="center"/>
        </w:trPr>
        <w:tc>
          <w:tcPr>
            <w:tcW w:w="3663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Hydrogeology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AQ_THICK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Aquifer thickness, m</w:t>
            </w:r>
          </w:p>
        </w:tc>
        <w:tc>
          <w:tcPr>
            <w:tcW w:w="1337" w:type="pct"/>
            <w:vMerge w:val="restar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</w:rPr>
              <w:instrText xml:space="preserve"> ADDIN NE.Ref.{FA9C98CC-950F-45A1-856B-4751D8AE05D0}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4B5873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(Wang &amp; Burke, 2017)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USZ_THICK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Unsaturated zone thickness, m</w:t>
            </w:r>
          </w:p>
        </w:tc>
        <w:tc>
          <w:tcPr>
            <w:tcW w:w="1337" w:type="pct"/>
            <w:vMerge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Transmissivity, m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/day</w:t>
            </w:r>
          </w:p>
        </w:tc>
        <w:tc>
          <w:tcPr>
            <w:tcW w:w="1337" w:type="pct"/>
            <w:vMerge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287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Average horizontal hydraulic conductivity, m/d</w:t>
            </w:r>
          </w:p>
        </w:tc>
        <w:tc>
          <w:tcPr>
            <w:tcW w:w="133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A2DA7" w:rsidRPr="00234040" w:rsidTr="00E66CAB">
        <w:trPr>
          <w:trHeight w:val="283"/>
          <w:jc w:val="center"/>
        </w:trPr>
        <w:tc>
          <w:tcPr>
            <w:tcW w:w="3663" w:type="pct"/>
            <w:gridSpan w:val="2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noWrap/>
            <w:vAlign w:val="center"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FERTILISER</w:t>
            </w:r>
          </w:p>
        </w:tc>
        <w:tc>
          <w:tcPr>
            <w:tcW w:w="287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Average annual nitrogen fertiliser application rate, kg/km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7" w:type="pct"/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  <w:instrText xml:space="preserve"> ADDIN NE.Ref.{DFEAC1A3-156F-48C9-A1E6-FDB468ED3945}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  <w:fldChar w:fldCharType="separate"/>
            </w:r>
            <w:r w:rsidR="004B5873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(Osório et al., 2019)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8A2DA7" w:rsidRPr="00234040" w:rsidTr="00205C00">
        <w:trPr>
          <w:trHeight w:val="283"/>
          <w:jc w:val="center"/>
        </w:trPr>
        <w:tc>
          <w:tcPr>
            <w:tcW w:w="786" w:type="pct"/>
            <w:tcBorders>
              <w:bottom w:val="single" w:sz="8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RESIDENTS</w:t>
            </w:r>
          </w:p>
        </w:tc>
        <w:tc>
          <w:tcPr>
            <w:tcW w:w="2877" w:type="pct"/>
            <w:tcBorders>
              <w:bottom w:val="single" w:sz="8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UK gridded population, 2011</w:t>
            </w:r>
          </w:p>
        </w:tc>
        <w:tc>
          <w:tcPr>
            <w:tcW w:w="1337" w:type="pct"/>
            <w:tcBorders>
              <w:bottom w:val="single" w:sz="8" w:space="0" w:color="auto"/>
            </w:tcBorders>
            <w:noWrap/>
            <w:vAlign w:val="center"/>
            <w:hideMark/>
          </w:tcPr>
          <w:p w:rsidR="008A2DA7" w:rsidRPr="00234040" w:rsidRDefault="008A2DA7" w:rsidP="00E66CA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begin"/>
            </w:r>
            <w:r w:rsidR="004B5873">
              <w:rPr>
                <w:rFonts w:cs="Times New Roman"/>
                <w:color w:val="000000" w:themeColor="text1"/>
                <w:sz w:val="20"/>
                <w:szCs w:val="20"/>
              </w:rPr>
              <w:instrText xml:space="preserve"> ADDIN NE.Ref.{0BA096E1-7751-4E93-80C8-B3AB82B182B9}</w:instrTex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separate"/>
            </w:r>
            <w:r w:rsidR="004B5873">
              <w:rPr>
                <w:rFonts w:cs="Times New Roman"/>
                <w:color w:val="000000"/>
                <w:kern w:val="0"/>
                <w:sz w:val="20"/>
                <w:szCs w:val="20"/>
                <w:lang w:val="en-US"/>
                <w14:ligatures w14:val="standardContextual"/>
              </w:rPr>
              <w:t>(Reis et al., 2017)</w:t>
            </w: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:rsidR="008A2DA7" w:rsidRPr="00234040" w:rsidRDefault="008A2DA7" w:rsidP="008A2DA7">
      <w:pPr>
        <w:autoSpaceDE w:val="0"/>
        <w:autoSpaceDN w:val="0"/>
        <w:adjustRightInd w:val="0"/>
        <w:jc w:val="left"/>
        <w:rPr>
          <w:rFonts w:cs="Times New Roman"/>
          <w:color w:val="000000" w:themeColor="text1"/>
        </w:rPr>
      </w:pPr>
    </w:p>
    <w:bookmarkEnd w:id="0"/>
    <w:p w:rsidR="008A2DA7" w:rsidRPr="00234040" w:rsidRDefault="008A2DA7" w:rsidP="008A2DA7">
      <w:pPr>
        <w:jc w:val="left"/>
        <w:rPr>
          <w:rFonts w:cs="Times New Roman"/>
          <w:b/>
          <w:bCs/>
          <w:color w:val="000000" w:themeColor="text1"/>
          <w:sz w:val="20"/>
          <w:szCs w:val="20"/>
        </w:rPr>
        <w:sectPr w:rsidR="008A2DA7" w:rsidRPr="00234040" w:rsidSect="00574AF1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:rsidR="008A2DA7" w:rsidRPr="00234040" w:rsidRDefault="008A2DA7" w:rsidP="008A2DA7">
      <w:pPr>
        <w:jc w:val="left"/>
        <w:rPr>
          <w:rFonts w:cs="Times New Roman"/>
          <w:b/>
          <w:bCs/>
          <w:color w:val="000000" w:themeColor="text1"/>
        </w:rPr>
      </w:pPr>
      <w:r w:rsidRPr="00234040">
        <w:rPr>
          <w:rFonts w:cs="Times New Roman"/>
          <w:b/>
          <w:bCs/>
          <w:color w:val="000000" w:themeColor="text1"/>
        </w:rPr>
        <w:lastRenderedPageBreak/>
        <w:t>Table S2</w:t>
      </w:r>
    </w:p>
    <w:p w:rsidR="008A2DA7" w:rsidRPr="00234040" w:rsidRDefault="008A2DA7" w:rsidP="008A2DA7">
      <w:pPr>
        <w:rPr>
          <w:rFonts w:cs="Times New Roman"/>
          <w:color w:val="000000" w:themeColor="text1"/>
        </w:rPr>
      </w:pPr>
      <w:r w:rsidRPr="00234040">
        <w:rPr>
          <w:rFonts w:cs="Times New Roman"/>
          <w:color w:val="000000" w:themeColor="text1"/>
        </w:rPr>
        <w:t>Optimal hyperparameters of the machine learning models,</w:t>
      </w:r>
      <w:r w:rsidR="00073220">
        <w:rPr>
          <w:rFonts w:cs="Times New Roman"/>
          <w:color w:val="000000" w:themeColor="text1"/>
        </w:rPr>
        <w:t xml:space="preserve"> </w:t>
      </w:r>
      <w:r w:rsidR="00073220" w:rsidRPr="00ED7159">
        <w:rPr>
          <w:rFonts w:cs="Times New Roman"/>
          <w:color w:val="000000" w:themeColor="text1"/>
        </w:rPr>
        <w:t>gradient boosting decision tree</w:t>
      </w:r>
      <w:r w:rsidR="00073220" w:rsidRPr="00B4628C">
        <w:rPr>
          <w:rFonts w:cs="Times New Roman"/>
          <w:color w:val="000000" w:themeColor="text1"/>
        </w:rPr>
        <w:t xml:space="preserve"> </w:t>
      </w:r>
      <w:r w:rsidR="00073220" w:rsidRPr="00ED7159">
        <w:rPr>
          <w:rFonts w:cs="Times New Roman"/>
          <w:color w:val="000000" w:themeColor="text1"/>
        </w:rPr>
        <w:t>(GBDT)</w:t>
      </w:r>
      <w:r w:rsidR="00073220" w:rsidRPr="00B4628C">
        <w:rPr>
          <w:rFonts w:cs="Times New Roman"/>
          <w:color w:val="000000" w:themeColor="text1"/>
        </w:rPr>
        <w:t xml:space="preserve">, </w:t>
      </w:r>
      <w:r w:rsidR="00073220" w:rsidRPr="00ED7159">
        <w:rPr>
          <w:rFonts w:cs="Times New Roman"/>
          <w:color w:val="000000" w:themeColor="text1"/>
        </w:rPr>
        <w:t>extreme gradient boosting (XGB), random forest (RF),</w:t>
      </w:r>
      <w:r w:rsidR="00073220" w:rsidRPr="00B4628C">
        <w:rPr>
          <w:rFonts w:cs="Times New Roman"/>
          <w:color w:val="000000" w:themeColor="text1"/>
        </w:rPr>
        <w:t xml:space="preserve"> </w:t>
      </w:r>
      <w:r w:rsidR="00073220" w:rsidRPr="00ED7159">
        <w:rPr>
          <w:rFonts w:cs="Times New Roman"/>
          <w:color w:val="000000" w:themeColor="text1"/>
        </w:rPr>
        <w:t>extremely randomized trees (ET)</w:t>
      </w:r>
      <w:r w:rsidR="00073220" w:rsidRPr="00B4628C">
        <w:rPr>
          <w:rFonts w:cs="Times New Roman"/>
          <w:color w:val="000000" w:themeColor="text1"/>
        </w:rPr>
        <w:t>, and</w:t>
      </w:r>
      <w:r w:rsidR="00073220">
        <w:rPr>
          <w:rFonts w:cs="Times New Roman"/>
          <w:color w:val="000000" w:themeColor="text1"/>
        </w:rPr>
        <w:t xml:space="preserve"> </w:t>
      </w:r>
      <w:r w:rsidR="00073220" w:rsidRPr="00ED7159">
        <w:rPr>
          <w:rFonts w:cs="Times New Roman"/>
          <w:color w:val="000000" w:themeColor="text1"/>
        </w:rPr>
        <w:t xml:space="preserve">k-nearest </w:t>
      </w:r>
      <w:proofErr w:type="spellStart"/>
      <w:r w:rsidR="00073220" w:rsidRPr="00ED7159">
        <w:rPr>
          <w:rFonts w:cs="Times New Roman"/>
          <w:color w:val="000000" w:themeColor="text1"/>
        </w:rPr>
        <w:t>neighbor</w:t>
      </w:r>
      <w:r w:rsidR="00073220">
        <w:rPr>
          <w:rFonts w:cs="Times New Roman"/>
          <w:color w:val="000000" w:themeColor="text1"/>
        </w:rPr>
        <w:t>s</w:t>
      </w:r>
      <w:proofErr w:type="spellEnd"/>
      <w:r w:rsidR="00073220">
        <w:rPr>
          <w:rFonts w:cs="Times New Roman"/>
          <w:color w:val="000000" w:themeColor="text1"/>
        </w:rPr>
        <w:t xml:space="preserve"> </w:t>
      </w:r>
      <w:r w:rsidR="00073220" w:rsidRPr="00ED7159">
        <w:rPr>
          <w:rFonts w:cs="Times New Roman"/>
          <w:color w:val="000000" w:themeColor="text1"/>
        </w:rPr>
        <w:t>(KNN)</w:t>
      </w:r>
      <w:r w:rsidRPr="00234040">
        <w:rPr>
          <w:rFonts w:cs="Times New Roman"/>
          <w:color w:val="000000" w:themeColor="text1"/>
        </w:rPr>
        <w:t xml:space="preserve"> in level</w:t>
      </w:r>
      <w:r w:rsidR="00FB09E9" w:rsidRPr="00234040">
        <w:rPr>
          <w:rFonts w:cs="Times New Roman"/>
          <w:color w:val="000000" w:themeColor="text1"/>
        </w:rPr>
        <w:t xml:space="preserve"> </w:t>
      </w:r>
      <w:r w:rsidRPr="00234040">
        <w:rPr>
          <w:rFonts w:cs="Times New Roman"/>
          <w:color w:val="000000" w:themeColor="text1"/>
        </w:rPr>
        <w:t>0</w:t>
      </w:r>
      <w:r w:rsidR="00EC3CEB">
        <w:rPr>
          <w:rFonts w:cs="Times New Roman"/>
          <w:color w:val="000000" w:themeColor="text1"/>
        </w:rPr>
        <w:t>,</w:t>
      </w:r>
      <w:r w:rsidRPr="00234040">
        <w:rPr>
          <w:rFonts w:cs="Times New Roman"/>
          <w:color w:val="000000" w:themeColor="text1"/>
        </w:rPr>
        <w:t xml:space="preserve"> and </w:t>
      </w:r>
      <w:r w:rsidR="00EC3CEB">
        <w:rPr>
          <w:rFonts w:cs="Times New Roman"/>
          <w:color w:val="000000" w:themeColor="text1"/>
        </w:rPr>
        <w:t xml:space="preserve">the meta-model, </w:t>
      </w:r>
      <w:r w:rsidRPr="00234040">
        <w:rPr>
          <w:rFonts w:cs="Times New Roman"/>
          <w:color w:val="000000" w:themeColor="text1"/>
        </w:rPr>
        <w:t>KNN</w:t>
      </w:r>
      <w:r w:rsidR="00EC3CEB">
        <w:rPr>
          <w:rFonts w:cs="Times New Roman"/>
          <w:color w:val="000000" w:themeColor="text1"/>
        </w:rPr>
        <w:t>,</w:t>
      </w:r>
      <w:r w:rsidRPr="00234040">
        <w:rPr>
          <w:rFonts w:cs="Times New Roman"/>
          <w:color w:val="000000" w:themeColor="text1"/>
        </w:rPr>
        <w:t xml:space="preserve"> in level 1.</w:t>
      </w:r>
    </w:p>
    <w:tbl>
      <w:tblPr>
        <w:tblStyle w:val="PlainTable2"/>
        <w:tblW w:w="5000" w:type="pct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1385"/>
        <w:gridCol w:w="5874"/>
      </w:tblGrid>
      <w:tr w:rsidR="008A2DA7" w:rsidRPr="00234040" w:rsidTr="00205C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325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Hyperparameters</w:t>
            </w:r>
          </w:p>
        </w:tc>
      </w:tr>
      <w:tr w:rsidR="008A2DA7" w:rsidRPr="00234040" w:rsidTr="0050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vMerge w:val="restart"/>
            <w:tcBorders>
              <w:top w:val="single" w:sz="8" w:space="0" w:color="auto"/>
              <w:bottom w:val="none" w:sz="0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Base models</w:t>
            </w:r>
          </w:p>
        </w:tc>
        <w:tc>
          <w:tcPr>
            <w:tcW w:w="76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GBDT</w:t>
            </w:r>
          </w:p>
        </w:tc>
        <w:tc>
          <w:tcPr>
            <w:tcW w:w="325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n_estimators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=185,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learning_rate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=0.03,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max_depth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=11,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min_samples_leaf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=13, subsample=1.0</w:t>
            </w:r>
          </w:p>
        </w:tc>
      </w:tr>
      <w:tr w:rsidR="008A2DA7" w:rsidRPr="00234040" w:rsidTr="00501A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vMerge/>
            <w:tcBorders>
              <w:top w:val="single" w:sz="4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XGB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n_estimators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=359,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learning_rate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=0.35,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max_depth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=13,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min_child_weight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=13, gamma=0.03,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colsample_bytree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 =0.53, subsample=0.74,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reg_lambda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=5.84,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reg_alpha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=1.46</w:t>
            </w:r>
          </w:p>
        </w:tc>
      </w:tr>
      <w:tr w:rsidR="008A2DA7" w:rsidRPr="00234040" w:rsidTr="0050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n_estimators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=114,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max_depth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=18,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min_samples_leaf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=3,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min_samples_split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=5,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max_features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=20</w:t>
            </w:r>
          </w:p>
        </w:tc>
      </w:tr>
      <w:tr w:rsidR="008A2DA7" w:rsidRPr="00234040" w:rsidTr="00501A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vMerge/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ET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criterion=‘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mse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’,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n_estimators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=157,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min_samples_leaf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=1,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min_samples_split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=6,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max_depth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=8</w:t>
            </w:r>
          </w:p>
        </w:tc>
      </w:tr>
      <w:tr w:rsidR="008A2DA7" w:rsidRPr="00234040" w:rsidTr="0050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vMerge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KNN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weights=’distance’,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n_neighbors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=6</w:t>
            </w:r>
          </w:p>
        </w:tc>
      </w:tr>
      <w:tr w:rsidR="008A2DA7" w:rsidRPr="00234040" w:rsidTr="00205C00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Meta-model</w:t>
            </w:r>
          </w:p>
        </w:tc>
        <w:tc>
          <w:tcPr>
            <w:tcW w:w="767" w:type="pct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KNN</w:t>
            </w:r>
          </w:p>
        </w:tc>
        <w:tc>
          <w:tcPr>
            <w:tcW w:w="3254" w:type="pct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8A2DA7" w:rsidRPr="00234040" w:rsidRDefault="008A2DA7" w:rsidP="00E66CAB">
            <w:pPr>
              <w:spacing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 xml:space="preserve">weights=’distance’, </w:t>
            </w:r>
            <w:proofErr w:type="spellStart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n_neighbors</w:t>
            </w:r>
            <w:proofErr w:type="spellEnd"/>
            <w:r w:rsidRPr="00234040">
              <w:rPr>
                <w:rFonts w:cs="Times New Roman"/>
                <w:color w:val="000000" w:themeColor="text1"/>
                <w:sz w:val="20"/>
                <w:szCs w:val="20"/>
              </w:rPr>
              <w:t>=14</w:t>
            </w:r>
          </w:p>
        </w:tc>
      </w:tr>
    </w:tbl>
    <w:p w:rsidR="008A2DA7" w:rsidRPr="00234040" w:rsidRDefault="008A2DA7" w:rsidP="008A2DA7">
      <w:pPr>
        <w:autoSpaceDE w:val="0"/>
        <w:autoSpaceDN w:val="0"/>
        <w:adjustRightInd w:val="0"/>
        <w:jc w:val="left"/>
        <w:rPr>
          <w:rFonts w:cs="Times New Roman"/>
          <w:color w:val="000000" w:themeColor="text1"/>
          <w:sz w:val="20"/>
          <w:szCs w:val="20"/>
        </w:rPr>
        <w:sectPr w:rsidR="008A2DA7" w:rsidRPr="00234040" w:rsidSect="00574AF1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:rsidR="008A2DA7" w:rsidRPr="00234040" w:rsidRDefault="008A2DA7" w:rsidP="008A2DA7">
      <w:pPr>
        <w:autoSpaceDE w:val="0"/>
        <w:autoSpaceDN w:val="0"/>
        <w:adjustRightInd w:val="0"/>
        <w:jc w:val="left"/>
        <w:rPr>
          <w:rFonts w:cs="Times New Roman"/>
          <w:color w:val="000000" w:themeColor="text1"/>
          <w:sz w:val="20"/>
          <w:szCs w:val="20"/>
        </w:rPr>
      </w:pPr>
      <w:r w:rsidRPr="00234040">
        <w:rPr>
          <w:rFonts w:cs="Times New Roman"/>
          <w:noProof/>
          <w:color w:val="000000" w:themeColor="text1"/>
          <w:sz w:val="20"/>
          <w:szCs w:val="20"/>
          <w:lang w:val="en-IN" w:eastAsia="en-IN"/>
        </w:rPr>
        <w:lastRenderedPageBreak/>
        <w:drawing>
          <wp:inline distT="0" distB="0" distL="0" distR="0" wp14:anchorId="03D075C5" wp14:editId="6F42C6FC">
            <wp:extent cx="5624948" cy="6238899"/>
            <wp:effectExtent l="0" t="0" r="0" b="0"/>
            <wp:docPr id="46613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27" cy="626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2DA7" w:rsidRPr="00234040" w:rsidRDefault="008A2DA7" w:rsidP="00BB5151">
      <w:pPr>
        <w:pStyle w:val="Figure"/>
        <w:jc w:val="center"/>
        <w:rPr>
          <w:rFonts w:cs="Times New Roman"/>
          <w:color w:val="000000" w:themeColor="text1"/>
          <w:sz w:val="24"/>
        </w:rPr>
      </w:pPr>
      <w:r w:rsidRPr="00234040">
        <w:rPr>
          <w:rFonts w:cs="Times New Roman"/>
          <w:b/>
          <w:color w:val="000000" w:themeColor="text1"/>
          <w:sz w:val="24"/>
        </w:rPr>
        <w:t xml:space="preserve">Fig. S1. </w:t>
      </w:r>
      <w:r w:rsidR="003250CA">
        <w:rPr>
          <w:rFonts w:cs="Times New Roman"/>
          <w:bCs w:val="0"/>
          <w:color w:val="000000" w:themeColor="text1"/>
          <w:sz w:val="24"/>
        </w:rPr>
        <w:t>E</w:t>
      </w:r>
      <w:r w:rsidRPr="00234040">
        <w:rPr>
          <w:rFonts w:cs="Times New Roman"/>
          <w:bCs w:val="0"/>
          <w:color w:val="000000" w:themeColor="text1"/>
          <w:sz w:val="24"/>
        </w:rPr>
        <w:t>nvironmental</w:t>
      </w:r>
      <w:r w:rsidRPr="00234040">
        <w:rPr>
          <w:rFonts w:cs="Times New Roman"/>
          <w:color w:val="000000" w:themeColor="text1"/>
          <w:sz w:val="24"/>
        </w:rPr>
        <w:t xml:space="preserve"> variables in the Eden Valley.</w:t>
      </w:r>
    </w:p>
    <w:p w:rsidR="008A2DA7" w:rsidRPr="00234040" w:rsidRDefault="008A2DA7" w:rsidP="00BB5151">
      <w:pPr>
        <w:pStyle w:val="Figure"/>
        <w:jc w:val="left"/>
        <w:rPr>
          <w:rFonts w:cs="Times New Roman"/>
          <w:b/>
          <w:color w:val="000000" w:themeColor="text1"/>
          <w:sz w:val="24"/>
        </w:rPr>
      </w:pPr>
    </w:p>
    <w:p w:rsidR="00B155A0" w:rsidRPr="00234040" w:rsidRDefault="00BA1C87" w:rsidP="00B155A0">
      <w:pPr>
        <w:pStyle w:val="Figure"/>
        <w:jc w:val="center"/>
        <w:rPr>
          <w:rFonts w:cs="Times New Roman"/>
          <w:color w:val="000000" w:themeColor="text1"/>
          <w:sz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3609975" cy="3244215"/>
            <wp:effectExtent l="0" t="0" r="9525" b="0"/>
            <wp:docPr id="13737886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5A0" w:rsidRDefault="00B155A0" w:rsidP="0066513D">
      <w:pPr>
        <w:pStyle w:val="Figure"/>
        <w:rPr>
          <w:rFonts w:cs="Times New Roman"/>
          <w:color w:val="000000" w:themeColor="text1"/>
          <w:sz w:val="24"/>
        </w:rPr>
      </w:pPr>
      <w:r w:rsidRPr="00234040">
        <w:rPr>
          <w:rFonts w:cs="Times New Roman"/>
          <w:b/>
          <w:color w:val="000000" w:themeColor="text1"/>
          <w:sz w:val="24"/>
        </w:rPr>
        <w:t>Fig. S2.</w:t>
      </w:r>
      <w:r w:rsidRPr="00234040">
        <w:rPr>
          <w:rFonts w:cs="Times New Roman"/>
          <w:color w:val="000000" w:themeColor="text1"/>
          <w:sz w:val="24"/>
        </w:rPr>
        <w:t xml:space="preserve"> </w:t>
      </w:r>
      <w:r w:rsidR="002C5408">
        <w:rPr>
          <w:rFonts w:cs="Times New Roman"/>
          <w:color w:val="000000" w:themeColor="text1"/>
          <w:sz w:val="24"/>
        </w:rPr>
        <w:t>The b</w:t>
      </w:r>
      <w:r w:rsidR="00EE24D0">
        <w:rPr>
          <w:rFonts w:cs="Times New Roman"/>
          <w:color w:val="000000" w:themeColor="text1"/>
          <w:sz w:val="24"/>
        </w:rPr>
        <w:t>oxplot</w:t>
      </w:r>
      <w:r w:rsidRPr="00234040">
        <w:rPr>
          <w:rFonts w:cs="Times New Roman"/>
          <w:color w:val="000000" w:themeColor="text1"/>
          <w:sz w:val="24"/>
        </w:rPr>
        <w:t xml:space="preserve"> of </w:t>
      </w:r>
      <w:r w:rsidR="0044209B">
        <w:rPr>
          <w:rFonts w:cs="Times New Roman"/>
          <w:color w:val="000000" w:themeColor="text1"/>
          <w:sz w:val="24"/>
        </w:rPr>
        <w:t xml:space="preserve">groundwater </w:t>
      </w:r>
      <w:r w:rsidRPr="00234040">
        <w:rPr>
          <w:rFonts w:cs="Times New Roman"/>
          <w:color w:val="000000" w:themeColor="text1"/>
          <w:sz w:val="24"/>
        </w:rPr>
        <w:t xml:space="preserve">nitrate concentrations for </w:t>
      </w:r>
      <w:r w:rsidR="00EE24D0">
        <w:rPr>
          <w:rFonts w:cs="Times New Roman"/>
          <w:color w:val="000000" w:themeColor="text1"/>
          <w:sz w:val="24"/>
        </w:rPr>
        <w:t xml:space="preserve">all data, </w:t>
      </w:r>
      <w:r w:rsidRPr="00234040">
        <w:rPr>
          <w:rFonts w:cs="Times New Roman"/>
          <w:color w:val="000000" w:themeColor="text1"/>
          <w:sz w:val="24"/>
        </w:rPr>
        <w:t>training data</w:t>
      </w:r>
      <w:r w:rsidR="0066513D">
        <w:rPr>
          <w:rFonts w:cs="Times New Roman"/>
          <w:color w:val="000000" w:themeColor="text1"/>
          <w:sz w:val="24"/>
        </w:rPr>
        <w:t>,</w:t>
      </w:r>
      <w:r w:rsidRPr="00234040">
        <w:rPr>
          <w:rFonts w:cs="Times New Roman"/>
          <w:color w:val="000000" w:themeColor="text1"/>
          <w:sz w:val="24"/>
        </w:rPr>
        <w:t xml:space="preserve"> and testing data</w:t>
      </w:r>
      <w:r w:rsidR="00EE24D0">
        <w:rPr>
          <w:rFonts w:cs="Times New Roman"/>
          <w:color w:val="000000" w:themeColor="text1"/>
          <w:sz w:val="24"/>
        </w:rPr>
        <w:t>.</w:t>
      </w:r>
    </w:p>
    <w:p w:rsidR="00271188" w:rsidRDefault="00271188" w:rsidP="00BB5151">
      <w:pPr>
        <w:pStyle w:val="Figure"/>
        <w:jc w:val="center"/>
        <w:rPr>
          <w:rFonts w:cs="Times New Roman"/>
          <w:color w:val="000000" w:themeColor="text1"/>
          <w:sz w:val="24"/>
        </w:rPr>
      </w:pPr>
    </w:p>
    <w:p w:rsidR="00271188" w:rsidRDefault="00271188" w:rsidP="00BB5151">
      <w:pPr>
        <w:pStyle w:val="Figure"/>
        <w:jc w:val="center"/>
        <w:rPr>
          <w:rFonts w:cs="Times New Roman"/>
          <w:color w:val="000000" w:themeColor="text1"/>
          <w:sz w:val="24"/>
        </w:rPr>
      </w:pPr>
    </w:p>
    <w:p w:rsidR="00271188" w:rsidRDefault="00271188" w:rsidP="00BB5151">
      <w:pPr>
        <w:pStyle w:val="Figure"/>
        <w:jc w:val="center"/>
        <w:rPr>
          <w:rFonts w:cs="Times New Roman"/>
          <w:color w:val="000000" w:themeColor="text1"/>
          <w:sz w:val="24"/>
        </w:rPr>
      </w:pPr>
    </w:p>
    <w:p w:rsidR="00331CC1" w:rsidRPr="00C31821" w:rsidRDefault="00C31821" w:rsidP="00C31821">
      <w:pPr>
        <w:pStyle w:val="Figure"/>
        <w:jc w:val="center"/>
        <w:rPr>
          <w:rFonts w:cs="Times New Roman"/>
          <w:color w:val="000000" w:themeColor="text1"/>
          <w:sz w:val="24"/>
        </w:rPr>
      </w:pPr>
      <w:r>
        <w:rPr>
          <w:noProof/>
          <w:lang w:val="en-IN" w:eastAsia="en-IN"/>
        </w:rPr>
        <w:drawing>
          <wp:inline distT="0" distB="0" distL="0" distR="0">
            <wp:extent cx="5731510" cy="2769870"/>
            <wp:effectExtent l="0" t="0" r="2540" b="0"/>
            <wp:docPr id="378713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164" w:rsidRDefault="00B92164" w:rsidP="0066513D">
      <w:pPr>
        <w:pStyle w:val="Figure"/>
        <w:rPr>
          <w:rFonts w:cs="Times New Roman"/>
          <w:color w:val="000000" w:themeColor="text1"/>
          <w:sz w:val="24"/>
        </w:rPr>
      </w:pPr>
      <w:r w:rsidRPr="00234040">
        <w:rPr>
          <w:rFonts w:cs="Times New Roman"/>
          <w:b/>
          <w:color w:val="000000" w:themeColor="text1"/>
          <w:sz w:val="24"/>
        </w:rPr>
        <w:t>Fig. S</w:t>
      </w:r>
      <w:r>
        <w:rPr>
          <w:rFonts w:cs="Times New Roman"/>
          <w:b/>
          <w:color w:val="000000" w:themeColor="text1"/>
          <w:sz w:val="24"/>
        </w:rPr>
        <w:t>3</w:t>
      </w:r>
      <w:r w:rsidRPr="00234040">
        <w:rPr>
          <w:rFonts w:cs="Times New Roman"/>
          <w:b/>
          <w:color w:val="000000" w:themeColor="text1"/>
          <w:sz w:val="24"/>
        </w:rPr>
        <w:t>.</w:t>
      </w:r>
      <w:r w:rsidRPr="00234040">
        <w:rPr>
          <w:rFonts w:cs="Times New Roman"/>
          <w:color w:val="000000" w:themeColor="text1"/>
          <w:sz w:val="24"/>
        </w:rPr>
        <w:t xml:space="preserve"> </w:t>
      </w:r>
      <w:r w:rsidR="00890A98">
        <w:rPr>
          <w:rFonts w:cs="Times New Roman"/>
          <w:color w:val="000000" w:themeColor="text1"/>
          <w:sz w:val="24"/>
        </w:rPr>
        <w:t>The frequency distribution h</w:t>
      </w:r>
      <w:r w:rsidR="00890A98" w:rsidRPr="00FC7E62">
        <w:rPr>
          <w:rFonts w:cs="Times New Roman"/>
          <w:color w:val="000000" w:themeColor="text1"/>
          <w:sz w:val="24"/>
        </w:rPr>
        <w:t>istogram</w:t>
      </w:r>
      <w:r w:rsidR="00382076">
        <w:rPr>
          <w:rFonts w:cs="Times New Roman"/>
          <w:color w:val="000000" w:themeColor="text1"/>
          <w:sz w:val="24"/>
        </w:rPr>
        <w:t>s</w:t>
      </w:r>
      <w:r w:rsidR="00890A98">
        <w:rPr>
          <w:rFonts w:cs="Times New Roman"/>
          <w:color w:val="000000" w:themeColor="text1"/>
          <w:sz w:val="24"/>
        </w:rPr>
        <w:t xml:space="preserve"> of (a) the elevation and (b) </w:t>
      </w:r>
      <w:r w:rsidR="00055B86">
        <w:rPr>
          <w:rFonts w:cs="Times New Roman"/>
          <w:color w:val="000000" w:themeColor="text1"/>
          <w:sz w:val="24"/>
        </w:rPr>
        <w:t xml:space="preserve">the </w:t>
      </w:r>
      <w:r w:rsidRPr="00B92164">
        <w:rPr>
          <w:rFonts w:cs="Times New Roman"/>
          <w:color w:val="000000" w:themeColor="text1"/>
          <w:sz w:val="24"/>
        </w:rPr>
        <w:t>p</w:t>
      </w:r>
      <w:r>
        <w:rPr>
          <w:rFonts w:cs="Times New Roman"/>
          <w:color w:val="000000" w:themeColor="text1"/>
          <w:sz w:val="24"/>
        </w:rPr>
        <w:t xml:space="preserve">ercentage </w:t>
      </w:r>
      <w:r w:rsidRPr="00B92164">
        <w:rPr>
          <w:rFonts w:cs="Times New Roman"/>
          <w:color w:val="000000" w:themeColor="text1"/>
          <w:sz w:val="24"/>
        </w:rPr>
        <w:t xml:space="preserve">of </w:t>
      </w:r>
      <w:r>
        <w:rPr>
          <w:rFonts w:cs="Times New Roman"/>
          <w:color w:val="000000" w:themeColor="text1"/>
          <w:sz w:val="24"/>
        </w:rPr>
        <w:t>arable l</w:t>
      </w:r>
      <w:r w:rsidRPr="00B92164">
        <w:rPr>
          <w:rFonts w:cs="Times New Roman"/>
          <w:color w:val="000000" w:themeColor="text1"/>
          <w:sz w:val="24"/>
        </w:rPr>
        <w:t xml:space="preserve">and </w:t>
      </w:r>
      <w:r w:rsidR="000975FC">
        <w:rPr>
          <w:rFonts w:cs="Times New Roman"/>
          <w:color w:val="000000" w:themeColor="text1"/>
          <w:sz w:val="24"/>
        </w:rPr>
        <w:t>at</w:t>
      </w:r>
      <w:r w:rsidR="00166A94">
        <w:rPr>
          <w:rFonts w:cs="Times New Roman"/>
          <w:color w:val="000000" w:themeColor="text1"/>
          <w:sz w:val="24"/>
        </w:rPr>
        <w:t xml:space="preserve"> </w:t>
      </w:r>
      <w:r w:rsidR="00635111">
        <w:rPr>
          <w:rFonts w:cs="Times New Roman"/>
          <w:color w:val="000000" w:themeColor="text1"/>
          <w:sz w:val="24"/>
        </w:rPr>
        <w:t>different</w:t>
      </w:r>
      <w:r w:rsidR="00166A94">
        <w:rPr>
          <w:rFonts w:cs="Times New Roman"/>
          <w:color w:val="000000" w:themeColor="text1"/>
          <w:sz w:val="24"/>
        </w:rPr>
        <w:t xml:space="preserve"> elevation</w:t>
      </w:r>
      <w:r w:rsidR="00635111">
        <w:rPr>
          <w:rFonts w:cs="Times New Roman"/>
          <w:color w:val="000000" w:themeColor="text1"/>
          <w:sz w:val="24"/>
        </w:rPr>
        <w:t>s</w:t>
      </w:r>
      <w:r w:rsidR="00166A94">
        <w:rPr>
          <w:rFonts w:cs="Times New Roman"/>
          <w:color w:val="000000" w:themeColor="text1"/>
          <w:sz w:val="24"/>
        </w:rPr>
        <w:t>.</w:t>
      </w:r>
    </w:p>
    <w:p w:rsidR="00E7105F" w:rsidRDefault="00E7105F" w:rsidP="0066513D">
      <w:pPr>
        <w:pStyle w:val="Figure"/>
        <w:rPr>
          <w:rFonts w:cs="Times New Roman"/>
          <w:color w:val="000000" w:themeColor="text1"/>
          <w:sz w:val="24"/>
        </w:rPr>
      </w:pPr>
    </w:p>
    <w:p w:rsidR="00E7105F" w:rsidRDefault="00CE1DC9" w:rsidP="0066513D">
      <w:pPr>
        <w:pStyle w:val="Figure"/>
        <w:rPr>
          <w:rFonts w:cs="Times New Roman"/>
          <w:color w:val="000000" w:themeColor="text1"/>
          <w:sz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731510" cy="4063365"/>
            <wp:effectExtent l="0" t="0" r="2540" b="0"/>
            <wp:docPr id="9250341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A89" w:rsidRDefault="00D671B2" w:rsidP="004B5873">
      <w:pPr>
        <w:autoSpaceDE w:val="0"/>
        <w:autoSpaceDN w:val="0"/>
        <w:adjustRightInd w:val="0"/>
        <w:jc w:val="left"/>
        <w:rPr>
          <w:rFonts w:cs="Times New Roman"/>
          <w:color w:val="000000" w:themeColor="text1"/>
        </w:rPr>
        <w:sectPr w:rsidR="009A4A89" w:rsidSect="00CF3260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234040">
        <w:rPr>
          <w:rFonts w:cs="Times New Roman"/>
          <w:b/>
          <w:color w:val="000000" w:themeColor="text1"/>
        </w:rPr>
        <w:t>Fig. S</w:t>
      </w:r>
      <w:r w:rsidR="00850859">
        <w:rPr>
          <w:rFonts w:cs="Times New Roman"/>
          <w:b/>
          <w:color w:val="000000" w:themeColor="text1"/>
        </w:rPr>
        <w:t>4</w:t>
      </w:r>
      <w:r w:rsidRPr="00234040">
        <w:rPr>
          <w:rFonts w:cs="Times New Roman"/>
          <w:b/>
          <w:color w:val="000000" w:themeColor="text1"/>
        </w:rPr>
        <w:t>.</w:t>
      </w:r>
      <w:r w:rsidRPr="00234040">
        <w:rPr>
          <w:rFonts w:cs="Times New Roman"/>
          <w:color w:val="000000" w:themeColor="text1"/>
        </w:rPr>
        <w:t xml:space="preserve"> </w:t>
      </w:r>
      <w:r w:rsidR="00850859">
        <w:rPr>
          <w:rFonts w:cs="Times New Roman"/>
          <w:color w:val="000000" w:themeColor="text1"/>
        </w:rPr>
        <w:t>Average</w:t>
      </w:r>
      <w:r w:rsidR="00850859" w:rsidRPr="00850859">
        <w:rPr>
          <w:rFonts w:cs="Times New Roman"/>
          <w:color w:val="000000" w:themeColor="text1"/>
        </w:rPr>
        <w:t xml:space="preserve"> absolute value of SHAP values</w:t>
      </w:r>
      <w:r w:rsidR="00850859">
        <w:rPr>
          <w:rFonts w:cs="Times New Roman"/>
          <w:color w:val="000000" w:themeColor="text1"/>
        </w:rPr>
        <w:t xml:space="preserve"> </w:t>
      </w:r>
      <w:r w:rsidR="00237B14">
        <w:rPr>
          <w:rFonts w:cs="Times New Roman"/>
          <w:color w:val="000000" w:themeColor="text1"/>
        </w:rPr>
        <w:t xml:space="preserve">of the top ten most important variables </w:t>
      </w:r>
      <w:r w:rsidR="00AA29A1">
        <w:rPr>
          <w:rFonts w:cs="Times New Roman"/>
          <w:color w:val="000000" w:themeColor="text1"/>
        </w:rPr>
        <w:t>in</w:t>
      </w:r>
      <w:r w:rsidR="00850859">
        <w:rPr>
          <w:rFonts w:cs="Times New Roman"/>
          <w:color w:val="000000" w:themeColor="text1"/>
        </w:rPr>
        <w:t xml:space="preserve"> the base models, including </w:t>
      </w:r>
      <w:r w:rsidR="00B4628C">
        <w:rPr>
          <w:rFonts w:cs="Times New Roman"/>
          <w:color w:val="000000" w:themeColor="text1"/>
        </w:rPr>
        <w:t xml:space="preserve">(a) </w:t>
      </w:r>
      <w:r w:rsidR="00ED7159" w:rsidRPr="00ED7159">
        <w:rPr>
          <w:rFonts w:cs="Times New Roman"/>
          <w:color w:val="000000" w:themeColor="text1"/>
        </w:rPr>
        <w:t>gradient boosting decision tree</w:t>
      </w:r>
      <w:r w:rsidR="00ED7159" w:rsidRPr="00B4628C">
        <w:rPr>
          <w:rFonts w:cs="Times New Roman"/>
          <w:color w:val="000000" w:themeColor="text1"/>
        </w:rPr>
        <w:t xml:space="preserve"> </w:t>
      </w:r>
      <w:r w:rsidR="00ED7159" w:rsidRPr="00ED7159">
        <w:rPr>
          <w:rFonts w:cs="Times New Roman"/>
          <w:color w:val="000000" w:themeColor="text1"/>
        </w:rPr>
        <w:t>(GBDT)</w:t>
      </w:r>
      <w:r w:rsidR="00B4628C" w:rsidRPr="00B4628C">
        <w:rPr>
          <w:rFonts w:cs="Times New Roman"/>
          <w:color w:val="000000" w:themeColor="text1"/>
        </w:rPr>
        <w:t xml:space="preserve">, </w:t>
      </w:r>
      <w:r w:rsidR="00B4628C">
        <w:rPr>
          <w:rFonts w:cs="Times New Roman"/>
          <w:color w:val="000000" w:themeColor="text1"/>
        </w:rPr>
        <w:t xml:space="preserve">(b) </w:t>
      </w:r>
      <w:r w:rsidR="00ED7159" w:rsidRPr="00ED7159">
        <w:rPr>
          <w:rFonts w:cs="Times New Roman"/>
          <w:color w:val="000000" w:themeColor="text1"/>
        </w:rPr>
        <w:t xml:space="preserve">extreme gradient boosting (XGB), </w:t>
      </w:r>
      <w:r w:rsidR="00B4628C">
        <w:rPr>
          <w:rFonts w:cs="Times New Roman"/>
          <w:color w:val="000000" w:themeColor="text1"/>
        </w:rPr>
        <w:t xml:space="preserve">(c) </w:t>
      </w:r>
      <w:r w:rsidR="00ED7159" w:rsidRPr="00ED7159">
        <w:rPr>
          <w:rFonts w:cs="Times New Roman"/>
          <w:color w:val="000000" w:themeColor="text1"/>
        </w:rPr>
        <w:t>random forest (RF),</w:t>
      </w:r>
      <w:r w:rsidR="00B4628C" w:rsidRPr="00B4628C">
        <w:rPr>
          <w:rFonts w:cs="Times New Roman"/>
          <w:color w:val="000000" w:themeColor="text1"/>
        </w:rPr>
        <w:t xml:space="preserve"> </w:t>
      </w:r>
      <w:r w:rsidR="00B4628C">
        <w:rPr>
          <w:rFonts w:cs="Times New Roman"/>
          <w:color w:val="000000" w:themeColor="text1"/>
        </w:rPr>
        <w:t xml:space="preserve">(d) </w:t>
      </w:r>
      <w:r w:rsidR="00ED7159" w:rsidRPr="00ED7159">
        <w:rPr>
          <w:rFonts w:cs="Times New Roman"/>
          <w:color w:val="000000" w:themeColor="text1"/>
        </w:rPr>
        <w:t>extremely randomized trees (ET)</w:t>
      </w:r>
      <w:r w:rsidR="00B4628C" w:rsidRPr="00B4628C">
        <w:rPr>
          <w:rFonts w:cs="Times New Roman"/>
          <w:color w:val="000000" w:themeColor="text1"/>
        </w:rPr>
        <w:t xml:space="preserve">, and </w:t>
      </w:r>
      <w:r w:rsidR="00B4628C">
        <w:rPr>
          <w:rFonts w:cs="Times New Roman"/>
          <w:color w:val="000000" w:themeColor="text1"/>
        </w:rPr>
        <w:t xml:space="preserve">(e) </w:t>
      </w:r>
      <w:r w:rsidR="00ED7159" w:rsidRPr="00ED7159">
        <w:rPr>
          <w:rFonts w:cs="Times New Roman"/>
          <w:color w:val="000000" w:themeColor="text1"/>
        </w:rPr>
        <w:t xml:space="preserve">k-nearest </w:t>
      </w:r>
      <w:proofErr w:type="spellStart"/>
      <w:r w:rsidR="00ED7159" w:rsidRPr="00ED7159">
        <w:rPr>
          <w:rFonts w:cs="Times New Roman"/>
          <w:color w:val="000000" w:themeColor="text1"/>
        </w:rPr>
        <w:t>neighbor</w:t>
      </w:r>
      <w:r w:rsidR="00ED7159">
        <w:rPr>
          <w:rFonts w:cs="Times New Roman"/>
          <w:color w:val="000000" w:themeColor="text1"/>
        </w:rPr>
        <w:t>s</w:t>
      </w:r>
      <w:proofErr w:type="spellEnd"/>
      <w:r w:rsidR="00ED7159">
        <w:rPr>
          <w:rFonts w:cs="Times New Roman"/>
          <w:color w:val="000000" w:themeColor="text1"/>
        </w:rPr>
        <w:t xml:space="preserve"> </w:t>
      </w:r>
      <w:r w:rsidR="00ED7159" w:rsidRPr="00ED7159">
        <w:rPr>
          <w:rFonts w:cs="Times New Roman"/>
          <w:color w:val="000000" w:themeColor="text1"/>
        </w:rPr>
        <w:t>(KNN)</w:t>
      </w:r>
      <w:r w:rsidR="00B4628C" w:rsidRPr="00B4628C">
        <w:rPr>
          <w:rFonts w:cs="Times New Roman"/>
          <w:color w:val="000000" w:themeColor="text1"/>
        </w:rPr>
        <w:t>.</w:t>
      </w:r>
    </w:p>
    <w:p w:rsidR="005B67AA" w:rsidRPr="005B67AA" w:rsidRDefault="005B67AA" w:rsidP="005B67AA">
      <w:pPr>
        <w:autoSpaceDE w:val="0"/>
        <w:autoSpaceDN w:val="0"/>
        <w:adjustRightInd w:val="0"/>
        <w:jc w:val="left"/>
        <w:rPr>
          <w:rFonts w:cs="Times New Roman"/>
          <w:kern w:val="0"/>
          <w:sz w:val="18"/>
          <w:szCs w:val="18"/>
          <w:lang w:val="en-US"/>
          <w14:ligatures w14:val="standardContextual"/>
        </w:rPr>
      </w:pPr>
      <w:bookmarkStart w:id="2" w:name="_GoBack"/>
      <w:bookmarkEnd w:id="2"/>
      <w:r w:rsidRPr="005B67AA">
        <w:rPr>
          <w:rFonts w:cs="Times New Roman"/>
          <w:b/>
          <w:bCs/>
          <w:color w:val="000000"/>
          <w:kern w:val="0"/>
          <w:lang w:val="en-US"/>
          <w14:ligatures w14:val="standardContextual"/>
        </w:rPr>
        <w:lastRenderedPageBreak/>
        <w:t>References:</w:t>
      </w:r>
    </w:p>
    <w:p w:rsidR="005B67AA" w:rsidRDefault="005B67AA" w:rsidP="005B67AA">
      <w:pPr>
        <w:autoSpaceDE w:val="0"/>
        <w:autoSpaceDN w:val="0"/>
        <w:adjustRightInd w:val="0"/>
        <w:ind w:left="440" w:hanging="440"/>
        <w:rPr>
          <w:rFonts w:cs="Times New Roman"/>
          <w:kern w:val="0"/>
          <w:lang w:val="en-US"/>
          <w14:ligatures w14:val="standardContextual"/>
        </w:rPr>
      </w:pP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 xml:space="preserve">Ballabio, C., Panagos, P., &amp; </w:t>
      </w:r>
      <w:proofErr w:type="spellStart"/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Monatanarella</w:t>
      </w:r>
      <w:proofErr w:type="spellEnd"/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 xml:space="preserve">, L. (2016). Mapping topsoil physical properties at European scale using the LUCAS database. </w:t>
      </w:r>
      <w:proofErr w:type="spellStart"/>
      <w:r>
        <w:rPr>
          <w:rFonts w:cs="Times New Roman"/>
          <w:i/>
          <w:iCs/>
          <w:color w:val="000000"/>
          <w:kern w:val="0"/>
          <w:sz w:val="20"/>
          <w:szCs w:val="20"/>
          <w:lang w:val="en-US"/>
          <w14:ligatures w14:val="standardContextual"/>
        </w:rPr>
        <w:t>Geoderma</w:t>
      </w:r>
      <w:proofErr w:type="spellEnd"/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, 261, 110-123. https://doi.org/10.1016/j.geoderma.2015.07.006.</w:t>
      </w:r>
    </w:p>
    <w:p w:rsidR="005B67AA" w:rsidRDefault="005B67AA" w:rsidP="005B67AA">
      <w:pPr>
        <w:autoSpaceDE w:val="0"/>
        <w:autoSpaceDN w:val="0"/>
        <w:adjustRightInd w:val="0"/>
        <w:ind w:left="440" w:hanging="440"/>
        <w:rPr>
          <w:rFonts w:cs="Times New Roman"/>
          <w:kern w:val="0"/>
          <w:lang w:val="en-US"/>
          <w14:ligatures w14:val="standardContextual"/>
        </w:rPr>
      </w:pP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BGS. (2020). BGS geology 50k (DigMapGB-50). British Geological Survey. https://www.bgs.ac.uk/datasets/bgs-geology-50k-digmapgb/.</w:t>
      </w:r>
    </w:p>
    <w:p w:rsidR="005B67AA" w:rsidRDefault="005B67AA" w:rsidP="005B67AA">
      <w:pPr>
        <w:autoSpaceDE w:val="0"/>
        <w:autoSpaceDN w:val="0"/>
        <w:adjustRightInd w:val="0"/>
        <w:ind w:left="440" w:hanging="440"/>
        <w:rPr>
          <w:rFonts w:cs="Times New Roman"/>
          <w:kern w:val="0"/>
          <w:lang w:val="en-US"/>
          <w14:ligatures w14:val="standardContextual"/>
        </w:rPr>
      </w:pP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 xml:space="preserve">Boorman, D. B., Hollis, J. M., &amp; Lilly, A. (1995). </w:t>
      </w:r>
      <w:r>
        <w:rPr>
          <w:rFonts w:cs="Times New Roman"/>
          <w:i/>
          <w:iCs/>
          <w:color w:val="000000"/>
          <w:kern w:val="0"/>
          <w:sz w:val="20"/>
          <w:szCs w:val="20"/>
          <w:lang w:val="en-US"/>
          <w14:ligatures w14:val="standardContextual"/>
        </w:rPr>
        <w:t>Hydrology of soil types: a hydrologically based classification of the soils of the United Kingdom</w:t>
      </w: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 xml:space="preserve"> (Report No. 126). Institute of Hydrology. https://nora.nerc.ac.uk/id/eprint/7369/1/IH_126.pdf.</w:t>
      </w:r>
    </w:p>
    <w:p w:rsidR="005B67AA" w:rsidRDefault="005B67AA" w:rsidP="005B67AA">
      <w:pPr>
        <w:autoSpaceDE w:val="0"/>
        <w:autoSpaceDN w:val="0"/>
        <w:adjustRightInd w:val="0"/>
        <w:ind w:left="440" w:hanging="440"/>
        <w:rPr>
          <w:rFonts w:cs="Times New Roman"/>
          <w:kern w:val="0"/>
          <w:lang w:val="en-US"/>
          <w14:ligatures w14:val="standardContextual"/>
        </w:rPr>
      </w:pP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 xml:space="preserve">Met Office, Hollis, D., McCarthy, M., Kendon, M., Legg, T., &amp; Simpson, I. (2018). </w:t>
      </w:r>
      <w:proofErr w:type="spellStart"/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HadUK</w:t>
      </w:r>
      <w:proofErr w:type="spellEnd"/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-Grid gridded and regional average climate observations for the UK. Centre for Environmental Data Analysis. 2023-08-04. http://catalogue.ceda.ac.uk/uuid/4dc8450d889a491ebb20e724debe2dfb.</w:t>
      </w:r>
    </w:p>
    <w:p w:rsidR="005B67AA" w:rsidRDefault="005B67AA" w:rsidP="005B67AA">
      <w:pPr>
        <w:autoSpaceDE w:val="0"/>
        <w:autoSpaceDN w:val="0"/>
        <w:adjustRightInd w:val="0"/>
        <w:ind w:left="440" w:hanging="440"/>
        <w:rPr>
          <w:rFonts w:cs="Times New Roman"/>
          <w:kern w:val="0"/>
          <w:lang w:val="en-US"/>
          <w14:ligatures w14:val="standardContextual"/>
        </w:rPr>
      </w:pP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Morton, R. D., Rowland, C. S., Wood, C. M., Meek, L., Marston, C. G., &amp; Smith, G. M. (2014). Land cover map 2007 (25m raster, GB) v1.2. NERC Environmental Information Data Centre. https://doi.org/10.5285/a1f88807-4826-44bc-994d-a902da5119c2.</w:t>
      </w:r>
    </w:p>
    <w:p w:rsidR="005B67AA" w:rsidRDefault="005B67AA" w:rsidP="005B67AA">
      <w:pPr>
        <w:autoSpaceDE w:val="0"/>
        <w:autoSpaceDN w:val="0"/>
        <w:adjustRightInd w:val="0"/>
        <w:ind w:left="440" w:hanging="440"/>
        <w:rPr>
          <w:rFonts w:cs="Times New Roman"/>
          <w:kern w:val="0"/>
          <w:lang w:val="en-US"/>
          <w14:ligatures w14:val="standardContextual"/>
        </w:rPr>
      </w:pP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 xml:space="preserve">Osório, B., Redhead, J. W., Jarvis, S. G., May, L., &amp; Pywell, R. F. (2019). CEH Land Cover plus: </w:t>
      </w:r>
      <w:proofErr w:type="spellStart"/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Fertilisers</w:t>
      </w:r>
      <w:proofErr w:type="spellEnd"/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 xml:space="preserve"> 2010-2015 (England). NERC Environmental Information Data Centre. https://doi.org/10.5285/15f415db-e87b-4ab5-a2fb-37a78e7bf051.</w:t>
      </w:r>
    </w:p>
    <w:p w:rsidR="005B67AA" w:rsidRDefault="005B67AA" w:rsidP="005B67AA">
      <w:pPr>
        <w:autoSpaceDE w:val="0"/>
        <w:autoSpaceDN w:val="0"/>
        <w:adjustRightInd w:val="0"/>
        <w:ind w:left="440" w:hanging="440"/>
        <w:rPr>
          <w:rFonts w:cs="Times New Roman"/>
          <w:kern w:val="0"/>
          <w:lang w:val="en-US"/>
          <w14:ligatures w14:val="standardContextual"/>
        </w:rPr>
      </w:pP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 xml:space="preserve">Reis, S., Liska, T., Steinle, S., Carnell, E., Leaver, D., Roberts, E., Vieno, M., Beck, R., &amp; </w:t>
      </w:r>
      <w:proofErr w:type="spellStart"/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Dragosits</w:t>
      </w:r>
      <w:proofErr w:type="spellEnd"/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, U. (2017). UK gridded population 2011 based on census 2011 and land cover map 2015. NERC Environmental Information Data Centre. https://doi.org/10.5285/0995e94d-6d42-40c1-8ed4-5090d82471e1.</w:t>
      </w:r>
    </w:p>
    <w:p w:rsidR="005B67AA" w:rsidRDefault="005B67AA" w:rsidP="005B67AA">
      <w:pPr>
        <w:autoSpaceDE w:val="0"/>
        <w:autoSpaceDN w:val="0"/>
        <w:adjustRightInd w:val="0"/>
        <w:ind w:left="440" w:hanging="440"/>
        <w:rPr>
          <w:rFonts w:cs="Times New Roman"/>
          <w:kern w:val="0"/>
          <w:lang w:val="en-US"/>
          <w14:ligatures w14:val="standardContextual"/>
        </w:rPr>
      </w:pP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 xml:space="preserve">Wang, L., &amp; Burke, S. P. (2017). A catchment-scale method to simulating the impact of historical nitrate loading from agricultural land on the nitrate-concentration trends in the sandstone aquifers in the Eden Valley, UK. </w:t>
      </w:r>
      <w:r>
        <w:rPr>
          <w:rFonts w:cs="Times New Roman"/>
          <w:i/>
          <w:iCs/>
          <w:color w:val="000000"/>
          <w:kern w:val="0"/>
          <w:sz w:val="20"/>
          <w:szCs w:val="20"/>
          <w:lang w:val="en-US"/>
          <w14:ligatures w14:val="standardContextual"/>
        </w:rPr>
        <w:t>Science of The Total Environment</w:t>
      </w:r>
      <w:r>
        <w:rPr>
          <w:rFonts w:cs="Times New Roman"/>
          <w:color w:val="000000"/>
          <w:kern w:val="0"/>
          <w:sz w:val="20"/>
          <w:szCs w:val="20"/>
          <w:lang w:val="en-US"/>
          <w14:ligatures w14:val="standardContextual"/>
        </w:rPr>
        <w:t>, 579, 133-148. https://doi.org/10.1016/j.scitotenv.2016.10.235.</w:t>
      </w:r>
    </w:p>
    <w:p w:rsidR="00E7105F" w:rsidRPr="00850859" w:rsidRDefault="00E7105F" w:rsidP="0066513D">
      <w:pPr>
        <w:pStyle w:val="Figure"/>
        <w:rPr>
          <w:rFonts w:cs="Times New Roman"/>
          <w:color w:val="000000" w:themeColor="text1"/>
          <w:sz w:val="24"/>
        </w:rPr>
      </w:pPr>
    </w:p>
    <w:sectPr w:rsidR="00E7105F" w:rsidRPr="00850859" w:rsidSect="00CF326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.Ref{0BA096E1-7751-4E93-80C8-B3AB82B182B9}" w:val=" ADDIN NE.Ref.{0BA096E1-7751-4E93-80C8-B3AB82B182B9}&lt;Citation&gt;&lt;Group&gt;&lt;References&gt;&lt;Item&gt;&lt;ID&gt;1432&lt;/ID&gt;&lt;UID&gt;{382B3BDD-7AB5-4713-8D11-E8CA5D77ADD3}&lt;/UID&gt;&lt;Title&gt;UK gridded population 2011 based on census 2011 and land cover map 2015&lt;/Title&gt;&lt;Template&gt;Electronic Source&lt;/Template&gt;&lt;Star&gt;0&lt;/Star&gt;&lt;Tag&gt;0&lt;/Tag&gt;&lt;Author&gt;Reis, S; Liska, T; Steinle, S; Carnell, E; Leaver, D; Roberts, E; Vieno, M; Beck, R; Dragosits, U&lt;/Author&gt;&lt;Year&gt;2017&lt;/Year&gt;&lt;Details&gt;&lt;_accessed&gt;65208465&lt;/_accessed&gt;&lt;_created&gt;64816388&lt;/_created&gt;&lt;_custom1&gt;数据-人口CEH2011&lt;/_custom1&gt;&lt;_date&gt;2017-01-01&lt;/_date&gt;&lt;_date_display&gt;2017&lt;/_date_display&gt;&lt;_modified&gt;64817802&lt;/_modified&gt;&lt;_publisher&gt;NERC Environmental Information Data Centre&lt;/_publisher&gt;&lt;_url&gt;https://doi.org/10.5285/0995e94d-6d42-40c1-8ed4-5090d82471e1&lt;/_url&gt;&lt;/Details&gt;&lt;Extra&gt;&lt;DBUID&gt;{956A7181-969C-43A8-96A4-637338869774}&lt;/DBUID&gt;&lt;/Extra&gt;&lt;/Item&gt;&lt;/References&gt;&lt;/Group&gt;&lt;/Citation&gt;_x000a_"/>
    <w:docVar w:name="NE.Ref{1EDA9111-3762-4110-839C-F315AD404A5F}" w:val=" ADDIN NE.Ref.{1EDA9111-3762-4110-839C-F315AD404A5F}&lt;Citation&gt;&lt;Group&gt;&lt;References&gt;&lt;Item&gt;&lt;ID&gt;1428&lt;/ID&gt;&lt;UID&gt;{D092543B-6013-4435-B6C1-B509BF9407BF}&lt;/UID&gt;&lt;Title&gt;Land cover map 2007 (25m raster, GB) v1.2&lt;/Title&gt;&lt;Template&gt;Electronic Source&lt;/Template&gt;&lt;Star&gt;0&lt;/Star&gt;&lt;Tag&gt;0&lt;/Tag&gt;&lt;Author&gt;Morton, R D; Rowland, C S; Wood, C M; Meek, L; Marston, C G; Smith, G M&lt;/Author&gt;&lt;Year&gt;2014&lt;/Year&gt;&lt;Details&gt;&lt;_accessed&gt;64817803&lt;/_accessed&gt;&lt;_created&gt;64815711&lt;/_created&gt;&lt;_custom1&gt;数据-土地利用2007年25m 栅格 https://catalogue.ceh.ac.uk/documents/a1f88807-4826-44bc-994d-a902da5119c2&lt;/_custom1&gt;&lt;_date&gt;2014-01-01&lt;/_date&gt;&lt;_date_display&gt;2014&lt;/_date_display&gt;&lt;_modified&gt;64817803&lt;/_modified&gt;&lt;_publisher&gt;NERC Environmental Information Data Centre&lt;/_publisher&gt;&lt;_url&gt;https://doi.org/10.5285/a1f88807-4826-44bc-994d-a902da5119c2&lt;/_url&gt;&lt;/Details&gt;&lt;Extra&gt;&lt;DBUID&gt;{956A7181-969C-43A8-96A4-637338869774}&lt;/DBUID&gt;&lt;/Extra&gt;&lt;/Item&gt;&lt;/References&gt;&lt;/Group&gt;&lt;/Citation&gt;_x000a_"/>
    <w:docVar w:name="NE.Ref{2A1C9330-37D2-45F8-8C82-9FF3C04C602A}" w:val=" ADDIN NE.Ref.{2A1C9330-37D2-45F8-8C82-9FF3C04C602A}&lt;Citation&gt;&lt;Group&gt;&lt;References&gt;&lt;Item&gt;&lt;ID&gt;1355&lt;/ID&gt;&lt;UID&gt;{FF970EEA-DB2F-4FDC-B930-F3B493BA9E0B}&lt;/UID&gt;&lt;Title&gt;A catchment-scale method to simulating the impact of historical nitrate loading from agricultural land on the nitrate-concentration trends in the sandstone aquifers in the Eden Valley, UK&lt;/Title&gt;&lt;Template&gt;Journal Article&lt;/Template&gt;&lt;Star&gt;0&lt;/Star&gt;&lt;Tag&gt;0&lt;/Tag&gt;&lt;Author&gt;Wang, Lei; Burke, Sean P&lt;/Author&gt;&lt;Year&gt;2017&lt;/Year&gt;&lt;Details&gt;&lt;_accessed&gt;65504854&lt;/_accessed&gt;&lt;_collection_scope&gt;SCI;SCIE;EI&lt;/_collection_scope&gt;&lt;_created&gt;64781887&lt;/_created&gt;&lt;_custom1&gt;EDEN-ntb改进版本，考虑裂隙渗水&lt;/_custom1&gt;&lt;_db_updated&gt;CrossRef&lt;/_db_updated&gt;&lt;_doi&gt;10.1016/j.scitotenv.2016.10.235&lt;/_doi&gt;&lt;_impact_factor&gt;  10.753&lt;/_impact_factor&gt;&lt;_isbn&gt;00489697&lt;/_isbn&gt;&lt;_journal&gt;Science of The Total Environment&lt;/_journal&gt;&lt;_modified&gt;65504855&lt;/_modified&gt;&lt;_pages&gt;133-148&lt;/_pages&gt;&lt;_social_category&gt;环境科学与生态学(2)&lt;/_social_category&gt;&lt;_tertiary_title&gt;Science of The Total Environment&lt;/_tertiary_title&gt;&lt;_url&gt;https://linkinghub.elsevier.com/retrieve/pii/S0048969716322872_x000d__x000a_https://dul.usage.elsevier.com/doi/&lt;/_url&gt;&lt;_volume&gt;579&lt;/_volume&gt;&lt;/Details&gt;&lt;Extra&gt;&lt;DBUID&gt;{956A7181-969C-43A8-96A4-637338869774}&lt;/DBUID&gt;&lt;/Extra&gt;&lt;/Item&gt;&lt;/References&gt;&lt;/Group&gt;&lt;/Citation&gt;_x000a_"/>
    <w:docVar w:name="NE.Ref{329A1DF2-ABC6-4CA4-824C-B2CD64D2E72C}" w:val=" ADDIN NE.Ref.{329A1DF2-ABC6-4CA4-824C-B2CD64D2E72C}&lt;Citation&gt;&lt;Group&gt;&lt;References&gt;&lt;Item&gt;&lt;ID&gt;1427&lt;/ID&gt;&lt;UID&gt;{9BED76F2-663C-48CD-BC93-F1655C45A45C}&lt;/UID&gt;&lt;Title&gt;BGS geology 50k (DigMapGB-50)&lt;/Title&gt;&lt;Template&gt;Electronic Source&lt;/Template&gt;&lt;Star&gt;0&lt;/Star&gt;&lt;Tag&gt;0&lt;/Tag&gt;&lt;Author&gt;&amp;quot;BGS&amp;quot;&lt;/Author&gt;&lt;Year&gt;2020&lt;/Year&gt;&lt;Details&gt;&lt;_accessed&gt;65509719&lt;/_accessed&gt;&lt;_created&gt;64815697&lt;/_created&gt;&lt;_custom1&gt;数据-地质-1:50000 WMS图片-颜色-网格比例---主要是superficial 松散沉积物&lt;/_custom1&gt;&lt;_date&gt;64774080&lt;/_date&gt;&lt;_modified&gt;64817805&lt;/_modified&gt;&lt;_place_published&gt;Keyworth, Nottingham&lt;/_place_published&gt;&lt;_publisher&gt;British Geological Survey&lt;/_publisher&gt;&lt;_url&gt;https://www.bgs.ac.uk/datasets/bgs-geology-50k-digmapgb/&lt;/_url&gt;&lt;/Details&gt;&lt;Extra&gt;&lt;DBUID&gt;{956A7181-969C-43A8-96A4-637338869774}&lt;/DBUID&gt;&lt;/Extra&gt;&lt;/Item&gt;&lt;/References&gt;&lt;/Group&gt;&lt;/Citation&gt;_x000a_"/>
    <w:docVar w:name="NE.Ref{47EC8743-A2C9-461C-BE4D-23E661517B1A}" w:val=" ADDIN NE.Ref.{47EC8743-A2C9-461C-BE4D-23E661517B1A}&lt;Citation&gt;&lt;Group&gt;&lt;References&gt;&lt;Item&gt;&lt;ID&gt;1430&lt;/ID&gt;&lt;UID&gt;{C7DAACF9-7F58-403B-8A20-801ED575C2B0}&lt;/UID&gt;&lt;Title&gt;Mapping topsoil physical properties at European scale using the LUCAS database&lt;/Title&gt;&lt;Template&gt;Journal Article&lt;/Template&gt;&lt;Star&gt;0&lt;/Star&gt;&lt;Tag&gt;0&lt;/Tag&gt;&lt;Author&gt;Ballabio, Cristiano; Panagos, Panos; Monatanarella, Luca&lt;/Author&gt;&lt;Year&gt;2016&lt;/Year&gt;&lt;Details&gt;&lt;_accessed&gt;65508310&lt;/_accessed&gt;&lt;_alternate_title&gt;Geoderma&lt;/_alternate_title&gt;&lt;_collection_scope&gt;SCIE;EI&lt;/_collection_scope&gt;&lt;_created&gt;64816363&lt;/_created&gt;&lt;_custom1&gt;数据-LUCAS-土壤物理性质-CLAY /SAND /SILT /COARSE /BULK DENSITY&lt;/_custom1&gt;&lt;_date&gt;2016-01-01&lt;/_date&gt;&lt;_date_display&gt;2016&lt;/_date_display&gt;&lt;_doi&gt;10.1016/j.geoderma.2015.07.006&lt;/_doi&gt;&lt;_impact_factor&gt;   7.422&lt;/_impact_factor&gt;&lt;_isbn&gt;0016-7061&lt;/_isbn&gt;&lt;_journal&gt;Geoderma&lt;/_journal&gt;&lt;_keywords&gt;Soil texture; Maps; Europe; LUCAS survey; Multivariate Additive Regression Splines; Bulk density; Available Water Capacity; USDA texture classes&lt;/_keywords&gt;&lt;_modified&gt;65508310&lt;/_modified&gt;&lt;_pages&gt;110-123&lt;/_pages&gt;&lt;_social_category&gt;农林科学(1)&lt;/_social_category&gt;&lt;_url&gt;https://www.sciencedirect.com/science/article/pii/S0016706115300173&lt;/_url&gt;&lt;_volume&gt;261&lt;/_volume&gt;&lt;/Details&gt;&lt;Extra&gt;&lt;DBUID&gt;{956A7181-969C-43A8-96A4-637338869774}&lt;/DBUID&gt;&lt;/Extra&gt;&lt;/Item&gt;&lt;/References&gt;&lt;/Group&gt;&lt;/Citation&gt;_x000a_"/>
    <w:docVar w:name="NE.Ref{707E874B-9118-418E-8C29-019F36CBB29E}" w:val=" ADDIN NE.Ref.{707E874B-9118-418E-8C29-019F36CBB29E}&lt;Citation&gt;&lt;Group&gt;&lt;References&gt;&lt;Item&gt;&lt;ID&gt;1515&lt;/ID&gt;&lt;UID&gt;{91A6F0F4-50C6-4412-B9AE-95B9C51AC9B4}&lt;/UID&gt;&lt;Title&gt;HadUK-Grid gridded and regional average climate observations for the UK&lt;/Title&gt;&lt;Template&gt;Electronic Source&lt;/Template&gt;&lt;Star&gt;1&lt;/Star&gt;&lt;Tag&gt;0&lt;/Tag&gt;&lt;Author&gt;&amp;quot;Met Office&amp;quot;; Hollis, Dan; McCarthy, Mark; Kendon, Michael; Legg, Tim; Simpson, Ian&lt;/Author&gt;&lt;Year&gt;2018&lt;/Year&gt;&lt;Details&gt;&lt;_accessed&gt;65509775&lt;/_accessed&gt;&lt;_created&gt;65198030&lt;/_created&gt;&lt;_custom1&gt;HAD-UK GRID 气象数据，蒸发和降水&lt;/_custom1&gt;&lt;_custom2&gt;Citable as:Met Office; Hollis, D.; McCarthy, M.; Kendon, M.; Legg, T.; Simpson, I. (2018): HadUK-Grid gridded and regional average climate observations for the UK. Centre for Environmental Data Analysis, date of citation. http://catalogue.ceda.ac.uk/uuid/4dc8450d889a491ebb20e724debe2dfb&lt;/_custom2&gt;&lt;_custom3&gt;https://catalogue.ceda.ac.uk/uuid/4dc8450d889a491ebb20e724debe2dfb?jump=related-docs-anchor&lt;/_custom3&gt;&lt;_custom4&gt;文献 https://rmets.onlinelibrary.wiley.com/doi/10.1002/gdj3.78&lt;/_custom4&gt;&lt;_modified&gt;65198041&lt;/_modified&gt;&lt;_number&gt;2023-08-04&lt;/_number&gt;&lt;_publisher&gt;Centre for Environmental Data Analysis&lt;/_publisher&gt;&lt;_url&gt;http://catalogue.ceda.ac.uk/uuid/4dc8450d889a491ebb20e724debe2dfb&lt;/_url&gt;&lt;/Details&gt;&lt;Extra&gt;&lt;DBUID&gt;{956A7181-969C-43A8-96A4-637338869774}&lt;/DBUID&gt;&lt;/Extra&gt;&lt;/Item&gt;&lt;/References&gt;&lt;/Group&gt;&lt;/Citation&gt;_x000a_"/>
    <w:docVar w:name="NE.Ref{DFEAC1A3-156F-48C9-A1E6-FDB468ED3945}" w:val=" ADDIN NE.Ref.{DFEAC1A3-156F-48C9-A1E6-FDB468ED3945}&lt;Citation&gt;&lt;Group&gt;&lt;References&gt;&lt;Item&gt;&lt;ID&gt;1517&lt;/ID&gt;&lt;UID&gt;{4C53FB2E-930F-42F2-B4EC-506AF18DFB76}&lt;/UID&gt;&lt;Title&gt;CEH Land Cover plus: Fertilisers 2010-2015 (England)&lt;/Title&gt;&lt;Template&gt;Electronic Source&lt;/Template&gt;&lt;Star&gt;0&lt;/Star&gt;&lt;Tag&gt;0&lt;/Tag&gt;&lt;Author&gt;Osório, B; Redhead, J W; Jarvis, S G; May, L; Pywell, R F&lt;/Author&gt;&lt;Year&gt;2019&lt;/Year&gt;&lt;Details&gt;&lt;_accessed&gt;65571271&lt;/_accessed&gt;&lt;_created&gt;65208434&lt;/_created&gt;&lt;_custom1&gt;数据，化肥数据-土地利用=fertilizer-landuse&lt;/_custom1&gt;&lt;_date&gt;2019-01-01&lt;/_date&gt;&lt;_date_display&gt;2019&lt;/_date_display&gt;&lt;_modified&gt;65571271&lt;/_modified&gt;&lt;_publisher&gt;NERC Environmental Information Data Centre&lt;/_publisher&gt;&lt;_url&gt;https://doi.org/10.5285/15f415db-e87b-4ab5-a2fb-37a78e7bf051&lt;/_url&gt;&lt;/Details&gt;&lt;Extra&gt;&lt;DBUID&gt;{956A7181-969C-43A8-96A4-637338869774}&lt;/DBUID&gt;&lt;/Extra&gt;&lt;/Item&gt;&lt;/References&gt;&lt;/Group&gt;&lt;/Citation&gt;_x000a_"/>
    <w:docVar w:name="NE.Ref{EC3E02F3-2934-4A7B-9AFA-2F855204CC86}" w:val=" ADDIN NE.Ref.{EC3E02F3-2934-4A7B-9AFA-2F855204CC86}&lt;Citation&gt;&lt;Group&gt;&lt;References&gt;&lt;Item&gt;&lt;ID&gt;1355&lt;/ID&gt;&lt;UID&gt;{FF970EEA-DB2F-4FDC-B930-F3B493BA9E0B}&lt;/UID&gt;&lt;Title&gt;A catchment-scale method to simulating the impact of historical nitrate loading from agricultural land on the nitrate-concentration trends in the sandstone aquifers in the Eden Valley, UK&lt;/Title&gt;&lt;Template&gt;Journal Article&lt;/Template&gt;&lt;Star&gt;0&lt;/Star&gt;&lt;Tag&gt;0&lt;/Tag&gt;&lt;Author&gt;Wang, Lei; Burke, Sean P&lt;/Author&gt;&lt;Year&gt;2017&lt;/Year&gt;&lt;Details&gt;&lt;_accessed&gt;65504854&lt;/_accessed&gt;&lt;_collection_scope&gt;SCI;SCIE;EI&lt;/_collection_scope&gt;&lt;_created&gt;64781887&lt;/_created&gt;&lt;_custom1&gt;EDEN-ntb改进版本，考虑裂隙渗水&lt;/_custom1&gt;&lt;_db_updated&gt;CrossRef&lt;/_db_updated&gt;&lt;_doi&gt;10.1016/j.scitotenv.2016.10.235&lt;/_doi&gt;&lt;_impact_factor&gt;  10.753&lt;/_impact_factor&gt;&lt;_isbn&gt;00489697&lt;/_isbn&gt;&lt;_journal&gt;Science of The Total Environment&lt;/_journal&gt;&lt;_modified&gt;65504855&lt;/_modified&gt;&lt;_pages&gt;133-148&lt;/_pages&gt;&lt;_social_category&gt;环境科学与生态学(2)&lt;/_social_category&gt;&lt;_tertiary_title&gt;Science of The Total Environment&lt;/_tertiary_title&gt;&lt;_url&gt;https://linkinghub.elsevier.com/retrieve/pii/S0048969716322872_x000d__x000a_https://dul.usage.elsevier.com/doi/&lt;/_url&gt;&lt;_volume&gt;579&lt;/_volume&gt;&lt;/Details&gt;&lt;Extra&gt;&lt;DBUID&gt;{956A7181-969C-43A8-96A4-637338869774}&lt;/DBUID&gt;&lt;/Extra&gt;&lt;/Item&gt;&lt;/References&gt;&lt;/Group&gt;&lt;/Citation&gt;_x000a_"/>
    <w:docVar w:name="NE.Ref{F2C7143E-FB8B-4EDB-A0BD-087EF05E2826}" w:val=" ADDIN NE.Ref.{F2C7143E-FB8B-4EDB-A0BD-087EF05E2826}&lt;Citation&gt;&lt;Group&gt;&lt;References&gt;&lt;Item&gt;&lt;ID&gt;1437&lt;/ID&gt;&lt;UID&gt;{284B564D-B3DE-481C-A45E-4A5A6C9A13B5}&lt;/UID&gt;&lt;Title&gt;Hydrology of soil types: a hydrologically based classification of the soils of the United Kingdom&lt;/Title&gt;&lt;Template&gt;Report&lt;/Template&gt;&lt;Star&gt;0&lt;/Star&gt;&lt;Tag&gt;0&lt;/Tag&gt;&lt;Author&gt;Boorman, D B; Hollis, J M; Lilly, A&lt;/Author&gt;&lt;Year&gt;1995&lt;/Year&gt;&lt;Details&gt;&lt;_accessed&gt;65509162&lt;/_accessed&gt;&lt;_created&gt;64816538&lt;/_created&gt;&lt;_custom1&gt;数据-CEH- host土壤类型-BFI -HOST分类基于土壤内流动路径和储存的概念模型，并在适当情况下基于基质。该分类已应用于英国土壤调查组织在 1980 年代发布的 1：250，000 勘测土壤地图，以生成 1 公里的网格数据集。有关详细信息，请参阅在线资源。_x000d__x000a__x000d__x000a_&lt;/_custom1&gt;&lt;_isbn&gt;126&lt;/_isbn&gt;&lt;_modified&gt;65509162&lt;/_modified&gt;&lt;_pages&gt;137&lt;/_pages&gt;&lt;_place_published&gt;Wallingford_x000d__x000a_&lt;/_place_published&gt;&lt;_publisher&gt;Institute of Hydrology&lt;/_publisher&gt;&lt;_url&gt;https://nora.nerc.ac.uk/id/eprint/7369/1/IH_126.pdf&lt;/_url&gt;&lt;/Details&gt;&lt;Extra&gt;&lt;DBUID&gt;{956A7181-969C-43A8-96A4-637338869774}&lt;/DBUID&gt;&lt;/Extra&gt;&lt;/Item&gt;&lt;/References&gt;&lt;/Group&gt;&lt;/Citation&gt;_x000a_"/>
    <w:docVar w:name="NE.Ref{FA9C98CC-950F-45A1-856B-4751D8AE05D0}" w:val=" ADDIN NE.Ref.{FA9C98CC-950F-45A1-856B-4751D8AE05D0}&lt;Citation&gt;&lt;Group&gt;&lt;References&gt;&lt;Item&gt;&lt;ID&gt;1355&lt;/ID&gt;&lt;UID&gt;{FF970EEA-DB2F-4FDC-B930-F3B493BA9E0B}&lt;/UID&gt;&lt;Title&gt;A catchment-scale method to simulating the impact of historical nitrate loading from agricultural land on the nitrate-concentration trends in the sandstone aquifers in the Eden Valley, UK&lt;/Title&gt;&lt;Template&gt;Journal Article&lt;/Template&gt;&lt;Star&gt;0&lt;/Star&gt;&lt;Tag&gt;0&lt;/Tag&gt;&lt;Author&gt;Wang, Lei; Burke, Sean P&lt;/Author&gt;&lt;Year&gt;2017&lt;/Year&gt;&lt;Details&gt;&lt;_accessed&gt;65504854&lt;/_accessed&gt;&lt;_collection_scope&gt;SCI;SCIE;EI&lt;/_collection_scope&gt;&lt;_created&gt;64781887&lt;/_created&gt;&lt;_custom1&gt;EDEN-ntb改进版本，考虑裂隙渗水&lt;/_custom1&gt;&lt;_db_updated&gt;CrossRef&lt;/_db_updated&gt;&lt;_doi&gt;10.1016/j.scitotenv.2016.10.235&lt;/_doi&gt;&lt;_impact_factor&gt;  10.753&lt;/_impact_factor&gt;&lt;_isbn&gt;00489697&lt;/_isbn&gt;&lt;_journal&gt;Science of The Total Environment&lt;/_journal&gt;&lt;_modified&gt;65504855&lt;/_modified&gt;&lt;_pages&gt;133-148&lt;/_pages&gt;&lt;_social_category&gt;环境科学与生态学(2)&lt;/_social_category&gt;&lt;_tertiary_title&gt;Science of The Total Environment&lt;/_tertiary_title&gt;&lt;_url&gt;https://linkinghub.elsevier.com/retrieve/pii/S0048969716322872_x000d__x000a_https://dul.usage.elsevier.com/doi/&lt;/_url&gt;&lt;_volume&gt;579&lt;/_volume&gt;&lt;/Details&gt;&lt;Extra&gt;&lt;DBUID&gt;{956A7181-969C-43A8-96A4-637338869774}&lt;/DBUID&gt;&lt;/Extra&gt;&lt;/Item&gt;&lt;/References&gt;&lt;/Group&gt;&lt;/Citation&gt;_x000a_"/>
    <w:docVar w:name="ne_insertmode" w:val="0"/>
    <w:docVar w:name="ne_stylename" w:val="EGH-APA"/>
  </w:docVars>
  <w:rsids>
    <w:rsidRoot w:val="00CF3260"/>
    <w:rsid w:val="000506A6"/>
    <w:rsid w:val="00055B86"/>
    <w:rsid w:val="00073220"/>
    <w:rsid w:val="000975FC"/>
    <w:rsid w:val="001135A2"/>
    <w:rsid w:val="00150A89"/>
    <w:rsid w:val="0016311C"/>
    <w:rsid w:val="00166A94"/>
    <w:rsid w:val="001C162B"/>
    <w:rsid w:val="001F0AAB"/>
    <w:rsid w:val="00205C00"/>
    <w:rsid w:val="00234040"/>
    <w:rsid w:val="00237B14"/>
    <w:rsid w:val="00256000"/>
    <w:rsid w:val="00271188"/>
    <w:rsid w:val="00273F09"/>
    <w:rsid w:val="002C5408"/>
    <w:rsid w:val="003250CA"/>
    <w:rsid w:val="00331CC1"/>
    <w:rsid w:val="0035136C"/>
    <w:rsid w:val="00382076"/>
    <w:rsid w:val="003A11BE"/>
    <w:rsid w:val="003B4CA3"/>
    <w:rsid w:val="003B5B19"/>
    <w:rsid w:val="004020DE"/>
    <w:rsid w:val="004115F9"/>
    <w:rsid w:val="0044209B"/>
    <w:rsid w:val="0048254E"/>
    <w:rsid w:val="004B5873"/>
    <w:rsid w:val="00501AE7"/>
    <w:rsid w:val="00556202"/>
    <w:rsid w:val="00574AF1"/>
    <w:rsid w:val="005A4121"/>
    <w:rsid w:val="005A700D"/>
    <w:rsid w:val="005B67AA"/>
    <w:rsid w:val="005C162D"/>
    <w:rsid w:val="005D0F50"/>
    <w:rsid w:val="00605C4E"/>
    <w:rsid w:val="00635111"/>
    <w:rsid w:val="0066513D"/>
    <w:rsid w:val="00695C65"/>
    <w:rsid w:val="006C0060"/>
    <w:rsid w:val="006E32D2"/>
    <w:rsid w:val="0070127A"/>
    <w:rsid w:val="00727B5E"/>
    <w:rsid w:val="00765B1F"/>
    <w:rsid w:val="007776D3"/>
    <w:rsid w:val="007C3087"/>
    <w:rsid w:val="007F3494"/>
    <w:rsid w:val="00850859"/>
    <w:rsid w:val="00872647"/>
    <w:rsid w:val="00890A98"/>
    <w:rsid w:val="008A2DA7"/>
    <w:rsid w:val="008B688C"/>
    <w:rsid w:val="008B792A"/>
    <w:rsid w:val="0093062C"/>
    <w:rsid w:val="009A4A89"/>
    <w:rsid w:val="00A525BD"/>
    <w:rsid w:val="00AA29A1"/>
    <w:rsid w:val="00AA370E"/>
    <w:rsid w:val="00AE6EAE"/>
    <w:rsid w:val="00B155A0"/>
    <w:rsid w:val="00B4628C"/>
    <w:rsid w:val="00B92164"/>
    <w:rsid w:val="00B9387E"/>
    <w:rsid w:val="00B95D6E"/>
    <w:rsid w:val="00BA1C87"/>
    <w:rsid w:val="00BB2401"/>
    <w:rsid w:val="00BB409A"/>
    <w:rsid w:val="00BB5151"/>
    <w:rsid w:val="00C1107B"/>
    <w:rsid w:val="00C31821"/>
    <w:rsid w:val="00C62FAD"/>
    <w:rsid w:val="00CE1DC9"/>
    <w:rsid w:val="00CF3260"/>
    <w:rsid w:val="00D671B2"/>
    <w:rsid w:val="00E7105F"/>
    <w:rsid w:val="00EC3CEB"/>
    <w:rsid w:val="00ED7159"/>
    <w:rsid w:val="00EE24D0"/>
    <w:rsid w:val="00FB09E9"/>
    <w:rsid w:val="00FC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F264B2-9A3F-4704-B4E5-F7D56F71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"/>
    <w:qFormat/>
    <w:rsid w:val="005B67AA"/>
    <w:pPr>
      <w:widowControl w:val="0"/>
      <w:jc w:val="both"/>
    </w:pPr>
    <w:rPr>
      <w:rFonts w:ascii="Times New Roman" w:hAnsi="Times New Roman" w:cs="Arial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260"/>
    <w:pPr>
      <w:keepNext/>
      <w:keepLines/>
      <w:spacing w:before="100" w:beforeAutospacing="1" w:after="100" w:afterAutospacing="1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260"/>
    <w:rPr>
      <w:rFonts w:ascii="Arial" w:hAnsi="Arial" w:cs="Arial"/>
      <w:b/>
      <w:bCs/>
      <w:kern w:val="44"/>
      <w:sz w:val="28"/>
      <w:szCs w:val="44"/>
      <w:lang w:val="en-GB"/>
      <w14:ligatures w14:val="none"/>
    </w:rPr>
  </w:style>
  <w:style w:type="table" w:styleId="TableGrid">
    <w:name w:val="Table Grid"/>
    <w:basedOn w:val="TableNormal"/>
    <w:uiPriority w:val="59"/>
    <w:rsid w:val="008A2DA7"/>
    <w:rPr>
      <w:rFonts w:ascii="Arial" w:hAnsi="Arial" w:cs="Arial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A2DA7"/>
    <w:rPr>
      <w:rFonts w:ascii="Arial" w:hAnsi="Arial" w:cs="Arial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igure">
    <w:name w:val="Figure"/>
    <w:basedOn w:val="Normal"/>
    <w:link w:val="Figure0"/>
    <w:qFormat/>
    <w:rsid w:val="008A2DA7"/>
    <w:rPr>
      <w:bCs/>
      <w:sz w:val="20"/>
    </w:rPr>
  </w:style>
  <w:style w:type="character" w:customStyle="1" w:styleId="Figure0">
    <w:name w:val="Figure 字符"/>
    <w:basedOn w:val="DefaultParagraphFont"/>
    <w:link w:val="Figure"/>
    <w:rsid w:val="008A2DA7"/>
    <w:rPr>
      <w:rFonts w:ascii="Arial" w:hAnsi="Arial" w:cs="Arial"/>
      <w:bCs/>
      <w:sz w:val="20"/>
      <w:szCs w:val="24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A2DA7"/>
  </w:style>
  <w:style w:type="character" w:styleId="Hyperlink">
    <w:name w:val="Hyperlink"/>
    <w:basedOn w:val="DefaultParagraphFont"/>
    <w:uiPriority w:val="99"/>
    <w:unhideWhenUsed/>
    <w:rsid w:val="001135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lelei@bgs.ac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E29A2-EBAA-4EC0-8479-05F57320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712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>NE.Bib</dc:description>
  <cp:lastModifiedBy>Saranya K KarunakaranG</cp:lastModifiedBy>
  <cp:revision>4</cp:revision>
  <dcterms:created xsi:type="dcterms:W3CDTF">2024-09-03T07:32:00Z</dcterms:created>
  <dcterms:modified xsi:type="dcterms:W3CDTF">2024-09-09T02:35:00Z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559ed0de9c88dc5950508f0f704df8679c2ea64dd112ae794d9977c10f029d1f</vt:lpwstr>
  </property>
</Properties>
</file>