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32C67" w14:textId="77777777" w:rsidR="00200697" w:rsidRDefault="00200697" w:rsidP="00200697">
      <w:pPr>
        <w:spacing w:line="480" w:lineRule="auto"/>
        <w:rPr>
          <w:rFonts w:ascii="Times New Roman" w:hAnsi="Times New Roman" w:cs="Times New Roman"/>
          <w:b/>
          <w:bCs/>
        </w:rPr>
      </w:pPr>
      <w:r w:rsidRPr="004C19EE">
        <w:rPr>
          <w:rFonts w:ascii="Times New Roman" w:hAnsi="Times New Roman" w:cs="Times New Roman"/>
          <w:b/>
          <w:bCs/>
        </w:rPr>
        <w:t>Lung cancer risk in relation to indicative radon atlas metrics in Northern Ireland: a population-based case-control study using secondary data</w:t>
      </w:r>
    </w:p>
    <w:p w14:paraId="0B03C15E" w14:textId="37B92259" w:rsidR="00200697" w:rsidRPr="00A647BB" w:rsidRDefault="00200697" w:rsidP="00200697">
      <w:pPr>
        <w:spacing w:line="480" w:lineRule="auto"/>
        <w:rPr>
          <w:rFonts w:ascii="Times New Roman" w:hAnsi="Times New Roman" w:cs="Times New Roman"/>
        </w:rPr>
      </w:pPr>
      <w:r w:rsidRPr="00446605">
        <w:rPr>
          <w:rFonts w:ascii="Times New Roman" w:hAnsi="Times New Roman" w:cs="Times New Roman"/>
        </w:rPr>
        <w:t xml:space="preserve">Claire </w:t>
      </w:r>
      <w:r>
        <w:rPr>
          <w:rFonts w:ascii="Times New Roman" w:hAnsi="Times New Roman" w:cs="Times New Roman"/>
        </w:rPr>
        <w:t xml:space="preserve">M. </w:t>
      </w:r>
      <w:r w:rsidRPr="00446605">
        <w:rPr>
          <w:rFonts w:ascii="Times New Roman" w:hAnsi="Times New Roman" w:cs="Times New Roman"/>
        </w:rPr>
        <w:t>Delargy</w:t>
      </w:r>
      <w:r w:rsidRPr="00446605">
        <w:rPr>
          <w:rFonts w:ascii="Times New Roman" w:hAnsi="Times New Roman" w:cs="Times New Roman"/>
          <w:vertAlign w:val="superscript"/>
        </w:rPr>
        <w:t>1</w:t>
      </w:r>
      <w:r w:rsidRPr="00446605">
        <w:rPr>
          <w:rFonts w:ascii="Times New Roman" w:hAnsi="Times New Roman" w:cs="Times New Roman"/>
        </w:rPr>
        <w:t>, Helen G. Coleman</w:t>
      </w:r>
      <w:r w:rsidRPr="00446605">
        <w:rPr>
          <w:rFonts w:ascii="Times New Roman" w:hAnsi="Times New Roman" w:cs="Times New Roman"/>
          <w:vertAlign w:val="superscript"/>
        </w:rPr>
        <w:t>1</w:t>
      </w:r>
      <w:r w:rsidRPr="00446605">
        <w:rPr>
          <w:rFonts w:ascii="Times New Roman" w:hAnsi="Times New Roman" w:cs="Times New Roman"/>
        </w:rPr>
        <w:t>, Quentin G. Crowley</w:t>
      </w:r>
      <w:r w:rsidRPr="00446605">
        <w:rPr>
          <w:rFonts w:ascii="Times New Roman" w:hAnsi="Times New Roman" w:cs="Times New Roman"/>
          <w:vertAlign w:val="superscript"/>
        </w:rPr>
        <w:t>2</w:t>
      </w:r>
      <w:r w:rsidRPr="00446605">
        <w:rPr>
          <w:rFonts w:ascii="Times New Roman" w:hAnsi="Times New Roman" w:cs="Times New Roman"/>
        </w:rPr>
        <w:t>, Damien Bennett</w:t>
      </w:r>
      <w:r w:rsidRPr="00446605">
        <w:rPr>
          <w:rFonts w:ascii="Times New Roman" w:hAnsi="Times New Roman" w:cs="Times New Roman"/>
          <w:vertAlign w:val="superscript"/>
        </w:rPr>
        <w:t>3</w:t>
      </w:r>
      <w:r w:rsidRPr="00446605">
        <w:rPr>
          <w:rFonts w:ascii="Times New Roman" w:hAnsi="Times New Roman" w:cs="Times New Roman"/>
        </w:rPr>
        <w:t>, Javier Elio</w:t>
      </w:r>
      <w:r w:rsidRPr="00446605">
        <w:rPr>
          <w:rFonts w:ascii="Times New Roman" w:hAnsi="Times New Roman" w:cs="Times New Roman"/>
          <w:vertAlign w:val="superscript"/>
        </w:rPr>
        <w:t>4</w:t>
      </w:r>
      <w:r w:rsidRPr="00446605">
        <w:rPr>
          <w:rFonts w:ascii="Times New Roman" w:hAnsi="Times New Roman" w:cs="Times New Roman"/>
        </w:rPr>
        <w:t>, Deirdre Fitzpatrick</w:t>
      </w:r>
      <w:r w:rsidRPr="00446605">
        <w:rPr>
          <w:rFonts w:ascii="Times New Roman" w:hAnsi="Times New Roman" w:cs="Times New Roman"/>
          <w:vertAlign w:val="superscript"/>
        </w:rPr>
        <w:t>3</w:t>
      </w:r>
      <w:r w:rsidRPr="00446605">
        <w:rPr>
          <w:rFonts w:ascii="Times New Roman" w:hAnsi="Times New Roman" w:cs="Times New Roman"/>
        </w:rPr>
        <w:t>, Helen Mitchell</w:t>
      </w:r>
      <w:r w:rsidRPr="00446605">
        <w:rPr>
          <w:rFonts w:ascii="Times New Roman" w:hAnsi="Times New Roman" w:cs="Times New Roman"/>
          <w:vertAlign w:val="superscript"/>
        </w:rPr>
        <w:t>3</w:t>
      </w:r>
      <w:r w:rsidRPr="0044660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Sara M.</w:t>
      </w:r>
      <w:r w:rsidRPr="00446605">
        <w:rPr>
          <w:rFonts w:ascii="Times New Roman" w:hAnsi="Times New Roman" w:cs="Times New Roman"/>
        </w:rPr>
        <w:t xml:space="preserve"> Wallace</w:t>
      </w:r>
      <w:r w:rsidRPr="00446605">
        <w:rPr>
          <w:rFonts w:ascii="Times New Roman" w:hAnsi="Times New Roman" w:cs="Times New Roman"/>
          <w:vertAlign w:val="superscript"/>
        </w:rPr>
        <w:t>1</w:t>
      </w:r>
      <w:r w:rsidRPr="00446605">
        <w:rPr>
          <w:rFonts w:ascii="Times New Roman" w:hAnsi="Times New Roman" w:cs="Times New Roman"/>
        </w:rPr>
        <w:t>, Rawan Alhattab</w:t>
      </w:r>
      <w:r w:rsidRPr="00446605">
        <w:rPr>
          <w:rFonts w:ascii="Times New Roman" w:hAnsi="Times New Roman" w:cs="Times New Roman"/>
          <w:vertAlign w:val="superscript"/>
        </w:rPr>
        <w:t>1</w:t>
      </w:r>
      <w:r w:rsidRPr="00446605">
        <w:rPr>
          <w:rFonts w:ascii="Times New Roman" w:hAnsi="Times New Roman" w:cs="Times New Roman"/>
        </w:rPr>
        <w:t>, Angela Scott</w:t>
      </w:r>
      <w:r w:rsidRPr="00446605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</w:t>
      </w:r>
      <w:r w:rsidRPr="00446605">
        <w:rPr>
          <w:rFonts w:ascii="Times New Roman" w:hAnsi="Times New Roman" w:cs="Times New Roman"/>
        </w:rPr>
        <w:t xml:space="preserve"> Bernadette McGuinness</w:t>
      </w:r>
      <w:r w:rsidRPr="00446605">
        <w:rPr>
          <w:rFonts w:ascii="Times New Roman" w:hAnsi="Times New Roman" w:cs="Times New Roman"/>
          <w:vertAlign w:val="superscript"/>
        </w:rPr>
        <w:t>1</w:t>
      </w:r>
      <w:r w:rsidRPr="00446605">
        <w:rPr>
          <w:rFonts w:ascii="Times New Roman" w:hAnsi="Times New Roman" w:cs="Times New Roman"/>
        </w:rPr>
        <w:t>, Ruth F. Hunter</w:t>
      </w:r>
      <w:r w:rsidRPr="00446605">
        <w:rPr>
          <w:rFonts w:ascii="Times New Roman" w:hAnsi="Times New Roman" w:cs="Times New Roman"/>
          <w:vertAlign w:val="superscript"/>
        </w:rPr>
        <w:t>1</w:t>
      </w:r>
      <w:r w:rsidRPr="00446605">
        <w:rPr>
          <w:rFonts w:ascii="Times New Roman" w:hAnsi="Times New Roman" w:cs="Times New Roman"/>
        </w:rPr>
        <w:t>, Gareth J. McKay</w:t>
      </w:r>
      <w:r w:rsidRPr="00446605">
        <w:rPr>
          <w:rFonts w:ascii="Times New Roman" w:hAnsi="Times New Roman" w:cs="Times New Roman"/>
          <w:vertAlign w:val="superscript"/>
        </w:rPr>
        <w:t>1</w:t>
      </w:r>
      <w:r w:rsidRPr="00446605">
        <w:rPr>
          <w:rFonts w:ascii="Times New Roman" w:hAnsi="Times New Roman" w:cs="Times New Roman"/>
        </w:rPr>
        <w:t>, and Daniel R.S. Middleton</w:t>
      </w:r>
      <w:r w:rsidRPr="00446605">
        <w:rPr>
          <w:rFonts w:ascii="Times New Roman" w:hAnsi="Times New Roman" w:cs="Times New Roman"/>
          <w:vertAlign w:val="superscript"/>
        </w:rPr>
        <w:t xml:space="preserve">1 </w:t>
      </w:r>
    </w:p>
    <w:p w14:paraId="2A1DDD56" w14:textId="77777777" w:rsidR="00200697" w:rsidRPr="00446605" w:rsidRDefault="00200697" w:rsidP="00200697">
      <w:pPr>
        <w:spacing w:line="480" w:lineRule="auto"/>
        <w:rPr>
          <w:rFonts w:ascii="Times New Roman" w:hAnsi="Times New Roman" w:cs="Times New Roman"/>
        </w:rPr>
      </w:pPr>
      <w:r w:rsidRPr="00446605">
        <w:rPr>
          <w:rFonts w:ascii="Times New Roman" w:hAnsi="Times New Roman" w:cs="Times New Roman"/>
          <w:vertAlign w:val="superscript"/>
        </w:rPr>
        <w:t>1</w:t>
      </w:r>
      <w:r w:rsidRPr="00446605">
        <w:rPr>
          <w:rFonts w:ascii="Times New Roman" w:hAnsi="Times New Roman" w:cs="Times New Roman"/>
        </w:rPr>
        <w:t>Centre for Public Health, Queen’s University Belfast, Belfast, Northern Ireland.</w:t>
      </w:r>
    </w:p>
    <w:p w14:paraId="56C0E9D5" w14:textId="77777777" w:rsidR="00200697" w:rsidRPr="00446605" w:rsidRDefault="00200697" w:rsidP="00200697">
      <w:pPr>
        <w:spacing w:line="480" w:lineRule="auto"/>
        <w:rPr>
          <w:rFonts w:ascii="Times New Roman" w:hAnsi="Times New Roman" w:cs="Times New Roman"/>
        </w:rPr>
      </w:pPr>
      <w:r w:rsidRPr="00446605">
        <w:rPr>
          <w:rFonts w:ascii="Times New Roman" w:hAnsi="Times New Roman" w:cs="Times New Roman"/>
          <w:vertAlign w:val="superscript"/>
        </w:rPr>
        <w:t>2</w:t>
      </w:r>
      <w:r w:rsidRPr="00446605">
        <w:rPr>
          <w:rFonts w:ascii="Times New Roman" w:hAnsi="Times New Roman" w:cs="Times New Roman"/>
        </w:rPr>
        <w:t>Geology, School of Natural Sciences, Trinity College Dublin, Republic of Ireland.</w:t>
      </w:r>
    </w:p>
    <w:p w14:paraId="41D7760F" w14:textId="77777777" w:rsidR="00200697" w:rsidRPr="00446605" w:rsidRDefault="00200697" w:rsidP="00200697">
      <w:pPr>
        <w:spacing w:line="480" w:lineRule="auto"/>
        <w:rPr>
          <w:rFonts w:ascii="Times New Roman" w:hAnsi="Times New Roman" w:cs="Times New Roman"/>
        </w:rPr>
      </w:pPr>
      <w:r w:rsidRPr="00446605">
        <w:rPr>
          <w:rFonts w:ascii="Times New Roman" w:hAnsi="Times New Roman" w:cs="Times New Roman"/>
          <w:vertAlign w:val="superscript"/>
        </w:rPr>
        <w:t>3</w:t>
      </w:r>
      <w:r w:rsidRPr="00446605">
        <w:rPr>
          <w:rFonts w:ascii="Times New Roman" w:hAnsi="Times New Roman" w:cs="Times New Roman"/>
        </w:rPr>
        <w:t>Northern Ireland Cancer Registry, Centre for Public Health, Queen’s University Belfast, Northern Ireland.</w:t>
      </w:r>
      <w:r w:rsidRPr="00446605">
        <w:rPr>
          <w:rFonts w:ascii="Times New Roman" w:hAnsi="Times New Roman" w:cs="Times New Roman"/>
        </w:rPr>
        <w:br/>
      </w:r>
      <w:r w:rsidRPr="00446605">
        <w:rPr>
          <w:rFonts w:ascii="Times New Roman" w:hAnsi="Times New Roman" w:cs="Times New Roman"/>
          <w:vertAlign w:val="superscript"/>
        </w:rPr>
        <w:t>4</w:t>
      </w:r>
      <w:r w:rsidRPr="00446605">
        <w:rPr>
          <w:rFonts w:ascii="Times New Roman" w:hAnsi="Times New Roman" w:cs="Times New Roman"/>
          <w:shd w:val="clear" w:color="auto" w:fill="FFFFFF"/>
        </w:rPr>
        <w:t>Western Norway University of Applied Sciences, Bergen, Norway.</w:t>
      </w:r>
    </w:p>
    <w:p w14:paraId="2EB7C0BF" w14:textId="2653A38D" w:rsidR="00200697" w:rsidRPr="00200697" w:rsidRDefault="00200697" w:rsidP="00200697">
      <w:pPr>
        <w:jc w:val="center"/>
        <w:rPr>
          <w:rFonts w:ascii="Times New Roman" w:hAnsi="Times New Roman" w:cs="Times New Roman"/>
          <w:b/>
          <w:bCs/>
        </w:rPr>
      </w:pPr>
      <w:r w:rsidRPr="00200697">
        <w:rPr>
          <w:rFonts w:ascii="Times New Roman" w:hAnsi="Times New Roman" w:cs="Times New Roman"/>
          <w:b/>
          <w:bCs/>
        </w:rPr>
        <w:t>Supplementary Information</w:t>
      </w:r>
    </w:p>
    <w:p w14:paraId="3F69B4E0" w14:textId="6A926D4D" w:rsidR="00200697" w:rsidRPr="00200697" w:rsidRDefault="00200697" w:rsidP="00200697">
      <w:pPr>
        <w:rPr>
          <w:rFonts w:ascii="Times New Roman" w:hAnsi="Times New Roman" w:cs="Times New Roman"/>
        </w:rPr>
      </w:pPr>
      <w:r w:rsidRPr="00200697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259621" wp14:editId="35AF5BDB">
                <wp:simplePos x="0" y="0"/>
                <wp:positionH relativeFrom="page">
                  <wp:align>right</wp:align>
                </wp:positionH>
                <wp:positionV relativeFrom="paragraph">
                  <wp:posOffset>4107331</wp:posOffset>
                </wp:positionV>
                <wp:extent cx="6985635" cy="1263650"/>
                <wp:effectExtent l="0" t="0" r="5715" b="3175"/>
                <wp:wrapTopAndBottom/>
                <wp:docPr id="272807294" name="Text Box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D461D1-CF99-4A31-894E-EB641AEE567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635" cy="126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C651E" w14:textId="3B72A747" w:rsidR="00200697" w:rsidRDefault="00200697" w:rsidP="00200697">
                            <w:pPr>
                              <w:pStyle w:val="Caption"/>
                              <w:spacing w:line="276" w:lineRule="auto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Supplementary Figure 1. </w:t>
                            </w:r>
                            <w:r w:rsidRPr="0020069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Odds ratios (OR) and 95% confidence intervals (CI) for the association of radon exposure with lung cancer risk in Northern Ireland using an individually matched case-control design (1:4 matching by sex and age). Results are presented for crude, minimally adjusted, and fully adjusted models. *Odds ratios adjusted for age and sex. **Odds ratios adjusted for age, sex, smoking status, deprivation and air pollution exposure.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259621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498.85pt;margin-top:323.4pt;width:550.05pt;height:99.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" stroked="f">
                <v:textbox style="mso-fit-shape-to-text:t">
                  <w:txbxContent>
                    <w:p w14:paraId="754C651E" w14:textId="3B72A747" w:rsidR="00200697" w:rsidRDefault="00200697" w:rsidP="00200697">
                      <w:pPr>
                        <w:pStyle w:val="Caption"/>
                        <w:spacing w:line="276" w:lineRule="auto"/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Supplementary Figure 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. </w:t>
                      </w:r>
                      <w:r w:rsidRPr="00200697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Odds ratios (OR) and 95% confidence intervals (CI) for the association of radon exposure with lung cancer risk in Northern Ireland</w:t>
                      </w:r>
                      <w:r w:rsidRPr="00200697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200697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using an individually matched case-control design (1:4 matching by sex and age). Results are presented for crude, minimally adjusted, and fully adjusted models. *Odds ratios adjusted for age and sex. **Odds ratios adjusted for age, sex, smoking status, deprivation and air pollution exposure.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0069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1AFD70A5" wp14:editId="54B715AD">
            <wp:simplePos x="0" y="0"/>
            <wp:positionH relativeFrom="column">
              <wp:posOffset>-169545</wp:posOffset>
            </wp:positionH>
            <wp:positionV relativeFrom="paragraph">
              <wp:posOffset>0</wp:posOffset>
            </wp:positionV>
            <wp:extent cx="5731510" cy="3714750"/>
            <wp:effectExtent l="19050" t="19050" r="21590" b="19050"/>
            <wp:wrapTopAndBottom/>
            <wp:docPr id="1620101703" name="Picture 13" descr="A graph with black square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graph with black squares and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4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0697">
        <w:rPr>
          <w:rFonts w:ascii="Times New Roman" w:hAnsi="Times New Roman" w:cs="Times New Roman"/>
        </w:rPr>
        <w:br w:type="page"/>
      </w:r>
      <w:r w:rsidRPr="00200697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D718C6" wp14:editId="114C4220">
                <wp:simplePos x="0" y="0"/>
                <wp:positionH relativeFrom="page">
                  <wp:align>right</wp:align>
                </wp:positionH>
                <wp:positionV relativeFrom="paragraph">
                  <wp:posOffset>4246083</wp:posOffset>
                </wp:positionV>
                <wp:extent cx="6771640" cy="983615"/>
                <wp:effectExtent l="0" t="0" r="0" b="6985"/>
                <wp:wrapTopAndBottom/>
                <wp:docPr id="945719924" name="Text 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8057DB-0850-4FE5-8630-00CCBFE912A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1640" cy="98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03340" w14:textId="3845B2F4" w:rsidR="00200697" w:rsidRDefault="00200697" w:rsidP="00200697">
                            <w:pPr>
                              <w:pStyle w:val="Caption"/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Supplementary Figure 2. </w:t>
                            </w:r>
                            <w:r w:rsidRPr="0020069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Forest plot showing fully adjusted Odds Ratios (ORs) and 95% Confidence Intervals (CIs) for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 xml:space="preserve">previous </w:t>
                            </w:r>
                            <w:r w:rsidRPr="0020069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studies investigating residential radon exposure and lung cancer risk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auto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44AE1C2" w14:textId="77777777" w:rsidR="00200697" w:rsidRDefault="00200697" w:rsidP="00200697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718C6" id="Text Box 12" o:spid="_x0000_s1027" type="#_x0000_t202" style="position:absolute;margin-left:482pt;margin-top:334.35pt;width:533.2pt;height:77.4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" stroked="f">
                <v:textbox>
                  <w:txbxContent>
                    <w:p w14:paraId="0ED03340" w14:textId="3845B2F4" w:rsidR="00200697" w:rsidRDefault="00200697" w:rsidP="00200697">
                      <w:pPr>
                        <w:pStyle w:val="Caption"/>
                        <w:spacing w:line="276" w:lineRule="auto"/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Supplementary Figure 2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. </w:t>
                      </w:r>
                      <w:r w:rsidRPr="00200697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Forest plot showing fully adjusted Odds Ratios (ORs) and 95% Confidence Intervals (CIs) for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 xml:space="preserve">previous </w:t>
                      </w:r>
                      <w:r w:rsidRPr="00200697"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studies investigating residential radon exposure and lung cancer risk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auto"/>
                          <w:sz w:val="24"/>
                          <w:szCs w:val="24"/>
                        </w:rPr>
                        <w:t>.</w:t>
                      </w:r>
                    </w:p>
                    <w:p w14:paraId="644AE1C2" w14:textId="77777777" w:rsidR="00200697" w:rsidRDefault="00200697" w:rsidP="00200697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0069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61DE2B8F" wp14:editId="6DF2CF60">
            <wp:simplePos x="0" y="0"/>
            <wp:positionH relativeFrom="column">
              <wp:posOffset>-60960</wp:posOffset>
            </wp:positionH>
            <wp:positionV relativeFrom="paragraph">
              <wp:posOffset>307975</wp:posOffset>
            </wp:positionV>
            <wp:extent cx="5731510" cy="3714750"/>
            <wp:effectExtent l="19050" t="19050" r="21590" b="19050"/>
            <wp:wrapThrough wrapText="bothSides">
              <wp:wrapPolygon edited="0">
                <wp:start x="-72" y="-111"/>
                <wp:lineTo x="-72" y="21600"/>
                <wp:lineTo x="21610" y="21600"/>
                <wp:lineTo x="21610" y="-111"/>
                <wp:lineTo x="-72" y="-111"/>
              </wp:wrapPolygon>
            </wp:wrapThrough>
            <wp:docPr id="367589700" name="Picture 1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4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0697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2339FFAB" wp14:editId="2EFE6F85">
                <wp:extent cx="304800" cy="304800"/>
                <wp:effectExtent l="0" t="0" r="0" b="0"/>
                <wp:docPr id="1343000685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109D2B" id="Rectangle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54CCDDD" w14:textId="77777777" w:rsidR="00200697" w:rsidRPr="00200697" w:rsidRDefault="00200697" w:rsidP="00200697">
      <w:pPr>
        <w:rPr>
          <w:rFonts w:ascii="Times New Roman" w:hAnsi="Times New Roman" w:cs="Times New Roman"/>
        </w:rPr>
      </w:pPr>
    </w:p>
    <w:p w14:paraId="7E8284FA" w14:textId="77777777" w:rsidR="00200697" w:rsidRPr="00200697" w:rsidRDefault="00200697" w:rsidP="00200697">
      <w:pPr>
        <w:rPr>
          <w:rFonts w:ascii="Times New Roman" w:hAnsi="Times New Roman" w:cs="Times New Roman"/>
        </w:rPr>
      </w:pPr>
    </w:p>
    <w:p w14:paraId="70346806" w14:textId="77777777" w:rsidR="00200697" w:rsidRPr="00200697" w:rsidRDefault="00200697" w:rsidP="00200697">
      <w:pPr>
        <w:rPr>
          <w:rFonts w:ascii="Times New Roman" w:hAnsi="Times New Roman" w:cs="Times New Roman"/>
        </w:rPr>
      </w:pPr>
    </w:p>
    <w:p w14:paraId="25879C1A" w14:textId="77777777" w:rsidR="00200697" w:rsidRPr="00200697" w:rsidRDefault="00200697" w:rsidP="00200697">
      <w:pPr>
        <w:rPr>
          <w:rFonts w:ascii="Times New Roman" w:hAnsi="Times New Roman" w:cs="Times New Roman"/>
        </w:rPr>
      </w:pPr>
    </w:p>
    <w:p w14:paraId="5E7C56E7" w14:textId="77777777" w:rsidR="00200697" w:rsidRPr="00200697" w:rsidRDefault="00200697" w:rsidP="00200697">
      <w:pPr>
        <w:rPr>
          <w:rFonts w:ascii="Times New Roman" w:hAnsi="Times New Roman" w:cs="Times New Roman"/>
        </w:rPr>
      </w:pPr>
    </w:p>
    <w:p w14:paraId="631EC45E" w14:textId="77777777" w:rsidR="00200697" w:rsidRPr="00200697" w:rsidRDefault="00200697" w:rsidP="00200697">
      <w:pPr>
        <w:rPr>
          <w:rFonts w:ascii="Times New Roman" w:hAnsi="Times New Roman" w:cs="Times New Roman"/>
        </w:rPr>
      </w:pPr>
      <w:r w:rsidRPr="00200697">
        <w:rPr>
          <w:rFonts w:ascii="Times New Roman" w:hAnsi="Times New Roman" w:cs="Times New Roman"/>
        </w:rPr>
        <w:br w:type="page"/>
      </w:r>
    </w:p>
    <w:p w14:paraId="2E602BEE" w14:textId="013027C3" w:rsidR="00200697" w:rsidRPr="00200697" w:rsidRDefault="00200697" w:rsidP="00200697">
      <w:pPr>
        <w:rPr>
          <w:rFonts w:ascii="Times New Roman" w:hAnsi="Times New Roman" w:cs="Times New Roman"/>
        </w:rPr>
      </w:pPr>
    </w:p>
    <w:p w14:paraId="3A8224E0" w14:textId="46498195" w:rsidR="00200697" w:rsidRPr="00200697" w:rsidRDefault="00200697" w:rsidP="00200697">
      <w:pPr>
        <w:rPr>
          <w:rFonts w:ascii="Times New Roman" w:hAnsi="Times New Roman" w:cs="Times New Roman"/>
        </w:rPr>
      </w:pPr>
      <w:r w:rsidRPr="0020069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3B5372C" wp14:editId="6A472453">
                <wp:simplePos x="0" y="0"/>
                <wp:positionH relativeFrom="column">
                  <wp:posOffset>-328295</wp:posOffset>
                </wp:positionH>
                <wp:positionV relativeFrom="paragraph">
                  <wp:posOffset>13335</wp:posOffset>
                </wp:positionV>
                <wp:extent cx="7333615" cy="6631305"/>
                <wp:effectExtent l="0" t="0" r="19685" b="17145"/>
                <wp:wrapTopAndBottom/>
                <wp:docPr id="892879587" name="Text 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56EF604-7BFF-44C6-972B-6F96D863FF1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3615" cy="663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AE8C6" w14:textId="2D03ADD2" w:rsidR="00200697" w:rsidRPr="00200697" w:rsidRDefault="00200697" w:rsidP="0020069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highlight w:val="yellow"/>
                              </w:rPr>
                            </w:pPr>
                            <w:r w:rsidRPr="00200697">
                              <w:rPr>
                                <w:rFonts w:ascii="Times New Roman" w:hAnsi="Times New Roman" w:cs="Times New Roman"/>
                                <w:b/>
                                <w:bCs/>
                                <w:highlight w:val="yellow"/>
                              </w:rPr>
                              <w:t xml:space="preserve">Supplementary Table </w:t>
                            </w:r>
                            <w:r w:rsidR="000248BF">
                              <w:rPr>
                                <w:rFonts w:ascii="Times New Roman" w:hAnsi="Times New Roman" w:cs="Times New Roman"/>
                                <w:b/>
                                <w:bCs/>
                                <w:highlight w:val="yellow"/>
                              </w:rPr>
                              <w:t>1</w:t>
                            </w:r>
                            <w:r w:rsidRPr="00200697">
                              <w:rPr>
                                <w:rFonts w:ascii="Times New Roman" w:hAnsi="Times New Roman" w:cs="Times New Roman"/>
                                <w:b/>
                                <w:bCs/>
                                <w:highlight w:val="yellow"/>
                              </w:rPr>
                              <w:t xml:space="preserve">. </w:t>
                            </w:r>
                            <w:r w:rsidRPr="00200697">
                              <w:rPr>
                                <w:rFonts w:ascii="Times New Roman" w:hAnsi="Times New Roman" w:cs="Times New Roman"/>
                                <w:highlight w:val="yellow"/>
                              </w:rPr>
                              <w:t>Odds ratios (OR) and 95% confidence intervals (CI) for the association of radon exposure with lung cancer risk in Northern Ireland.</w:t>
                            </w:r>
                          </w:p>
                          <w:tbl>
                            <w:tblPr>
                              <w:tblStyle w:val="PlainTable2"/>
                              <w:tblW w:w="4761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2982"/>
                              <w:gridCol w:w="1619"/>
                              <w:gridCol w:w="2046"/>
                              <w:gridCol w:w="2044"/>
                              <w:gridCol w:w="2033"/>
                            </w:tblGrid>
                            <w:tr w:rsidR="00200697" w:rsidRPr="00200697" w14:paraId="6F8DFE61" w14:textId="77777777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8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390" w:type="pct"/>
                                  <w:tcBorders>
                                    <w:top w:val="single" w:sz="4" w:space="0" w:color="7F7F7F" w:themeColor="text1" w:themeTint="80"/>
                                    <w:left w:val="nil"/>
                                    <w:right w:val="nil"/>
                                  </w:tcBorders>
                                  <w:noWrap/>
                                  <w:hideMark/>
                                </w:tcPr>
                                <w:p w14:paraId="2260B14C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Category</w:t>
                                  </w:r>
                                </w:p>
                              </w:tc>
                              <w:tc>
                                <w:tcPr>
                                  <w:tcW w:w="755" w:type="pct"/>
                                  <w:tcBorders>
                                    <w:top w:val="single" w:sz="4" w:space="0" w:color="7F7F7F" w:themeColor="text1" w:themeTint="80"/>
                                    <w:left w:val="nil"/>
                                    <w:right w:val="nil"/>
                                  </w:tcBorders>
                                  <w:noWrap/>
                                  <w:hideMark/>
                                </w:tcPr>
                                <w:p w14:paraId="727E8161" w14:textId="77777777" w:rsidR="00200697" w:rsidRPr="00200697" w:rsidRDefault="00200697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Cases/</w:t>
                                  </w:r>
                                </w:p>
                                <w:p w14:paraId="7A365F18" w14:textId="47548F74" w:rsidR="00200697" w:rsidRPr="00200697" w:rsidRDefault="00200697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Controls (</w:t>
                                  </w: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i/>
                                      <w:iCs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n</w:t>
                                  </w: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54" w:type="pct"/>
                                  <w:tcBorders>
                                    <w:top w:val="single" w:sz="4" w:space="0" w:color="7F7F7F" w:themeColor="text1" w:themeTint="80"/>
                                    <w:left w:val="nil"/>
                                    <w:right w:val="nil"/>
                                  </w:tcBorders>
                                  <w:noWrap/>
                                </w:tcPr>
                                <w:p w14:paraId="12EB1B79" w14:textId="77777777" w:rsidR="00200697" w:rsidRPr="00200697" w:rsidRDefault="00200697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Model 1 – Crude</w:t>
                                  </w:r>
                                </w:p>
                                <w:p w14:paraId="6089BF41" w14:textId="77777777" w:rsidR="00200697" w:rsidRPr="00200697" w:rsidRDefault="00200697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  <w:p w14:paraId="1F7B19B3" w14:textId="77777777" w:rsidR="00200697" w:rsidRPr="00200697" w:rsidRDefault="00200697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OR (95%)</w:t>
                                  </w:r>
                                </w:p>
                              </w:tc>
                              <w:tc>
                                <w:tcPr>
                                  <w:tcW w:w="953" w:type="pct"/>
                                  <w:tcBorders>
                                    <w:top w:val="single" w:sz="4" w:space="0" w:color="7F7F7F" w:themeColor="text1" w:themeTint="80"/>
                                    <w:left w:val="nil"/>
                                    <w:right w:val="nil"/>
                                  </w:tcBorders>
                                  <w:hideMark/>
                                </w:tcPr>
                                <w:p w14:paraId="5095AFE2" w14:textId="77777777" w:rsidR="00200697" w:rsidRPr="00200697" w:rsidRDefault="00200697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 xml:space="preserve">Model 2 – Minimal adjustment* </w:t>
                                  </w:r>
                                </w:p>
                                <w:p w14:paraId="1989525C" w14:textId="77777777" w:rsidR="00200697" w:rsidRPr="00200697" w:rsidRDefault="00200697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OR (95%)</w:t>
                                  </w:r>
                                </w:p>
                              </w:tc>
                              <w:tc>
                                <w:tcPr>
                                  <w:tcW w:w="949" w:type="pct"/>
                                  <w:tcBorders>
                                    <w:top w:val="single" w:sz="4" w:space="0" w:color="7F7F7F" w:themeColor="text1" w:themeTint="80"/>
                                    <w:left w:val="nil"/>
                                    <w:right w:val="nil"/>
                                  </w:tcBorders>
                                  <w:hideMark/>
                                </w:tcPr>
                                <w:p w14:paraId="4429646B" w14:textId="77777777" w:rsidR="00200697" w:rsidRPr="00200697" w:rsidRDefault="00200697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 xml:space="preserve">Model 3 – Full adjustment** </w:t>
                                  </w:r>
                                </w:p>
                                <w:p w14:paraId="02FE4447" w14:textId="77777777" w:rsidR="00200697" w:rsidRPr="00200697" w:rsidRDefault="00200697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OR (95%)</w:t>
                                  </w:r>
                                </w:p>
                              </w:tc>
                            </w:tr>
                            <w:tr w:rsidR="00200697" w:rsidRPr="00200697" w14:paraId="74D948EE" w14:textId="7777777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7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000" w:type="pct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  <w:noWrap/>
                                  <w:hideMark/>
                                </w:tcPr>
                                <w:p w14:paraId="3564BDFC" w14:textId="77777777" w:rsidR="00200697" w:rsidRPr="00200697" w:rsidRDefault="00200697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All participants</w:t>
                                  </w:r>
                                </w:p>
                              </w:tc>
                            </w:tr>
                            <w:tr w:rsidR="00200697" w:rsidRPr="00200697" w14:paraId="74FD1808" w14:textId="77777777">
                              <w:trPr>
                                <w:trHeight w:val="86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390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</w:tcPr>
                                <w:p w14:paraId="4ECFD13D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Radon Exposure</w:t>
                                  </w:r>
                                </w:p>
                                <w:p w14:paraId="159AF7E4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 xml:space="preserve">    Low (Class 1-4)</w:t>
                                  </w:r>
                                </w:p>
                                <w:p w14:paraId="75249A6D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 xml:space="preserve">    Medium (Class 5)</w:t>
                                  </w:r>
                                </w:p>
                                <w:p w14:paraId="18453512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 xml:space="preserve">    High (Class 6)</w:t>
                                  </w:r>
                                </w:p>
                                <w:p w14:paraId="3211B58D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</w:tcPr>
                                <w:p w14:paraId="6C6EBD09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  <w:p w14:paraId="6F56E1CD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1521 / 7330</w:t>
                                  </w:r>
                                </w:p>
                                <w:p w14:paraId="73216616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145 / 694</w:t>
                                  </w:r>
                                </w:p>
                                <w:p w14:paraId="63565A7E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21/ 70</w:t>
                                  </w:r>
                                </w:p>
                              </w:tc>
                              <w:tc>
                                <w:tcPr>
                                  <w:tcW w:w="954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</w:tcPr>
                                <w:p w14:paraId="02DA8166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  <w:p w14:paraId="13A2CF91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 (ref)</w:t>
                                  </w:r>
                                </w:p>
                                <w:p w14:paraId="6801B947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1.01 (0.83 – 1.21)</w:t>
                                  </w:r>
                                </w:p>
                                <w:p w14:paraId="252DD434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1.45 (0.83 – 1.21)</w:t>
                                  </w:r>
                                </w:p>
                              </w:tc>
                              <w:tc>
                                <w:tcPr>
                                  <w:tcW w:w="953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328895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  <w:p w14:paraId="2FAEB716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 (ref)</w:t>
                                  </w:r>
                                </w:p>
                                <w:p w14:paraId="5CB2A39A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1.03 (0.85 – 1.25)</w:t>
                                  </w:r>
                                </w:p>
                                <w:p w14:paraId="4C3B3844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1.37 (0.81 – 2.25)</w:t>
                                  </w:r>
                                </w:p>
                              </w:tc>
                              <w:tc>
                                <w:tcPr>
                                  <w:tcW w:w="949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EA6312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  <w:p w14:paraId="38E75F43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 (ref)</w:t>
                                  </w:r>
                                </w:p>
                                <w:p w14:paraId="1F3E703F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0.97 (0.78 – 1.21)</w:t>
                                  </w:r>
                                </w:p>
                                <w:p w14:paraId="3964F1BC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2.23 (1.24 – 3.90)</w:t>
                                  </w:r>
                                </w:p>
                                <w:p w14:paraId="709A92C2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200697" w:rsidRPr="00200697" w14:paraId="2583C238" w14:textId="7777777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9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000" w:type="pct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  <w:noWrap/>
                                  <w:hideMark/>
                                </w:tcPr>
                                <w:p w14:paraId="2C8FD8FA" w14:textId="77777777" w:rsidR="00200697" w:rsidRPr="00200697" w:rsidRDefault="00200697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2014 cases and all controls</w:t>
                                  </w:r>
                                </w:p>
                              </w:tc>
                            </w:tr>
                            <w:tr w:rsidR="00200697" w:rsidRPr="00200697" w14:paraId="1ABEF5B5" w14:textId="77777777">
                              <w:trPr>
                                <w:trHeight w:val="114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390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</w:tcPr>
                                <w:p w14:paraId="4ABE9830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Radon Exposure</w:t>
                                  </w:r>
                                </w:p>
                                <w:p w14:paraId="0CE14BF9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 xml:space="preserve">    Low (Class 1-4)</w:t>
                                  </w:r>
                                </w:p>
                                <w:p w14:paraId="3A2C3D77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 xml:space="preserve">    Medium (Class 5)</w:t>
                                  </w:r>
                                </w:p>
                                <w:p w14:paraId="4E3EC5F0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 xml:space="preserve">    High (Class 6)</w:t>
                                  </w:r>
                                </w:p>
                                <w:p w14:paraId="593C5B82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</w:tcPr>
                                <w:p w14:paraId="7B8F6376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  <w:p w14:paraId="46E7B2E2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816 / 7330</w:t>
                                  </w:r>
                                </w:p>
                                <w:p w14:paraId="41C65C3F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92 / 694</w:t>
                                  </w:r>
                                </w:p>
                                <w:p w14:paraId="71CDB60C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10 / 70</w:t>
                                  </w:r>
                                </w:p>
                              </w:tc>
                              <w:tc>
                                <w:tcPr>
                                  <w:tcW w:w="954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</w:tcPr>
                                <w:p w14:paraId="7BCDF067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  <w:p w14:paraId="268C9DF9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 (ref)</w:t>
                                  </w:r>
                                </w:p>
                                <w:p w14:paraId="7B952B5A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1.19 (0.94 – 1.49)</w:t>
                                  </w:r>
                                </w:p>
                                <w:p w14:paraId="24AD09FE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1.28 (0.62 – 2.38)</w:t>
                                  </w:r>
                                </w:p>
                              </w:tc>
                              <w:tc>
                                <w:tcPr>
                                  <w:tcW w:w="953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651723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  <w:p w14:paraId="4A356697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 (ref)</w:t>
                                  </w:r>
                                </w:p>
                                <w:p w14:paraId="7DAD96A1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1.23 (0.97 – 1.55)</w:t>
                                  </w:r>
                                </w:p>
                                <w:p w14:paraId="07788E49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1.14 (0.54 – 2.16)</w:t>
                                  </w:r>
                                </w:p>
                              </w:tc>
                              <w:tc>
                                <w:tcPr>
                                  <w:tcW w:w="949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F73A4C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  <w:p w14:paraId="45843CCB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 (ref)</w:t>
                                  </w:r>
                                </w:p>
                                <w:p w14:paraId="7D1D00A6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1.10 (0.84 – 1.43)</w:t>
                                  </w:r>
                                </w:p>
                                <w:p w14:paraId="5CAED664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1.81 (0.82 – 3.63)</w:t>
                                  </w:r>
                                </w:p>
                                <w:p w14:paraId="3A639E5C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200697" w:rsidRPr="00200697" w14:paraId="29DC5405" w14:textId="7777777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5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000" w:type="pct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  <w:noWrap/>
                                  <w:hideMark/>
                                </w:tcPr>
                                <w:p w14:paraId="2AE4E2C4" w14:textId="77777777" w:rsidR="00200697" w:rsidRPr="00200697" w:rsidRDefault="00200697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2006 cases and all controls</w:t>
                                  </w:r>
                                </w:p>
                              </w:tc>
                            </w:tr>
                            <w:tr w:rsidR="00200697" w:rsidRPr="00200697" w14:paraId="0CCDACEB" w14:textId="77777777">
                              <w:trPr>
                                <w:trHeight w:val="114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390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</w:tcPr>
                                <w:p w14:paraId="048FFCFE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Radon Exposure</w:t>
                                  </w:r>
                                </w:p>
                                <w:p w14:paraId="22E94017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 xml:space="preserve">    Low (Class 1-4)</w:t>
                                  </w:r>
                                </w:p>
                                <w:p w14:paraId="694C8573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 xml:space="preserve">    Medium (Class 5)</w:t>
                                  </w:r>
                                </w:p>
                                <w:p w14:paraId="37A8777A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 xml:space="preserve">    High (Class 6)</w:t>
                                  </w:r>
                                </w:p>
                                <w:p w14:paraId="54FC4FF9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</w:tcPr>
                                <w:p w14:paraId="6E94D653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  <w:p w14:paraId="5EEF2A4F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705 / 7330</w:t>
                                  </w:r>
                                </w:p>
                                <w:p w14:paraId="1836F1CB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53 / 694</w:t>
                                  </w:r>
                                </w:p>
                                <w:p w14:paraId="0EE6AB1A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11 / 70</w:t>
                                  </w:r>
                                </w:p>
                              </w:tc>
                              <w:tc>
                                <w:tcPr>
                                  <w:tcW w:w="954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</w:tcPr>
                                <w:p w14:paraId="423EBA52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  <w:p w14:paraId="7B7EA644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 (ref)</w:t>
                                  </w:r>
                                </w:p>
                                <w:p w14:paraId="44BD6DAC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0.79 (0.59 – 1.05)</w:t>
                                  </w:r>
                                </w:p>
                                <w:p w14:paraId="322539C6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1.63 (0.82 – 2.97)</w:t>
                                  </w:r>
                                </w:p>
                              </w:tc>
                              <w:tc>
                                <w:tcPr>
                                  <w:tcW w:w="953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26360C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  <w:p w14:paraId="29F45163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 (ref)</w:t>
                                  </w:r>
                                </w:p>
                                <w:p w14:paraId="1CE31371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0.82 (0.60 – 1.08)</w:t>
                                  </w:r>
                                </w:p>
                                <w:p w14:paraId="4E6D8CAC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1.62 (0.80 – 3.00)</w:t>
                                  </w:r>
                                </w:p>
                              </w:tc>
                              <w:tc>
                                <w:tcPr>
                                  <w:tcW w:w="949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BBA8C48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  <w:p w14:paraId="1EA49248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 (ref)</w:t>
                                  </w:r>
                                </w:p>
                                <w:p w14:paraId="2A8C8BC1" w14:textId="77777777" w:rsidR="00200697" w:rsidRPr="00200697" w:rsidRDefault="00200697" w:rsidP="00590708">
                                  <w:pPr>
                                    <w:pStyle w:val="ListParagraph"/>
                                    <w:numPr>
                                      <w:ilvl w:val="1"/>
                                      <w:numId w:val="1"/>
                                    </w:num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(0.56 – 1.07)</w:t>
                                  </w:r>
                                </w:p>
                                <w:p w14:paraId="6CDA3C68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2.75 (1.29 – 5.43)</w:t>
                                  </w:r>
                                </w:p>
                                <w:p w14:paraId="0B4C650F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  <w:tr w:rsidR="00200697" w:rsidRPr="00200697" w14:paraId="5524DDD6" w14:textId="7777777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8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000" w:type="pct"/>
                                  <w:gridSpan w:val="5"/>
                                  <w:tcBorders>
                                    <w:left w:val="nil"/>
                                    <w:right w:val="nil"/>
                                  </w:tcBorders>
                                  <w:noWrap/>
                                  <w:hideMark/>
                                </w:tcPr>
                                <w:p w14:paraId="496F7D40" w14:textId="77777777" w:rsidR="00200697" w:rsidRPr="00200697" w:rsidRDefault="00200697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Sensitivity analysis - 2014 cases and 2014 controls</w:t>
                                  </w:r>
                                </w:p>
                              </w:tc>
                            </w:tr>
                            <w:tr w:rsidR="00200697" w:rsidRPr="00200697" w14:paraId="252E8B66" w14:textId="77777777">
                              <w:trPr>
                                <w:trHeight w:val="114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390" w:type="pct"/>
                                  <w:tcBorders>
                                    <w:top w:val="nil"/>
                                    <w:left w:val="nil"/>
                                    <w:bottom w:val="single" w:sz="4" w:space="0" w:color="7F7F7F" w:themeColor="text1" w:themeTint="80"/>
                                    <w:right w:val="nil"/>
                                  </w:tcBorders>
                                  <w:noWrap/>
                                </w:tcPr>
                                <w:p w14:paraId="025F2F91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Radon Exposure</w:t>
                                  </w:r>
                                </w:p>
                                <w:p w14:paraId="18B07278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 xml:space="preserve">    Low (Class 1-4)</w:t>
                                  </w:r>
                                </w:p>
                                <w:p w14:paraId="44242031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 xml:space="preserve">    Medium (Class 5)</w:t>
                                  </w:r>
                                </w:p>
                                <w:p w14:paraId="38F3C3EE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b w:val="0"/>
                                      <w:bCs w:val="0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 xml:space="preserve">    High (Class 6)</w:t>
                                  </w:r>
                                </w:p>
                                <w:p w14:paraId="7AB049EA" w14:textId="77777777" w:rsidR="00200697" w:rsidRPr="00200697" w:rsidRDefault="002006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5" w:type="pct"/>
                                  <w:tcBorders>
                                    <w:top w:val="nil"/>
                                    <w:left w:val="nil"/>
                                    <w:bottom w:val="single" w:sz="4" w:space="0" w:color="7F7F7F" w:themeColor="text1" w:themeTint="80"/>
                                    <w:right w:val="nil"/>
                                  </w:tcBorders>
                                  <w:noWrap/>
                                </w:tcPr>
                                <w:p w14:paraId="581088A6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  <w:p w14:paraId="0D571EDA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816 / 3365</w:t>
                                  </w:r>
                                </w:p>
                                <w:p w14:paraId="62473CCD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92 / 344</w:t>
                                  </w:r>
                                </w:p>
                                <w:p w14:paraId="61F479BC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10 / 27</w:t>
                                  </w:r>
                                </w:p>
                              </w:tc>
                              <w:tc>
                                <w:tcPr>
                                  <w:tcW w:w="954" w:type="pct"/>
                                  <w:tcBorders>
                                    <w:top w:val="nil"/>
                                    <w:left w:val="nil"/>
                                    <w:bottom w:val="single" w:sz="4" w:space="0" w:color="7F7F7F" w:themeColor="text1" w:themeTint="80"/>
                                    <w:right w:val="nil"/>
                                  </w:tcBorders>
                                  <w:noWrap/>
                                </w:tcPr>
                                <w:p w14:paraId="7AEF0566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  <w:p w14:paraId="3EAF0DAB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 (ref)</w:t>
                                  </w:r>
                                </w:p>
                                <w:p w14:paraId="5CAC3D73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1.10 (0.86 – 1.40)</w:t>
                                  </w:r>
                                </w:p>
                                <w:p w14:paraId="56BE46EF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1.53 (0.70 – 3.07)</w:t>
                                  </w:r>
                                </w:p>
                              </w:tc>
                              <w:tc>
                                <w:tcPr>
                                  <w:tcW w:w="953" w:type="pct"/>
                                  <w:tcBorders>
                                    <w:top w:val="nil"/>
                                    <w:left w:val="nil"/>
                                    <w:bottom w:val="single" w:sz="4" w:space="0" w:color="7F7F7F" w:themeColor="text1" w:themeTint="80"/>
                                    <w:right w:val="nil"/>
                                  </w:tcBorders>
                                </w:tcPr>
                                <w:p w14:paraId="5CB416B7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  <w:p w14:paraId="03D846CC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 (ref)</w:t>
                                  </w:r>
                                </w:p>
                                <w:p w14:paraId="1B20AB32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1.15 (0.89 – 1.48)</w:t>
                                  </w:r>
                                </w:p>
                                <w:p w14:paraId="4F5461A6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1.41 (0.63 – 2.95)</w:t>
                                  </w:r>
                                </w:p>
                              </w:tc>
                              <w:tc>
                                <w:tcPr>
                                  <w:tcW w:w="949" w:type="pct"/>
                                  <w:tcBorders>
                                    <w:top w:val="nil"/>
                                    <w:left w:val="nil"/>
                                    <w:bottom w:val="single" w:sz="4" w:space="0" w:color="7F7F7F" w:themeColor="text1" w:themeTint="80"/>
                                    <w:right w:val="nil"/>
                                  </w:tcBorders>
                                </w:tcPr>
                                <w:p w14:paraId="7332F7E4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  <w:p w14:paraId="055CD6D3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 (ref)</w:t>
                                  </w:r>
                                </w:p>
                                <w:p w14:paraId="55AA0CD5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1.05 (0.78 – 1.40)</w:t>
                                  </w:r>
                                </w:p>
                                <w:p w14:paraId="77BB1959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  <w:r w:rsidRPr="00200697"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  <w:t>2.15 (0.89 – 4.94)</w:t>
                                  </w:r>
                                </w:p>
                                <w:p w14:paraId="5FC86098" w14:textId="77777777" w:rsidR="00200697" w:rsidRPr="00200697" w:rsidRDefault="00200697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Times New Roman" w:eastAsia="Times New Roman" w:hAnsi="Times New Roman" w:cs="Times New Roman"/>
                                      <w:kern w:val="0"/>
                                      <w:highlight w:val="yellow"/>
                                      <w:lang w:eastAsia="en-GB"/>
                                      <w14:ligatures w14:val="non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A69C47" w14:textId="77777777" w:rsidR="00200697" w:rsidRDefault="00200697" w:rsidP="00200697">
                            <w:pPr>
                              <w:spacing w:line="240" w:lineRule="auto"/>
                              <w:rPr>
                                <w:rFonts w:ascii="Times New Roman" w:eastAsiaTheme="minorHAnsi" w:hAnsi="Times New Roman" w:cs="Times New Roman"/>
                                <w:lang w:eastAsia="en-US"/>
                              </w:rPr>
                            </w:pPr>
                            <w:r w:rsidRPr="00200697">
                              <w:rPr>
                                <w:rFonts w:ascii="Times New Roman" w:hAnsi="Times New Roman" w:cs="Times New Roman"/>
                                <w:highlight w:val="yellow"/>
                              </w:rPr>
                              <w:t>*Adjusted for age and sex. **Adjusted for age, sex, smoking status, deprivation and air pollution exposure. 1 case and 7 controls are missing air pollution data and so were excluded from Model 3. (ref) = Reference category.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B5372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margin-left:-25.85pt;margin-top:1.05pt;width:577.45pt;height:522.1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" strokecolor="white [3212]">
                <v:textbox>
                  <w:txbxContent>
                    <w:p w14:paraId="0B1AE8C6" w14:textId="2D03ADD2" w:rsidR="00200697" w:rsidRPr="00200697" w:rsidRDefault="00200697" w:rsidP="00200697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highlight w:val="yellow"/>
                        </w:rPr>
                      </w:pPr>
                      <w:r w:rsidRPr="00200697">
                        <w:rPr>
                          <w:rFonts w:ascii="Times New Roman" w:hAnsi="Times New Roman" w:cs="Times New Roman"/>
                          <w:b/>
                          <w:bCs/>
                          <w:highlight w:val="yellow"/>
                        </w:rPr>
                        <w:t xml:space="preserve">Supplementary Table </w:t>
                      </w:r>
                      <w:r w:rsidR="000248BF">
                        <w:rPr>
                          <w:rFonts w:ascii="Times New Roman" w:hAnsi="Times New Roman" w:cs="Times New Roman"/>
                          <w:b/>
                          <w:bCs/>
                          <w:highlight w:val="yellow"/>
                        </w:rPr>
                        <w:t>1</w:t>
                      </w:r>
                      <w:r w:rsidRPr="00200697">
                        <w:rPr>
                          <w:rFonts w:ascii="Times New Roman" w:hAnsi="Times New Roman" w:cs="Times New Roman"/>
                          <w:b/>
                          <w:bCs/>
                          <w:highlight w:val="yellow"/>
                        </w:rPr>
                        <w:t xml:space="preserve">. </w:t>
                      </w:r>
                      <w:r w:rsidRPr="00200697">
                        <w:rPr>
                          <w:rFonts w:ascii="Times New Roman" w:hAnsi="Times New Roman" w:cs="Times New Roman"/>
                          <w:highlight w:val="yellow"/>
                        </w:rPr>
                        <w:t>Odds ratios (OR) and 95% confidence intervals (CI) for the association of radon exposure with lung cancer risk in Northern Ireland.</w:t>
                      </w:r>
                    </w:p>
                    <w:tbl>
                      <w:tblPr>
                        <w:tblStyle w:val="PlainTable2"/>
                        <w:tblW w:w="4761" w:type="pct"/>
                        <w:tblLook w:val="04A0" w:firstRow="1" w:lastRow="0" w:firstColumn="1" w:lastColumn="0" w:noHBand="0" w:noVBand="1"/>
                      </w:tblPr>
                      <w:tblGrid>
                        <w:gridCol w:w="2982"/>
                        <w:gridCol w:w="1619"/>
                        <w:gridCol w:w="2046"/>
                        <w:gridCol w:w="2044"/>
                        <w:gridCol w:w="2033"/>
                      </w:tblGrid>
                      <w:tr w:rsidR="00200697" w:rsidRPr="00200697" w14:paraId="6F8DFE61" w14:textId="77777777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8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390" w:type="pct"/>
                            <w:tcBorders>
                              <w:top w:val="single" w:sz="4" w:space="0" w:color="7F7F7F" w:themeColor="text1" w:themeTint="80"/>
                              <w:left w:val="nil"/>
                              <w:right w:val="nil"/>
                            </w:tcBorders>
                            <w:noWrap/>
                            <w:hideMark/>
                          </w:tcPr>
                          <w:p w14:paraId="2260B14C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Category</w:t>
                            </w:r>
                          </w:p>
                        </w:tc>
                        <w:tc>
                          <w:tcPr>
                            <w:tcW w:w="755" w:type="pct"/>
                            <w:tcBorders>
                              <w:top w:val="single" w:sz="4" w:space="0" w:color="7F7F7F" w:themeColor="text1" w:themeTint="80"/>
                              <w:left w:val="nil"/>
                              <w:right w:val="nil"/>
                            </w:tcBorders>
                            <w:noWrap/>
                            <w:hideMark/>
                          </w:tcPr>
                          <w:p w14:paraId="727E8161" w14:textId="77777777" w:rsidR="00200697" w:rsidRPr="00200697" w:rsidRDefault="00200697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Cases/</w:t>
                            </w:r>
                          </w:p>
                          <w:p w14:paraId="7A365F18" w14:textId="47548F74" w:rsidR="00200697" w:rsidRPr="00200697" w:rsidRDefault="00200697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Controls (</w:t>
                            </w: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i/>
                                <w:iCs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n</w:t>
                            </w: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54" w:type="pct"/>
                            <w:tcBorders>
                              <w:top w:val="single" w:sz="4" w:space="0" w:color="7F7F7F" w:themeColor="text1" w:themeTint="80"/>
                              <w:left w:val="nil"/>
                              <w:right w:val="nil"/>
                            </w:tcBorders>
                            <w:noWrap/>
                          </w:tcPr>
                          <w:p w14:paraId="12EB1B79" w14:textId="77777777" w:rsidR="00200697" w:rsidRPr="00200697" w:rsidRDefault="00200697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Model 1 – Crude</w:t>
                            </w:r>
                          </w:p>
                          <w:p w14:paraId="6089BF41" w14:textId="77777777" w:rsidR="00200697" w:rsidRPr="00200697" w:rsidRDefault="00200697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1F7B19B3" w14:textId="77777777" w:rsidR="00200697" w:rsidRPr="00200697" w:rsidRDefault="00200697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OR (95%)</w:t>
                            </w:r>
                          </w:p>
                        </w:tc>
                        <w:tc>
                          <w:tcPr>
                            <w:tcW w:w="953" w:type="pct"/>
                            <w:tcBorders>
                              <w:top w:val="single" w:sz="4" w:space="0" w:color="7F7F7F" w:themeColor="text1" w:themeTint="80"/>
                              <w:left w:val="nil"/>
                              <w:right w:val="nil"/>
                            </w:tcBorders>
                            <w:hideMark/>
                          </w:tcPr>
                          <w:p w14:paraId="5095AFE2" w14:textId="77777777" w:rsidR="00200697" w:rsidRPr="00200697" w:rsidRDefault="00200697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 xml:space="preserve">Model 2 – Minimal adjustment* </w:t>
                            </w:r>
                          </w:p>
                          <w:p w14:paraId="1989525C" w14:textId="77777777" w:rsidR="00200697" w:rsidRPr="00200697" w:rsidRDefault="00200697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OR (95%)</w:t>
                            </w:r>
                          </w:p>
                        </w:tc>
                        <w:tc>
                          <w:tcPr>
                            <w:tcW w:w="949" w:type="pct"/>
                            <w:tcBorders>
                              <w:top w:val="single" w:sz="4" w:space="0" w:color="7F7F7F" w:themeColor="text1" w:themeTint="80"/>
                              <w:left w:val="nil"/>
                              <w:right w:val="nil"/>
                            </w:tcBorders>
                            <w:hideMark/>
                          </w:tcPr>
                          <w:p w14:paraId="4429646B" w14:textId="77777777" w:rsidR="00200697" w:rsidRPr="00200697" w:rsidRDefault="00200697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 xml:space="preserve">Model 3 – Full adjustment** </w:t>
                            </w:r>
                          </w:p>
                          <w:p w14:paraId="02FE4447" w14:textId="77777777" w:rsidR="00200697" w:rsidRPr="00200697" w:rsidRDefault="00200697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OR (95%)</w:t>
                            </w:r>
                          </w:p>
                        </w:tc>
                      </w:tr>
                      <w:tr w:rsidR="00200697" w:rsidRPr="00200697" w14:paraId="74D948EE" w14:textId="7777777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7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000" w:type="pct"/>
                            <w:gridSpan w:val="5"/>
                            <w:tcBorders>
                              <w:left w:val="nil"/>
                              <w:right w:val="nil"/>
                            </w:tcBorders>
                            <w:noWrap/>
                            <w:hideMark/>
                          </w:tcPr>
                          <w:p w14:paraId="3564BDFC" w14:textId="77777777" w:rsidR="00200697" w:rsidRPr="00200697" w:rsidRDefault="00200697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All participants</w:t>
                            </w:r>
                          </w:p>
                        </w:tc>
                      </w:tr>
                      <w:tr w:rsidR="00200697" w:rsidRPr="00200697" w14:paraId="74FD1808" w14:textId="77777777">
                        <w:trPr>
                          <w:trHeight w:val="86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390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</w:tcPr>
                          <w:p w14:paraId="4ECFD13D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Radon Exposure</w:t>
                            </w:r>
                          </w:p>
                          <w:p w14:paraId="159AF7E4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 xml:space="preserve">    Low (Class 1-4)</w:t>
                            </w:r>
                          </w:p>
                          <w:p w14:paraId="75249A6D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 xml:space="preserve">    Medium (Class 5)</w:t>
                            </w:r>
                          </w:p>
                          <w:p w14:paraId="18453512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 xml:space="preserve">    High (Class 6)</w:t>
                            </w:r>
                          </w:p>
                          <w:p w14:paraId="3211B58D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755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</w:tcPr>
                          <w:p w14:paraId="6C6EBD09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6F56E1CD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1521 / 7330</w:t>
                            </w:r>
                          </w:p>
                          <w:p w14:paraId="73216616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145 / 694</w:t>
                            </w:r>
                          </w:p>
                          <w:p w14:paraId="63565A7E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21/ 70</w:t>
                            </w:r>
                          </w:p>
                        </w:tc>
                        <w:tc>
                          <w:tcPr>
                            <w:tcW w:w="954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</w:tcPr>
                          <w:p w14:paraId="02DA8166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13A2CF91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 (ref)</w:t>
                            </w:r>
                          </w:p>
                          <w:p w14:paraId="6801B947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1.01 (0.83 – 1.21)</w:t>
                            </w:r>
                          </w:p>
                          <w:p w14:paraId="252DD434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1.45 (0.83 – 1.21)</w:t>
                            </w:r>
                          </w:p>
                        </w:tc>
                        <w:tc>
                          <w:tcPr>
                            <w:tcW w:w="953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328895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2FAEB716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 (ref)</w:t>
                            </w:r>
                          </w:p>
                          <w:p w14:paraId="5CB2A39A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1.03 (0.85 – 1.25)</w:t>
                            </w:r>
                          </w:p>
                          <w:p w14:paraId="4C3B3844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1.37 (0.81 – 2.25)</w:t>
                            </w:r>
                          </w:p>
                        </w:tc>
                        <w:tc>
                          <w:tcPr>
                            <w:tcW w:w="949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EA6312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38E75F43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 (ref)</w:t>
                            </w:r>
                          </w:p>
                          <w:p w14:paraId="1F3E703F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0.97 (0.78 – 1.21)</w:t>
                            </w:r>
                          </w:p>
                          <w:p w14:paraId="3964F1BC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2.23 (1.24 – 3.90)</w:t>
                            </w:r>
                          </w:p>
                          <w:p w14:paraId="709A92C2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</w:tc>
                      </w:tr>
                      <w:tr w:rsidR="00200697" w:rsidRPr="00200697" w14:paraId="2583C238" w14:textId="7777777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9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000" w:type="pct"/>
                            <w:gridSpan w:val="5"/>
                            <w:tcBorders>
                              <w:left w:val="nil"/>
                              <w:right w:val="nil"/>
                            </w:tcBorders>
                            <w:noWrap/>
                            <w:hideMark/>
                          </w:tcPr>
                          <w:p w14:paraId="2C8FD8FA" w14:textId="77777777" w:rsidR="00200697" w:rsidRPr="00200697" w:rsidRDefault="00200697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2014 cases and all controls</w:t>
                            </w:r>
                          </w:p>
                        </w:tc>
                      </w:tr>
                      <w:tr w:rsidR="00200697" w:rsidRPr="00200697" w14:paraId="1ABEF5B5" w14:textId="77777777">
                        <w:trPr>
                          <w:trHeight w:val="114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390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</w:tcPr>
                          <w:p w14:paraId="4ABE9830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Radon Exposure</w:t>
                            </w:r>
                          </w:p>
                          <w:p w14:paraId="0CE14BF9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 xml:space="preserve">    Low (Class 1-4)</w:t>
                            </w:r>
                          </w:p>
                          <w:p w14:paraId="3A2C3D77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 xml:space="preserve">    Medium (Class 5)</w:t>
                            </w:r>
                          </w:p>
                          <w:p w14:paraId="4E3EC5F0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 xml:space="preserve">    High (Class 6)</w:t>
                            </w:r>
                          </w:p>
                          <w:p w14:paraId="593C5B82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755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</w:tcPr>
                          <w:p w14:paraId="7B8F6376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46E7B2E2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816 / 7330</w:t>
                            </w:r>
                          </w:p>
                          <w:p w14:paraId="41C65C3F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92 / 694</w:t>
                            </w:r>
                          </w:p>
                          <w:p w14:paraId="71CDB60C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10 / 70</w:t>
                            </w:r>
                          </w:p>
                        </w:tc>
                        <w:tc>
                          <w:tcPr>
                            <w:tcW w:w="954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</w:tcPr>
                          <w:p w14:paraId="7BCDF067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268C9DF9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 (ref)</w:t>
                            </w:r>
                          </w:p>
                          <w:p w14:paraId="7B952B5A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1.19 (0.94 – 1.49)</w:t>
                            </w:r>
                          </w:p>
                          <w:p w14:paraId="24AD09FE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1.28 (0.62 – 2.38)</w:t>
                            </w:r>
                          </w:p>
                        </w:tc>
                        <w:tc>
                          <w:tcPr>
                            <w:tcW w:w="953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651723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4A356697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 (ref)</w:t>
                            </w:r>
                          </w:p>
                          <w:p w14:paraId="7DAD96A1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1.23 (0.97 – 1.55)</w:t>
                            </w:r>
                          </w:p>
                          <w:p w14:paraId="07788E49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1.14 (0.54 – 2.16)</w:t>
                            </w:r>
                          </w:p>
                        </w:tc>
                        <w:tc>
                          <w:tcPr>
                            <w:tcW w:w="949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F73A4C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45843CCB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 (ref)</w:t>
                            </w:r>
                          </w:p>
                          <w:p w14:paraId="7D1D00A6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1.10 (0.84 – 1.43)</w:t>
                            </w:r>
                          </w:p>
                          <w:p w14:paraId="5CAED664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1.81 (0.82 – 3.63)</w:t>
                            </w:r>
                          </w:p>
                          <w:p w14:paraId="3A639E5C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</w:tc>
                      </w:tr>
                      <w:tr w:rsidR="00200697" w:rsidRPr="00200697" w14:paraId="29DC5405" w14:textId="7777777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5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000" w:type="pct"/>
                            <w:gridSpan w:val="5"/>
                            <w:tcBorders>
                              <w:left w:val="nil"/>
                              <w:right w:val="nil"/>
                            </w:tcBorders>
                            <w:noWrap/>
                            <w:hideMark/>
                          </w:tcPr>
                          <w:p w14:paraId="2AE4E2C4" w14:textId="77777777" w:rsidR="00200697" w:rsidRPr="00200697" w:rsidRDefault="00200697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2006 cases and all controls</w:t>
                            </w:r>
                          </w:p>
                        </w:tc>
                      </w:tr>
                      <w:tr w:rsidR="00200697" w:rsidRPr="00200697" w14:paraId="0CCDACEB" w14:textId="77777777">
                        <w:trPr>
                          <w:trHeight w:val="114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390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</w:tcPr>
                          <w:p w14:paraId="048FFCFE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Radon Exposure</w:t>
                            </w:r>
                          </w:p>
                          <w:p w14:paraId="22E94017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 xml:space="preserve">    Low (Class 1-4)</w:t>
                            </w:r>
                          </w:p>
                          <w:p w14:paraId="694C8573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 xml:space="preserve">    Medium (Class 5)</w:t>
                            </w:r>
                          </w:p>
                          <w:p w14:paraId="37A8777A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 xml:space="preserve">    High (Class 6)</w:t>
                            </w:r>
                          </w:p>
                          <w:p w14:paraId="54FC4FF9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755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</w:tcPr>
                          <w:p w14:paraId="6E94D653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5EEF2A4F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705 / 7330</w:t>
                            </w:r>
                          </w:p>
                          <w:p w14:paraId="1836F1CB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53 / 694</w:t>
                            </w:r>
                          </w:p>
                          <w:p w14:paraId="0EE6AB1A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11 / 70</w:t>
                            </w:r>
                          </w:p>
                        </w:tc>
                        <w:tc>
                          <w:tcPr>
                            <w:tcW w:w="954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noWrap/>
                          </w:tcPr>
                          <w:p w14:paraId="423EBA52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7B7EA644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 (ref)</w:t>
                            </w:r>
                          </w:p>
                          <w:p w14:paraId="44BD6DAC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0.79 (0.59 – 1.05)</w:t>
                            </w:r>
                          </w:p>
                          <w:p w14:paraId="322539C6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1.63 (0.82 – 2.97)</w:t>
                            </w:r>
                          </w:p>
                        </w:tc>
                        <w:tc>
                          <w:tcPr>
                            <w:tcW w:w="953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26360C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29F45163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 (ref)</w:t>
                            </w:r>
                          </w:p>
                          <w:p w14:paraId="1CE31371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0.82 (0.60 – 1.08)</w:t>
                            </w:r>
                          </w:p>
                          <w:p w14:paraId="4E6D8CAC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1.62 (0.80 – 3.00)</w:t>
                            </w:r>
                          </w:p>
                        </w:tc>
                        <w:tc>
                          <w:tcPr>
                            <w:tcW w:w="949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BBA8C48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1EA49248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 (ref)</w:t>
                            </w:r>
                          </w:p>
                          <w:p w14:paraId="2A8C8BC1" w14:textId="77777777" w:rsidR="00200697" w:rsidRPr="00200697" w:rsidRDefault="00200697" w:rsidP="00590708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(0.56 – 1.07)</w:t>
                            </w:r>
                          </w:p>
                          <w:p w14:paraId="6CDA3C68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2.75 (1.29 – 5.43)</w:t>
                            </w:r>
                          </w:p>
                          <w:p w14:paraId="0B4C650F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</w:tc>
                      </w:tr>
                      <w:tr w:rsidR="00200697" w:rsidRPr="00200697" w14:paraId="5524DDD6" w14:textId="7777777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8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000" w:type="pct"/>
                            <w:gridSpan w:val="5"/>
                            <w:tcBorders>
                              <w:left w:val="nil"/>
                              <w:right w:val="nil"/>
                            </w:tcBorders>
                            <w:noWrap/>
                            <w:hideMark/>
                          </w:tcPr>
                          <w:p w14:paraId="496F7D40" w14:textId="77777777" w:rsidR="00200697" w:rsidRPr="00200697" w:rsidRDefault="00200697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Sensitivity analysis - 2014 cases and 2014 controls</w:t>
                            </w:r>
                          </w:p>
                        </w:tc>
                      </w:tr>
                      <w:tr w:rsidR="00200697" w:rsidRPr="00200697" w14:paraId="252E8B66" w14:textId="77777777">
                        <w:trPr>
                          <w:trHeight w:val="114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390" w:type="pct"/>
                            <w:tcBorders>
                              <w:top w:val="nil"/>
                              <w:left w:val="nil"/>
                              <w:bottom w:val="single" w:sz="4" w:space="0" w:color="7F7F7F" w:themeColor="text1" w:themeTint="80"/>
                              <w:right w:val="nil"/>
                            </w:tcBorders>
                            <w:noWrap/>
                          </w:tcPr>
                          <w:p w14:paraId="025F2F91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Radon Exposure</w:t>
                            </w:r>
                          </w:p>
                          <w:p w14:paraId="18B07278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 xml:space="preserve">    Low (Class 1-4)</w:t>
                            </w:r>
                          </w:p>
                          <w:p w14:paraId="44242031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 xml:space="preserve">    Medium (Class 5)</w:t>
                            </w:r>
                          </w:p>
                          <w:p w14:paraId="38F3C3EE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b w:val="0"/>
                                <w:bCs w:val="0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 xml:space="preserve">    High (Class 6)</w:t>
                            </w:r>
                          </w:p>
                          <w:p w14:paraId="7AB049EA" w14:textId="77777777" w:rsidR="00200697" w:rsidRPr="00200697" w:rsidRDefault="00200697">
                            <w:pPr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</w:tc>
                        <w:tc>
                          <w:tcPr>
                            <w:tcW w:w="755" w:type="pct"/>
                            <w:tcBorders>
                              <w:top w:val="nil"/>
                              <w:left w:val="nil"/>
                              <w:bottom w:val="single" w:sz="4" w:space="0" w:color="7F7F7F" w:themeColor="text1" w:themeTint="80"/>
                              <w:right w:val="nil"/>
                            </w:tcBorders>
                            <w:noWrap/>
                          </w:tcPr>
                          <w:p w14:paraId="581088A6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0D571EDA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816 / 3365</w:t>
                            </w:r>
                          </w:p>
                          <w:p w14:paraId="62473CCD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92 / 344</w:t>
                            </w:r>
                          </w:p>
                          <w:p w14:paraId="61F479BC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10 / 27</w:t>
                            </w:r>
                          </w:p>
                        </w:tc>
                        <w:tc>
                          <w:tcPr>
                            <w:tcW w:w="954" w:type="pct"/>
                            <w:tcBorders>
                              <w:top w:val="nil"/>
                              <w:left w:val="nil"/>
                              <w:bottom w:val="single" w:sz="4" w:space="0" w:color="7F7F7F" w:themeColor="text1" w:themeTint="80"/>
                              <w:right w:val="nil"/>
                            </w:tcBorders>
                            <w:noWrap/>
                          </w:tcPr>
                          <w:p w14:paraId="7AEF0566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3EAF0DAB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 (ref)</w:t>
                            </w:r>
                          </w:p>
                          <w:p w14:paraId="5CAC3D73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1.10 (0.86 – 1.40)</w:t>
                            </w:r>
                          </w:p>
                          <w:p w14:paraId="56BE46EF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1.53 (0.70 – 3.07)</w:t>
                            </w:r>
                          </w:p>
                        </w:tc>
                        <w:tc>
                          <w:tcPr>
                            <w:tcW w:w="953" w:type="pct"/>
                            <w:tcBorders>
                              <w:top w:val="nil"/>
                              <w:left w:val="nil"/>
                              <w:bottom w:val="single" w:sz="4" w:space="0" w:color="7F7F7F" w:themeColor="text1" w:themeTint="80"/>
                              <w:right w:val="nil"/>
                            </w:tcBorders>
                          </w:tcPr>
                          <w:p w14:paraId="5CB416B7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03D846CC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 (ref)</w:t>
                            </w:r>
                          </w:p>
                          <w:p w14:paraId="1B20AB32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1.15 (0.89 – 1.48)</w:t>
                            </w:r>
                          </w:p>
                          <w:p w14:paraId="4F5461A6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1.41 (0.63 – 2.95)</w:t>
                            </w:r>
                          </w:p>
                        </w:tc>
                        <w:tc>
                          <w:tcPr>
                            <w:tcW w:w="949" w:type="pct"/>
                            <w:tcBorders>
                              <w:top w:val="nil"/>
                              <w:left w:val="nil"/>
                              <w:bottom w:val="single" w:sz="4" w:space="0" w:color="7F7F7F" w:themeColor="text1" w:themeTint="80"/>
                              <w:right w:val="nil"/>
                            </w:tcBorders>
                          </w:tcPr>
                          <w:p w14:paraId="7332F7E4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055CD6D3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 (ref)</w:t>
                            </w:r>
                          </w:p>
                          <w:p w14:paraId="55AA0CD5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1.05 (0.78 – 1.40)</w:t>
                            </w:r>
                          </w:p>
                          <w:p w14:paraId="77BB1959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  <w:r w:rsidRPr="00200697"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  <w:t>2.15 (0.89 – 4.94)</w:t>
                            </w:r>
                          </w:p>
                          <w:p w14:paraId="5FC86098" w14:textId="77777777" w:rsidR="00200697" w:rsidRPr="00200697" w:rsidRDefault="00200697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Times New Roman" w:eastAsia="Times New Roman" w:hAnsi="Times New Roman" w:cs="Times New Roman"/>
                                <w:kern w:val="0"/>
                                <w:highlight w:val="yellow"/>
                                <w:lang w:eastAsia="en-GB"/>
                                <w14:ligatures w14:val="none"/>
                              </w:rPr>
                            </w:pPr>
                          </w:p>
                        </w:tc>
                      </w:tr>
                    </w:tbl>
                    <w:p w14:paraId="05A69C47" w14:textId="77777777" w:rsidR="00200697" w:rsidRDefault="00200697" w:rsidP="00200697">
                      <w:pPr>
                        <w:spacing w:line="240" w:lineRule="auto"/>
                        <w:rPr>
                          <w:rFonts w:ascii="Times New Roman" w:eastAsiaTheme="minorHAnsi" w:hAnsi="Times New Roman" w:cs="Times New Roman"/>
                          <w:lang w:eastAsia="en-US"/>
                        </w:rPr>
                      </w:pPr>
                      <w:r w:rsidRPr="00200697">
                        <w:rPr>
                          <w:rFonts w:ascii="Times New Roman" w:hAnsi="Times New Roman" w:cs="Times New Roman"/>
                          <w:highlight w:val="yellow"/>
                        </w:rPr>
                        <w:t>*Adjusted for age and sex. **Adjusted for age, sex, smoking status, deprivation and air pollution exposure. 1 case and 7 controls are missing air pollution data and so were excluded from Model 3. (ref) = Reference category.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A22700E" w14:textId="77777777" w:rsidR="00200697" w:rsidRPr="00200697" w:rsidRDefault="00200697" w:rsidP="00200697">
      <w:pPr>
        <w:rPr>
          <w:rFonts w:ascii="Times New Roman" w:hAnsi="Times New Roman" w:cs="Times New Roman"/>
        </w:rPr>
      </w:pPr>
    </w:p>
    <w:sectPr w:rsidR="00200697" w:rsidRPr="00200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E0377C"/>
    <w:multiLevelType w:val="multilevel"/>
    <w:tmpl w:val="B0DC7B6E"/>
    <w:lvl w:ilvl="0">
      <w:numFmt w:val="decimal"/>
      <w:lvlText w:val="%1"/>
      <w:lvlJc w:val="left"/>
      <w:pPr>
        <w:ind w:left="420" w:hanging="420"/>
      </w:pPr>
    </w:lvl>
    <w:lvl w:ilvl="1">
      <w:start w:val="78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485167328">
    <w:abstractNumId w:val="0"/>
    <w:lvlOverride w:ilvl="0"/>
    <w:lvlOverride w:ilvl="1">
      <w:startOverride w:val="7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97"/>
    <w:rsid w:val="000248BF"/>
    <w:rsid w:val="00200697"/>
    <w:rsid w:val="00BD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D5A34"/>
  <w15:chartTrackingRefBased/>
  <w15:docId w15:val="{BEBDDD5D-79D0-40D1-86CA-C8F56A10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6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6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6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6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6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6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6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6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6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6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6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6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697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20069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200697"/>
    <w:pPr>
      <w:spacing w:after="200" w:line="240" w:lineRule="auto"/>
    </w:pPr>
    <w:rPr>
      <w:rFonts w:eastAsiaTheme="minorHAnsi"/>
      <w:i/>
      <w:iCs/>
      <w:color w:val="0E2841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Middleton</dc:creator>
  <cp:keywords/>
  <dc:description/>
  <cp:lastModifiedBy>Dan Middleton</cp:lastModifiedBy>
  <cp:revision>2</cp:revision>
  <dcterms:created xsi:type="dcterms:W3CDTF">2026-03-09T11:21:00Z</dcterms:created>
  <dcterms:modified xsi:type="dcterms:W3CDTF">2026-03-09T12:44:00Z</dcterms:modified>
</cp:coreProperties>
</file>