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D9" w:rsidRDefault="003A21D9" w:rsidP="003A21D9">
      <w:pPr>
        <w:rPr>
          <w:rFonts w:ascii="Times New Roman" w:hAnsi="Times New Roman" w:cs="Times New Roman"/>
          <w:b/>
        </w:rPr>
      </w:pPr>
      <w:r w:rsidRPr="00FE6857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Pr="00FE6857">
        <w:rPr>
          <w:rFonts w:ascii="Times New Roman" w:hAnsi="Times New Roman" w:cs="Times New Roman"/>
          <w:b/>
        </w:rPr>
        <w:t xml:space="preserve">1. </w:t>
      </w:r>
      <w:proofErr w:type="gramStart"/>
      <w:r w:rsidRPr="00FE6857">
        <w:rPr>
          <w:rFonts w:ascii="Times New Roman" w:hAnsi="Times New Roman" w:cs="Times New Roman"/>
          <w:b/>
        </w:rPr>
        <w:t>Forest plot of prostate cancer relative risks in epidemiologic studies of Agent Orange/TCDD exposure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Whiskers show 95% confidence intervals, except where not reported (indicated by *).  HR: hazard ratio; MRR: mortality relative risk; OR: odds ratio; </w:t>
      </w:r>
      <w:proofErr w:type="spellStart"/>
      <w:r>
        <w:rPr>
          <w:rFonts w:ascii="Times New Roman" w:hAnsi="Times New Roman" w:cs="Times New Roman"/>
        </w:rPr>
        <w:t>ppt</w:t>
      </w:r>
      <w:proofErr w:type="spellEnd"/>
      <w:r>
        <w:rPr>
          <w:rFonts w:ascii="Times New Roman" w:hAnsi="Times New Roman" w:cs="Times New Roman"/>
        </w:rPr>
        <w:t>: parts per trillion; RR: relative risk; SEA: Southeast Asia; SIR: standardized incidence ratio; SMR: standardized mortality ratio; TCDD: 2</w:t>
      </w:r>
      <w:proofErr w:type="gramStart"/>
      <w:r>
        <w:rPr>
          <w:rFonts w:ascii="Times New Roman" w:hAnsi="Times New Roman" w:cs="Times New Roman"/>
        </w:rPr>
        <w:t>,3,7,8</w:t>
      </w:r>
      <w:proofErr w:type="gramEnd"/>
      <w:r>
        <w:rPr>
          <w:rFonts w:ascii="Times New Roman" w:hAnsi="Times New Roman" w:cs="Times New Roman"/>
        </w:rPr>
        <w:t>-t</w:t>
      </w:r>
      <w:r w:rsidRPr="00904626">
        <w:rPr>
          <w:rFonts w:ascii="Times New Roman" w:hAnsi="Times New Roman" w:cs="Times New Roman"/>
        </w:rPr>
        <w:t>etrachlorodibenzo-</w:t>
      </w:r>
      <w:r w:rsidRPr="00904626">
        <w:rPr>
          <w:rFonts w:ascii="Times New Roman" w:hAnsi="Times New Roman" w:cs="Times New Roman"/>
          <w:i/>
        </w:rPr>
        <w:t>p</w:t>
      </w:r>
      <w:r w:rsidRPr="00904626">
        <w:rPr>
          <w:rFonts w:ascii="Times New Roman" w:hAnsi="Times New Roman" w:cs="Times New Roman"/>
        </w:rPr>
        <w:t>-dioxin</w:t>
      </w:r>
      <w:r>
        <w:rPr>
          <w:rFonts w:ascii="Times New Roman" w:hAnsi="Times New Roman" w:cs="Times New Roman"/>
        </w:rPr>
        <w:t>; US: United States; VN: Southeast Asia military service in Vietnam.</w:t>
      </w:r>
    </w:p>
    <w:p w:rsidR="003A21D9" w:rsidRDefault="003A21D9" w:rsidP="003A21D9">
      <w:pPr>
        <w:rPr>
          <w:rFonts w:ascii="Times New Roman" w:hAnsi="Times New Roman" w:cs="Times New Roman"/>
          <w:b/>
        </w:rPr>
      </w:pPr>
      <w:r w:rsidRPr="00FE6857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Pr="00FE6857">
        <w:rPr>
          <w:rFonts w:ascii="Times New Roman" w:hAnsi="Times New Roman" w:cs="Times New Roman"/>
          <w:b/>
        </w:rPr>
        <w:t>2. Forest plot of prostate cancer relative risks in epidemiologic studies of military service in Vietnam</w:t>
      </w:r>
      <w:r>
        <w:rPr>
          <w:rFonts w:ascii="Times New Roman" w:hAnsi="Times New Roman" w:cs="Times New Roman"/>
        </w:rPr>
        <w:t>.  Whiskers show 95% confidence intervals, except where not reported (indicated by *).  ADVA: Australian Department of Veterans’ Affairs; AIHW: Australian Institute of Health and Welfare; MOR: mortality odds ratio; MRR: mortality relative risk; OR: odds ratio; PC: prostate cancer; PR: prevalence ratio; RR: relative risk; SIR: standardized incidence ratio; SMOR: standardized morbidity odds ratio; SMR: standardized mortality ratio; SMRR: ratio of standardized mortality ratios; US: United States.</w:t>
      </w:r>
    </w:p>
    <w:p w:rsidR="003A21D9" w:rsidRDefault="003A21D9" w:rsidP="003A21D9">
      <w:pPr>
        <w:rPr>
          <w:rFonts w:ascii="Times New Roman" w:hAnsi="Times New Roman" w:cs="Times New Roman"/>
        </w:rPr>
        <w:sectPr w:rsidR="003A21D9" w:rsidSect="003A21D9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357A6F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Pr="00357A6F">
        <w:rPr>
          <w:rFonts w:ascii="Times New Roman" w:hAnsi="Times New Roman" w:cs="Times New Roman"/>
          <w:b/>
        </w:rPr>
        <w:t xml:space="preserve">3. Forest plot of prostate cancer relative risks in epidemiologic studies of occupational or </w:t>
      </w:r>
      <w:r>
        <w:rPr>
          <w:rFonts w:ascii="Times New Roman" w:hAnsi="Times New Roman" w:cs="Times New Roman"/>
          <w:b/>
        </w:rPr>
        <w:t xml:space="preserve">accidental </w:t>
      </w:r>
      <w:r w:rsidRPr="00357A6F">
        <w:rPr>
          <w:rFonts w:ascii="Times New Roman" w:hAnsi="Times New Roman" w:cs="Times New Roman"/>
          <w:b/>
        </w:rPr>
        <w:t>industrial exposure to TCDD</w:t>
      </w:r>
      <w:r>
        <w:rPr>
          <w:rFonts w:ascii="Times New Roman" w:hAnsi="Times New Roman" w:cs="Times New Roman"/>
        </w:rPr>
        <w:t>.  Whiskers show 95% confidence intervals, except where not reported (indicated by *).  2,4-D: 2,4-d</w:t>
      </w:r>
      <w:r w:rsidRPr="00BC4B8A">
        <w:rPr>
          <w:rFonts w:ascii="Times New Roman" w:hAnsi="Times New Roman" w:cs="Times New Roman"/>
        </w:rPr>
        <w:t>ichlorophenoxyacetic acid</w:t>
      </w:r>
      <w:r>
        <w:rPr>
          <w:rFonts w:ascii="Times New Roman" w:hAnsi="Times New Roman" w:cs="Times New Roman"/>
        </w:rPr>
        <w:t>; 2,4,5-T: 2,4,5-t</w:t>
      </w:r>
      <w:r w:rsidRPr="000C6260">
        <w:rPr>
          <w:rFonts w:ascii="Times New Roman" w:hAnsi="Times New Roman" w:cs="Times New Roman"/>
        </w:rPr>
        <w:t>richlorophenoxyacetic acid</w:t>
      </w:r>
      <w:r>
        <w:rPr>
          <w:rFonts w:ascii="Times New Roman" w:hAnsi="Times New Roman" w:cs="Times New Roman"/>
        </w:rPr>
        <w:t>; HR: hazard ratio; M</w:t>
      </w:r>
      <w:r w:rsidR="006D74C2">
        <w:rPr>
          <w:rFonts w:ascii="Times New Roman" w:hAnsi="Times New Roman" w:cs="Times New Roman"/>
        </w:rPr>
        <w:t>RR: mortality relative risk; ppb: parts per b</w:t>
      </w:r>
      <w:r>
        <w:rPr>
          <w:rFonts w:ascii="Times New Roman" w:hAnsi="Times New Roman" w:cs="Times New Roman"/>
        </w:rPr>
        <w:t>illion; RR: relative risk; SIR: standardized incidence ratio; SMR: standardized mortality ratio; TCDD: 2,3,7,8-t</w:t>
      </w:r>
      <w:r w:rsidRPr="00904626">
        <w:rPr>
          <w:rFonts w:ascii="Times New Roman" w:hAnsi="Times New Roman" w:cs="Times New Roman"/>
        </w:rPr>
        <w:t>etrachlorodibenzo-</w:t>
      </w:r>
      <w:r w:rsidRPr="00904626">
        <w:rPr>
          <w:rFonts w:ascii="Times New Roman" w:hAnsi="Times New Roman" w:cs="Times New Roman"/>
          <w:i/>
        </w:rPr>
        <w:t>p</w:t>
      </w:r>
      <w:r w:rsidRPr="00904626">
        <w:rPr>
          <w:rFonts w:ascii="Times New Roman" w:hAnsi="Times New Roman" w:cs="Times New Roman"/>
        </w:rPr>
        <w:t>-dioxin</w:t>
      </w:r>
      <w:r>
        <w:rPr>
          <w:rFonts w:ascii="Times New Roman" w:hAnsi="Times New Roman" w:cs="Times New Roman"/>
        </w:rPr>
        <w:t>; TEQ: toxic equivalency quotient for dioxins; US: United States.</w:t>
      </w:r>
    </w:p>
    <w:p w:rsidR="003A21D9" w:rsidRDefault="003A21D9" w:rsidP="003A21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7D51D0F" wp14:editId="45C8BE3D">
            <wp:extent cx="9575321" cy="7178817"/>
            <wp:effectExtent l="0" t="0" r="6985" b="3175"/>
            <wp:docPr id="1" name="Picture 1" descr="C:\Users\echang\Box Sync\Prostate cancer review\Forest plots\Figure 1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ang\Box Sync\Prostate cancer review\Forest plots\Figure 1 - Cop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823" cy="718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8BE" w:rsidRDefault="0016061D">
      <w:r>
        <w:rPr>
          <w:noProof/>
        </w:rPr>
        <w:lastRenderedPageBreak/>
        <w:drawing>
          <wp:inline distT="0" distB="0" distL="0" distR="0">
            <wp:extent cx="9439275" cy="7315200"/>
            <wp:effectExtent l="0" t="0" r="9525" b="0"/>
            <wp:docPr id="6" name="Picture 6" descr="C:\Users\echang\Box Sync\Prostate cancer review\Forest plots\Figu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chang\Box Sync\Prostate cancer review\Forest plots\Figure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360" w:rsidRDefault="004721CC">
      <w:pPr>
        <w:sectPr w:rsidR="00302360" w:rsidSect="003A21D9">
          <w:pgSz w:w="15840" w:h="12240" w:orient="landscape"/>
          <w:pgMar w:top="360" w:right="360" w:bottom="360" w:left="36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601200" cy="6892690"/>
            <wp:effectExtent l="0" t="0" r="0" b="3810"/>
            <wp:docPr id="2" name="Picture 2" descr="C:\Users\echang\Box Sync\Prostate cancer review\Forest plots\Figu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ang\Box Sync\Prostate cancer review\Forest plots\Figure 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89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4750" w:type="dxa"/>
        <w:tblInd w:w="93" w:type="dxa"/>
        <w:tblLook w:val="04A0" w:firstRow="1" w:lastRow="0" w:firstColumn="1" w:lastColumn="0" w:noHBand="0" w:noVBand="1"/>
      </w:tblPr>
      <w:tblGrid>
        <w:gridCol w:w="1815"/>
        <w:gridCol w:w="650"/>
        <w:gridCol w:w="516"/>
        <w:gridCol w:w="1084"/>
        <w:gridCol w:w="1117"/>
        <w:gridCol w:w="1191"/>
        <w:gridCol w:w="8377"/>
      </w:tblGrid>
      <w:tr w:rsidR="00CE6BC9" w:rsidRPr="00CE6BC9" w:rsidTr="00CE6BC9">
        <w:trPr>
          <w:trHeight w:val="255"/>
        </w:trPr>
        <w:tc>
          <w:tcPr>
            <w:tcW w:w="14750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Table S1. Cohorts of herbicide production workers and sprayers included in the International Association for Research on Cancer/National Institute of Occupational Safety and Health (IARC/NIOSH) pooled analysis (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Kogevinas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et al., 1997)</w:t>
            </w:r>
          </w:p>
        </w:tc>
      </w:tr>
      <w:tr w:rsidR="00CE6BC9" w:rsidRPr="00CE6BC9" w:rsidTr="00CE6BC9">
        <w:trPr>
          <w:trHeight w:val="255"/>
        </w:trPr>
        <w:tc>
          <w:tcPr>
            <w:tcW w:w="14750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525"/>
        </w:trPr>
        <w:tc>
          <w:tcPr>
            <w:tcW w:w="18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6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5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0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TCDD-exposed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TCDD-unexposed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Period of follow-up</w:t>
            </w:r>
          </w:p>
        </w:tc>
        <w:tc>
          <w:tcPr>
            <w:tcW w:w="83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Comments</w:t>
            </w:r>
          </w:p>
        </w:tc>
      </w:tr>
      <w:tr w:rsidR="00CE6BC9" w:rsidRPr="00CE6BC9" w:rsidTr="00CE6BC9">
        <w:trPr>
          <w:trHeight w:val="27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1951–1983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1971–1991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1950–1992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1947–1992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1951–1992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1939–1991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1956–1989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1952–1989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(men only)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Manuwald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2012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1965–1989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1951–1989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1970–1991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1967–1991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Updated by Boers et al., 2010, 2012 (Factory A)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1965–1991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Updated by Boers et al., 2010, 2012 (Factory B)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1969–1990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't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Mannetje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2005; extended by McBride et al., 2009a, 2009b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1972–1990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't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Mannetje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2005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1965–1990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1947–1990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1960–1989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1975–1991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1969–1991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1969–1991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1647–1990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1968–1987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1961–1987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1957–1987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1961–1987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1957–1987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1960–1987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1948–1987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2,089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1942–1987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2009; also studied by Collins et al., 2009a, 2009b and Ruder &amp; Yin, 2011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1949–1987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1957–1987</w:t>
            </w:r>
          </w:p>
        </w:tc>
        <w:tc>
          <w:tcPr>
            <w:tcW w:w="8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55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1953–1987</w:t>
            </w:r>
          </w:p>
        </w:tc>
        <w:tc>
          <w:tcPr>
            <w:tcW w:w="8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Updated by </w:t>
            </w:r>
            <w:proofErr w:type="spellStart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Steenland</w:t>
            </w:r>
            <w:proofErr w:type="spellEnd"/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</w:tr>
      <w:tr w:rsidR="00CE6BC9" w:rsidRPr="00CE6BC9" w:rsidTr="00CE6BC9">
        <w:trPr>
          <w:trHeight w:val="270"/>
        </w:trPr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13,831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E6BC9" w:rsidRPr="00CE6BC9" w:rsidTr="00CE6BC9">
        <w:trPr>
          <w:trHeight w:val="255"/>
        </w:trPr>
        <w:tc>
          <w:tcPr>
            <w:tcW w:w="14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M: men; MW: men and women; P: herbicide production workers; S: sprayers; TCDD: 2,3,7,8-tetrachlorodibenzo-</w:t>
            </w:r>
            <w:r w:rsidRPr="00CE6B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-dioxin</w:t>
            </w:r>
          </w:p>
        </w:tc>
      </w:tr>
      <w:tr w:rsidR="00CE6BC9" w:rsidRPr="00CE6BC9" w:rsidTr="00CE6BC9">
        <w:trPr>
          <w:trHeight w:val="255"/>
        </w:trPr>
        <w:tc>
          <w:tcPr>
            <w:tcW w:w="14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BC9" w:rsidRPr="00CE6BC9" w:rsidRDefault="00CE6BC9" w:rsidP="00CE6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B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479 workers could not be classified with regard to TCDD exposure</w:t>
            </w:r>
          </w:p>
        </w:tc>
      </w:tr>
    </w:tbl>
    <w:p w:rsidR="00ED7333" w:rsidRDefault="003A0F84"/>
    <w:sectPr w:rsidR="00ED7333" w:rsidSect="003A21D9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F84" w:rsidRDefault="003A0F84" w:rsidP="00A9444B">
      <w:pPr>
        <w:spacing w:after="0" w:line="240" w:lineRule="auto"/>
      </w:pPr>
      <w:r>
        <w:separator/>
      </w:r>
    </w:p>
  </w:endnote>
  <w:endnote w:type="continuationSeparator" w:id="0">
    <w:p w:rsidR="003A0F84" w:rsidRDefault="003A0F84" w:rsidP="00A94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F84" w:rsidRDefault="003A0F84" w:rsidP="00A9444B">
      <w:pPr>
        <w:spacing w:after="0" w:line="240" w:lineRule="auto"/>
      </w:pPr>
      <w:r>
        <w:separator/>
      </w:r>
    </w:p>
  </w:footnote>
  <w:footnote w:type="continuationSeparator" w:id="0">
    <w:p w:rsidR="003A0F84" w:rsidRDefault="003A0F84" w:rsidP="00A94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A8"/>
    <w:rsid w:val="000135BF"/>
    <w:rsid w:val="00020828"/>
    <w:rsid w:val="00091A46"/>
    <w:rsid w:val="000C6260"/>
    <w:rsid w:val="000E1C13"/>
    <w:rsid w:val="00122CC5"/>
    <w:rsid w:val="0016061D"/>
    <w:rsid w:val="00302360"/>
    <w:rsid w:val="003A0F84"/>
    <w:rsid w:val="003A21D9"/>
    <w:rsid w:val="00426F15"/>
    <w:rsid w:val="004721CC"/>
    <w:rsid w:val="00492723"/>
    <w:rsid w:val="004B1BAD"/>
    <w:rsid w:val="004C4F70"/>
    <w:rsid w:val="00572A20"/>
    <w:rsid w:val="005E6DE2"/>
    <w:rsid w:val="006D74C2"/>
    <w:rsid w:val="00840C49"/>
    <w:rsid w:val="00854CD3"/>
    <w:rsid w:val="00952E2F"/>
    <w:rsid w:val="00A9444B"/>
    <w:rsid w:val="00B04393"/>
    <w:rsid w:val="00B118BE"/>
    <w:rsid w:val="00B80DE0"/>
    <w:rsid w:val="00BC4B8A"/>
    <w:rsid w:val="00BF29A8"/>
    <w:rsid w:val="00CE16F4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44B"/>
  </w:style>
  <w:style w:type="paragraph" w:styleId="Footer">
    <w:name w:val="footer"/>
    <w:basedOn w:val="Normal"/>
    <w:link w:val="FooterChar"/>
    <w:uiPriority w:val="99"/>
    <w:unhideWhenUsed/>
    <w:rsid w:val="00A9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44B"/>
  </w:style>
  <w:style w:type="paragraph" w:styleId="Footer">
    <w:name w:val="footer"/>
    <w:basedOn w:val="Normal"/>
    <w:link w:val="FooterChar"/>
    <w:uiPriority w:val="99"/>
    <w:unhideWhenUsed/>
    <w:rsid w:val="00A9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Chang</dc:creator>
  <cp:lastModifiedBy>Ellen Chang</cp:lastModifiedBy>
  <cp:revision>21</cp:revision>
  <dcterms:created xsi:type="dcterms:W3CDTF">2014-06-05T17:17:00Z</dcterms:created>
  <dcterms:modified xsi:type="dcterms:W3CDTF">2014-06-09T16:32:00Z</dcterms:modified>
</cp:coreProperties>
</file>