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4B971" w14:textId="76F4C4FD" w:rsidR="00665274" w:rsidRPr="00B869B8" w:rsidRDefault="00665274" w:rsidP="008A3689">
      <w:pPr>
        <w:rPr>
          <w:rFonts w:ascii="Arial" w:hAnsi="Arial" w:cs="Arial"/>
          <w:b/>
          <w:sz w:val="20"/>
          <w:szCs w:val="24"/>
        </w:rPr>
      </w:pPr>
      <w:r w:rsidRPr="00B869B8">
        <w:rPr>
          <w:rFonts w:ascii="Arial" w:hAnsi="Arial" w:cs="Arial"/>
          <w:b/>
          <w:sz w:val="20"/>
          <w:szCs w:val="24"/>
        </w:rPr>
        <w:t>Supplementary material</w:t>
      </w:r>
    </w:p>
    <w:p w14:paraId="6610CAAC" w14:textId="77777777" w:rsidR="00665274" w:rsidRPr="00B869B8" w:rsidRDefault="00665274" w:rsidP="008A3689">
      <w:pPr>
        <w:rPr>
          <w:rFonts w:ascii="Arial" w:hAnsi="Arial" w:cs="Arial"/>
          <w:b/>
          <w:sz w:val="20"/>
          <w:szCs w:val="24"/>
        </w:rPr>
      </w:pPr>
    </w:p>
    <w:p w14:paraId="60FD4172" w14:textId="7F0B0D79" w:rsidR="008A3689" w:rsidRPr="00B869B8" w:rsidRDefault="00A218B8" w:rsidP="008A3689">
      <w:pPr>
        <w:rPr>
          <w:rFonts w:ascii="Arial" w:hAnsi="Arial" w:cs="Arial"/>
          <w:b/>
          <w:sz w:val="20"/>
          <w:szCs w:val="24"/>
        </w:rPr>
      </w:pPr>
      <w:r w:rsidRPr="00B869B8">
        <w:rPr>
          <w:rFonts w:ascii="Arial" w:hAnsi="Arial" w:cs="Arial"/>
          <w:b/>
          <w:sz w:val="20"/>
          <w:szCs w:val="24"/>
        </w:rPr>
        <w:t>Patterns of obesity development before the diagnosis of cardiovascular disease</w:t>
      </w:r>
    </w:p>
    <w:p w14:paraId="293D931A" w14:textId="77777777" w:rsidR="00A218B8" w:rsidRPr="00B869B8" w:rsidRDefault="00A218B8" w:rsidP="00A218B8">
      <w:pPr>
        <w:rPr>
          <w:rFonts w:ascii="Arial" w:hAnsi="Arial" w:cs="Arial"/>
          <w:sz w:val="20"/>
          <w:szCs w:val="24"/>
        </w:rPr>
      </w:pPr>
      <w:r w:rsidRPr="00B869B8">
        <w:rPr>
          <w:rFonts w:ascii="Arial" w:hAnsi="Arial" w:cs="Arial"/>
          <w:sz w:val="20"/>
          <w:szCs w:val="24"/>
        </w:rPr>
        <w:t xml:space="preserve">Dhana K, van Rosmalen J, Vistisen D, Ikram MA, Hofman A, Franco OH, Kavousi M </w:t>
      </w:r>
    </w:p>
    <w:p w14:paraId="6EC4AA72" w14:textId="77777777" w:rsidR="008A3689" w:rsidRPr="00B869B8" w:rsidRDefault="008A3689" w:rsidP="008A3689">
      <w:pPr>
        <w:rPr>
          <w:rFonts w:ascii="Arial" w:hAnsi="Arial" w:cs="Arial"/>
          <w:sz w:val="20"/>
          <w:szCs w:val="24"/>
        </w:rPr>
      </w:pPr>
    </w:p>
    <w:p w14:paraId="024153D9" w14:textId="15065FC2" w:rsidR="008A3689" w:rsidRDefault="006E4E91" w:rsidP="00C47721">
      <w:pPr>
        <w:spacing w:after="240" w:line="360" w:lineRule="auto"/>
        <w:rPr>
          <w:rFonts w:ascii="Arial" w:hAnsi="Arial" w:cs="Arial"/>
          <w:sz w:val="20"/>
          <w:szCs w:val="24"/>
        </w:rPr>
      </w:pPr>
      <w:r w:rsidRPr="00B869B8">
        <w:rPr>
          <w:rFonts w:ascii="Arial" w:hAnsi="Arial" w:cs="Arial"/>
          <w:b/>
          <w:sz w:val="20"/>
          <w:szCs w:val="24"/>
        </w:rPr>
        <w:t xml:space="preserve">Table S1. </w:t>
      </w:r>
      <w:r w:rsidRPr="00B869B8">
        <w:rPr>
          <w:rFonts w:ascii="Arial" w:hAnsi="Arial" w:cs="Arial"/>
          <w:sz w:val="20"/>
          <w:szCs w:val="24"/>
        </w:rPr>
        <w:t>Characteristics of study participants by subgroup at their first clinical examination.</w:t>
      </w:r>
    </w:p>
    <w:p w14:paraId="55344470" w14:textId="77777777" w:rsidR="00C47721" w:rsidRDefault="008A3689" w:rsidP="00C47721">
      <w:pPr>
        <w:spacing w:after="240" w:line="360" w:lineRule="auto"/>
        <w:rPr>
          <w:rFonts w:ascii="Arial" w:hAnsi="Arial" w:cs="Arial"/>
          <w:sz w:val="20"/>
          <w:szCs w:val="24"/>
        </w:rPr>
      </w:pPr>
      <w:r w:rsidRPr="00B869B8">
        <w:rPr>
          <w:rFonts w:ascii="Arial" w:hAnsi="Arial" w:cs="Arial"/>
          <w:b/>
          <w:sz w:val="20"/>
          <w:szCs w:val="24"/>
        </w:rPr>
        <w:t xml:space="preserve">Figure </w:t>
      </w:r>
      <w:r w:rsidR="00665274" w:rsidRPr="00B869B8">
        <w:rPr>
          <w:rFonts w:ascii="Arial" w:hAnsi="Arial" w:cs="Arial"/>
          <w:b/>
          <w:sz w:val="20"/>
          <w:szCs w:val="24"/>
        </w:rPr>
        <w:t>S</w:t>
      </w:r>
      <w:r w:rsidRPr="00B869B8">
        <w:rPr>
          <w:rFonts w:ascii="Arial" w:hAnsi="Arial" w:cs="Arial"/>
          <w:b/>
          <w:sz w:val="20"/>
          <w:szCs w:val="24"/>
        </w:rPr>
        <w:t>1</w:t>
      </w:r>
      <w:r w:rsidRPr="00B869B8">
        <w:rPr>
          <w:rFonts w:ascii="Arial" w:hAnsi="Arial" w:cs="Arial"/>
          <w:sz w:val="20"/>
          <w:szCs w:val="24"/>
        </w:rPr>
        <w:t>. Trajectories of body mass index, waist circumference, systolic and diastolic blood pressure.</w:t>
      </w:r>
    </w:p>
    <w:p w14:paraId="1BA8717B" w14:textId="51325F5E" w:rsidR="008A3689" w:rsidRPr="00B869B8" w:rsidRDefault="008A3689" w:rsidP="00C47721">
      <w:pPr>
        <w:spacing w:after="240" w:line="360" w:lineRule="auto"/>
        <w:rPr>
          <w:rFonts w:ascii="Arial" w:hAnsi="Arial" w:cs="Arial"/>
          <w:b/>
          <w:sz w:val="20"/>
          <w:szCs w:val="24"/>
        </w:rPr>
      </w:pPr>
      <w:r w:rsidRPr="00B869B8">
        <w:rPr>
          <w:rFonts w:ascii="Arial" w:hAnsi="Arial" w:cs="Arial"/>
          <w:b/>
          <w:sz w:val="20"/>
          <w:szCs w:val="24"/>
        </w:rPr>
        <w:t xml:space="preserve">Figure </w:t>
      </w:r>
      <w:r w:rsidR="00665274" w:rsidRPr="00B869B8">
        <w:rPr>
          <w:rFonts w:ascii="Arial" w:hAnsi="Arial" w:cs="Arial"/>
          <w:b/>
          <w:sz w:val="20"/>
          <w:szCs w:val="24"/>
        </w:rPr>
        <w:t>S</w:t>
      </w:r>
      <w:r w:rsidRPr="00B869B8">
        <w:rPr>
          <w:rFonts w:ascii="Arial" w:hAnsi="Arial" w:cs="Arial"/>
          <w:b/>
          <w:sz w:val="20"/>
          <w:szCs w:val="24"/>
        </w:rPr>
        <w:t>2</w:t>
      </w:r>
      <w:r w:rsidRPr="00B869B8">
        <w:rPr>
          <w:rFonts w:ascii="Arial" w:eastAsiaTheme="majorEastAsia" w:hAnsi="Arial" w:cs="Arial"/>
          <w:color w:val="000000"/>
          <w:sz w:val="20"/>
          <w:szCs w:val="24"/>
        </w:rPr>
        <w:t xml:space="preserve">. </w:t>
      </w:r>
      <w:r w:rsidRPr="00B869B8">
        <w:rPr>
          <w:rFonts w:ascii="Arial" w:hAnsi="Arial" w:cs="Arial"/>
          <w:sz w:val="20"/>
          <w:szCs w:val="24"/>
        </w:rPr>
        <w:t xml:space="preserve">Trajectories of fasting plasma glucose, total </w:t>
      </w:r>
      <w:r w:rsidR="00F03F3C" w:rsidRPr="00B869B8">
        <w:rPr>
          <w:rFonts w:ascii="Arial" w:hAnsi="Arial" w:cs="Arial"/>
          <w:sz w:val="20"/>
          <w:szCs w:val="24"/>
        </w:rPr>
        <w:t xml:space="preserve">cholesterol, </w:t>
      </w:r>
      <w:r w:rsidRPr="00B869B8">
        <w:rPr>
          <w:rFonts w:ascii="Arial" w:hAnsi="Arial" w:cs="Arial"/>
          <w:sz w:val="20"/>
          <w:szCs w:val="24"/>
        </w:rPr>
        <w:t>HDL cholesterol</w:t>
      </w:r>
      <w:r w:rsidR="008443DD">
        <w:rPr>
          <w:rFonts w:ascii="Arial" w:hAnsi="Arial" w:cs="Arial"/>
          <w:sz w:val="20"/>
          <w:szCs w:val="24"/>
        </w:rPr>
        <w:t>,</w:t>
      </w:r>
      <w:r w:rsidR="00F03F3C" w:rsidRPr="00B869B8">
        <w:rPr>
          <w:rFonts w:ascii="Arial" w:hAnsi="Arial" w:cs="Arial"/>
          <w:sz w:val="20"/>
          <w:szCs w:val="24"/>
        </w:rPr>
        <w:t xml:space="preserve"> and predicted 10-year CVD risk</w:t>
      </w:r>
      <w:r w:rsidRPr="00B869B8">
        <w:rPr>
          <w:rFonts w:ascii="Arial" w:hAnsi="Arial" w:cs="Arial"/>
          <w:sz w:val="20"/>
          <w:szCs w:val="24"/>
        </w:rPr>
        <w:t>.</w:t>
      </w:r>
    </w:p>
    <w:p w14:paraId="5F94C252" w14:textId="77777777" w:rsidR="008A3689" w:rsidRPr="00A218B8" w:rsidRDefault="008A36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8B8">
        <w:rPr>
          <w:rFonts w:ascii="Times New Roman" w:hAnsi="Times New Roman"/>
          <w:b/>
          <w:sz w:val="24"/>
          <w:szCs w:val="24"/>
        </w:rPr>
        <w:br w:type="page"/>
      </w:r>
    </w:p>
    <w:p w14:paraId="1D57F198" w14:textId="77777777" w:rsidR="006E4E91" w:rsidRDefault="006E4E9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E4E91">
          <w:headerReference w:type="default" r:id="rId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405C2DD" w14:textId="08E02AA1" w:rsidR="006E4E91" w:rsidRDefault="006E4E91" w:rsidP="006E4E91">
      <w:pPr>
        <w:rPr>
          <w:rFonts w:ascii="Arial" w:hAnsi="Arial" w:cs="Arial"/>
          <w:sz w:val="20"/>
          <w:szCs w:val="20"/>
        </w:rPr>
      </w:pPr>
      <w:r w:rsidRPr="00C7107E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sz w:val="20"/>
          <w:szCs w:val="20"/>
        </w:rPr>
        <w:t>S</w:t>
      </w:r>
      <w:r w:rsidRPr="00C7107E">
        <w:rPr>
          <w:rFonts w:ascii="Arial" w:hAnsi="Arial" w:cs="Arial"/>
          <w:b/>
          <w:sz w:val="20"/>
          <w:szCs w:val="20"/>
        </w:rPr>
        <w:t xml:space="preserve">1. </w:t>
      </w:r>
      <w:r w:rsidRPr="00C7107E">
        <w:rPr>
          <w:rFonts w:ascii="Arial" w:hAnsi="Arial" w:cs="Arial"/>
          <w:sz w:val="20"/>
          <w:szCs w:val="20"/>
        </w:rPr>
        <w:t>Characteristics of study participants at their first clinical examination.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862"/>
        <w:gridCol w:w="1812"/>
        <w:gridCol w:w="2414"/>
        <w:gridCol w:w="2401"/>
        <w:gridCol w:w="1762"/>
        <w:gridCol w:w="1925"/>
      </w:tblGrid>
      <w:tr w:rsidR="006E4E91" w14:paraId="64512B2A" w14:textId="77777777" w:rsidTr="00B7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6C115C51" w14:textId="77777777" w:rsidR="006E4E91" w:rsidRPr="00DB1D5B" w:rsidRDefault="006E4E91" w:rsidP="00B7581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sz w:val="20"/>
                <w:szCs w:val="20"/>
              </w:rPr>
              <w:t>Characteristics*</w:t>
            </w:r>
          </w:p>
        </w:tc>
        <w:tc>
          <w:tcPr>
            <w:tcW w:w="0" w:type="auto"/>
            <w:gridSpan w:val="3"/>
            <w:vAlign w:val="center"/>
          </w:tcPr>
          <w:p w14:paraId="710F8CEE" w14:textId="77777777" w:rsidR="006E4E91" w:rsidRPr="00DB1D5B" w:rsidRDefault="006E4E91" w:rsidP="00B75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Individuals developing CVD during follow-up (n=1748)</w:t>
            </w:r>
          </w:p>
        </w:tc>
        <w:tc>
          <w:tcPr>
            <w:tcW w:w="0" w:type="auto"/>
            <w:gridSpan w:val="2"/>
            <w:vAlign w:val="center"/>
          </w:tcPr>
          <w:p w14:paraId="7C9E69E3" w14:textId="77777777" w:rsidR="006E4E91" w:rsidRPr="00DB1D5B" w:rsidRDefault="006E4E91" w:rsidP="00B75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Individuals without CVD during follow-up (n=4378)</w:t>
            </w:r>
          </w:p>
        </w:tc>
      </w:tr>
      <w:tr w:rsidR="006E4E91" w14:paraId="5D9F147A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18F1D449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69A8D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Stable weight (n=1534)</w:t>
            </w:r>
          </w:p>
        </w:tc>
        <w:tc>
          <w:tcPr>
            <w:tcW w:w="0" w:type="auto"/>
            <w:vAlign w:val="center"/>
          </w:tcPr>
          <w:p w14:paraId="407E51E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Progressive weight gain (n=112)</w:t>
            </w:r>
          </w:p>
        </w:tc>
        <w:tc>
          <w:tcPr>
            <w:tcW w:w="0" w:type="auto"/>
            <w:vAlign w:val="center"/>
          </w:tcPr>
          <w:p w14:paraId="491843E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Progressive weight loss (n=102)</w:t>
            </w:r>
          </w:p>
        </w:tc>
        <w:tc>
          <w:tcPr>
            <w:tcW w:w="0" w:type="auto"/>
            <w:vAlign w:val="center"/>
          </w:tcPr>
          <w:p w14:paraId="42F12DD0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CVD-free</w:t>
            </w:r>
          </w:p>
          <w:p w14:paraId="39774FF1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(n=2184)</w:t>
            </w:r>
          </w:p>
        </w:tc>
        <w:tc>
          <w:tcPr>
            <w:tcW w:w="0" w:type="auto"/>
            <w:vAlign w:val="center"/>
          </w:tcPr>
          <w:p w14:paraId="3142A00D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Non-CVD mortality</w:t>
            </w:r>
          </w:p>
          <w:p w14:paraId="6402E1D8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(n=2194)</w:t>
            </w:r>
          </w:p>
        </w:tc>
      </w:tr>
      <w:tr w:rsidR="006E4E91" w14:paraId="5DA6C4E6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E17392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Time before diagnosis/last visit, years</w:t>
            </w:r>
          </w:p>
        </w:tc>
        <w:tc>
          <w:tcPr>
            <w:tcW w:w="0" w:type="auto"/>
            <w:vAlign w:val="center"/>
          </w:tcPr>
          <w:p w14:paraId="761B8D6A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(4.04, 13.1)</w:t>
            </w:r>
          </w:p>
        </w:tc>
        <w:tc>
          <w:tcPr>
            <w:tcW w:w="0" w:type="auto"/>
            <w:vAlign w:val="center"/>
          </w:tcPr>
          <w:p w14:paraId="1A0D127F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 (6.9, 14.6)</w:t>
            </w:r>
          </w:p>
        </w:tc>
        <w:tc>
          <w:tcPr>
            <w:tcW w:w="0" w:type="auto"/>
            <w:vAlign w:val="center"/>
          </w:tcPr>
          <w:p w14:paraId="028B56B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>9 (9.2, 15.0)</w:t>
            </w:r>
          </w:p>
        </w:tc>
        <w:tc>
          <w:tcPr>
            <w:tcW w:w="0" w:type="auto"/>
            <w:vAlign w:val="center"/>
          </w:tcPr>
          <w:p w14:paraId="3689CC39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18.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(17.4, 19.6)</w:t>
            </w:r>
          </w:p>
        </w:tc>
        <w:tc>
          <w:tcPr>
            <w:tcW w:w="0" w:type="auto"/>
            <w:vAlign w:val="center"/>
          </w:tcPr>
          <w:p w14:paraId="5F6C6D37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(5.7, 22.2)</w:t>
            </w:r>
          </w:p>
        </w:tc>
      </w:tr>
      <w:tr w:rsidR="006E4E91" w14:paraId="06DCEDEB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1DC974D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Women (%)</w:t>
            </w:r>
          </w:p>
        </w:tc>
        <w:tc>
          <w:tcPr>
            <w:tcW w:w="0" w:type="auto"/>
            <w:vAlign w:val="center"/>
          </w:tcPr>
          <w:p w14:paraId="66A54674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868 (56.6)</w:t>
            </w:r>
          </w:p>
        </w:tc>
        <w:tc>
          <w:tcPr>
            <w:tcW w:w="0" w:type="auto"/>
            <w:vAlign w:val="center"/>
          </w:tcPr>
          <w:p w14:paraId="6D8CB60A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75 (67.0)</w:t>
            </w:r>
          </w:p>
        </w:tc>
        <w:tc>
          <w:tcPr>
            <w:tcW w:w="0" w:type="auto"/>
            <w:vAlign w:val="center"/>
          </w:tcPr>
          <w:p w14:paraId="4A309F09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66 (64.7)</w:t>
            </w:r>
          </w:p>
        </w:tc>
        <w:tc>
          <w:tcPr>
            <w:tcW w:w="0" w:type="auto"/>
            <w:vAlign w:val="center"/>
          </w:tcPr>
          <w:p w14:paraId="4651EA6B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1496 (68.5)</w:t>
            </w:r>
          </w:p>
        </w:tc>
        <w:tc>
          <w:tcPr>
            <w:tcW w:w="0" w:type="auto"/>
            <w:vAlign w:val="center"/>
          </w:tcPr>
          <w:p w14:paraId="4F9AF605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128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(58.5)</w:t>
            </w:r>
          </w:p>
        </w:tc>
      </w:tr>
      <w:tr w:rsidR="006E4E91" w14:paraId="26CDF014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4A00A83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Current smoker (%)</w:t>
            </w:r>
          </w:p>
        </w:tc>
        <w:tc>
          <w:tcPr>
            <w:tcW w:w="0" w:type="auto"/>
            <w:vAlign w:val="center"/>
          </w:tcPr>
          <w:p w14:paraId="6AC041FE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400 (26.1)</w:t>
            </w:r>
          </w:p>
        </w:tc>
        <w:tc>
          <w:tcPr>
            <w:tcW w:w="0" w:type="auto"/>
            <w:vAlign w:val="center"/>
          </w:tcPr>
          <w:p w14:paraId="6CB09785" w14:textId="159AF702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(18.9)</w:t>
            </w:r>
          </w:p>
        </w:tc>
        <w:tc>
          <w:tcPr>
            <w:tcW w:w="0" w:type="auto"/>
            <w:vAlign w:val="center"/>
          </w:tcPr>
          <w:p w14:paraId="4DB1B8E2" w14:textId="788377B5" w:rsidR="006E4E91" w:rsidRPr="00C7107E" w:rsidRDefault="006E4E91" w:rsidP="006E4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(25.0)</w:t>
            </w:r>
          </w:p>
        </w:tc>
        <w:tc>
          <w:tcPr>
            <w:tcW w:w="0" w:type="auto"/>
            <w:vAlign w:val="center"/>
          </w:tcPr>
          <w:p w14:paraId="360EA1C6" w14:textId="05E87F27" w:rsidR="006E4E91" w:rsidRPr="00C7107E" w:rsidRDefault="006E4E91" w:rsidP="006E4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(19.4)</w:t>
            </w:r>
          </w:p>
        </w:tc>
        <w:tc>
          <w:tcPr>
            <w:tcW w:w="0" w:type="auto"/>
            <w:vAlign w:val="center"/>
          </w:tcPr>
          <w:p w14:paraId="6A610371" w14:textId="03EA65BF" w:rsidR="006E4E91" w:rsidRPr="00C7107E" w:rsidRDefault="006E4E91" w:rsidP="006E4E9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57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7107E">
              <w:rPr>
                <w:rFonts w:ascii="Arial" w:hAnsi="Arial" w:cs="Arial"/>
                <w:sz w:val="20"/>
                <w:szCs w:val="20"/>
              </w:rPr>
              <w:t xml:space="preserve"> (26.2)</w:t>
            </w:r>
          </w:p>
        </w:tc>
      </w:tr>
      <w:tr w:rsidR="006E4E91" w14:paraId="4A6B3864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7FE391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Antihypertensive treatment (%)</w:t>
            </w:r>
          </w:p>
        </w:tc>
        <w:tc>
          <w:tcPr>
            <w:tcW w:w="0" w:type="auto"/>
            <w:vAlign w:val="center"/>
          </w:tcPr>
          <w:p w14:paraId="564A0346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278 (18.1)</w:t>
            </w:r>
          </w:p>
        </w:tc>
        <w:tc>
          <w:tcPr>
            <w:tcW w:w="0" w:type="auto"/>
            <w:vAlign w:val="center"/>
          </w:tcPr>
          <w:p w14:paraId="706C66D9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43 (38.1)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09B28B8C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31 (30.8)</w:t>
            </w:r>
          </w:p>
        </w:tc>
        <w:tc>
          <w:tcPr>
            <w:tcW w:w="0" w:type="auto"/>
            <w:vAlign w:val="center"/>
          </w:tcPr>
          <w:p w14:paraId="21A01EF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286 (13.1)</w:t>
            </w:r>
          </w:p>
        </w:tc>
        <w:tc>
          <w:tcPr>
            <w:tcW w:w="0" w:type="auto"/>
            <w:vAlign w:val="center"/>
          </w:tcPr>
          <w:p w14:paraId="16D026BF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397 (18.1)</w:t>
            </w:r>
          </w:p>
        </w:tc>
      </w:tr>
      <w:tr w:rsidR="006E4E91" w14:paraId="56DE9647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E5F275A" w14:textId="30A080E0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Anti-diabetic treatment</w:t>
            </w:r>
            <w:r w:rsidR="00B767BC" w:rsidRPr="00DB1D5B">
              <w:rPr>
                <w:rFonts w:ascii="Arial" w:hAnsi="Arial" w:cs="Arial"/>
                <w:b w:val="0"/>
                <w:sz w:val="18"/>
                <w:szCs w:val="20"/>
                <w:vertAlign w:val="superscript"/>
              </w:rPr>
              <w:t>†</w:t>
            </w: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7375650F" w14:textId="412B0123" w:rsidR="006E4E91" w:rsidRPr="00C7107E" w:rsidRDefault="00B767BC" w:rsidP="00B767B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8.0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9B2E795" w14:textId="192CB0DF" w:rsidR="006E4E91" w:rsidRPr="00C7107E" w:rsidRDefault="00B767BC" w:rsidP="00B767B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14.1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5F6B37FD" w14:textId="4886889D" w:rsidR="006E4E91" w:rsidRPr="00C7107E" w:rsidRDefault="00B767BC" w:rsidP="00B767B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12.2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F4FBE4D" w14:textId="46AEC73E" w:rsidR="006E4E91" w:rsidRPr="00C7107E" w:rsidRDefault="00B767BC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B869B8">
              <w:rPr>
                <w:rFonts w:ascii="Arial" w:hAnsi="Arial" w:cs="Arial"/>
                <w:sz w:val="20"/>
                <w:szCs w:val="20"/>
              </w:rPr>
              <w:t>1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6.5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21445E33" w14:textId="380C9920" w:rsidR="006E4E91" w:rsidRPr="00C7107E" w:rsidRDefault="00B869B8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 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(</w:t>
            </w:r>
            <w:r w:rsidR="00B767BC">
              <w:rPr>
                <w:rFonts w:ascii="Arial" w:hAnsi="Arial" w:cs="Arial"/>
                <w:sz w:val="20"/>
                <w:szCs w:val="20"/>
              </w:rPr>
              <w:t>6.0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E4E91" w14:paraId="3AB01777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4381422" w14:textId="187CD078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Statins treatment</w:t>
            </w:r>
            <w:r w:rsidR="00B767BC" w:rsidRPr="00DB1D5B">
              <w:rPr>
                <w:rFonts w:ascii="Arial" w:hAnsi="Arial" w:cs="Arial"/>
                <w:b w:val="0"/>
                <w:sz w:val="18"/>
                <w:szCs w:val="20"/>
                <w:vertAlign w:val="superscript"/>
              </w:rPr>
              <w:t>†</w:t>
            </w: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66693D3B" w14:textId="343114ED" w:rsidR="006E4E91" w:rsidRPr="00C7107E" w:rsidRDefault="00B869B8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13.4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6E5EFB50" w14:textId="500FE30B" w:rsidR="006E4E91" w:rsidRPr="00C7107E" w:rsidRDefault="00B869B8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23.4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CDC2812" w14:textId="62B836F1" w:rsidR="006E4E91" w:rsidRPr="00C7107E" w:rsidRDefault="00B869B8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(10.8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34FA05B1" w14:textId="20498C22" w:rsidR="006E4E91" w:rsidRPr="00C7107E" w:rsidRDefault="00B869B8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20.1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6B93841" w14:textId="35ACCBF1" w:rsidR="006E4E91" w:rsidRPr="00C7107E" w:rsidRDefault="00B869B8" w:rsidP="00B869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10.1</w:t>
            </w:r>
            <w:r w:rsidR="006E4E91" w:rsidRPr="00C710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E4E91" w14:paraId="510B1303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8101D5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Age, years</w:t>
            </w:r>
          </w:p>
        </w:tc>
        <w:tc>
          <w:tcPr>
            <w:tcW w:w="0" w:type="auto"/>
            <w:vAlign w:val="center"/>
          </w:tcPr>
          <w:p w14:paraId="402FF470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71.6 ± 8.8</w:t>
            </w:r>
          </w:p>
        </w:tc>
        <w:tc>
          <w:tcPr>
            <w:tcW w:w="0" w:type="auto"/>
            <w:vAlign w:val="center"/>
          </w:tcPr>
          <w:p w14:paraId="0AC13F0A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69.4 ± 8.6</w:t>
            </w:r>
          </w:p>
        </w:tc>
        <w:tc>
          <w:tcPr>
            <w:tcW w:w="0" w:type="auto"/>
            <w:vAlign w:val="center"/>
          </w:tcPr>
          <w:p w14:paraId="329C07A6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71.9 ± 7.7</w:t>
            </w:r>
          </w:p>
        </w:tc>
        <w:tc>
          <w:tcPr>
            <w:tcW w:w="0" w:type="auto"/>
            <w:vAlign w:val="center"/>
          </w:tcPr>
          <w:p w14:paraId="26DE3ACE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62.9 ±  5.4</w:t>
            </w:r>
          </w:p>
        </w:tc>
        <w:tc>
          <w:tcPr>
            <w:tcW w:w="0" w:type="auto"/>
            <w:vAlign w:val="center"/>
          </w:tcPr>
          <w:p w14:paraId="3682BFF6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72.6 ± 8.7</w:t>
            </w:r>
          </w:p>
        </w:tc>
      </w:tr>
      <w:tr w:rsidR="006E4E91" w14:paraId="4CD54007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E54158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Glucose</w:t>
            </w:r>
            <w:r w:rsidRPr="00DB1D5B">
              <w:rPr>
                <w:rFonts w:ascii="Arial" w:hAnsi="Arial" w:cs="Arial"/>
                <w:b w:val="0"/>
                <w:sz w:val="18"/>
                <w:szCs w:val="20"/>
                <w:vertAlign w:val="superscript"/>
              </w:rPr>
              <w:t>†</w:t>
            </w: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mg/dl </w:t>
            </w:r>
          </w:p>
        </w:tc>
        <w:tc>
          <w:tcPr>
            <w:tcW w:w="0" w:type="auto"/>
            <w:vAlign w:val="center"/>
          </w:tcPr>
          <w:p w14:paraId="66088BFB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106.2 ± 22.7</w:t>
            </w:r>
          </w:p>
        </w:tc>
        <w:tc>
          <w:tcPr>
            <w:tcW w:w="0" w:type="auto"/>
            <w:vAlign w:val="center"/>
          </w:tcPr>
          <w:p w14:paraId="70EF132B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114.6 ± 27.5</w:t>
            </w:r>
          </w:p>
        </w:tc>
        <w:tc>
          <w:tcPr>
            <w:tcW w:w="0" w:type="auto"/>
            <w:vAlign w:val="center"/>
          </w:tcPr>
          <w:p w14:paraId="1EBF438C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115.1 ± 30.7</w:t>
            </w:r>
          </w:p>
        </w:tc>
        <w:tc>
          <w:tcPr>
            <w:tcW w:w="0" w:type="auto"/>
            <w:vAlign w:val="center"/>
          </w:tcPr>
          <w:p w14:paraId="2A8F0D21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104.0 ± 22.5</w:t>
            </w:r>
          </w:p>
        </w:tc>
        <w:tc>
          <w:tcPr>
            <w:tcW w:w="0" w:type="auto"/>
            <w:vAlign w:val="center"/>
          </w:tcPr>
          <w:p w14:paraId="4CF77877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107.4 ± 27.2</w:t>
            </w:r>
          </w:p>
        </w:tc>
      </w:tr>
      <w:tr w:rsidR="006E4E91" w14:paraId="72D5FF43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061B5E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Cholesterol</w:t>
            </w:r>
            <w:r w:rsidRPr="00DB1D5B">
              <w:rPr>
                <w:rFonts w:ascii="Arial" w:hAnsi="Arial" w:cs="Arial"/>
                <w:b w:val="0"/>
                <w:sz w:val="18"/>
                <w:szCs w:val="20"/>
                <w:vertAlign w:val="superscript"/>
              </w:rPr>
              <w:t>†</w:t>
            </w: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mg/dl </w:t>
            </w:r>
          </w:p>
        </w:tc>
        <w:tc>
          <w:tcPr>
            <w:tcW w:w="0" w:type="auto"/>
            <w:vAlign w:val="center"/>
          </w:tcPr>
          <w:p w14:paraId="0154C24A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225.6 ± 36.3</w:t>
            </w:r>
          </w:p>
        </w:tc>
        <w:tc>
          <w:tcPr>
            <w:tcW w:w="0" w:type="auto"/>
            <w:vAlign w:val="center"/>
          </w:tcPr>
          <w:p w14:paraId="2BAE3BE5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225.9 ± 35.2</w:t>
            </w:r>
          </w:p>
        </w:tc>
        <w:tc>
          <w:tcPr>
            <w:tcW w:w="0" w:type="auto"/>
            <w:vAlign w:val="center"/>
          </w:tcPr>
          <w:p w14:paraId="563C7DB5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220.3 ± 35.7</w:t>
            </w:r>
          </w:p>
        </w:tc>
        <w:tc>
          <w:tcPr>
            <w:tcW w:w="0" w:type="auto"/>
            <w:vAlign w:val="center"/>
          </w:tcPr>
          <w:p w14:paraId="69AF72F6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229.6 ± 36.9</w:t>
            </w:r>
          </w:p>
        </w:tc>
        <w:tc>
          <w:tcPr>
            <w:tcW w:w="0" w:type="auto"/>
            <w:vAlign w:val="center"/>
          </w:tcPr>
          <w:p w14:paraId="0ADA46AD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221.9 ± 38.2</w:t>
            </w:r>
          </w:p>
        </w:tc>
      </w:tr>
      <w:tr w:rsidR="006E4E91" w14:paraId="0FCBBE57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AE91D2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HDL cholesterol</w:t>
            </w:r>
            <w:r w:rsidRPr="00DB1D5B">
              <w:rPr>
                <w:rFonts w:ascii="Arial" w:hAnsi="Arial" w:cs="Arial"/>
                <w:b w:val="0"/>
                <w:sz w:val="18"/>
                <w:szCs w:val="20"/>
                <w:vertAlign w:val="superscript"/>
              </w:rPr>
              <w:t>†</w:t>
            </w: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mg/dl </w:t>
            </w:r>
          </w:p>
        </w:tc>
        <w:tc>
          <w:tcPr>
            <w:tcW w:w="0" w:type="auto"/>
            <w:vAlign w:val="center"/>
          </w:tcPr>
          <w:p w14:paraId="421CEF18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52.7 ± 14.4</w:t>
            </w:r>
          </w:p>
        </w:tc>
        <w:tc>
          <w:tcPr>
            <w:tcW w:w="0" w:type="auto"/>
            <w:vAlign w:val="center"/>
          </w:tcPr>
          <w:p w14:paraId="6B0D4255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50.2 ± 14.8</w:t>
            </w:r>
          </w:p>
        </w:tc>
        <w:tc>
          <w:tcPr>
            <w:tcW w:w="0" w:type="auto"/>
            <w:vAlign w:val="center"/>
          </w:tcPr>
          <w:p w14:paraId="76B6B62E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50.9 ± 16.8</w:t>
            </w:r>
          </w:p>
        </w:tc>
        <w:tc>
          <w:tcPr>
            <w:tcW w:w="0" w:type="auto"/>
            <w:vAlign w:val="center"/>
          </w:tcPr>
          <w:p w14:paraId="5A77F3ED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56.3 ± 15.0</w:t>
            </w:r>
          </w:p>
        </w:tc>
        <w:tc>
          <w:tcPr>
            <w:tcW w:w="0" w:type="auto"/>
            <w:vAlign w:val="center"/>
          </w:tcPr>
          <w:p w14:paraId="46D5B69F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53.9 ± 17.1</w:t>
            </w:r>
          </w:p>
        </w:tc>
      </w:tr>
      <w:tr w:rsidR="006E4E91" w14:paraId="1AA5D7A7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51DB83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Systolic blood pressure, mmHg </w:t>
            </w:r>
          </w:p>
        </w:tc>
        <w:tc>
          <w:tcPr>
            <w:tcW w:w="0" w:type="auto"/>
            <w:vAlign w:val="center"/>
          </w:tcPr>
          <w:p w14:paraId="5D5EE424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144.7 ± 22.3</w:t>
            </w:r>
          </w:p>
        </w:tc>
        <w:tc>
          <w:tcPr>
            <w:tcW w:w="0" w:type="auto"/>
            <w:vAlign w:val="center"/>
          </w:tcPr>
          <w:p w14:paraId="1C6311B9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146.5 ± 20.6</w:t>
            </w:r>
          </w:p>
        </w:tc>
        <w:tc>
          <w:tcPr>
            <w:tcW w:w="0" w:type="auto"/>
            <w:vAlign w:val="center"/>
          </w:tcPr>
          <w:p w14:paraId="1FAB951D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144.9 ± 21.9</w:t>
            </w:r>
          </w:p>
        </w:tc>
        <w:tc>
          <w:tcPr>
            <w:tcW w:w="0" w:type="auto"/>
            <w:vAlign w:val="center"/>
          </w:tcPr>
          <w:p w14:paraId="1484482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132.6 ± 20.2</w:t>
            </w:r>
          </w:p>
        </w:tc>
        <w:tc>
          <w:tcPr>
            <w:tcW w:w="0" w:type="auto"/>
            <w:vAlign w:val="center"/>
          </w:tcPr>
          <w:p w14:paraId="31D02EF2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141.7 ± 22.3</w:t>
            </w:r>
          </w:p>
        </w:tc>
      </w:tr>
      <w:tr w:rsidR="006E4E91" w14:paraId="3E923B51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4EDE0F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Diastolic blood pressure, mmHg </w:t>
            </w:r>
          </w:p>
        </w:tc>
        <w:tc>
          <w:tcPr>
            <w:tcW w:w="0" w:type="auto"/>
            <w:vAlign w:val="center"/>
          </w:tcPr>
          <w:p w14:paraId="57A9CEB9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74.6 ± 12.0</w:t>
            </w:r>
          </w:p>
        </w:tc>
        <w:tc>
          <w:tcPr>
            <w:tcW w:w="0" w:type="auto"/>
            <w:vAlign w:val="center"/>
          </w:tcPr>
          <w:p w14:paraId="286C70EA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77.5 ± 11.0</w:t>
            </w:r>
          </w:p>
        </w:tc>
        <w:tc>
          <w:tcPr>
            <w:tcW w:w="0" w:type="auto"/>
            <w:vAlign w:val="center"/>
          </w:tcPr>
          <w:p w14:paraId="63349573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73.1 ± 11.2</w:t>
            </w:r>
          </w:p>
        </w:tc>
        <w:tc>
          <w:tcPr>
            <w:tcW w:w="0" w:type="auto"/>
            <w:vAlign w:val="center"/>
          </w:tcPr>
          <w:p w14:paraId="735651D0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73.8 ± 10.6</w:t>
            </w:r>
          </w:p>
        </w:tc>
        <w:tc>
          <w:tcPr>
            <w:tcW w:w="0" w:type="auto"/>
            <w:vAlign w:val="center"/>
          </w:tcPr>
          <w:p w14:paraId="518D8E20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73.7 ± 12.0</w:t>
            </w:r>
          </w:p>
        </w:tc>
      </w:tr>
      <w:tr w:rsidR="006E4E91" w14:paraId="50A96D52" w14:textId="77777777" w:rsidTr="00B7581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AFA562A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Body mass index, kg/m</w:t>
            </w: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40C84487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25.9 ± 3.2</w:t>
            </w:r>
          </w:p>
        </w:tc>
        <w:tc>
          <w:tcPr>
            <w:tcW w:w="0" w:type="auto"/>
            <w:vAlign w:val="center"/>
          </w:tcPr>
          <w:p w14:paraId="5DF9BC84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31.7 ± 4.8</w:t>
            </w:r>
          </w:p>
        </w:tc>
        <w:tc>
          <w:tcPr>
            <w:tcW w:w="0" w:type="auto"/>
            <w:vAlign w:val="center"/>
          </w:tcPr>
          <w:p w14:paraId="50C20D1D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30.1 ± 4.2</w:t>
            </w:r>
          </w:p>
        </w:tc>
        <w:tc>
          <w:tcPr>
            <w:tcW w:w="0" w:type="auto"/>
            <w:vAlign w:val="center"/>
          </w:tcPr>
          <w:p w14:paraId="3F7DE05C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26.2 ± 3.6</w:t>
            </w:r>
          </w:p>
        </w:tc>
        <w:tc>
          <w:tcPr>
            <w:tcW w:w="0" w:type="auto"/>
            <w:vAlign w:val="center"/>
          </w:tcPr>
          <w:p w14:paraId="5B15068E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26.2 ± 3.9</w:t>
            </w:r>
          </w:p>
        </w:tc>
      </w:tr>
      <w:tr w:rsidR="006E4E91" w14:paraId="639128DE" w14:textId="77777777" w:rsidTr="00B7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ED3C6AC" w14:textId="77777777" w:rsidR="006E4E91" w:rsidRPr="00DB1D5B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B1D5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Waist circumference, cm</w:t>
            </w:r>
          </w:p>
        </w:tc>
        <w:tc>
          <w:tcPr>
            <w:tcW w:w="0" w:type="auto"/>
            <w:vAlign w:val="center"/>
          </w:tcPr>
          <w:p w14:paraId="6D796CD4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90.1 ± 10.4</w:t>
            </w:r>
          </w:p>
        </w:tc>
        <w:tc>
          <w:tcPr>
            <w:tcW w:w="0" w:type="auto"/>
            <w:vAlign w:val="center"/>
          </w:tcPr>
          <w:p w14:paraId="6650F1A1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99.9 ± 13.2</w:t>
            </w:r>
          </w:p>
        </w:tc>
        <w:tc>
          <w:tcPr>
            <w:tcW w:w="0" w:type="auto"/>
            <w:vAlign w:val="center"/>
          </w:tcPr>
          <w:p w14:paraId="4A52ADFD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97.2 ± 10.3</w:t>
            </w:r>
          </w:p>
        </w:tc>
        <w:tc>
          <w:tcPr>
            <w:tcW w:w="0" w:type="auto"/>
            <w:vAlign w:val="center"/>
          </w:tcPr>
          <w:p w14:paraId="60E9B074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88.1 ± 10.9</w:t>
            </w:r>
          </w:p>
        </w:tc>
        <w:tc>
          <w:tcPr>
            <w:tcW w:w="0" w:type="auto"/>
            <w:vAlign w:val="center"/>
          </w:tcPr>
          <w:p w14:paraId="0023416A" w14:textId="77777777" w:rsidR="006E4E91" w:rsidRPr="00C7107E" w:rsidRDefault="006E4E91" w:rsidP="00B7581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107E">
              <w:rPr>
                <w:rFonts w:ascii="Arial" w:hAnsi="Arial" w:cs="Arial"/>
                <w:sz w:val="20"/>
                <w:szCs w:val="20"/>
              </w:rPr>
              <w:t>91.1 ± 11.2</w:t>
            </w:r>
          </w:p>
        </w:tc>
      </w:tr>
    </w:tbl>
    <w:p w14:paraId="52D9B0AE" w14:textId="77777777" w:rsidR="006E4E91" w:rsidRPr="001237BC" w:rsidRDefault="006E4E91" w:rsidP="006E4E91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1237BC">
        <w:rPr>
          <w:rFonts w:ascii="Arial" w:hAnsi="Arial" w:cs="Arial"/>
          <w:sz w:val="20"/>
          <w:szCs w:val="20"/>
          <w:lang w:val="en-US"/>
        </w:rPr>
        <w:t>*Values are mean ± SD, numbers (percentages), or median (IQR) .</w:t>
      </w:r>
    </w:p>
    <w:p w14:paraId="045BD7E2" w14:textId="77777777" w:rsidR="006E4E91" w:rsidRPr="001237BC" w:rsidRDefault="006E4E91" w:rsidP="006E4E91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1237BC">
        <w:rPr>
          <w:rFonts w:ascii="Arial" w:hAnsi="Arial" w:cs="Arial"/>
          <w:sz w:val="20"/>
          <w:szCs w:val="20"/>
          <w:lang w:val="en-US"/>
        </w:rPr>
        <w:t>Abbreviations: HDL, high density lipoprotein; CVD, cardiovascular disease; n, number.</w:t>
      </w:r>
    </w:p>
    <w:p w14:paraId="5275B651" w14:textId="5A39E46C" w:rsidR="006E4E91" w:rsidRPr="001237BC" w:rsidRDefault="006E4E91" w:rsidP="006E4E91">
      <w:pPr>
        <w:pStyle w:val="NoSpacing"/>
        <w:rPr>
          <w:rFonts w:ascii="Arial" w:hAnsi="Arial" w:cs="Arial"/>
          <w:sz w:val="20"/>
          <w:szCs w:val="20"/>
          <w:lang w:val="en-US"/>
        </w:rPr>
      </w:pPr>
      <w:r w:rsidRPr="001237BC">
        <w:rPr>
          <w:rFonts w:ascii="Arial" w:hAnsi="Arial" w:cs="Arial"/>
          <w:sz w:val="20"/>
          <w:szCs w:val="20"/>
          <w:lang w:val="en-US"/>
        </w:rPr>
        <w:t>†</w:t>
      </w:r>
      <w:r w:rsidR="00B869B8" w:rsidRPr="001237BC">
        <w:rPr>
          <w:rFonts w:ascii="Arial" w:hAnsi="Arial" w:cs="Arial"/>
          <w:sz w:val="20"/>
          <w:szCs w:val="20"/>
          <w:lang w:val="en-US"/>
        </w:rPr>
        <w:t xml:space="preserve"> Fasting measurements of Lipids and glucose and treatment were available in the third</w:t>
      </w:r>
      <w:r w:rsidR="008443DD">
        <w:rPr>
          <w:rFonts w:ascii="Arial" w:hAnsi="Arial" w:cs="Arial"/>
          <w:sz w:val="20"/>
          <w:szCs w:val="20"/>
          <w:lang w:val="en-US"/>
        </w:rPr>
        <w:t>, fourth and fifth visits</w:t>
      </w:r>
      <w:r w:rsidR="008443DD" w:rsidRPr="001237BC">
        <w:rPr>
          <w:rFonts w:ascii="Arial" w:hAnsi="Arial" w:cs="Arial"/>
          <w:sz w:val="20"/>
          <w:szCs w:val="20"/>
          <w:lang w:val="en-US"/>
        </w:rPr>
        <w:t xml:space="preserve"> </w:t>
      </w:r>
      <w:r w:rsidR="00B869B8" w:rsidRPr="001237BC">
        <w:rPr>
          <w:rFonts w:ascii="Arial" w:hAnsi="Arial" w:cs="Arial"/>
          <w:sz w:val="20"/>
          <w:szCs w:val="20"/>
          <w:lang w:val="en-US"/>
        </w:rPr>
        <w:t>of the original Rotterdam Study cohort (N=3529)</w:t>
      </w:r>
      <w:r w:rsidRPr="001237BC">
        <w:rPr>
          <w:rFonts w:ascii="Arial" w:hAnsi="Arial" w:cs="Arial"/>
          <w:sz w:val="20"/>
          <w:szCs w:val="20"/>
          <w:lang w:val="en-US"/>
        </w:rPr>
        <w:t>.</w:t>
      </w:r>
    </w:p>
    <w:p w14:paraId="14DEF4B3" w14:textId="77777777" w:rsidR="00B869B8" w:rsidRPr="001237BC" w:rsidRDefault="00B869B8" w:rsidP="006E4E91">
      <w:pPr>
        <w:pStyle w:val="NoSpacing"/>
        <w:rPr>
          <w:rFonts w:ascii="Arial" w:hAnsi="Arial" w:cs="Arial"/>
          <w:sz w:val="20"/>
          <w:szCs w:val="20"/>
          <w:lang w:val="en-US"/>
        </w:rPr>
      </w:pPr>
    </w:p>
    <w:p w14:paraId="00AD0E83" w14:textId="1DCFCCF2" w:rsidR="006E4E91" w:rsidRPr="001237BC" w:rsidRDefault="00C2662F">
      <w:pPr>
        <w:spacing w:after="0" w:line="240" w:lineRule="auto"/>
        <w:rPr>
          <w:rFonts w:ascii="Arial" w:hAnsi="Arial" w:cs="Arial"/>
          <w:sz w:val="20"/>
          <w:szCs w:val="20"/>
        </w:rPr>
        <w:sectPr w:rsidR="006E4E91" w:rsidRPr="001237BC" w:rsidSect="006E4E91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1237BC">
        <w:rPr>
          <w:rFonts w:ascii="Arial" w:hAnsi="Arial" w:cs="Arial"/>
          <w:sz w:val="20"/>
          <w:szCs w:val="20"/>
        </w:rPr>
        <w:t xml:space="preserve">The mean values </w:t>
      </w:r>
      <w:r w:rsidR="001237BC">
        <w:rPr>
          <w:rFonts w:ascii="Arial" w:hAnsi="Arial" w:cs="Arial"/>
          <w:sz w:val="20"/>
          <w:szCs w:val="20"/>
        </w:rPr>
        <w:t>of the c</w:t>
      </w:r>
      <w:r w:rsidR="001237BC" w:rsidRPr="00C7107E">
        <w:rPr>
          <w:rFonts w:ascii="Arial" w:hAnsi="Arial" w:cs="Arial"/>
          <w:sz w:val="20"/>
          <w:szCs w:val="20"/>
        </w:rPr>
        <w:t xml:space="preserve">haracteristics of study participants </w:t>
      </w:r>
      <w:r w:rsidR="001237BC">
        <w:rPr>
          <w:rFonts w:ascii="Arial" w:hAnsi="Arial" w:cs="Arial"/>
          <w:sz w:val="20"/>
          <w:szCs w:val="20"/>
        </w:rPr>
        <w:t>in Table S</w:t>
      </w:r>
      <w:r w:rsidR="00ED6DAF">
        <w:rPr>
          <w:rFonts w:ascii="Arial" w:hAnsi="Arial" w:cs="Arial"/>
          <w:sz w:val="20"/>
          <w:szCs w:val="20"/>
        </w:rPr>
        <w:t>1</w:t>
      </w:r>
      <w:r w:rsidR="001237BC">
        <w:rPr>
          <w:rFonts w:ascii="Arial" w:hAnsi="Arial" w:cs="Arial"/>
          <w:sz w:val="20"/>
          <w:szCs w:val="20"/>
        </w:rPr>
        <w:t xml:space="preserve"> are based on single measures at the baseline/first visit in the Rotterdam Study. Therefore, </w:t>
      </w:r>
      <w:r w:rsidR="00073563">
        <w:rPr>
          <w:rFonts w:ascii="Arial" w:hAnsi="Arial" w:cs="Arial"/>
          <w:sz w:val="20"/>
          <w:szCs w:val="20"/>
        </w:rPr>
        <w:t>some</w:t>
      </w:r>
      <w:r w:rsidR="001237BC">
        <w:rPr>
          <w:rFonts w:ascii="Arial" w:hAnsi="Arial" w:cs="Arial"/>
          <w:sz w:val="20"/>
          <w:szCs w:val="20"/>
        </w:rPr>
        <w:t xml:space="preserve"> difference</w:t>
      </w:r>
      <w:r w:rsidR="00073563">
        <w:rPr>
          <w:rFonts w:ascii="Arial" w:hAnsi="Arial" w:cs="Arial"/>
          <w:sz w:val="20"/>
          <w:szCs w:val="20"/>
        </w:rPr>
        <w:t>s</w:t>
      </w:r>
      <w:r w:rsidR="001237BC">
        <w:rPr>
          <w:rFonts w:ascii="Arial" w:hAnsi="Arial" w:cs="Arial"/>
          <w:sz w:val="20"/>
          <w:szCs w:val="20"/>
        </w:rPr>
        <w:t xml:space="preserve"> from the predicted mean values</w:t>
      </w:r>
      <w:r w:rsidR="00073563">
        <w:rPr>
          <w:rFonts w:ascii="Arial" w:hAnsi="Arial" w:cs="Arial"/>
          <w:sz w:val="20"/>
          <w:szCs w:val="20"/>
        </w:rPr>
        <w:t>, i.e. the result</w:t>
      </w:r>
      <w:r w:rsidR="00B32F32">
        <w:rPr>
          <w:rFonts w:ascii="Arial" w:hAnsi="Arial" w:cs="Arial"/>
          <w:sz w:val="20"/>
          <w:szCs w:val="20"/>
        </w:rPr>
        <w:t>s</w:t>
      </w:r>
      <w:r w:rsidR="00073563">
        <w:rPr>
          <w:rFonts w:ascii="Arial" w:hAnsi="Arial" w:cs="Arial"/>
          <w:sz w:val="20"/>
          <w:szCs w:val="20"/>
        </w:rPr>
        <w:t xml:space="preserve"> of the latent class trajectory analysis</w:t>
      </w:r>
      <w:r w:rsidR="001237BC">
        <w:rPr>
          <w:rFonts w:ascii="Arial" w:hAnsi="Arial" w:cs="Arial"/>
          <w:sz w:val="20"/>
          <w:szCs w:val="20"/>
        </w:rPr>
        <w:t xml:space="preserve"> presented in the Figures 2 and 3</w:t>
      </w:r>
      <w:r w:rsidR="00073563">
        <w:rPr>
          <w:rFonts w:ascii="Arial" w:hAnsi="Arial" w:cs="Arial"/>
          <w:sz w:val="20"/>
          <w:szCs w:val="20"/>
        </w:rPr>
        <w:t>,</w:t>
      </w:r>
      <w:r w:rsidR="001237BC">
        <w:rPr>
          <w:rFonts w:ascii="Arial" w:hAnsi="Arial" w:cs="Arial"/>
          <w:sz w:val="20"/>
          <w:szCs w:val="20"/>
        </w:rPr>
        <w:t xml:space="preserve"> might be observed. </w:t>
      </w:r>
    </w:p>
    <w:p w14:paraId="3A873B60" w14:textId="55B1C222" w:rsidR="00647E66" w:rsidRPr="00C2662F" w:rsidRDefault="00647E66" w:rsidP="00647E66">
      <w:pPr>
        <w:spacing w:line="480" w:lineRule="auto"/>
        <w:rPr>
          <w:rFonts w:ascii="Arial" w:hAnsi="Arial" w:cs="Arial"/>
          <w:sz w:val="20"/>
          <w:szCs w:val="24"/>
        </w:rPr>
      </w:pPr>
      <w:r w:rsidRPr="00C2662F">
        <w:rPr>
          <w:rFonts w:ascii="Arial" w:hAnsi="Arial" w:cs="Arial"/>
          <w:b/>
          <w:sz w:val="20"/>
          <w:szCs w:val="24"/>
        </w:rPr>
        <w:lastRenderedPageBreak/>
        <w:t xml:space="preserve">Figure </w:t>
      </w:r>
      <w:r w:rsidR="00665274" w:rsidRPr="00C2662F">
        <w:rPr>
          <w:rFonts w:ascii="Arial" w:hAnsi="Arial" w:cs="Arial"/>
          <w:b/>
          <w:sz w:val="20"/>
          <w:szCs w:val="24"/>
        </w:rPr>
        <w:t>S</w:t>
      </w:r>
      <w:r w:rsidR="00B65A14" w:rsidRPr="00C2662F">
        <w:rPr>
          <w:rFonts w:ascii="Arial" w:hAnsi="Arial" w:cs="Arial"/>
          <w:b/>
          <w:sz w:val="20"/>
          <w:szCs w:val="24"/>
        </w:rPr>
        <w:t>1</w:t>
      </w:r>
      <w:r w:rsidRPr="00C2662F">
        <w:rPr>
          <w:rFonts w:ascii="Arial" w:hAnsi="Arial" w:cs="Arial"/>
          <w:b/>
          <w:sz w:val="20"/>
          <w:szCs w:val="24"/>
        </w:rPr>
        <w:t xml:space="preserve">: </w:t>
      </w:r>
      <w:r w:rsidRPr="00C2662F">
        <w:rPr>
          <w:rFonts w:ascii="Arial" w:hAnsi="Arial" w:cs="Arial"/>
          <w:sz w:val="20"/>
          <w:szCs w:val="24"/>
        </w:rPr>
        <w:t>Trajectories of body mass index, waist circumference, systolic and diastolic blood pressure</w:t>
      </w:r>
    </w:p>
    <w:p w14:paraId="70FDA711" w14:textId="70EBB9D0" w:rsidR="00647E66" w:rsidRPr="00A218B8" w:rsidRDefault="001152A8" w:rsidP="00647E6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A218B8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DDE56E0" wp14:editId="24411C69">
            <wp:extent cx="5943600" cy="464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6465" w14:textId="77777777" w:rsidR="00EB750C" w:rsidRDefault="00EB750C" w:rsidP="007A752F">
      <w:pPr>
        <w:spacing w:line="480" w:lineRule="auto"/>
        <w:rPr>
          <w:rFonts w:ascii="Arial" w:hAnsi="Arial" w:cs="Arial"/>
          <w:sz w:val="20"/>
          <w:szCs w:val="24"/>
        </w:rPr>
      </w:pPr>
    </w:p>
    <w:p w14:paraId="4DFF252C" w14:textId="47F619AF" w:rsidR="007A752F" w:rsidRPr="00C2662F" w:rsidRDefault="00716F24" w:rsidP="007A752F">
      <w:pPr>
        <w:spacing w:line="480" w:lineRule="auto"/>
        <w:rPr>
          <w:rFonts w:ascii="Arial" w:hAnsi="Arial" w:cs="Arial"/>
          <w:sz w:val="20"/>
          <w:szCs w:val="24"/>
        </w:rPr>
      </w:pPr>
      <w:r w:rsidRPr="00C2662F">
        <w:rPr>
          <w:rFonts w:ascii="Arial" w:hAnsi="Arial" w:cs="Arial"/>
          <w:sz w:val="20"/>
          <w:szCs w:val="24"/>
        </w:rPr>
        <w:t>Trajectories for risk factors during 22 years of follow-up until diagnosis of CVD, death or censoring from the study. The figures represent a hypothetical wom</w:t>
      </w:r>
      <w:r w:rsidR="00963CB4">
        <w:rPr>
          <w:rFonts w:ascii="Arial" w:hAnsi="Arial" w:cs="Arial"/>
          <w:sz w:val="20"/>
          <w:szCs w:val="24"/>
        </w:rPr>
        <w:t>a</w:t>
      </w:r>
      <w:r w:rsidRPr="00C2662F">
        <w:rPr>
          <w:rFonts w:ascii="Arial" w:hAnsi="Arial" w:cs="Arial"/>
          <w:sz w:val="20"/>
          <w:szCs w:val="24"/>
        </w:rPr>
        <w:t xml:space="preserve">n of 65 years old. </w:t>
      </w:r>
      <w:r w:rsidR="007A752F" w:rsidRPr="00C2662F">
        <w:rPr>
          <w:rFonts w:ascii="Arial" w:hAnsi="Arial" w:cs="Arial"/>
          <w:sz w:val="20"/>
          <w:szCs w:val="24"/>
        </w:rPr>
        <w:t xml:space="preserve">Trajectories for blood pressure represent a person on anti-hypertensive treatment. </w:t>
      </w:r>
    </w:p>
    <w:p w14:paraId="5041D556" w14:textId="47442A23" w:rsidR="007A752F" w:rsidRPr="00C2662F" w:rsidRDefault="007A752F" w:rsidP="007A752F">
      <w:pPr>
        <w:spacing w:line="480" w:lineRule="auto"/>
        <w:rPr>
          <w:rFonts w:ascii="Arial" w:hAnsi="Arial" w:cs="Arial"/>
          <w:sz w:val="20"/>
          <w:szCs w:val="24"/>
        </w:rPr>
      </w:pPr>
      <w:r w:rsidRPr="00C2662F">
        <w:rPr>
          <w:rFonts w:ascii="Arial" w:hAnsi="Arial" w:cs="Arial"/>
          <w:sz w:val="20"/>
          <w:szCs w:val="24"/>
        </w:rPr>
        <w:t>Light blue: “stable weight” (including 87</w:t>
      </w:r>
      <w:r w:rsidR="00C978EF" w:rsidRPr="00C2662F">
        <w:rPr>
          <w:rFonts w:ascii="Arial" w:hAnsi="Arial" w:cs="Arial"/>
          <w:sz w:val="20"/>
          <w:szCs w:val="24"/>
        </w:rPr>
        <w:t>.</w:t>
      </w:r>
      <w:r w:rsidRPr="00C2662F">
        <w:rPr>
          <w:rFonts w:ascii="Arial" w:hAnsi="Arial" w:cs="Arial"/>
          <w:sz w:val="20"/>
          <w:szCs w:val="24"/>
        </w:rPr>
        <w:t>8% of CVD patients); dark blue: “progressive weight loss” (including 5</w:t>
      </w:r>
      <w:r w:rsidR="00C978EF" w:rsidRPr="00C2662F">
        <w:rPr>
          <w:rFonts w:ascii="Arial" w:hAnsi="Arial" w:cs="Arial"/>
          <w:sz w:val="20"/>
          <w:szCs w:val="24"/>
        </w:rPr>
        <w:t>.</w:t>
      </w:r>
      <w:r w:rsidRPr="00C2662F">
        <w:rPr>
          <w:rFonts w:ascii="Arial" w:hAnsi="Arial" w:cs="Arial"/>
          <w:sz w:val="20"/>
          <w:szCs w:val="24"/>
        </w:rPr>
        <w:t>8% of CVD patients); red: “progressive weight gain” (including 6</w:t>
      </w:r>
      <w:r w:rsidR="00C978EF" w:rsidRPr="00C2662F">
        <w:rPr>
          <w:rFonts w:ascii="Arial" w:hAnsi="Arial" w:cs="Arial"/>
          <w:sz w:val="20"/>
          <w:szCs w:val="24"/>
        </w:rPr>
        <w:t>.</w:t>
      </w:r>
      <w:r w:rsidRPr="00C2662F">
        <w:rPr>
          <w:rFonts w:ascii="Arial" w:hAnsi="Arial" w:cs="Arial"/>
          <w:sz w:val="20"/>
          <w:szCs w:val="24"/>
        </w:rPr>
        <w:t xml:space="preserve">4% of CVD patients); gray: “CVD-free”; black: “non-CVD mortality” groups. </w:t>
      </w:r>
    </w:p>
    <w:p w14:paraId="1CF9A649" w14:textId="77777777" w:rsidR="00A07675" w:rsidRDefault="00A07675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br w:type="page"/>
      </w:r>
    </w:p>
    <w:p w14:paraId="0B29F38B" w14:textId="3D022C07" w:rsidR="00647E66" w:rsidRPr="00C2662F" w:rsidRDefault="00647E66">
      <w:pPr>
        <w:rPr>
          <w:rFonts w:ascii="Arial" w:hAnsi="Arial" w:cs="Arial"/>
          <w:b/>
          <w:sz w:val="20"/>
          <w:szCs w:val="24"/>
        </w:rPr>
      </w:pPr>
      <w:r w:rsidRPr="00C2662F">
        <w:rPr>
          <w:rFonts w:ascii="Arial" w:hAnsi="Arial" w:cs="Arial"/>
          <w:b/>
          <w:sz w:val="20"/>
          <w:szCs w:val="24"/>
        </w:rPr>
        <w:lastRenderedPageBreak/>
        <w:t xml:space="preserve">Figure </w:t>
      </w:r>
      <w:r w:rsidR="00665274" w:rsidRPr="00C2662F">
        <w:rPr>
          <w:rFonts w:ascii="Arial" w:hAnsi="Arial" w:cs="Arial"/>
          <w:b/>
          <w:sz w:val="20"/>
          <w:szCs w:val="24"/>
        </w:rPr>
        <w:t>S</w:t>
      </w:r>
      <w:r w:rsidR="00B65A14" w:rsidRPr="00C2662F">
        <w:rPr>
          <w:rFonts w:ascii="Arial" w:hAnsi="Arial" w:cs="Arial"/>
          <w:b/>
          <w:sz w:val="20"/>
          <w:szCs w:val="24"/>
        </w:rPr>
        <w:t>2</w:t>
      </w:r>
      <w:r w:rsidRPr="00C2662F">
        <w:rPr>
          <w:rFonts w:ascii="Arial" w:hAnsi="Arial" w:cs="Arial"/>
          <w:b/>
          <w:sz w:val="20"/>
          <w:szCs w:val="24"/>
        </w:rPr>
        <w:t xml:space="preserve">: </w:t>
      </w:r>
      <w:r w:rsidRPr="00C2662F">
        <w:rPr>
          <w:rFonts w:ascii="Arial" w:hAnsi="Arial" w:cs="Arial"/>
          <w:sz w:val="20"/>
          <w:szCs w:val="24"/>
        </w:rPr>
        <w:t>Trajectories of fasting plasma glucose, total and HDL cholesterol</w:t>
      </w:r>
      <w:r w:rsidR="00F54EC2">
        <w:rPr>
          <w:rFonts w:ascii="Arial" w:hAnsi="Arial" w:cs="Arial"/>
          <w:sz w:val="20"/>
          <w:szCs w:val="24"/>
        </w:rPr>
        <w:t>,</w:t>
      </w:r>
      <w:r w:rsidR="00A218B8" w:rsidRPr="00C2662F">
        <w:rPr>
          <w:rFonts w:ascii="Arial" w:hAnsi="Arial" w:cs="Arial"/>
          <w:sz w:val="20"/>
          <w:szCs w:val="24"/>
        </w:rPr>
        <w:t xml:space="preserve"> and ACC/AHA 10 year CVD risk</w:t>
      </w:r>
    </w:p>
    <w:p w14:paraId="6370DB2F" w14:textId="04C45302" w:rsidR="00647E66" w:rsidRPr="00A218B8" w:rsidRDefault="001152A8">
      <w:pPr>
        <w:rPr>
          <w:rFonts w:ascii="Times New Roman" w:hAnsi="Times New Roman"/>
          <w:b/>
          <w:sz w:val="24"/>
          <w:szCs w:val="24"/>
        </w:rPr>
      </w:pPr>
      <w:r w:rsidRPr="00A218B8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5B79788" wp14:editId="3E740A85">
            <wp:extent cx="5943600" cy="464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831BA" w14:textId="77777777" w:rsidR="00EB750C" w:rsidRDefault="00EB750C" w:rsidP="00A218B8">
      <w:pPr>
        <w:spacing w:line="480" w:lineRule="auto"/>
        <w:rPr>
          <w:rFonts w:ascii="Arial" w:hAnsi="Arial" w:cs="Arial"/>
          <w:sz w:val="20"/>
        </w:rPr>
      </w:pPr>
    </w:p>
    <w:p w14:paraId="09D7D8C9" w14:textId="77777777" w:rsidR="00A218B8" w:rsidRPr="00C2662F" w:rsidRDefault="00A218B8" w:rsidP="00A218B8">
      <w:pPr>
        <w:spacing w:line="480" w:lineRule="auto"/>
        <w:rPr>
          <w:rFonts w:ascii="Arial" w:hAnsi="Arial" w:cs="Arial"/>
          <w:sz w:val="20"/>
        </w:rPr>
      </w:pPr>
      <w:r w:rsidRPr="00C2662F">
        <w:rPr>
          <w:rFonts w:ascii="Arial" w:hAnsi="Arial" w:cs="Arial"/>
          <w:sz w:val="20"/>
        </w:rPr>
        <w:t>Abbreviation: HDL cholesterol, high-density lipoprotein cholesterol; ACC/AHA, American College of Cardiology/American Heart Association</w:t>
      </w:r>
    </w:p>
    <w:p w14:paraId="31D14F8F" w14:textId="1D115935" w:rsidR="007A752F" w:rsidRPr="00C2662F" w:rsidRDefault="00716F24" w:rsidP="007A752F">
      <w:pPr>
        <w:spacing w:line="480" w:lineRule="auto"/>
        <w:rPr>
          <w:rFonts w:ascii="Arial" w:hAnsi="Arial" w:cs="Arial"/>
          <w:sz w:val="20"/>
          <w:szCs w:val="24"/>
        </w:rPr>
      </w:pPr>
      <w:r w:rsidRPr="00C2662F">
        <w:rPr>
          <w:rFonts w:ascii="Arial" w:hAnsi="Arial" w:cs="Arial"/>
          <w:sz w:val="20"/>
          <w:szCs w:val="24"/>
        </w:rPr>
        <w:t>Trajectories for risk factors during 15 years of follow-up until diagnosis of CVD, death or censoring from the study. The figures represent a hypothetical wom</w:t>
      </w:r>
      <w:r w:rsidR="007B342F">
        <w:rPr>
          <w:rFonts w:ascii="Arial" w:hAnsi="Arial" w:cs="Arial"/>
          <w:sz w:val="20"/>
          <w:szCs w:val="24"/>
        </w:rPr>
        <w:t>a</w:t>
      </w:r>
      <w:r w:rsidRPr="00C2662F">
        <w:rPr>
          <w:rFonts w:ascii="Arial" w:hAnsi="Arial" w:cs="Arial"/>
          <w:sz w:val="20"/>
          <w:szCs w:val="24"/>
        </w:rPr>
        <w:t xml:space="preserve">n of 65 years old, </w:t>
      </w:r>
      <w:r w:rsidR="007A752F" w:rsidRPr="00C2662F">
        <w:rPr>
          <w:rFonts w:ascii="Arial" w:hAnsi="Arial" w:cs="Arial"/>
          <w:sz w:val="20"/>
          <w:szCs w:val="24"/>
        </w:rPr>
        <w:t xml:space="preserve">on lipid- or glucose-lowering treatment during 15 years of follow-up until diagnosis of CVD, death or censoring from the study. </w:t>
      </w:r>
    </w:p>
    <w:p w14:paraId="1C7D6DE7" w14:textId="0D4E0A56" w:rsidR="00647E66" w:rsidRPr="00A218B8" w:rsidRDefault="007A752F" w:rsidP="00C47721">
      <w:pPr>
        <w:spacing w:line="480" w:lineRule="auto"/>
        <w:rPr>
          <w:rFonts w:ascii="Times New Roman" w:hAnsi="Times New Roman"/>
          <w:sz w:val="24"/>
          <w:szCs w:val="24"/>
        </w:rPr>
      </w:pPr>
      <w:r w:rsidRPr="00C2662F">
        <w:rPr>
          <w:rFonts w:ascii="Arial" w:hAnsi="Arial" w:cs="Arial"/>
          <w:sz w:val="20"/>
          <w:szCs w:val="24"/>
        </w:rPr>
        <w:t>Light blue: “stable weight” (including 87</w:t>
      </w:r>
      <w:r w:rsidR="00C978EF" w:rsidRPr="00C2662F">
        <w:rPr>
          <w:rFonts w:ascii="Arial" w:hAnsi="Arial" w:cs="Arial"/>
          <w:sz w:val="20"/>
          <w:szCs w:val="24"/>
        </w:rPr>
        <w:t>.</w:t>
      </w:r>
      <w:r w:rsidRPr="00C2662F">
        <w:rPr>
          <w:rFonts w:ascii="Arial" w:hAnsi="Arial" w:cs="Arial"/>
          <w:sz w:val="20"/>
          <w:szCs w:val="24"/>
        </w:rPr>
        <w:t>8% of CVD patients); dark blue: “progressive weight loss” (including 5</w:t>
      </w:r>
      <w:r w:rsidR="00C978EF" w:rsidRPr="00C2662F">
        <w:rPr>
          <w:rFonts w:ascii="Arial" w:hAnsi="Arial" w:cs="Arial"/>
          <w:sz w:val="20"/>
          <w:szCs w:val="24"/>
        </w:rPr>
        <w:t>.</w:t>
      </w:r>
      <w:r w:rsidRPr="00C2662F">
        <w:rPr>
          <w:rFonts w:ascii="Arial" w:hAnsi="Arial" w:cs="Arial"/>
          <w:sz w:val="20"/>
          <w:szCs w:val="24"/>
        </w:rPr>
        <w:t>8% of CVD patients); red: “progressive weight gain” (including 6</w:t>
      </w:r>
      <w:r w:rsidR="00C978EF" w:rsidRPr="00C2662F">
        <w:rPr>
          <w:rFonts w:ascii="Arial" w:hAnsi="Arial" w:cs="Arial"/>
          <w:sz w:val="20"/>
          <w:szCs w:val="24"/>
        </w:rPr>
        <w:t>.</w:t>
      </w:r>
      <w:r w:rsidRPr="00C2662F">
        <w:rPr>
          <w:rFonts w:ascii="Arial" w:hAnsi="Arial" w:cs="Arial"/>
          <w:sz w:val="20"/>
          <w:szCs w:val="24"/>
        </w:rPr>
        <w:t xml:space="preserve">4% of CVD patients); gray: “CVD-free”; black: “non-CVD mortality” groups. </w:t>
      </w:r>
    </w:p>
    <w:sectPr w:rsidR="00647E66" w:rsidRPr="00A218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DDFCDE" w14:textId="77777777" w:rsidR="00FB4334" w:rsidRDefault="00FB4334" w:rsidP="00FB4334">
      <w:pPr>
        <w:spacing w:after="0" w:line="240" w:lineRule="auto"/>
      </w:pPr>
      <w:r>
        <w:separator/>
      </w:r>
    </w:p>
  </w:endnote>
  <w:endnote w:type="continuationSeparator" w:id="0">
    <w:p w14:paraId="6C9BB790" w14:textId="77777777" w:rsidR="00FB4334" w:rsidRDefault="00FB4334" w:rsidP="00FB4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32CEA" w14:textId="77777777" w:rsidR="00FB4334" w:rsidRDefault="00FB4334" w:rsidP="00FB4334">
      <w:pPr>
        <w:spacing w:after="0" w:line="240" w:lineRule="auto"/>
      </w:pPr>
      <w:r>
        <w:separator/>
      </w:r>
    </w:p>
  </w:footnote>
  <w:footnote w:type="continuationSeparator" w:id="0">
    <w:p w14:paraId="7CA1B8E5" w14:textId="77777777" w:rsidR="00FB4334" w:rsidRDefault="00FB4334" w:rsidP="00FB4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4136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677B6E" w14:textId="6AFC469F" w:rsidR="00FB4334" w:rsidRDefault="00FB433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7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94D52" w14:textId="77777777" w:rsidR="00FB4334" w:rsidRDefault="00FB43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D2A3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Epidem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wpdtev0xpwt8etsptxds9oreetwpzp2dxs&quot;&gt;Untitled2&lt;record-ids&gt;&lt;item&gt;14&lt;/item&gt;&lt;item&gt;15&lt;/item&gt;&lt;/record-ids&gt;&lt;/item&gt;&lt;/Libraries&gt;"/>
  </w:docVars>
  <w:rsids>
    <w:rsidRoot w:val="00647E66"/>
    <w:rsid w:val="00002FFF"/>
    <w:rsid w:val="00073563"/>
    <w:rsid w:val="001152A8"/>
    <w:rsid w:val="001237BC"/>
    <w:rsid w:val="0013618B"/>
    <w:rsid w:val="00192321"/>
    <w:rsid w:val="002270B4"/>
    <w:rsid w:val="003457AA"/>
    <w:rsid w:val="0043607F"/>
    <w:rsid w:val="005100CD"/>
    <w:rsid w:val="005D7C84"/>
    <w:rsid w:val="00647E66"/>
    <w:rsid w:val="00665274"/>
    <w:rsid w:val="006E4E91"/>
    <w:rsid w:val="0070492C"/>
    <w:rsid w:val="00716F24"/>
    <w:rsid w:val="007A752F"/>
    <w:rsid w:val="007B342F"/>
    <w:rsid w:val="007D3B37"/>
    <w:rsid w:val="008443DD"/>
    <w:rsid w:val="008A3689"/>
    <w:rsid w:val="008B7796"/>
    <w:rsid w:val="00963CB4"/>
    <w:rsid w:val="00A07675"/>
    <w:rsid w:val="00A07832"/>
    <w:rsid w:val="00A218B8"/>
    <w:rsid w:val="00B32F32"/>
    <w:rsid w:val="00B559C2"/>
    <w:rsid w:val="00B65A14"/>
    <w:rsid w:val="00B767BC"/>
    <w:rsid w:val="00B869B8"/>
    <w:rsid w:val="00C2662F"/>
    <w:rsid w:val="00C47721"/>
    <w:rsid w:val="00C81710"/>
    <w:rsid w:val="00C978EF"/>
    <w:rsid w:val="00CE26B5"/>
    <w:rsid w:val="00CE2EB6"/>
    <w:rsid w:val="00E85188"/>
    <w:rsid w:val="00EB750C"/>
    <w:rsid w:val="00ED6DAF"/>
    <w:rsid w:val="00F03F3C"/>
    <w:rsid w:val="00F54EC2"/>
    <w:rsid w:val="00FB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0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E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9232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368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customStyle="1" w:styleId="Body">
    <w:name w:val="Body"/>
    <w:uiPriority w:val="99"/>
    <w:rsid w:val="006E4E9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eastAsia="Times New Roman" w:hAnsi="Arial Unicode MS" w:cs="Arial Unicode MS"/>
      <w:color w:val="000000"/>
      <w:sz w:val="22"/>
      <w:szCs w:val="22"/>
      <w:u w:color="000000"/>
    </w:rPr>
  </w:style>
  <w:style w:type="table" w:styleId="LightShading">
    <w:name w:val="Light Shading"/>
    <w:basedOn w:val="TableNormal"/>
    <w:uiPriority w:val="60"/>
    <w:rsid w:val="006E4E91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6E4E91"/>
    <w:rPr>
      <w:rFonts w:ascii="Times New Roman" w:hAnsi="Times New Roman"/>
      <w:sz w:val="2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FB4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3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33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E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9232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A368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GB" w:eastAsia="en-GB"/>
    </w:rPr>
  </w:style>
  <w:style w:type="paragraph" w:customStyle="1" w:styleId="Body">
    <w:name w:val="Body"/>
    <w:uiPriority w:val="99"/>
    <w:rsid w:val="006E4E9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eastAsia="Times New Roman" w:hAnsi="Arial Unicode MS" w:cs="Arial Unicode MS"/>
      <w:color w:val="000000"/>
      <w:sz w:val="22"/>
      <w:szCs w:val="22"/>
      <w:u w:color="000000"/>
    </w:rPr>
  </w:style>
  <w:style w:type="table" w:styleId="LightShading">
    <w:name w:val="Light Shading"/>
    <w:basedOn w:val="TableNormal"/>
    <w:uiPriority w:val="60"/>
    <w:rsid w:val="006E4E91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6E4E91"/>
    <w:rPr>
      <w:rFonts w:ascii="Times New Roman" w:hAnsi="Times New Roman"/>
      <w:sz w:val="2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FB4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3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3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33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71768-8E5D-4C1B-ACE4-F6F7F076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4084</CharactersWithSpaces>
  <SharedDoc>false</SharedDoc>
  <HLinks>
    <vt:vector size="12" baseType="variant">
      <vt:variant>
        <vt:i4>4390923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Klodian</dc:creator>
  <cp:lastModifiedBy>K. Dhana</cp:lastModifiedBy>
  <cp:revision>2</cp:revision>
  <dcterms:created xsi:type="dcterms:W3CDTF">2016-02-13T09:29:00Z</dcterms:created>
  <dcterms:modified xsi:type="dcterms:W3CDTF">2016-02-13T09:29:00Z</dcterms:modified>
</cp:coreProperties>
</file>