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227B" w:rsidRDefault="00FF227B" w:rsidP="00890252">
      <w:pPr>
        <w:spacing w:line="259" w:lineRule="auto"/>
        <w:rPr>
          <w:rFonts w:asciiTheme="majorHAnsi" w:hAnsiTheme="majorHAnsi"/>
          <w:b/>
          <w:sz w:val="32"/>
          <w:szCs w:val="32"/>
          <w:u w:val="single"/>
        </w:rPr>
      </w:pPr>
      <w:r w:rsidRPr="009448E0">
        <w:rPr>
          <w:rFonts w:asciiTheme="majorHAnsi" w:hAnsiTheme="majorHAnsi"/>
          <w:b/>
          <w:sz w:val="32"/>
          <w:szCs w:val="32"/>
          <w:u w:val="single"/>
        </w:rPr>
        <w:t>SUPPLEMENTAL MATERIAL</w:t>
      </w:r>
    </w:p>
    <w:p w:rsidR="00830EE0" w:rsidRPr="00830EE0" w:rsidRDefault="00830EE0" w:rsidP="00830EE0">
      <w:pPr>
        <w:spacing w:line="259" w:lineRule="auto"/>
        <w:rPr>
          <w:rFonts w:asciiTheme="majorHAnsi" w:hAnsiTheme="majorHAnsi"/>
          <w:b/>
          <w:sz w:val="32"/>
          <w:szCs w:val="32"/>
          <w:u w:val="single"/>
        </w:rPr>
      </w:pPr>
      <w:r w:rsidRPr="00830EE0">
        <w:rPr>
          <w:rFonts w:asciiTheme="majorHAnsi" w:hAnsiTheme="majorHAnsi"/>
          <w:b/>
          <w:sz w:val="32"/>
          <w:szCs w:val="32"/>
          <w:u w:val="single"/>
        </w:rPr>
        <w:t>CONTENTS</w:t>
      </w:r>
    </w:p>
    <w:p w:rsidR="00830EE0" w:rsidRPr="00830EE0" w:rsidRDefault="00830EE0" w:rsidP="00830EE0">
      <w:pPr>
        <w:pStyle w:val="NoSpacing"/>
      </w:pPr>
      <w:r>
        <w:t>Appendix Table</w:t>
      </w:r>
      <w:r w:rsidRPr="00830EE0">
        <w:t xml:space="preserve"> 1 – </w:t>
      </w:r>
      <w:r>
        <w:tab/>
      </w:r>
      <w:r w:rsidRPr="00830EE0">
        <w:t>Search Terms</w:t>
      </w:r>
    </w:p>
    <w:p w:rsidR="00830EE0" w:rsidRPr="00830EE0" w:rsidRDefault="00830EE0" w:rsidP="00830EE0">
      <w:pPr>
        <w:pStyle w:val="NoSpacing"/>
        <w:ind w:left="2160" w:hanging="2160"/>
      </w:pPr>
      <w:r>
        <w:t>Appendix Figure</w:t>
      </w:r>
      <w:r w:rsidRPr="00830EE0">
        <w:t xml:space="preserve"> 1 – </w:t>
      </w:r>
      <w:r>
        <w:tab/>
      </w:r>
      <w:r w:rsidRPr="00830EE0">
        <w:t>Forest plot of the associations between sedentary behaviours and health outcome without adjustment for physical activity</w:t>
      </w:r>
      <w:r w:rsidRPr="00830EE0">
        <w:tab/>
      </w:r>
    </w:p>
    <w:p w:rsidR="00830EE0" w:rsidRPr="00830EE0" w:rsidRDefault="00830EE0" w:rsidP="00830EE0">
      <w:pPr>
        <w:pStyle w:val="NoSpacing"/>
        <w:ind w:left="2160" w:hanging="2160"/>
      </w:pPr>
      <w:r>
        <w:t>Appendix Figure</w:t>
      </w:r>
      <w:r w:rsidRPr="00830EE0">
        <w:t xml:space="preserve"> 2 – </w:t>
      </w:r>
      <w:r>
        <w:tab/>
      </w:r>
      <w:r w:rsidRPr="00830EE0">
        <w:t>Forest plot of the associations between sedentary behaviours and health outcome with adjustment for physical activity</w:t>
      </w:r>
    </w:p>
    <w:p w:rsidR="00830EE0" w:rsidRPr="00830EE0" w:rsidRDefault="00830EE0" w:rsidP="00830EE0">
      <w:pPr>
        <w:pStyle w:val="NoSpacing"/>
        <w:ind w:left="2160" w:hanging="2160"/>
      </w:pPr>
      <w:r>
        <w:t>Appendix Table</w:t>
      </w:r>
      <w:r w:rsidRPr="00830EE0">
        <w:t xml:space="preserve"> 4 – </w:t>
      </w:r>
      <w:r>
        <w:tab/>
      </w:r>
      <w:r w:rsidRPr="00830EE0">
        <w:t>additional information about the quality of the 34 studies included in the analysis by outcome</w:t>
      </w:r>
    </w:p>
    <w:p w:rsidR="00830EE0" w:rsidRPr="00830EE0" w:rsidRDefault="00830EE0" w:rsidP="00830EE0">
      <w:pPr>
        <w:pStyle w:val="NoSpacing"/>
        <w:ind w:left="2160" w:hanging="2160"/>
      </w:pPr>
      <w:r>
        <w:t>Appendix Figure</w:t>
      </w:r>
      <w:r w:rsidRPr="00830EE0">
        <w:t xml:space="preserve"> 3 – </w:t>
      </w:r>
      <w:r>
        <w:tab/>
      </w:r>
      <w:r w:rsidRPr="00830EE0">
        <w:t>Non-linear associations between sedentary behaviours and health outcome without adjustment for physical activity</w:t>
      </w:r>
    </w:p>
    <w:p w:rsidR="00830EE0" w:rsidRPr="00830EE0" w:rsidRDefault="00830EE0" w:rsidP="00830EE0">
      <w:pPr>
        <w:pStyle w:val="NoSpacing"/>
        <w:ind w:left="2160" w:hanging="2160"/>
      </w:pPr>
      <w:r>
        <w:t>Appendix Figure</w:t>
      </w:r>
      <w:r w:rsidRPr="00830EE0">
        <w:t xml:space="preserve"> 4 – </w:t>
      </w:r>
      <w:r>
        <w:tab/>
      </w:r>
      <w:r w:rsidRPr="00830EE0">
        <w:t>Non-linear associations between sedentary behaviours and health outcome with adjustment for physical activity</w:t>
      </w:r>
      <w:r w:rsidRPr="00830EE0">
        <w:tab/>
      </w:r>
    </w:p>
    <w:p w:rsidR="00830EE0" w:rsidRDefault="00830EE0" w:rsidP="00830EE0">
      <w:pPr>
        <w:pStyle w:val="NoSpacing"/>
        <w:ind w:left="2160" w:hanging="2160"/>
      </w:pPr>
      <w:r>
        <w:t>Appendix Table</w:t>
      </w:r>
      <w:r w:rsidRPr="00830EE0">
        <w:t xml:space="preserve"> 5. </w:t>
      </w:r>
      <w:r>
        <w:tab/>
      </w:r>
      <w:r w:rsidRPr="00830EE0">
        <w:t>Relative risks (95% CI) below and above the exposure level corresponding with a change in strength of association, for all-cause and CVD mortality</w:t>
      </w:r>
    </w:p>
    <w:p w:rsidR="00830EE0" w:rsidRDefault="00830EE0" w:rsidP="00830EE0">
      <w:pPr>
        <w:pStyle w:val="NoSpacing"/>
        <w:ind w:left="2160" w:hanging="2160"/>
      </w:pPr>
      <w:r>
        <w:t>Appendix Figure</w:t>
      </w:r>
      <w:r w:rsidRPr="00830EE0">
        <w:t xml:space="preserve"> 5 - </w:t>
      </w:r>
      <w:r>
        <w:tab/>
      </w:r>
      <w:r w:rsidRPr="00830EE0">
        <w:t>Funnel Plots with pseudo 95% confidence limits and Egger’s test for fully adjusted analyses with at least 5 contributing studies</w:t>
      </w:r>
    </w:p>
    <w:p w:rsidR="00681668" w:rsidRDefault="00681668" w:rsidP="00830EE0">
      <w:pPr>
        <w:pStyle w:val="NoSpacing"/>
        <w:ind w:left="2160" w:hanging="2160"/>
      </w:pPr>
      <w:r>
        <w:t xml:space="preserve">Appendix table 6 - </w:t>
      </w:r>
      <w:r>
        <w:tab/>
      </w:r>
      <w:r w:rsidRPr="00681668">
        <w:t xml:space="preserve"> sensitivity analyses using linear PA adjusted associations</w:t>
      </w:r>
    </w:p>
    <w:p w:rsidR="000C79D7" w:rsidRDefault="000C79D7" w:rsidP="00830EE0">
      <w:pPr>
        <w:pStyle w:val="NoSpacing"/>
        <w:ind w:left="2160" w:hanging="2160"/>
      </w:pPr>
      <w:r w:rsidRPr="000C79D7">
        <w:t>Appendix Table 7 -</w:t>
      </w:r>
      <w:r>
        <w:tab/>
      </w:r>
      <w:r w:rsidRPr="000C79D7">
        <w:t>full output from the PA adjusted non-linear dose response meta-analysis for the associations of total sitting with health outcomes</w:t>
      </w:r>
    </w:p>
    <w:p w:rsidR="000C79D7" w:rsidRPr="00830EE0" w:rsidRDefault="000C79D7" w:rsidP="00830EE0">
      <w:pPr>
        <w:pStyle w:val="NoSpacing"/>
        <w:ind w:left="2160" w:hanging="2160"/>
      </w:pPr>
      <w:r w:rsidRPr="000C79D7">
        <w:t>Appendix Table 8 -</w:t>
      </w:r>
      <w:r>
        <w:tab/>
      </w:r>
      <w:r w:rsidRPr="000C79D7">
        <w:t>full output from the PA adjusted non-linear dose response meta-analysis for the associations of TV viewing with health outcomes</w:t>
      </w:r>
    </w:p>
    <w:p w:rsidR="00830EE0" w:rsidRDefault="00830EE0" w:rsidP="00890252">
      <w:pPr>
        <w:spacing w:line="259" w:lineRule="auto"/>
        <w:rPr>
          <w:rFonts w:asciiTheme="majorHAnsi" w:hAnsiTheme="majorHAnsi"/>
          <w:b/>
          <w:sz w:val="32"/>
          <w:szCs w:val="32"/>
          <w:u w:val="single"/>
        </w:rPr>
      </w:pPr>
    </w:p>
    <w:p w:rsidR="00830EE0" w:rsidRDefault="00830EE0">
      <w:pPr>
        <w:spacing w:line="259" w:lineRule="auto"/>
        <w:rPr>
          <w:rFonts w:asciiTheme="majorHAnsi" w:hAnsiTheme="majorHAnsi"/>
          <w:b/>
          <w:sz w:val="32"/>
          <w:szCs w:val="32"/>
          <w:u w:val="single"/>
        </w:rPr>
      </w:pPr>
      <w:r>
        <w:rPr>
          <w:rFonts w:asciiTheme="majorHAnsi" w:hAnsiTheme="majorHAnsi"/>
          <w:b/>
          <w:sz w:val="32"/>
          <w:szCs w:val="32"/>
          <w:u w:val="single"/>
        </w:rPr>
        <w:br w:type="page"/>
      </w:r>
    </w:p>
    <w:p w:rsidR="00830EE0" w:rsidRPr="009448E0" w:rsidRDefault="00830EE0" w:rsidP="00890252">
      <w:pPr>
        <w:spacing w:line="259" w:lineRule="auto"/>
        <w:rPr>
          <w:rFonts w:asciiTheme="majorHAnsi" w:hAnsiTheme="majorHAnsi"/>
          <w:b/>
          <w:sz w:val="32"/>
          <w:szCs w:val="32"/>
          <w:u w:val="single"/>
        </w:rPr>
      </w:pPr>
    </w:p>
    <w:p w:rsidR="00FF227B" w:rsidRPr="009448E0" w:rsidRDefault="00FF227B" w:rsidP="00890252">
      <w:pPr>
        <w:keepNext/>
        <w:keepLines/>
        <w:spacing w:before="240" w:after="0" w:line="240" w:lineRule="auto"/>
        <w:outlineLvl w:val="0"/>
        <w:rPr>
          <w:rFonts w:eastAsia="Times New Roman" w:cstheme="majorBidi"/>
          <w:szCs w:val="32"/>
          <w:lang w:eastAsia="en-GB"/>
        </w:rPr>
      </w:pPr>
      <w:bookmarkStart w:id="0" w:name="_Toc486427056"/>
      <w:r>
        <w:rPr>
          <w:rFonts w:eastAsia="Times New Roman" w:cstheme="majorBidi"/>
          <w:szCs w:val="32"/>
          <w:lang w:eastAsia="en-GB"/>
        </w:rPr>
        <w:t>Appendix Table</w:t>
      </w:r>
      <w:r w:rsidRPr="009448E0">
        <w:rPr>
          <w:rFonts w:eastAsia="Times New Roman" w:cstheme="majorBidi"/>
          <w:szCs w:val="32"/>
          <w:lang w:eastAsia="en-GB"/>
        </w:rPr>
        <w:t xml:space="preserve"> 1 – Search Terms</w:t>
      </w:r>
      <w:bookmarkEnd w:id="0"/>
    </w:p>
    <w:p w:rsidR="00FF227B" w:rsidRPr="009448E0" w:rsidRDefault="00FF227B" w:rsidP="00890252">
      <w:pPr>
        <w:spacing w:line="259" w:lineRule="auto"/>
      </w:pPr>
      <w:r w:rsidRPr="009448E0">
        <w:t xml:space="preserve">Search terms for the electronic literature database search in: </w:t>
      </w:r>
      <w:proofErr w:type="spellStart"/>
      <w:r w:rsidRPr="009448E0">
        <w:t>Pubmed</w:t>
      </w:r>
      <w:proofErr w:type="spellEnd"/>
      <w:r w:rsidRPr="009448E0">
        <w:t xml:space="preserve">, Web of Knowledge, Medline, </w:t>
      </w:r>
      <w:proofErr w:type="spellStart"/>
      <w:r w:rsidRPr="009448E0">
        <w:t>Embase</w:t>
      </w:r>
      <w:proofErr w:type="spellEnd"/>
      <w:r w:rsidRPr="009448E0">
        <w:t>, Cochrane Library.  Where possible the dates used were from 1</w:t>
      </w:r>
      <w:r w:rsidRPr="009448E0">
        <w:rPr>
          <w:vertAlign w:val="superscript"/>
        </w:rPr>
        <w:t>st</w:t>
      </w:r>
      <w:r w:rsidRPr="009448E0">
        <w:t xml:space="preserve"> August 2014 to 30th September 2016.  </w:t>
      </w:r>
    </w:p>
    <w:tbl>
      <w:tblPr>
        <w:tblStyle w:val="TableGrid"/>
        <w:tblW w:w="0" w:type="auto"/>
        <w:tblBorders>
          <w:insideH w:val="none" w:sz="0" w:space="0" w:color="auto"/>
          <w:insideV w:val="none" w:sz="0" w:space="0" w:color="auto"/>
        </w:tblBorders>
        <w:tblLook w:val="04A0"/>
      </w:tblPr>
      <w:tblGrid>
        <w:gridCol w:w="1555"/>
        <w:gridCol w:w="7461"/>
      </w:tblGrid>
      <w:tr w:rsidR="00FF227B" w:rsidRPr="009448E0" w:rsidTr="00890252">
        <w:trPr>
          <w:trHeight w:val="293"/>
        </w:trPr>
        <w:tc>
          <w:tcPr>
            <w:tcW w:w="1555" w:type="dxa"/>
          </w:tcPr>
          <w:p w:rsidR="00FF227B" w:rsidRPr="009448E0" w:rsidRDefault="00FF227B" w:rsidP="00890252">
            <w:pPr>
              <w:spacing w:after="160" w:line="259" w:lineRule="auto"/>
            </w:pPr>
          </w:p>
        </w:tc>
        <w:tc>
          <w:tcPr>
            <w:tcW w:w="7461" w:type="dxa"/>
          </w:tcPr>
          <w:p w:rsidR="00FF227B" w:rsidRPr="009448E0" w:rsidRDefault="00FF227B" w:rsidP="00890252">
            <w:pPr>
              <w:spacing w:after="160" w:line="259" w:lineRule="auto"/>
            </w:pPr>
            <w:r w:rsidRPr="009448E0">
              <w:t>sedentary OR sitting OR television OR TV OR screen time</w:t>
            </w:r>
          </w:p>
        </w:tc>
      </w:tr>
      <w:tr w:rsidR="00FF227B" w:rsidRPr="009448E0" w:rsidTr="00890252">
        <w:tc>
          <w:tcPr>
            <w:tcW w:w="1555" w:type="dxa"/>
          </w:tcPr>
          <w:p w:rsidR="00FF227B" w:rsidRPr="009448E0" w:rsidRDefault="00FF227B" w:rsidP="00890252">
            <w:pPr>
              <w:spacing w:after="160" w:line="259" w:lineRule="auto"/>
            </w:pPr>
            <w:r w:rsidRPr="009448E0">
              <w:t>AND</w:t>
            </w:r>
          </w:p>
        </w:tc>
        <w:tc>
          <w:tcPr>
            <w:tcW w:w="7461" w:type="dxa"/>
          </w:tcPr>
          <w:p w:rsidR="00FF227B" w:rsidRPr="009448E0" w:rsidRDefault="00FF227B" w:rsidP="00890252">
            <w:pPr>
              <w:spacing w:after="160" w:line="259" w:lineRule="auto"/>
            </w:pPr>
            <w:r w:rsidRPr="009448E0">
              <w:t>physical activity OR habitual physical activity OR MVPA</w:t>
            </w:r>
          </w:p>
        </w:tc>
      </w:tr>
      <w:tr w:rsidR="00FF227B" w:rsidRPr="009448E0" w:rsidTr="00890252">
        <w:tc>
          <w:tcPr>
            <w:tcW w:w="1555" w:type="dxa"/>
          </w:tcPr>
          <w:p w:rsidR="00FF227B" w:rsidRPr="009448E0" w:rsidRDefault="00FF227B" w:rsidP="00890252">
            <w:pPr>
              <w:spacing w:after="160" w:line="259" w:lineRule="auto"/>
            </w:pPr>
            <w:r w:rsidRPr="009448E0">
              <w:t xml:space="preserve">AND </w:t>
            </w:r>
          </w:p>
        </w:tc>
        <w:tc>
          <w:tcPr>
            <w:tcW w:w="7461" w:type="dxa"/>
          </w:tcPr>
          <w:p w:rsidR="00FF227B" w:rsidRPr="009448E0" w:rsidRDefault="00FF227B" w:rsidP="00890252">
            <w:pPr>
              <w:spacing w:after="160" w:line="259" w:lineRule="auto"/>
            </w:pPr>
            <w:r w:rsidRPr="009448E0">
              <w:t>mortality OR death OR fatal OR diabetes OR cardiovascular OR CVD OR cancer OR neoplasm OR carcinoma</w:t>
            </w:r>
          </w:p>
        </w:tc>
      </w:tr>
      <w:tr w:rsidR="00FF227B" w:rsidRPr="009448E0" w:rsidTr="00890252">
        <w:tc>
          <w:tcPr>
            <w:tcW w:w="1555" w:type="dxa"/>
          </w:tcPr>
          <w:p w:rsidR="00FF227B" w:rsidRPr="009448E0" w:rsidRDefault="00FF227B" w:rsidP="00890252">
            <w:pPr>
              <w:spacing w:after="160" w:line="259" w:lineRule="auto"/>
            </w:pPr>
            <w:r w:rsidRPr="009448E0">
              <w:t>AND</w:t>
            </w:r>
          </w:p>
        </w:tc>
        <w:tc>
          <w:tcPr>
            <w:tcW w:w="7461" w:type="dxa"/>
          </w:tcPr>
          <w:p w:rsidR="00FF227B" w:rsidRPr="009448E0" w:rsidRDefault="00FF227B" w:rsidP="00890252">
            <w:pPr>
              <w:spacing w:after="160" w:line="259" w:lineRule="auto"/>
            </w:pPr>
            <w:r w:rsidRPr="009448E0">
              <w:t>Risk OR Cox OR hazard OR survival OR odds</w:t>
            </w:r>
          </w:p>
        </w:tc>
      </w:tr>
      <w:tr w:rsidR="00FF227B" w:rsidRPr="009448E0" w:rsidTr="00890252">
        <w:tc>
          <w:tcPr>
            <w:tcW w:w="1555" w:type="dxa"/>
            <w:tcBorders>
              <w:bottom w:val="single" w:sz="4" w:space="0" w:color="auto"/>
            </w:tcBorders>
          </w:tcPr>
          <w:p w:rsidR="00FF227B" w:rsidRPr="009448E0" w:rsidRDefault="00FF227B" w:rsidP="00890252">
            <w:pPr>
              <w:spacing w:after="160" w:line="259" w:lineRule="auto"/>
            </w:pPr>
            <w:r w:rsidRPr="009448E0">
              <w:t>NOT</w:t>
            </w:r>
          </w:p>
        </w:tc>
        <w:tc>
          <w:tcPr>
            <w:tcW w:w="7461" w:type="dxa"/>
            <w:tcBorders>
              <w:bottom w:val="single" w:sz="4" w:space="0" w:color="auto"/>
            </w:tcBorders>
          </w:tcPr>
          <w:p w:rsidR="00FF227B" w:rsidRPr="009448E0" w:rsidRDefault="00FF227B" w:rsidP="00890252">
            <w:pPr>
              <w:spacing w:after="160" w:line="259" w:lineRule="auto"/>
            </w:pPr>
            <w:r w:rsidRPr="009448E0">
              <w:t xml:space="preserve">Child* OR youth OR </w:t>
            </w:r>
            <w:proofErr w:type="spellStart"/>
            <w:r w:rsidRPr="009448E0">
              <w:t>adolescen</w:t>
            </w:r>
            <w:proofErr w:type="spellEnd"/>
            <w:r w:rsidRPr="009448E0">
              <w:t>*</w:t>
            </w:r>
          </w:p>
        </w:tc>
      </w:tr>
      <w:tr w:rsidR="00FF227B" w:rsidRPr="009448E0" w:rsidTr="00890252">
        <w:tc>
          <w:tcPr>
            <w:tcW w:w="1555" w:type="dxa"/>
            <w:tcBorders>
              <w:top w:val="single" w:sz="4" w:space="0" w:color="auto"/>
              <w:left w:val="nil"/>
              <w:bottom w:val="nil"/>
              <w:right w:val="nil"/>
            </w:tcBorders>
          </w:tcPr>
          <w:p w:rsidR="00FF227B" w:rsidRPr="009448E0" w:rsidRDefault="00FF227B" w:rsidP="00890252">
            <w:pPr>
              <w:spacing w:after="160" w:line="259" w:lineRule="auto"/>
            </w:pPr>
          </w:p>
        </w:tc>
        <w:tc>
          <w:tcPr>
            <w:tcW w:w="7461" w:type="dxa"/>
            <w:tcBorders>
              <w:top w:val="single" w:sz="4" w:space="0" w:color="auto"/>
              <w:left w:val="nil"/>
              <w:bottom w:val="nil"/>
              <w:right w:val="nil"/>
            </w:tcBorders>
          </w:tcPr>
          <w:p w:rsidR="00FF227B" w:rsidRPr="009448E0" w:rsidRDefault="00FF227B" w:rsidP="00890252">
            <w:pPr>
              <w:spacing w:after="160" w:line="259" w:lineRule="auto"/>
            </w:pPr>
          </w:p>
        </w:tc>
      </w:tr>
    </w:tbl>
    <w:p w:rsidR="00FF227B" w:rsidRPr="009448E0" w:rsidRDefault="00FF227B" w:rsidP="00890252">
      <w:pPr>
        <w:spacing w:line="259" w:lineRule="auto"/>
      </w:pPr>
      <w:r w:rsidRPr="009448E0">
        <w:t>Google scholar differed significantly from the other search engines used, so an adapted search strategy was required, consisting of:</w:t>
      </w:r>
    </w:p>
    <w:tbl>
      <w:tblPr>
        <w:tblStyle w:val="TableGrid"/>
        <w:tblW w:w="0" w:type="auto"/>
        <w:tblBorders>
          <w:insideH w:val="none" w:sz="0" w:space="0" w:color="auto"/>
          <w:insideV w:val="none" w:sz="0" w:space="0" w:color="auto"/>
        </w:tblBorders>
        <w:tblLook w:val="04A0"/>
      </w:tblPr>
      <w:tblGrid>
        <w:gridCol w:w="2835"/>
        <w:gridCol w:w="6181"/>
      </w:tblGrid>
      <w:tr w:rsidR="00FF227B" w:rsidRPr="009448E0" w:rsidTr="00890252">
        <w:tc>
          <w:tcPr>
            <w:tcW w:w="2835" w:type="dxa"/>
          </w:tcPr>
          <w:p w:rsidR="00FF227B" w:rsidRPr="009448E0" w:rsidRDefault="00FF227B" w:rsidP="00890252">
            <w:pPr>
              <w:numPr>
                <w:ilvl w:val="0"/>
                <w:numId w:val="5"/>
              </w:numPr>
              <w:spacing w:after="160" w:line="259" w:lineRule="auto"/>
            </w:pPr>
            <w:r w:rsidRPr="009448E0">
              <w:t>with the exact phrase:</w:t>
            </w:r>
          </w:p>
        </w:tc>
        <w:tc>
          <w:tcPr>
            <w:tcW w:w="6181" w:type="dxa"/>
          </w:tcPr>
          <w:p w:rsidR="00FF227B" w:rsidRPr="009448E0" w:rsidRDefault="00FF227B" w:rsidP="00890252">
            <w:pPr>
              <w:spacing w:after="160" w:line="259" w:lineRule="auto"/>
            </w:pPr>
            <w:r w:rsidRPr="009448E0">
              <w:t>“sedentary time”</w:t>
            </w:r>
          </w:p>
        </w:tc>
      </w:tr>
      <w:tr w:rsidR="00FF227B" w:rsidRPr="009448E0" w:rsidTr="00890252">
        <w:tc>
          <w:tcPr>
            <w:tcW w:w="2835" w:type="dxa"/>
          </w:tcPr>
          <w:p w:rsidR="00FF227B" w:rsidRPr="009448E0" w:rsidRDefault="00FF227B" w:rsidP="00890252">
            <w:pPr>
              <w:numPr>
                <w:ilvl w:val="0"/>
                <w:numId w:val="5"/>
              </w:numPr>
              <w:spacing w:after="160" w:line="259" w:lineRule="auto"/>
            </w:pPr>
            <w:r w:rsidRPr="009448E0">
              <w:t>with at least one of:</w:t>
            </w:r>
          </w:p>
        </w:tc>
        <w:tc>
          <w:tcPr>
            <w:tcW w:w="6181" w:type="dxa"/>
          </w:tcPr>
          <w:p w:rsidR="00FF227B" w:rsidRPr="009448E0" w:rsidRDefault="00FF227B" w:rsidP="00890252">
            <w:pPr>
              <w:spacing w:after="160" w:line="259" w:lineRule="auto"/>
            </w:pPr>
            <w:r w:rsidRPr="009448E0">
              <w:t>“all-cause mortality” “cancer mortality” “cardiovascular mortality” “incident diabetes” “incident cardiovascular disease”</w:t>
            </w:r>
          </w:p>
        </w:tc>
      </w:tr>
      <w:tr w:rsidR="00FF227B" w:rsidRPr="009448E0" w:rsidTr="00890252">
        <w:tc>
          <w:tcPr>
            <w:tcW w:w="2835" w:type="dxa"/>
          </w:tcPr>
          <w:p w:rsidR="00FF227B" w:rsidRPr="009448E0" w:rsidRDefault="00FF227B" w:rsidP="00890252">
            <w:pPr>
              <w:numPr>
                <w:ilvl w:val="0"/>
                <w:numId w:val="5"/>
              </w:numPr>
              <w:spacing w:after="160" w:line="259" w:lineRule="auto"/>
            </w:pPr>
            <w:r w:rsidRPr="009448E0">
              <w:t>without the words:</w:t>
            </w:r>
          </w:p>
        </w:tc>
        <w:tc>
          <w:tcPr>
            <w:tcW w:w="6181" w:type="dxa"/>
          </w:tcPr>
          <w:p w:rsidR="00FF227B" w:rsidRPr="009448E0" w:rsidRDefault="00FF227B" w:rsidP="00890252">
            <w:pPr>
              <w:spacing w:after="160" w:line="259" w:lineRule="auto"/>
            </w:pPr>
            <w:r w:rsidRPr="009448E0">
              <w:t>children youth adolescent</w:t>
            </w:r>
          </w:p>
        </w:tc>
      </w:tr>
      <w:tr w:rsidR="00FF227B" w:rsidRPr="009448E0" w:rsidTr="00890252">
        <w:tc>
          <w:tcPr>
            <w:tcW w:w="2835" w:type="dxa"/>
          </w:tcPr>
          <w:p w:rsidR="00FF227B" w:rsidRPr="009448E0" w:rsidRDefault="00FF227B" w:rsidP="00890252">
            <w:pPr>
              <w:numPr>
                <w:ilvl w:val="0"/>
                <w:numId w:val="5"/>
              </w:numPr>
              <w:spacing w:after="160" w:line="259" w:lineRule="auto"/>
            </w:pPr>
            <w:r w:rsidRPr="009448E0">
              <w:t>words occur:</w:t>
            </w:r>
          </w:p>
        </w:tc>
        <w:tc>
          <w:tcPr>
            <w:tcW w:w="6181" w:type="dxa"/>
          </w:tcPr>
          <w:p w:rsidR="00FF227B" w:rsidRPr="009448E0" w:rsidRDefault="00FF227B" w:rsidP="00890252">
            <w:pPr>
              <w:spacing w:after="160" w:line="259" w:lineRule="auto"/>
            </w:pPr>
            <w:r w:rsidRPr="009448E0">
              <w:t>anywhere in the article</w:t>
            </w:r>
          </w:p>
        </w:tc>
      </w:tr>
      <w:tr w:rsidR="00FF227B" w:rsidRPr="009448E0" w:rsidTr="00890252">
        <w:tc>
          <w:tcPr>
            <w:tcW w:w="2835" w:type="dxa"/>
            <w:tcBorders>
              <w:bottom w:val="single" w:sz="4" w:space="0" w:color="auto"/>
            </w:tcBorders>
          </w:tcPr>
          <w:p w:rsidR="00FF227B" w:rsidRPr="009448E0" w:rsidRDefault="00FF227B" w:rsidP="00890252">
            <w:pPr>
              <w:numPr>
                <w:ilvl w:val="0"/>
                <w:numId w:val="5"/>
              </w:numPr>
              <w:spacing w:after="160" w:line="259" w:lineRule="auto"/>
            </w:pPr>
            <w:r w:rsidRPr="009448E0">
              <w:t>Return articles dated between:</w:t>
            </w:r>
          </w:p>
        </w:tc>
        <w:tc>
          <w:tcPr>
            <w:tcW w:w="6181" w:type="dxa"/>
            <w:tcBorders>
              <w:bottom w:val="single" w:sz="4" w:space="0" w:color="auto"/>
            </w:tcBorders>
          </w:tcPr>
          <w:p w:rsidR="00FF227B" w:rsidRPr="009448E0" w:rsidRDefault="00FF227B" w:rsidP="00890252">
            <w:pPr>
              <w:spacing w:after="160" w:line="259" w:lineRule="auto"/>
            </w:pPr>
            <w:r w:rsidRPr="009448E0">
              <w:t>2014-2016</w:t>
            </w:r>
          </w:p>
        </w:tc>
      </w:tr>
      <w:tr w:rsidR="00FF227B" w:rsidRPr="009448E0" w:rsidTr="00890252">
        <w:tc>
          <w:tcPr>
            <w:tcW w:w="2835" w:type="dxa"/>
            <w:tcBorders>
              <w:top w:val="single" w:sz="4" w:space="0" w:color="auto"/>
              <w:left w:val="nil"/>
              <w:bottom w:val="nil"/>
            </w:tcBorders>
          </w:tcPr>
          <w:p w:rsidR="00FF227B" w:rsidRPr="009448E0" w:rsidRDefault="00FF227B" w:rsidP="00890252">
            <w:pPr>
              <w:spacing w:after="160" w:line="259" w:lineRule="auto"/>
            </w:pPr>
          </w:p>
        </w:tc>
        <w:tc>
          <w:tcPr>
            <w:tcW w:w="6181" w:type="dxa"/>
            <w:tcBorders>
              <w:top w:val="single" w:sz="4" w:space="0" w:color="auto"/>
              <w:bottom w:val="nil"/>
              <w:right w:val="nil"/>
            </w:tcBorders>
          </w:tcPr>
          <w:p w:rsidR="00FF227B" w:rsidRPr="009448E0" w:rsidRDefault="00FF227B" w:rsidP="00890252">
            <w:pPr>
              <w:spacing w:after="160" w:line="259" w:lineRule="auto"/>
            </w:pPr>
          </w:p>
        </w:tc>
      </w:tr>
    </w:tbl>
    <w:p w:rsidR="00FF227B" w:rsidRPr="009448E0" w:rsidRDefault="00FF227B" w:rsidP="00890252">
      <w:pPr>
        <w:spacing w:line="259" w:lineRule="auto"/>
      </w:pPr>
    </w:p>
    <w:p w:rsidR="00FF227B" w:rsidRPr="009448E0" w:rsidRDefault="00FF227B" w:rsidP="00890252">
      <w:pPr>
        <w:spacing w:line="259" w:lineRule="auto"/>
      </w:pPr>
      <w:r w:rsidRPr="009448E0">
        <w:br w:type="page"/>
      </w:r>
    </w:p>
    <w:p w:rsidR="00FF227B" w:rsidRPr="009448E0" w:rsidRDefault="00FF227B" w:rsidP="00890252">
      <w:pPr>
        <w:keepNext/>
        <w:keepLines/>
        <w:spacing w:before="240" w:after="0" w:line="240" w:lineRule="auto"/>
        <w:outlineLvl w:val="0"/>
        <w:rPr>
          <w:rFonts w:eastAsia="Times New Roman" w:cstheme="majorBidi"/>
          <w:szCs w:val="32"/>
          <w:lang w:eastAsia="en-GB"/>
        </w:rPr>
      </w:pPr>
      <w:bookmarkStart w:id="1" w:name="_Toc486427057"/>
      <w:proofErr w:type="gramStart"/>
      <w:r>
        <w:rPr>
          <w:rFonts w:eastAsia="Times New Roman" w:cstheme="majorBidi"/>
          <w:szCs w:val="32"/>
          <w:lang w:eastAsia="en-GB"/>
        </w:rPr>
        <w:lastRenderedPageBreak/>
        <w:t>Appendix Figure</w:t>
      </w:r>
      <w:r w:rsidRPr="009448E0">
        <w:rPr>
          <w:rFonts w:eastAsia="Times New Roman" w:cstheme="majorBidi"/>
          <w:szCs w:val="32"/>
          <w:lang w:eastAsia="en-GB"/>
        </w:rPr>
        <w:t xml:space="preserve"> 1 – Forest plot of the </w:t>
      </w:r>
      <w:r w:rsidR="00890252">
        <w:rPr>
          <w:rFonts w:eastAsia="Times New Roman" w:cstheme="majorBidi"/>
          <w:szCs w:val="32"/>
          <w:lang w:eastAsia="en-GB"/>
        </w:rPr>
        <w:t>linear RR for a 1 hour per day increase in</w:t>
      </w:r>
      <w:r w:rsidRPr="009448E0">
        <w:rPr>
          <w:rFonts w:eastAsia="Times New Roman" w:cstheme="majorBidi"/>
          <w:szCs w:val="32"/>
          <w:lang w:eastAsia="en-GB"/>
        </w:rPr>
        <w:t xml:space="preserve"> sedentary behaviour and health outcome without adjustment for physical activity</w:t>
      </w:r>
      <w:bookmarkEnd w:id="1"/>
      <w:r w:rsidR="00890252">
        <w:rPr>
          <w:rFonts w:eastAsia="Times New Roman" w:cstheme="majorBidi"/>
          <w:szCs w:val="32"/>
          <w:lang w:eastAsia="en-GB"/>
        </w:rPr>
        <w:t>.</w:t>
      </w:r>
      <w:proofErr w:type="gramEnd"/>
      <w:r w:rsidR="00890252">
        <w:rPr>
          <w:rFonts w:eastAsia="Times New Roman" w:cstheme="majorBidi"/>
          <w:szCs w:val="32"/>
          <w:lang w:eastAsia="en-GB"/>
        </w:rPr>
        <w:t xml:space="preserve"> Squares around point estimates represent weighting in meta-analysis.</w:t>
      </w:r>
    </w:p>
    <w:p w:rsidR="00FF227B" w:rsidRPr="009448E0" w:rsidRDefault="0074622F" w:rsidP="00890252">
      <w:pPr>
        <w:spacing w:line="259" w:lineRule="auto"/>
      </w:pPr>
      <w:r w:rsidRPr="0074622F">
        <w:rPr>
          <w:noProof/>
          <w:lang w:val="en-IN" w:eastAsia="en-IN"/>
        </w:rPr>
        <w:drawing>
          <wp:inline distT="0" distB="0" distL="0" distR="0">
            <wp:extent cx="6646545" cy="781255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46545" cy="7812551"/>
                    </a:xfrm>
                    <a:prstGeom prst="rect">
                      <a:avLst/>
                    </a:prstGeom>
                    <a:noFill/>
                    <a:ln>
                      <a:noFill/>
                    </a:ln>
                  </pic:spPr>
                </pic:pic>
              </a:graphicData>
            </a:graphic>
          </wp:inline>
        </w:drawing>
      </w:r>
    </w:p>
    <w:p w:rsidR="00FF227B" w:rsidRPr="009448E0" w:rsidRDefault="00FF227B" w:rsidP="00890252">
      <w:pPr>
        <w:spacing w:line="259" w:lineRule="auto"/>
      </w:pPr>
      <w:r w:rsidRPr="009448E0">
        <w:br w:type="page"/>
      </w:r>
    </w:p>
    <w:p w:rsidR="00FF227B" w:rsidRDefault="00FF227B" w:rsidP="00890252">
      <w:pPr>
        <w:keepNext/>
        <w:keepLines/>
        <w:spacing w:before="240" w:after="0" w:line="240" w:lineRule="auto"/>
        <w:outlineLvl w:val="0"/>
        <w:rPr>
          <w:rFonts w:eastAsia="Times New Roman" w:cstheme="majorBidi"/>
          <w:szCs w:val="32"/>
          <w:lang w:eastAsia="en-GB"/>
        </w:rPr>
      </w:pPr>
      <w:bookmarkStart w:id="2" w:name="_Toc486427058"/>
      <w:r>
        <w:rPr>
          <w:rFonts w:eastAsia="Times New Roman" w:cstheme="majorBidi"/>
          <w:szCs w:val="32"/>
          <w:lang w:eastAsia="en-GB"/>
        </w:rPr>
        <w:lastRenderedPageBreak/>
        <w:t>Appendix Figure</w:t>
      </w:r>
      <w:r w:rsidRPr="009448E0">
        <w:rPr>
          <w:rFonts w:eastAsia="Times New Roman" w:cstheme="majorBidi"/>
          <w:szCs w:val="32"/>
          <w:lang w:eastAsia="en-GB"/>
        </w:rPr>
        <w:t xml:space="preserve"> 2 – Forest plot of the</w:t>
      </w:r>
      <w:r w:rsidR="00890252">
        <w:rPr>
          <w:rFonts w:eastAsia="Times New Roman" w:cstheme="majorBidi"/>
          <w:szCs w:val="32"/>
          <w:lang w:eastAsia="en-GB"/>
        </w:rPr>
        <w:t xml:space="preserve"> linear</w:t>
      </w:r>
      <w:r w:rsidRPr="009448E0">
        <w:rPr>
          <w:rFonts w:eastAsia="Times New Roman" w:cstheme="majorBidi"/>
          <w:szCs w:val="32"/>
          <w:lang w:eastAsia="en-GB"/>
        </w:rPr>
        <w:t xml:space="preserve"> </w:t>
      </w:r>
      <w:r w:rsidR="00890252">
        <w:rPr>
          <w:rFonts w:eastAsia="Times New Roman" w:cstheme="majorBidi"/>
          <w:szCs w:val="32"/>
          <w:lang w:eastAsia="en-GB"/>
        </w:rPr>
        <w:t>RR</w:t>
      </w:r>
      <w:r w:rsidR="00716AD3">
        <w:rPr>
          <w:rFonts w:eastAsia="Times New Roman" w:cstheme="majorBidi"/>
          <w:szCs w:val="32"/>
          <w:lang w:eastAsia="en-GB"/>
        </w:rPr>
        <w:t xml:space="preserve"> for </w:t>
      </w:r>
      <w:r w:rsidR="00890252">
        <w:rPr>
          <w:rFonts w:eastAsia="Times New Roman" w:cstheme="majorBidi"/>
          <w:szCs w:val="32"/>
          <w:lang w:eastAsia="en-GB"/>
        </w:rPr>
        <w:t xml:space="preserve">a 1 hour per day increase in </w:t>
      </w:r>
      <w:r w:rsidRPr="009448E0">
        <w:rPr>
          <w:rFonts w:eastAsia="Times New Roman" w:cstheme="majorBidi"/>
          <w:szCs w:val="32"/>
          <w:lang w:eastAsia="en-GB"/>
        </w:rPr>
        <w:t>sedentary behaviour and health outcome with adjustment for physical activity</w:t>
      </w:r>
      <w:bookmarkEnd w:id="2"/>
      <w:r w:rsidR="00890252">
        <w:rPr>
          <w:rFonts w:eastAsia="Times New Roman" w:cstheme="majorBidi"/>
          <w:szCs w:val="32"/>
          <w:lang w:eastAsia="en-GB"/>
        </w:rPr>
        <w:t>.</w:t>
      </w:r>
      <w:r w:rsidR="00890252" w:rsidRPr="00890252">
        <w:rPr>
          <w:rFonts w:eastAsia="Times New Roman" w:cstheme="majorBidi"/>
          <w:szCs w:val="32"/>
          <w:lang w:eastAsia="en-GB"/>
        </w:rPr>
        <w:t xml:space="preserve"> </w:t>
      </w:r>
      <w:r w:rsidR="00890252">
        <w:rPr>
          <w:rFonts w:eastAsia="Times New Roman" w:cstheme="majorBidi"/>
          <w:szCs w:val="32"/>
          <w:lang w:eastAsia="en-GB"/>
        </w:rPr>
        <w:t>Squares around point estimates represent weighting in meta-analysis.</w:t>
      </w:r>
    </w:p>
    <w:p w:rsidR="0074622F" w:rsidRPr="009448E0" w:rsidRDefault="0074622F" w:rsidP="00890252">
      <w:pPr>
        <w:keepNext/>
        <w:keepLines/>
        <w:spacing w:before="240" w:after="0" w:line="240" w:lineRule="auto"/>
        <w:outlineLvl w:val="0"/>
        <w:rPr>
          <w:rFonts w:eastAsia="Times New Roman" w:cstheme="majorBidi"/>
          <w:szCs w:val="32"/>
          <w:lang w:eastAsia="en-GB"/>
        </w:rPr>
      </w:pPr>
      <w:r w:rsidRPr="0074622F">
        <w:rPr>
          <w:rFonts w:eastAsia="Times New Roman" w:cstheme="majorBidi"/>
          <w:noProof/>
          <w:szCs w:val="32"/>
          <w:lang w:val="en-IN" w:eastAsia="en-IN"/>
        </w:rPr>
        <w:drawing>
          <wp:inline distT="0" distB="0" distL="0" distR="0">
            <wp:extent cx="6326372" cy="785906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340741" cy="7876914"/>
                    </a:xfrm>
                    <a:prstGeom prst="rect">
                      <a:avLst/>
                    </a:prstGeom>
                    <a:noFill/>
                    <a:ln>
                      <a:noFill/>
                    </a:ln>
                  </pic:spPr>
                </pic:pic>
              </a:graphicData>
            </a:graphic>
          </wp:inline>
        </w:drawing>
      </w:r>
    </w:p>
    <w:p w:rsidR="00FF227B" w:rsidRPr="009448E0" w:rsidRDefault="00FF227B" w:rsidP="00890252">
      <w:pPr>
        <w:spacing w:line="259" w:lineRule="auto"/>
      </w:pPr>
    </w:p>
    <w:p w:rsidR="00FF227B" w:rsidRPr="00890252" w:rsidRDefault="00FF227B" w:rsidP="00890252">
      <w:pPr>
        <w:spacing w:line="259" w:lineRule="auto"/>
        <w:rPr>
          <w:color w:val="FFFFFF" w:themeColor="background1"/>
          <w:sz w:val="18"/>
        </w:rPr>
      </w:pPr>
      <w:r w:rsidRPr="00690AE9">
        <w:rPr>
          <w:color w:val="FFFFFF" w:themeColor="background1"/>
          <w:sz w:val="18"/>
        </w:rPr>
        <w:t xml:space="preserve">1 </w:t>
      </w:r>
      <w:r w:rsidRPr="00890252">
        <w:rPr>
          <w:color w:val="FFFFFF" w:themeColor="background1"/>
          <w:sz w:val="14"/>
        </w:rPr>
        <w:t>Chau 2013</w:t>
      </w:r>
      <w:r w:rsidRPr="00890252">
        <w:rPr>
          <w:noProof/>
          <w:color w:val="FFFFFF" w:themeColor="background1"/>
          <w:sz w:val="14"/>
        </w:rPr>
        <w:t>(40)</w:t>
      </w:r>
      <w:r w:rsidRPr="00890252">
        <w:rPr>
          <w:color w:val="FFFFFF" w:themeColor="background1"/>
          <w:sz w:val="14"/>
        </w:rPr>
        <w:t xml:space="preserve">, 2 </w:t>
      </w:r>
      <w:proofErr w:type="spellStart"/>
      <w:r w:rsidRPr="00890252">
        <w:rPr>
          <w:color w:val="FFFFFF" w:themeColor="background1"/>
          <w:sz w:val="14"/>
        </w:rPr>
        <w:t>Ensrud</w:t>
      </w:r>
      <w:proofErr w:type="spellEnd"/>
      <w:r w:rsidRPr="00890252">
        <w:rPr>
          <w:color w:val="FFFFFF" w:themeColor="background1"/>
          <w:sz w:val="14"/>
        </w:rPr>
        <w:t xml:space="preserve"> 2014</w:t>
      </w:r>
      <w:r w:rsidRPr="00890252">
        <w:rPr>
          <w:noProof/>
          <w:color w:val="FFFFFF" w:themeColor="background1"/>
          <w:sz w:val="14"/>
        </w:rPr>
        <w:t>(42)</w:t>
      </w:r>
      <w:r w:rsidRPr="00890252">
        <w:rPr>
          <w:color w:val="FFFFFF" w:themeColor="background1"/>
          <w:sz w:val="14"/>
        </w:rPr>
        <w:t>, 3 Fox 2015</w:t>
      </w:r>
      <w:r w:rsidRPr="00890252">
        <w:rPr>
          <w:noProof/>
          <w:color w:val="FFFFFF" w:themeColor="background1"/>
          <w:sz w:val="14"/>
        </w:rPr>
        <w:t>(51)</w:t>
      </w:r>
      <w:r w:rsidRPr="00890252">
        <w:rPr>
          <w:color w:val="FFFFFF" w:themeColor="background1"/>
          <w:sz w:val="14"/>
        </w:rPr>
        <w:t xml:space="preserve">, 4 </w:t>
      </w:r>
      <w:proofErr w:type="spellStart"/>
      <w:r w:rsidRPr="00890252">
        <w:rPr>
          <w:color w:val="FFFFFF" w:themeColor="background1"/>
          <w:sz w:val="14"/>
        </w:rPr>
        <w:t>Katzmarzyk</w:t>
      </w:r>
      <w:proofErr w:type="spellEnd"/>
      <w:r w:rsidRPr="00890252">
        <w:rPr>
          <w:color w:val="FFFFFF" w:themeColor="background1"/>
          <w:sz w:val="14"/>
        </w:rPr>
        <w:t xml:space="preserve"> 2009</w:t>
      </w:r>
      <w:r w:rsidRPr="00890252">
        <w:rPr>
          <w:noProof/>
          <w:color w:val="FFFFFF" w:themeColor="background1"/>
          <w:sz w:val="14"/>
        </w:rPr>
        <w:t>(56)</w:t>
      </w:r>
      <w:r w:rsidRPr="00890252">
        <w:rPr>
          <w:color w:val="FFFFFF" w:themeColor="background1"/>
          <w:sz w:val="14"/>
        </w:rPr>
        <w:t>, 5 Kim 2013</w:t>
      </w:r>
      <w:r w:rsidRPr="00890252">
        <w:rPr>
          <w:noProof/>
          <w:color w:val="FFFFFF" w:themeColor="background1"/>
          <w:sz w:val="14"/>
        </w:rPr>
        <w:t>(45)</w:t>
      </w:r>
      <w:r w:rsidRPr="00890252">
        <w:rPr>
          <w:color w:val="FFFFFF" w:themeColor="background1"/>
          <w:sz w:val="14"/>
        </w:rPr>
        <w:t>, 6 Matthews 2014</w:t>
      </w:r>
      <w:r w:rsidRPr="00890252">
        <w:rPr>
          <w:noProof/>
          <w:color w:val="FFFFFF" w:themeColor="background1"/>
          <w:sz w:val="14"/>
        </w:rPr>
        <w:t>(60)</w:t>
      </w:r>
      <w:r w:rsidRPr="00890252">
        <w:rPr>
          <w:color w:val="FFFFFF" w:themeColor="background1"/>
          <w:sz w:val="14"/>
        </w:rPr>
        <w:t>, 7 Matthews 2015</w:t>
      </w:r>
      <w:r w:rsidRPr="00890252">
        <w:rPr>
          <w:noProof/>
          <w:color w:val="FFFFFF" w:themeColor="background1"/>
          <w:sz w:val="14"/>
        </w:rPr>
        <w:t>(62)</w:t>
      </w:r>
      <w:r w:rsidRPr="00890252">
        <w:rPr>
          <w:color w:val="FFFFFF" w:themeColor="background1"/>
          <w:sz w:val="14"/>
        </w:rPr>
        <w:t xml:space="preserve">, 8 </w:t>
      </w:r>
      <w:proofErr w:type="spellStart"/>
      <w:r w:rsidRPr="00890252">
        <w:rPr>
          <w:color w:val="FFFFFF" w:themeColor="background1"/>
          <w:sz w:val="14"/>
        </w:rPr>
        <w:t>Pavey</w:t>
      </w:r>
      <w:proofErr w:type="spellEnd"/>
      <w:r w:rsidRPr="00890252">
        <w:rPr>
          <w:color w:val="FFFFFF" w:themeColor="background1"/>
          <w:sz w:val="14"/>
        </w:rPr>
        <w:t xml:space="preserve"> 2015</w:t>
      </w:r>
      <w:r w:rsidRPr="00890252">
        <w:rPr>
          <w:noProof/>
          <w:color w:val="FFFFFF" w:themeColor="background1"/>
          <w:sz w:val="14"/>
        </w:rPr>
        <w:t>(63)</w:t>
      </w:r>
      <w:r w:rsidRPr="00890252">
        <w:rPr>
          <w:color w:val="FFFFFF" w:themeColor="background1"/>
          <w:sz w:val="14"/>
        </w:rPr>
        <w:t>, 9 Petersen 2014</w:t>
      </w:r>
      <w:r w:rsidRPr="00890252">
        <w:rPr>
          <w:noProof/>
          <w:color w:val="FFFFFF" w:themeColor="background1"/>
          <w:sz w:val="14"/>
        </w:rPr>
        <w:t>(64)</w:t>
      </w:r>
      <w:r w:rsidRPr="00890252">
        <w:rPr>
          <w:color w:val="FFFFFF" w:themeColor="background1"/>
          <w:sz w:val="14"/>
        </w:rPr>
        <w:t xml:space="preserve">, 10 </w:t>
      </w:r>
      <w:proofErr w:type="spellStart"/>
      <w:r w:rsidRPr="00890252">
        <w:rPr>
          <w:color w:val="FFFFFF" w:themeColor="background1"/>
          <w:sz w:val="14"/>
        </w:rPr>
        <w:t>Pulsford</w:t>
      </w:r>
      <w:proofErr w:type="spellEnd"/>
      <w:r w:rsidRPr="00890252">
        <w:rPr>
          <w:color w:val="FFFFFF" w:themeColor="background1"/>
          <w:sz w:val="14"/>
        </w:rPr>
        <w:t xml:space="preserve"> 2015</w:t>
      </w:r>
      <w:r w:rsidRPr="00890252">
        <w:rPr>
          <w:noProof/>
          <w:color w:val="FFFFFF" w:themeColor="background1"/>
          <w:sz w:val="14"/>
        </w:rPr>
        <w:t>(66)</w:t>
      </w:r>
      <w:r w:rsidRPr="00890252">
        <w:rPr>
          <w:color w:val="FFFFFF" w:themeColor="background1"/>
          <w:sz w:val="14"/>
        </w:rPr>
        <w:t xml:space="preserve">, 11 </w:t>
      </w:r>
      <w:proofErr w:type="spellStart"/>
      <w:r w:rsidRPr="00890252">
        <w:rPr>
          <w:color w:val="FFFFFF" w:themeColor="background1"/>
          <w:sz w:val="14"/>
        </w:rPr>
        <w:t>Schmid</w:t>
      </w:r>
      <w:proofErr w:type="spellEnd"/>
      <w:r w:rsidRPr="00890252">
        <w:rPr>
          <w:color w:val="FFFFFF" w:themeColor="background1"/>
          <w:sz w:val="14"/>
        </w:rPr>
        <w:t xml:space="preserve"> 2015</w:t>
      </w:r>
      <w:r w:rsidRPr="00890252">
        <w:rPr>
          <w:noProof/>
          <w:color w:val="FFFFFF" w:themeColor="background1"/>
          <w:sz w:val="14"/>
        </w:rPr>
        <w:t>(67)</w:t>
      </w:r>
      <w:r w:rsidRPr="00890252">
        <w:rPr>
          <w:color w:val="FFFFFF" w:themeColor="background1"/>
          <w:sz w:val="14"/>
        </w:rPr>
        <w:t>, 12 Seguin 2014</w:t>
      </w:r>
      <w:r w:rsidRPr="00890252">
        <w:rPr>
          <w:noProof/>
          <w:color w:val="FFFFFF" w:themeColor="background1"/>
          <w:sz w:val="14"/>
        </w:rPr>
        <w:t>(68)</w:t>
      </w:r>
      <w:r w:rsidRPr="00890252">
        <w:rPr>
          <w:color w:val="FFFFFF" w:themeColor="background1"/>
          <w:sz w:val="14"/>
        </w:rPr>
        <w:t xml:space="preserve">, 13 </w:t>
      </w:r>
      <w:proofErr w:type="spellStart"/>
      <w:r w:rsidRPr="00890252">
        <w:rPr>
          <w:color w:val="FFFFFF" w:themeColor="background1"/>
          <w:sz w:val="14"/>
        </w:rPr>
        <w:t>Basterra-Gortari</w:t>
      </w:r>
      <w:proofErr w:type="spellEnd"/>
      <w:r w:rsidRPr="00890252">
        <w:rPr>
          <w:color w:val="FFFFFF" w:themeColor="background1"/>
          <w:sz w:val="14"/>
        </w:rPr>
        <w:t xml:space="preserve"> 2014</w:t>
      </w:r>
      <w:r w:rsidRPr="00890252">
        <w:rPr>
          <w:noProof/>
          <w:color w:val="FFFFFF" w:themeColor="background1"/>
          <w:sz w:val="14"/>
        </w:rPr>
        <w:t>(39)</w:t>
      </w:r>
      <w:r w:rsidRPr="00890252">
        <w:rPr>
          <w:color w:val="FFFFFF" w:themeColor="background1"/>
          <w:sz w:val="14"/>
        </w:rPr>
        <w:t>, 14 Dunstan 2010</w:t>
      </w:r>
      <w:r w:rsidRPr="00890252">
        <w:rPr>
          <w:noProof/>
          <w:color w:val="FFFFFF" w:themeColor="background1"/>
          <w:sz w:val="14"/>
        </w:rPr>
        <w:t>(49)</w:t>
      </w:r>
      <w:r w:rsidRPr="00890252">
        <w:rPr>
          <w:color w:val="FFFFFF" w:themeColor="background1"/>
          <w:sz w:val="14"/>
        </w:rPr>
        <w:t>, 15 Matthews 2012</w:t>
      </w:r>
      <w:r w:rsidRPr="00890252">
        <w:rPr>
          <w:noProof/>
          <w:color w:val="FFFFFF" w:themeColor="background1"/>
          <w:sz w:val="14"/>
        </w:rPr>
        <w:t>(61)</w:t>
      </w:r>
      <w:r w:rsidRPr="00890252">
        <w:rPr>
          <w:color w:val="FFFFFF" w:themeColor="background1"/>
          <w:sz w:val="14"/>
        </w:rPr>
        <w:t xml:space="preserve">, 16 </w:t>
      </w:r>
      <w:proofErr w:type="spellStart"/>
      <w:r w:rsidRPr="00890252">
        <w:rPr>
          <w:color w:val="FFFFFF" w:themeColor="background1"/>
          <w:sz w:val="14"/>
        </w:rPr>
        <w:t>Muennig</w:t>
      </w:r>
      <w:proofErr w:type="spellEnd"/>
      <w:r w:rsidRPr="00890252">
        <w:rPr>
          <w:color w:val="FFFFFF" w:themeColor="background1"/>
          <w:sz w:val="14"/>
        </w:rPr>
        <w:t xml:space="preserve"> 2013</w:t>
      </w:r>
      <w:r w:rsidRPr="00890252">
        <w:rPr>
          <w:noProof/>
          <w:color w:val="FFFFFF" w:themeColor="background1"/>
          <w:sz w:val="14"/>
        </w:rPr>
        <w:t>(46)</w:t>
      </w:r>
      <w:r w:rsidRPr="00890252">
        <w:rPr>
          <w:color w:val="FFFFFF" w:themeColor="background1"/>
          <w:sz w:val="14"/>
        </w:rPr>
        <w:t>, 17 Suzuki 2007</w:t>
      </w:r>
      <w:r w:rsidRPr="00890252">
        <w:rPr>
          <w:noProof/>
          <w:color w:val="FFFFFF" w:themeColor="background1"/>
          <w:sz w:val="14"/>
        </w:rPr>
        <w:t>(70)</w:t>
      </w:r>
      <w:r w:rsidRPr="00890252">
        <w:rPr>
          <w:color w:val="FFFFFF" w:themeColor="background1"/>
          <w:sz w:val="14"/>
        </w:rPr>
        <w:t>, 18 Wijndaele 2011</w:t>
      </w:r>
      <w:r w:rsidRPr="00890252">
        <w:rPr>
          <w:noProof/>
          <w:color w:val="FFFFFF" w:themeColor="background1"/>
          <w:sz w:val="14"/>
        </w:rPr>
        <w:t>(48)</w:t>
      </w:r>
      <w:r w:rsidRPr="00890252">
        <w:rPr>
          <w:color w:val="FFFFFF" w:themeColor="background1"/>
          <w:sz w:val="14"/>
        </w:rPr>
        <w:t xml:space="preserve">, 19 </w:t>
      </w:r>
      <w:proofErr w:type="spellStart"/>
      <w:r w:rsidRPr="00890252">
        <w:rPr>
          <w:color w:val="FFFFFF" w:themeColor="background1"/>
          <w:sz w:val="14"/>
        </w:rPr>
        <w:t>Ikehara</w:t>
      </w:r>
      <w:proofErr w:type="spellEnd"/>
      <w:r w:rsidRPr="00890252">
        <w:rPr>
          <w:color w:val="FFFFFF" w:themeColor="background1"/>
          <w:sz w:val="14"/>
        </w:rPr>
        <w:t xml:space="preserve"> 2015</w:t>
      </w:r>
      <w:r w:rsidRPr="00890252">
        <w:rPr>
          <w:noProof/>
          <w:color w:val="FFFFFF" w:themeColor="background1"/>
          <w:sz w:val="14"/>
        </w:rPr>
        <w:t>(54)</w:t>
      </w:r>
      <w:r w:rsidRPr="00890252">
        <w:rPr>
          <w:color w:val="FFFFFF" w:themeColor="background1"/>
          <w:sz w:val="14"/>
        </w:rPr>
        <w:t>, 20 Warren 2010</w:t>
      </w:r>
      <w:r w:rsidRPr="00890252">
        <w:rPr>
          <w:noProof/>
          <w:color w:val="FFFFFF" w:themeColor="background1"/>
          <w:sz w:val="14"/>
        </w:rPr>
        <w:t>(47)</w:t>
      </w:r>
      <w:r w:rsidRPr="00890252">
        <w:rPr>
          <w:color w:val="FFFFFF" w:themeColor="background1"/>
          <w:sz w:val="14"/>
        </w:rPr>
        <w:t>, 21 Ford 2010</w:t>
      </w:r>
      <w:r w:rsidRPr="00890252">
        <w:rPr>
          <w:noProof/>
          <w:color w:val="FFFFFF" w:themeColor="background1"/>
          <w:sz w:val="14"/>
        </w:rPr>
        <w:t>(50)</w:t>
      </w:r>
      <w:r w:rsidRPr="00890252">
        <w:rPr>
          <w:color w:val="FFFFFF" w:themeColor="background1"/>
          <w:sz w:val="14"/>
        </w:rPr>
        <w:t>, 22 Hu 2001</w:t>
      </w:r>
      <w:r w:rsidRPr="00890252">
        <w:rPr>
          <w:noProof/>
          <w:color w:val="FFFFFF" w:themeColor="background1"/>
          <w:sz w:val="14"/>
        </w:rPr>
        <w:t>(52)</w:t>
      </w:r>
      <w:r w:rsidRPr="00890252">
        <w:rPr>
          <w:color w:val="FFFFFF" w:themeColor="background1"/>
          <w:sz w:val="14"/>
        </w:rPr>
        <w:t>, 23 Hu 2003</w:t>
      </w:r>
      <w:r w:rsidRPr="00890252">
        <w:rPr>
          <w:noProof/>
          <w:color w:val="FFFFFF" w:themeColor="background1"/>
          <w:sz w:val="14"/>
        </w:rPr>
        <w:t>(53)</w:t>
      </w:r>
      <w:r w:rsidRPr="00890252">
        <w:rPr>
          <w:color w:val="FFFFFF" w:themeColor="background1"/>
          <w:sz w:val="14"/>
        </w:rPr>
        <w:t>, 24 Joseph 2016</w:t>
      </w:r>
      <w:r w:rsidRPr="00890252">
        <w:rPr>
          <w:noProof/>
          <w:color w:val="FFFFFF" w:themeColor="background1"/>
          <w:sz w:val="14"/>
        </w:rPr>
        <w:t>(44)</w:t>
      </w:r>
      <w:r w:rsidRPr="00890252">
        <w:rPr>
          <w:color w:val="FFFFFF" w:themeColor="background1"/>
          <w:sz w:val="14"/>
        </w:rPr>
        <w:t>, 25  Smith 2014</w:t>
      </w:r>
      <w:r w:rsidRPr="00890252">
        <w:rPr>
          <w:noProof/>
          <w:color w:val="FFFFFF" w:themeColor="background1"/>
          <w:sz w:val="14"/>
        </w:rPr>
        <w:t>(69)</w:t>
      </w:r>
      <w:r w:rsidRPr="00890252">
        <w:rPr>
          <w:color w:val="FFFFFF" w:themeColor="background1"/>
          <w:sz w:val="14"/>
        </w:rPr>
        <w:t>, 26 Inoue 2008</w:t>
      </w:r>
      <w:r w:rsidRPr="00890252">
        <w:rPr>
          <w:noProof/>
          <w:color w:val="FFFFFF" w:themeColor="background1"/>
          <w:sz w:val="14"/>
        </w:rPr>
        <w:t>(55)</w:t>
      </w:r>
      <w:r w:rsidRPr="00890252">
        <w:rPr>
          <w:color w:val="FFFFFF" w:themeColor="background1"/>
          <w:sz w:val="14"/>
        </w:rPr>
        <w:t xml:space="preserve">, 27 van der </w:t>
      </w:r>
      <w:proofErr w:type="spellStart"/>
      <w:r w:rsidRPr="00890252">
        <w:rPr>
          <w:color w:val="FFFFFF" w:themeColor="background1"/>
          <w:sz w:val="14"/>
        </w:rPr>
        <w:t>Ploeg</w:t>
      </w:r>
      <w:proofErr w:type="spellEnd"/>
      <w:r w:rsidRPr="00890252">
        <w:rPr>
          <w:color w:val="FFFFFF" w:themeColor="background1"/>
          <w:sz w:val="14"/>
        </w:rPr>
        <w:t xml:space="preserve"> 2012</w:t>
      </w:r>
      <w:r w:rsidRPr="00890252">
        <w:rPr>
          <w:noProof/>
          <w:color w:val="FFFFFF" w:themeColor="background1"/>
          <w:sz w:val="14"/>
        </w:rPr>
        <w:t>(71)</w:t>
      </w:r>
      <w:r w:rsidRPr="00890252">
        <w:rPr>
          <w:color w:val="FFFFFF" w:themeColor="background1"/>
          <w:sz w:val="14"/>
        </w:rPr>
        <w:t xml:space="preserve">, 28 </w:t>
      </w:r>
      <w:proofErr w:type="spellStart"/>
      <w:r w:rsidRPr="00890252">
        <w:rPr>
          <w:color w:val="FFFFFF" w:themeColor="background1"/>
          <w:sz w:val="14"/>
        </w:rPr>
        <w:t>Keadle</w:t>
      </w:r>
      <w:proofErr w:type="spellEnd"/>
      <w:r w:rsidRPr="00890252">
        <w:rPr>
          <w:color w:val="FFFFFF" w:themeColor="background1"/>
          <w:sz w:val="14"/>
        </w:rPr>
        <w:t xml:space="preserve"> 2015</w:t>
      </w:r>
      <w:r w:rsidRPr="00890252">
        <w:rPr>
          <w:noProof/>
          <w:color w:val="FFFFFF" w:themeColor="background1"/>
          <w:sz w:val="14"/>
        </w:rPr>
        <w:t>(57)</w:t>
      </w:r>
      <w:r w:rsidRPr="00890252">
        <w:rPr>
          <w:color w:val="FFFFFF" w:themeColor="background1"/>
          <w:sz w:val="14"/>
        </w:rPr>
        <w:t>, 29 Ding 2015</w:t>
      </w:r>
      <w:r w:rsidRPr="00890252">
        <w:rPr>
          <w:noProof/>
          <w:color w:val="FFFFFF" w:themeColor="background1"/>
          <w:sz w:val="14"/>
        </w:rPr>
        <w:t>(41)</w:t>
      </w:r>
      <w:r w:rsidRPr="00890252">
        <w:rPr>
          <w:color w:val="FFFFFF" w:themeColor="background1"/>
          <w:sz w:val="14"/>
        </w:rPr>
        <w:t>, 30 Gibbs 2015</w:t>
      </w:r>
      <w:r w:rsidRPr="00890252">
        <w:rPr>
          <w:noProof/>
          <w:color w:val="FFFFFF" w:themeColor="background1"/>
          <w:sz w:val="14"/>
        </w:rPr>
        <w:t>(43)</w:t>
      </w:r>
      <w:r w:rsidRPr="00890252">
        <w:rPr>
          <w:color w:val="FFFFFF" w:themeColor="background1"/>
          <w:sz w:val="14"/>
        </w:rPr>
        <w:t xml:space="preserve">, 31 </w:t>
      </w:r>
      <w:proofErr w:type="spellStart"/>
      <w:r w:rsidRPr="00890252">
        <w:rPr>
          <w:color w:val="FFFFFF" w:themeColor="background1"/>
          <w:sz w:val="14"/>
        </w:rPr>
        <w:t>Manini</w:t>
      </w:r>
      <w:proofErr w:type="spellEnd"/>
      <w:r w:rsidRPr="00890252">
        <w:rPr>
          <w:color w:val="FFFFFF" w:themeColor="background1"/>
          <w:sz w:val="14"/>
        </w:rPr>
        <w:t xml:space="preserve"> 2014</w:t>
      </w:r>
      <w:r w:rsidRPr="00890252">
        <w:rPr>
          <w:noProof/>
          <w:color w:val="FFFFFF" w:themeColor="background1"/>
          <w:sz w:val="14"/>
        </w:rPr>
        <w:t>(59)</w:t>
      </w:r>
      <w:r w:rsidRPr="00890252">
        <w:rPr>
          <w:color w:val="FFFFFF" w:themeColor="background1"/>
          <w:sz w:val="14"/>
        </w:rPr>
        <w:t>, 32 Peterson 2016</w:t>
      </w:r>
      <w:r w:rsidRPr="00890252">
        <w:rPr>
          <w:noProof/>
          <w:color w:val="FFFFFF" w:themeColor="background1"/>
          <w:sz w:val="14"/>
        </w:rPr>
        <w:t>(65)</w:t>
      </w:r>
      <w:r w:rsidRPr="00890252">
        <w:rPr>
          <w:color w:val="FFFFFF" w:themeColor="background1"/>
          <w:sz w:val="14"/>
        </w:rPr>
        <w:t xml:space="preserve">, 33 </w:t>
      </w:r>
      <w:proofErr w:type="spellStart"/>
      <w:r w:rsidRPr="00890252">
        <w:rPr>
          <w:color w:val="FFFFFF" w:themeColor="background1"/>
          <w:sz w:val="14"/>
        </w:rPr>
        <w:t>Anjana</w:t>
      </w:r>
      <w:proofErr w:type="spellEnd"/>
      <w:r w:rsidRPr="00890252">
        <w:rPr>
          <w:color w:val="FFFFFF" w:themeColor="background1"/>
          <w:sz w:val="14"/>
        </w:rPr>
        <w:t xml:space="preserve"> 2015</w:t>
      </w:r>
      <w:r w:rsidRPr="00890252">
        <w:rPr>
          <w:noProof/>
          <w:color w:val="FFFFFF" w:themeColor="background1"/>
          <w:sz w:val="14"/>
        </w:rPr>
        <w:t>(38)</w:t>
      </w:r>
      <w:r w:rsidRPr="00890252">
        <w:rPr>
          <w:color w:val="FFFFFF" w:themeColor="background1"/>
          <w:sz w:val="14"/>
        </w:rPr>
        <w:t>, 34 Krishnan 2009</w:t>
      </w:r>
      <w:r w:rsidRPr="00890252">
        <w:rPr>
          <w:noProof/>
          <w:color w:val="FFFFFF" w:themeColor="background1"/>
          <w:sz w:val="14"/>
        </w:rPr>
        <w:t>(58)</w:t>
      </w:r>
      <w:r w:rsidRPr="00890252">
        <w:rPr>
          <w:color w:val="FFFFFF" w:themeColor="background1"/>
          <w:sz w:val="14"/>
        </w:rPr>
        <w:t xml:space="preserve">.- These dictate the order of the references in Endnote to match those in the Stata graphs. To blank out by making text white. </w:t>
      </w:r>
    </w:p>
    <w:p w:rsidR="00FF227B" w:rsidRPr="00890252" w:rsidRDefault="00FF227B" w:rsidP="00890252">
      <w:pPr>
        <w:spacing w:line="259" w:lineRule="auto"/>
        <w:rPr>
          <w:sz w:val="18"/>
        </w:rPr>
        <w:sectPr w:rsidR="00FF227B" w:rsidRPr="00890252" w:rsidSect="00890252">
          <w:footerReference w:type="default" r:id="rId9"/>
          <w:pgSz w:w="11907" w:h="16839" w:code="9"/>
          <w:pgMar w:top="720" w:right="720" w:bottom="720" w:left="720" w:header="708" w:footer="708" w:gutter="0"/>
          <w:cols w:space="708"/>
          <w:docGrid w:linePitch="360"/>
        </w:sectPr>
      </w:pPr>
    </w:p>
    <w:p w:rsidR="00FF227B" w:rsidRPr="009448E0" w:rsidRDefault="00FF227B" w:rsidP="00890252">
      <w:pPr>
        <w:keepNext/>
        <w:keepLines/>
        <w:spacing w:before="240" w:after="0" w:line="240" w:lineRule="auto"/>
        <w:outlineLvl w:val="0"/>
        <w:rPr>
          <w:rFonts w:eastAsia="Times New Roman" w:cstheme="majorBidi"/>
          <w:szCs w:val="32"/>
          <w:lang w:eastAsia="en-GB"/>
        </w:rPr>
      </w:pPr>
      <w:bookmarkStart w:id="3" w:name="_Toc486427059"/>
      <w:r>
        <w:rPr>
          <w:rFonts w:eastAsia="Times New Roman" w:cstheme="majorBidi"/>
          <w:szCs w:val="32"/>
          <w:lang w:eastAsia="en-GB"/>
        </w:rPr>
        <w:lastRenderedPageBreak/>
        <w:t>Appendix Table</w:t>
      </w:r>
      <w:r w:rsidRPr="009448E0">
        <w:rPr>
          <w:rFonts w:eastAsia="Times New Roman" w:cstheme="majorBidi"/>
          <w:szCs w:val="32"/>
          <w:lang w:eastAsia="en-GB"/>
        </w:rPr>
        <w:t xml:space="preserve"> 2 – dose assignments for studies using total sedentary sitting/sedentary time</w:t>
      </w:r>
      <w:bookmarkEnd w:id="3"/>
    </w:p>
    <w:tbl>
      <w:tblPr>
        <w:tblStyle w:val="PlainTable31"/>
        <w:tblW w:w="0" w:type="auto"/>
        <w:tblLook w:val="04A0"/>
      </w:tblPr>
      <w:tblGrid>
        <w:gridCol w:w="2415"/>
        <w:gridCol w:w="1733"/>
        <w:gridCol w:w="1979"/>
        <w:gridCol w:w="1182"/>
        <w:gridCol w:w="1092"/>
        <w:gridCol w:w="1068"/>
        <w:gridCol w:w="1774"/>
        <w:gridCol w:w="308"/>
        <w:gridCol w:w="627"/>
        <w:gridCol w:w="627"/>
        <w:gridCol w:w="627"/>
        <w:gridCol w:w="627"/>
        <w:gridCol w:w="536"/>
        <w:gridCol w:w="308"/>
      </w:tblGrid>
      <w:tr w:rsidR="00FF227B" w:rsidRPr="009448E0" w:rsidTr="00890252">
        <w:trPr>
          <w:cnfStyle w:val="100000000000"/>
          <w:trHeight w:val="240"/>
        </w:trPr>
        <w:tc>
          <w:tcPr>
            <w:cnfStyle w:val="001000000100"/>
            <w:tcW w:w="0" w:type="auto"/>
            <w:gridSpan w:val="14"/>
            <w:noWrap/>
            <w:vAlign w:val="bottom"/>
          </w:tcPr>
          <w:p w:rsidR="00FF227B" w:rsidRPr="009448E0" w:rsidRDefault="00FF227B" w:rsidP="00890252">
            <w:pPr>
              <w:spacing w:line="240" w:lineRule="auto"/>
            </w:pPr>
          </w:p>
        </w:tc>
      </w:tr>
      <w:tr w:rsidR="00FF227B" w:rsidRPr="009448E0" w:rsidTr="00890252">
        <w:trPr>
          <w:cnfStyle w:val="000000100000"/>
          <w:trHeight w:val="240"/>
        </w:trPr>
        <w:tc>
          <w:tcPr>
            <w:cnfStyle w:val="001000000000"/>
            <w:tcW w:w="0" w:type="auto"/>
            <w:noWrap/>
          </w:tcPr>
          <w:p w:rsidR="00FF227B" w:rsidRPr="009448E0" w:rsidRDefault="00FF227B" w:rsidP="00890252">
            <w:pPr>
              <w:spacing w:line="240" w:lineRule="auto"/>
              <w:rPr>
                <w:rFonts w:ascii="Calibri" w:eastAsia="Times New Roman" w:hAnsi="Calibri" w:cs="Times New Roman"/>
                <w:color w:val="000000"/>
                <w:sz w:val="18"/>
                <w:szCs w:val="18"/>
                <w:lang w:eastAsia="en-GB"/>
              </w:rPr>
            </w:pPr>
          </w:p>
        </w:tc>
        <w:tc>
          <w:tcPr>
            <w:tcW w:w="0" w:type="auto"/>
            <w:noWrap/>
          </w:tcPr>
          <w:p w:rsidR="00FF227B" w:rsidRPr="009448E0" w:rsidRDefault="00FF227B" w:rsidP="00890252">
            <w:pPr>
              <w:spacing w:line="240" w:lineRule="auto"/>
              <w:cnfStyle w:val="000000100000"/>
              <w:rPr>
                <w:rFonts w:ascii="Times New Roman" w:eastAsia="Times New Roman" w:hAnsi="Times New Roman" w:cs="Times New Roman"/>
                <w:sz w:val="20"/>
                <w:szCs w:val="20"/>
                <w:lang w:eastAsia="en-GB"/>
              </w:rPr>
            </w:pPr>
          </w:p>
        </w:tc>
        <w:tc>
          <w:tcPr>
            <w:tcW w:w="0" w:type="auto"/>
            <w:gridSpan w:val="6"/>
            <w:tcBorders>
              <w:right w:val="single" w:sz="4" w:space="0" w:color="auto"/>
            </w:tcBorders>
            <w:noWrap/>
          </w:tcPr>
          <w:p w:rsidR="00FF227B" w:rsidRPr="009448E0" w:rsidRDefault="00FF227B" w:rsidP="00890252">
            <w:pPr>
              <w:spacing w:line="240" w:lineRule="auto"/>
              <w:jc w:val="center"/>
              <w:cnfStyle w:val="000000100000"/>
              <w:rPr>
                <w:rFonts w:ascii="Calibri" w:eastAsia="Times New Roman" w:hAnsi="Calibri" w:cs="Times New Roman"/>
                <w:b/>
                <w:bCs/>
                <w:sz w:val="18"/>
                <w:szCs w:val="18"/>
                <w:lang w:eastAsia="en-GB"/>
              </w:rPr>
            </w:pPr>
            <w:r w:rsidRPr="009448E0">
              <w:rPr>
                <w:rFonts w:ascii="Calibri" w:eastAsia="Times New Roman" w:hAnsi="Calibri" w:cs="Times New Roman"/>
                <w:color w:val="000000"/>
                <w:sz w:val="18"/>
                <w:szCs w:val="18"/>
                <w:lang w:eastAsia="en-GB"/>
              </w:rPr>
              <w:t>Categories used by study authors (hours/day unless otherwise stated)</w:t>
            </w:r>
          </w:p>
        </w:tc>
        <w:tc>
          <w:tcPr>
            <w:tcW w:w="0" w:type="auto"/>
            <w:gridSpan w:val="6"/>
            <w:tcBorders>
              <w:left w:val="single" w:sz="4" w:space="0" w:color="auto"/>
            </w:tcBorders>
            <w:noWrap/>
          </w:tcPr>
          <w:p w:rsidR="00FF227B" w:rsidRPr="009448E0" w:rsidRDefault="00FF227B" w:rsidP="00890252">
            <w:pPr>
              <w:spacing w:line="240" w:lineRule="auto"/>
              <w:jc w:val="center"/>
              <w:cnfStyle w:val="000000100000"/>
              <w:rPr>
                <w:rFonts w:ascii="Calibri" w:eastAsia="Times New Roman" w:hAnsi="Calibri" w:cs="Times New Roman"/>
                <w:b/>
                <w:bCs/>
                <w:sz w:val="18"/>
                <w:szCs w:val="18"/>
                <w:lang w:eastAsia="en-GB"/>
              </w:rPr>
            </w:pPr>
            <w:r w:rsidRPr="009448E0">
              <w:rPr>
                <w:rFonts w:ascii="Calibri" w:eastAsia="Times New Roman" w:hAnsi="Calibri" w:cs="Times New Roman"/>
                <w:color w:val="000000"/>
                <w:sz w:val="18"/>
                <w:szCs w:val="18"/>
                <w:lang w:eastAsia="en-GB"/>
              </w:rPr>
              <w:t>Dose applied to exposure category</w:t>
            </w:r>
          </w:p>
        </w:tc>
      </w:tr>
      <w:tr w:rsidR="00FF227B" w:rsidRPr="009448E0" w:rsidTr="00890252">
        <w:trPr>
          <w:trHeight w:val="240"/>
        </w:trPr>
        <w:tc>
          <w:tcPr>
            <w:cnfStyle w:val="001000000000"/>
            <w:tcW w:w="0" w:type="auto"/>
            <w:noWrap/>
            <w:hideMark/>
          </w:tcPr>
          <w:p w:rsidR="00FF227B" w:rsidRPr="009448E0" w:rsidRDefault="00FF227B" w:rsidP="00890252">
            <w:pPr>
              <w:spacing w:line="240" w:lineRule="auto"/>
              <w:rPr>
                <w:rFonts w:ascii="Calibri" w:eastAsia="Times New Roman" w:hAnsi="Calibri" w:cs="Times New Roman"/>
                <w:color w:val="000000"/>
                <w:sz w:val="18"/>
                <w:szCs w:val="18"/>
                <w:lang w:eastAsia="en-GB"/>
              </w:rPr>
            </w:pPr>
          </w:p>
        </w:tc>
        <w:tc>
          <w:tcPr>
            <w:tcW w:w="0" w:type="auto"/>
            <w:noWrap/>
            <w:hideMark/>
          </w:tcPr>
          <w:p w:rsidR="00FF227B" w:rsidRPr="009448E0" w:rsidRDefault="00FF227B" w:rsidP="00890252">
            <w:pPr>
              <w:spacing w:line="240" w:lineRule="auto"/>
              <w:cnfStyle w:val="000000000000"/>
              <w:rPr>
                <w:rFonts w:ascii="Times New Roman" w:eastAsia="Times New Roman" w:hAnsi="Times New Roman" w:cs="Times New Roman"/>
                <w:b/>
                <w:sz w:val="20"/>
                <w:szCs w:val="20"/>
                <w:lang w:eastAsia="en-GB"/>
              </w:rPr>
            </w:pPr>
            <w:r w:rsidRPr="009448E0">
              <w:rPr>
                <w:rFonts w:ascii="Calibri" w:eastAsia="Times New Roman" w:hAnsi="Calibri" w:cs="Times New Roman"/>
                <w:b/>
                <w:color w:val="000000"/>
                <w:sz w:val="18"/>
                <w:szCs w:val="18"/>
                <w:lang w:eastAsia="en-GB"/>
              </w:rPr>
              <w:t>Exposure</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b/>
                <w:bCs/>
                <w:sz w:val="18"/>
                <w:szCs w:val="18"/>
                <w:lang w:eastAsia="en-GB"/>
              </w:rPr>
            </w:pPr>
            <w:r w:rsidRPr="009448E0">
              <w:rPr>
                <w:rFonts w:ascii="Calibri" w:eastAsia="Times New Roman" w:hAnsi="Calibri" w:cs="Times New Roman"/>
                <w:b/>
                <w:bCs/>
                <w:sz w:val="18"/>
                <w:szCs w:val="18"/>
                <w:lang w:eastAsia="en-GB"/>
              </w:rPr>
              <w:t>1</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b/>
                <w:bCs/>
                <w:sz w:val="18"/>
                <w:szCs w:val="18"/>
                <w:lang w:eastAsia="en-GB"/>
              </w:rPr>
            </w:pPr>
            <w:r w:rsidRPr="009448E0">
              <w:rPr>
                <w:rFonts w:ascii="Calibri" w:eastAsia="Times New Roman" w:hAnsi="Calibri" w:cs="Times New Roman"/>
                <w:b/>
                <w:bCs/>
                <w:sz w:val="18"/>
                <w:szCs w:val="18"/>
                <w:lang w:eastAsia="en-GB"/>
              </w:rPr>
              <w:t>2</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b/>
                <w:bCs/>
                <w:sz w:val="18"/>
                <w:szCs w:val="18"/>
                <w:lang w:eastAsia="en-GB"/>
              </w:rPr>
            </w:pPr>
            <w:r w:rsidRPr="009448E0">
              <w:rPr>
                <w:rFonts w:ascii="Calibri" w:eastAsia="Times New Roman" w:hAnsi="Calibri" w:cs="Times New Roman"/>
                <w:b/>
                <w:bCs/>
                <w:sz w:val="18"/>
                <w:szCs w:val="18"/>
                <w:lang w:eastAsia="en-GB"/>
              </w:rPr>
              <w:t>3</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b/>
                <w:bCs/>
                <w:sz w:val="18"/>
                <w:szCs w:val="18"/>
                <w:lang w:eastAsia="en-GB"/>
              </w:rPr>
            </w:pPr>
            <w:r w:rsidRPr="009448E0">
              <w:rPr>
                <w:rFonts w:ascii="Calibri" w:eastAsia="Times New Roman" w:hAnsi="Calibri" w:cs="Times New Roman"/>
                <w:b/>
                <w:bCs/>
                <w:sz w:val="18"/>
                <w:szCs w:val="18"/>
                <w:lang w:eastAsia="en-GB"/>
              </w:rPr>
              <w:t>4</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b/>
                <w:bCs/>
                <w:sz w:val="18"/>
                <w:szCs w:val="18"/>
                <w:lang w:eastAsia="en-GB"/>
              </w:rPr>
            </w:pPr>
            <w:r w:rsidRPr="009448E0">
              <w:rPr>
                <w:rFonts w:ascii="Calibri" w:eastAsia="Times New Roman" w:hAnsi="Calibri" w:cs="Times New Roman"/>
                <w:b/>
                <w:bCs/>
                <w:sz w:val="18"/>
                <w:szCs w:val="18"/>
                <w:lang w:eastAsia="en-GB"/>
              </w:rPr>
              <w:t>5</w:t>
            </w:r>
          </w:p>
        </w:tc>
        <w:tc>
          <w:tcPr>
            <w:tcW w:w="0" w:type="auto"/>
            <w:tcBorders>
              <w:right w:val="single" w:sz="4" w:space="0" w:color="auto"/>
            </w:tcBorders>
            <w:noWrap/>
            <w:hideMark/>
          </w:tcPr>
          <w:p w:rsidR="00FF227B" w:rsidRPr="009448E0" w:rsidRDefault="00FF227B" w:rsidP="00890252">
            <w:pPr>
              <w:spacing w:line="240" w:lineRule="auto"/>
              <w:jc w:val="center"/>
              <w:cnfStyle w:val="000000000000"/>
              <w:rPr>
                <w:rFonts w:ascii="Calibri" w:eastAsia="Times New Roman" w:hAnsi="Calibri" w:cs="Times New Roman"/>
                <w:b/>
                <w:bCs/>
                <w:sz w:val="18"/>
                <w:szCs w:val="18"/>
                <w:lang w:eastAsia="en-GB"/>
              </w:rPr>
            </w:pPr>
            <w:r w:rsidRPr="009448E0">
              <w:rPr>
                <w:rFonts w:ascii="Calibri" w:eastAsia="Times New Roman" w:hAnsi="Calibri" w:cs="Times New Roman"/>
                <w:b/>
                <w:bCs/>
                <w:sz w:val="18"/>
                <w:szCs w:val="18"/>
                <w:lang w:eastAsia="en-GB"/>
              </w:rPr>
              <w:t>6</w:t>
            </w:r>
          </w:p>
        </w:tc>
        <w:tc>
          <w:tcPr>
            <w:tcW w:w="0" w:type="auto"/>
            <w:tcBorders>
              <w:left w:val="single" w:sz="4" w:space="0" w:color="auto"/>
            </w:tcBorders>
            <w:noWrap/>
            <w:hideMark/>
          </w:tcPr>
          <w:p w:rsidR="00FF227B" w:rsidRPr="009448E0" w:rsidRDefault="00FF227B" w:rsidP="00890252">
            <w:pPr>
              <w:spacing w:line="240" w:lineRule="auto"/>
              <w:jc w:val="center"/>
              <w:cnfStyle w:val="000000000000"/>
              <w:rPr>
                <w:rFonts w:ascii="Calibri" w:eastAsia="Times New Roman" w:hAnsi="Calibri" w:cs="Times New Roman"/>
                <w:b/>
                <w:bCs/>
                <w:sz w:val="18"/>
                <w:szCs w:val="18"/>
                <w:lang w:eastAsia="en-GB"/>
              </w:rPr>
            </w:pPr>
            <w:r w:rsidRPr="009448E0">
              <w:rPr>
                <w:rFonts w:ascii="Calibri" w:eastAsia="Times New Roman" w:hAnsi="Calibri" w:cs="Times New Roman"/>
                <w:b/>
                <w:bCs/>
                <w:sz w:val="18"/>
                <w:szCs w:val="18"/>
                <w:lang w:eastAsia="en-GB"/>
              </w:rPr>
              <w:t>1</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b/>
                <w:bCs/>
                <w:sz w:val="18"/>
                <w:szCs w:val="18"/>
                <w:lang w:eastAsia="en-GB"/>
              </w:rPr>
            </w:pPr>
            <w:r w:rsidRPr="009448E0">
              <w:rPr>
                <w:rFonts w:ascii="Calibri" w:eastAsia="Times New Roman" w:hAnsi="Calibri" w:cs="Times New Roman"/>
                <w:b/>
                <w:bCs/>
                <w:sz w:val="18"/>
                <w:szCs w:val="18"/>
                <w:lang w:eastAsia="en-GB"/>
              </w:rPr>
              <w:t>2</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b/>
                <w:bCs/>
                <w:sz w:val="18"/>
                <w:szCs w:val="18"/>
                <w:lang w:eastAsia="en-GB"/>
              </w:rPr>
            </w:pPr>
            <w:r w:rsidRPr="009448E0">
              <w:rPr>
                <w:rFonts w:ascii="Calibri" w:eastAsia="Times New Roman" w:hAnsi="Calibri" w:cs="Times New Roman"/>
                <w:b/>
                <w:bCs/>
                <w:sz w:val="18"/>
                <w:szCs w:val="18"/>
                <w:lang w:eastAsia="en-GB"/>
              </w:rPr>
              <w:t>3</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b/>
                <w:bCs/>
                <w:sz w:val="18"/>
                <w:szCs w:val="18"/>
                <w:lang w:eastAsia="en-GB"/>
              </w:rPr>
            </w:pPr>
            <w:r w:rsidRPr="009448E0">
              <w:rPr>
                <w:rFonts w:ascii="Calibri" w:eastAsia="Times New Roman" w:hAnsi="Calibri" w:cs="Times New Roman"/>
                <w:b/>
                <w:bCs/>
                <w:sz w:val="18"/>
                <w:szCs w:val="18"/>
                <w:lang w:eastAsia="en-GB"/>
              </w:rPr>
              <w:t>4</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b/>
                <w:bCs/>
                <w:sz w:val="18"/>
                <w:szCs w:val="18"/>
                <w:lang w:eastAsia="en-GB"/>
              </w:rPr>
            </w:pPr>
            <w:r w:rsidRPr="009448E0">
              <w:rPr>
                <w:rFonts w:ascii="Calibri" w:eastAsia="Times New Roman" w:hAnsi="Calibri" w:cs="Times New Roman"/>
                <w:b/>
                <w:bCs/>
                <w:sz w:val="18"/>
                <w:szCs w:val="18"/>
                <w:lang w:eastAsia="en-GB"/>
              </w:rPr>
              <w:t>5</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b/>
                <w:bCs/>
                <w:sz w:val="18"/>
                <w:szCs w:val="18"/>
                <w:lang w:eastAsia="en-GB"/>
              </w:rPr>
            </w:pPr>
            <w:r w:rsidRPr="009448E0">
              <w:rPr>
                <w:rFonts w:ascii="Calibri" w:eastAsia="Times New Roman" w:hAnsi="Calibri" w:cs="Times New Roman"/>
                <w:b/>
                <w:bCs/>
                <w:sz w:val="18"/>
                <w:szCs w:val="18"/>
                <w:lang w:eastAsia="en-GB"/>
              </w:rPr>
              <w:t>6</w:t>
            </w:r>
          </w:p>
        </w:tc>
      </w:tr>
      <w:tr w:rsidR="00FF227B" w:rsidRPr="009448E0" w:rsidTr="00890252">
        <w:trPr>
          <w:cnfStyle w:val="000000100000"/>
          <w:trHeight w:val="240"/>
        </w:trPr>
        <w:tc>
          <w:tcPr>
            <w:cnfStyle w:val="001000000000"/>
            <w:tcW w:w="0" w:type="auto"/>
            <w:noWrap/>
            <w:hideMark/>
          </w:tcPr>
          <w:p w:rsidR="00FF227B" w:rsidRPr="009448E0" w:rsidRDefault="00FF227B" w:rsidP="00890252">
            <w:pPr>
              <w:spacing w:line="240" w:lineRule="auto"/>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Ensrud et al.</w:t>
            </w:r>
            <w:r>
              <w:rPr>
                <w:rFonts w:ascii="Calibri" w:eastAsia="Times New Roman" w:hAnsi="Calibri" w:cs="Times New Roman"/>
                <w:noProof/>
                <w:color w:val="000000"/>
                <w:sz w:val="18"/>
                <w:szCs w:val="18"/>
                <w:lang w:eastAsia="en-GB"/>
              </w:rPr>
              <w:t>(42)</w:t>
            </w:r>
          </w:p>
        </w:tc>
        <w:tc>
          <w:tcPr>
            <w:tcW w:w="0" w:type="auto"/>
            <w:noWrap/>
            <w:hideMark/>
          </w:tcPr>
          <w:p w:rsidR="00FF227B" w:rsidRPr="009448E0" w:rsidRDefault="00FF227B" w:rsidP="00890252">
            <w:pPr>
              <w:spacing w:line="240" w:lineRule="auto"/>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Total sedentary time</w:t>
            </w:r>
          </w:p>
          <w:p w:rsidR="00FF227B" w:rsidRPr="009448E0" w:rsidRDefault="00FF227B" w:rsidP="00890252">
            <w:pPr>
              <w:spacing w:line="240" w:lineRule="auto"/>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(mins/day)</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&lt;772.2</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772.2-844.6</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844.7-914.9</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≥915</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p>
        </w:tc>
        <w:tc>
          <w:tcPr>
            <w:tcW w:w="0" w:type="auto"/>
            <w:tcBorders>
              <w:right w:val="single" w:sz="4" w:space="0" w:color="auto"/>
            </w:tcBorders>
            <w:noWrap/>
            <w:hideMark/>
          </w:tcPr>
          <w:p w:rsidR="00FF227B" w:rsidRPr="009448E0" w:rsidRDefault="00FF227B" w:rsidP="00890252">
            <w:pPr>
              <w:spacing w:line="240" w:lineRule="auto"/>
              <w:jc w:val="center"/>
              <w:cnfStyle w:val="000000100000"/>
              <w:rPr>
                <w:rFonts w:ascii="Times New Roman" w:eastAsia="Times New Roman" w:hAnsi="Times New Roman" w:cs="Times New Roman"/>
                <w:sz w:val="20"/>
                <w:szCs w:val="20"/>
                <w:lang w:eastAsia="en-GB"/>
              </w:rPr>
            </w:pPr>
          </w:p>
        </w:tc>
        <w:tc>
          <w:tcPr>
            <w:tcW w:w="0" w:type="auto"/>
            <w:tcBorders>
              <w:left w:val="single" w:sz="4" w:space="0" w:color="auto"/>
            </w:tcBorders>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6.44</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13.47</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14.66</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15.84</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p>
        </w:tc>
        <w:tc>
          <w:tcPr>
            <w:tcW w:w="0" w:type="auto"/>
            <w:noWrap/>
            <w:hideMark/>
          </w:tcPr>
          <w:p w:rsidR="00FF227B" w:rsidRPr="009448E0" w:rsidRDefault="00FF227B" w:rsidP="00890252">
            <w:pPr>
              <w:spacing w:line="240" w:lineRule="auto"/>
              <w:jc w:val="center"/>
              <w:cnfStyle w:val="000000100000"/>
              <w:rPr>
                <w:rFonts w:ascii="Times New Roman" w:eastAsia="Times New Roman" w:hAnsi="Times New Roman" w:cs="Times New Roman"/>
                <w:sz w:val="20"/>
                <w:szCs w:val="20"/>
                <w:lang w:eastAsia="en-GB"/>
              </w:rPr>
            </w:pPr>
          </w:p>
        </w:tc>
      </w:tr>
      <w:tr w:rsidR="00FF227B" w:rsidRPr="009448E0" w:rsidTr="00890252">
        <w:trPr>
          <w:trHeight w:val="240"/>
        </w:trPr>
        <w:tc>
          <w:tcPr>
            <w:cnfStyle w:val="001000000000"/>
            <w:tcW w:w="0" w:type="auto"/>
            <w:noWrap/>
            <w:hideMark/>
          </w:tcPr>
          <w:p w:rsidR="00FF227B" w:rsidRPr="009448E0" w:rsidRDefault="00FF227B" w:rsidP="00890252">
            <w:pPr>
              <w:spacing w:line="240" w:lineRule="auto"/>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Fox et al.</w:t>
            </w:r>
            <w:r>
              <w:rPr>
                <w:rFonts w:ascii="Calibri" w:eastAsia="Times New Roman" w:hAnsi="Calibri" w:cs="Times New Roman"/>
                <w:noProof/>
                <w:color w:val="000000"/>
                <w:sz w:val="18"/>
                <w:szCs w:val="18"/>
                <w:lang w:eastAsia="en-GB"/>
              </w:rPr>
              <w:t>(51)</w:t>
            </w:r>
          </w:p>
        </w:tc>
        <w:tc>
          <w:tcPr>
            <w:tcW w:w="0" w:type="auto"/>
            <w:noWrap/>
            <w:hideMark/>
          </w:tcPr>
          <w:p w:rsidR="00FF227B" w:rsidRPr="009448E0" w:rsidRDefault="00FF227B" w:rsidP="00890252">
            <w:pPr>
              <w:spacing w:line="240" w:lineRule="auto"/>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Total sedentary time</w:t>
            </w:r>
          </w:p>
          <w:p w:rsidR="00FF227B" w:rsidRPr="009448E0" w:rsidRDefault="00FF227B" w:rsidP="00890252">
            <w:pPr>
              <w:spacing w:line="240" w:lineRule="auto"/>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(mins/day)</w:t>
            </w:r>
          </w:p>
        </w:tc>
        <w:tc>
          <w:tcPr>
            <w:tcW w:w="0" w:type="auto"/>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&lt;633</w:t>
            </w:r>
          </w:p>
        </w:tc>
        <w:tc>
          <w:tcPr>
            <w:tcW w:w="0" w:type="auto"/>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633-696</w:t>
            </w:r>
          </w:p>
        </w:tc>
        <w:tc>
          <w:tcPr>
            <w:tcW w:w="0" w:type="auto"/>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 xml:space="preserve">&gt;696 </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p>
        </w:tc>
        <w:tc>
          <w:tcPr>
            <w:tcW w:w="0" w:type="auto"/>
            <w:noWrap/>
            <w:hideMark/>
          </w:tcPr>
          <w:p w:rsidR="00FF227B" w:rsidRPr="009448E0" w:rsidRDefault="00FF227B" w:rsidP="00890252">
            <w:pPr>
              <w:spacing w:line="240" w:lineRule="auto"/>
              <w:jc w:val="center"/>
              <w:cnfStyle w:val="000000000000"/>
              <w:rPr>
                <w:rFonts w:ascii="Times New Roman" w:eastAsia="Times New Roman" w:hAnsi="Times New Roman" w:cs="Times New Roman"/>
                <w:sz w:val="20"/>
                <w:szCs w:val="20"/>
                <w:lang w:eastAsia="en-GB"/>
              </w:rPr>
            </w:pPr>
          </w:p>
        </w:tc>
        <w:tc>
          <w:tcPr>
            <w:tcW w:w="0" w:type="auto"/>
            <w:tcBorders>
              <w:right w:val="single" w:sz="4" w:space="0" w:color="auto"/>
            </w:tcBorders>
            <w:noWrap/>
            <w:hideMark/>
          </w:tcPr>
          <w:p w:rsidR="00FF227B" w:rsidRPr="009448E0" w:rsidRDefault="00FF227B" w:rsidP="00890252">
            <w:pPr>
              <w:spacing w:line="240" w:lineRule="auto"/>
              <w:jc w:val="center"/>
              <w:cnfStyle w:val="000000000000"/>
              <w:rPr>
                <w:rFonts w:ascii="Times New Roman" w:eastAsia="Times New Roman" w:hAnsi="Times New Roman" w:cs="Times New Roman"/>
                <w:sz w:val="20"/>
                <w:szCs w:val="20"/>
                <w:lang w:eastAsia="en-GB"/>
              </w:rPr>
            </w:pPr>
          </w:p>
        </w:tc>
        <w:tc>
          <w:tcPr>
            <w:tcW w:w="0" w:type="auto"/>
            <w:tcBorders>
              <w:left w:val="single" w:sz="4" w:space="0" w:color="auto"/>
            </w:tcBorders>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5.28</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11.08</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12.13</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p>
        </w:tc>
        <w:tc>
          <w:tcPr>
            <w:tcW w:w="0" w:type="auto"/>
            <w:noWrap/>
            <w:hideMark/>
          </w:tcPr>
          <w:p w:rsidR="00FF227B" w:rsidRPr="009448E0" w:rsidRDefault="00FF227B" w:rsidP="00890252">
            <w:pPr>
              <w:spacing w:line="240" w:lineRule="auto"/>
              <w:jc w:val="center"/>
              <w:cnfStyle w:val="000000000000"/>
              <w:rPr>
                <w:rFonts w:ascii="Times New Roman" w:eastAsia="Times New Roman" w:hAnsi="Times New Roman" w:cs="Times New Roman"/>
                <w:sz w:val="20"/>
                <w:szCs w:val="20"/>
                <w:lang w:eastAsia="en-GB"/>
              </w:rPr>
            </w:pPr>
          </w:p>
        </w:tc>
        <w:tc>
          <w:tcPr>
            <w:tcW w:w="0" w:type="auto"/>
            <w:noWrap/>
            <w:hideMark/>
          </w:tcPr>
          <w:p w:rsidR="00FF227B" w:rsidRPr="009448E0" w:rsidRDefault="00FF227B" w:rsidP="00890252">
            <w:pPr>
              <w:spacing w:line="240" w:lineRule="auto"/>
              <w:jc w:val="center"/>
              <w:cnfStyle w:val="000000000000"/>
              <w:rPr>
                <w:rFonts w:ascii="Times New Roman" w:eastAsia="Times New Roman" w:hAnsi="Times New Roman" w:cs="Times New Roman"/>
                <w:sz w:val="20"/>
                <w:szCs w:val="20"/>
                <w:lang w:eastAsia="en-GB"/>
              </w:rPr>
            </w:pPr>
          </w:p>
        </w:tc>
      </w:tr>
      <w:tr w:rsidR="00FF227B" w:rsidRPr="009448E0" w:rsidTr="00890252">
        <w:trPr>
          <w:cnfStyle w:val="000000100000"/>
          <w:trHeight w:val="240"/>
        </w:trPr>
        <w:tc>
          <w:tcPr>
            <w:cnfStyle w:val="001000000000"/>
            <w:tcW w:w="0" w:type="auto"/>
            <w:noWrap/>
            <w:hideMark/>
          </w:tcPr>
          <w:p w:rsidR="00FF227B" w:rsidRPr="009448E0" w:rsidRDefault="00FF227B" w:rsidP="00890252">
            <w:pPr>
              <w:spacing w:line="240" w:lineRule="auto"/>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Schmidl et al.</w:t>
            </w:r>
            <w:r>
              <w:rPr>
                <w:rFonts w:ascii="Calibri" w:eastAsia="Times New Roman" w:hAnsi="Calibri" w:cs="Times New Roman"/>
                <w:noProof/>
                <w:color w:val="000000"/>
                <w:sz w:val="18"/>
                <w:szCs w:val="18"/>
                <w:lang w:eastAsia="en-GB"/>
              </w:rPr>
              <w:t>(67)</w:t>
            </w:r>
          </w:p>
        </w:tc>
        <w:tc>
          <w:tcPr>
            <w:tcW w:w="0" w:type="auto"/>
            <w:noWrap/>
            <w:hideMark/>
          </w:tcPr>
          <w:p w:rsidR="00FF227B" w:rsidRPr="009448E0" w:rsidRDefault="00FF227B" w:rsidP="00890252">
            <w:pPr>
              <w:spacing w:line="240" w:lineRule="auto"/>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Total sedentary time</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&lt;8.6</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&gt;=8.6</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p>
        </w:tc>
        <w:tc>
          <w:tcPr>
            <w:tcW w:w="0" w:type="auto"/>
            <w:noWrap/>
            <w:hideMark/>
          </w:tcPr>
          <w:p w:rsidR="00FF227B" w:rsidRPr="009448E0" w:rsidRDefault="00FF227B" w:rsidP="00890252">
            <w:pPr>
              <w:spacing w:line="240" w:lineRule="auto"/>
              <w:jc w:val="center"/>
              <w:cnfStyle w:val="000000100000"/>
              <w:rPr>
                <w:rFonts w:ascii="Times New Roman" w:eastAsia="Times New Roman" w:hAnsi="Times New Roman" w:cs="Times New Roman"/>
                <w:sz w:val="20"/>
                <w:szCs w:val="20"/>
                <w:lang w:eastAsia="en-GB"/>
              </w:rPr>
            </w:pPr>
          </w:p>
        </w:tc>
        <w:tc>
          <w:tcPr>
            <w:tcW w:w="0" w:type="auto"/>
            <w:noWrap/>
            <w:hideMark/>
          </w:tcPr>
          <w:p w:rsidR="00FF227B" w:rsidRPr="009448E0" w:rsidRDefault="00FF227B" w:rsidP="00890252">
            <w:pPr>
              <w:spacing w:line="240" w:lineRule="auto"/>
              <w:jc w:val="center"/>
              <w:cnfStyle w:val="000000100000"/>
              <w:rPr>
                <w:rFonts w:ascii="Times New Roman" w:eastAsia="Times New Roman" w:hAnsi="Times New Roman" w:cs="Times New Roman"/>
                <w:sz w:val="20"/>
                <w:szCs w:val="20"/>
                <w:lang w:eastAsia="en-GB"/>
              </w:rPr>
            </w:pPr>
          </w:p>
        </w:tc>
        <w:tc>
          <w:tcPr>
            <w:tcW w:w="0" w:type="auto"/>
            <w:tcBorders>
              <w:right w:val="single" w:sz="4" w:space="0" w:color="auto"/>
            </w:tcBorders>
            <w:noWrap/>
            <w:hideMark/>
          </w:tcPr>
          <w:p w:rsidR="00FF227B" w:rsidRPr="009448E0" w:rsidRDefault="00FF227B" w:rsidP="00890252">
            <w:pPr>
              <w:spacing w:line="240" w:lineRule="auto"/>
              <w:jc w:val="center"/>
              <w:cnfStyle w:val="000000100000"/>
              <w:rPr>
                <w:rFonts w:ascii="Times New Roman" w:eastAsia="Times New Roman" w:hAnsi="Times New Roman" w:cs="Times New Roman"/>
                <w:sz w:val="20"/>
                <w:szCs w:val="20"/>
                <w:lang w:eastAsia="en-GB"/>
              </w:rPr>
            </w:pPr>
          </w:p>
        </w:tc>
        <w:tc>
          <w:tcPr>
            <w:tcW w:w="0" w:type="auto"/>
            <w:tcBorders>
              <w:left w:val="single" w:sz="4" w:space="0" w:color="auto"/>
            </w:tcBorders>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4.3</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12.9</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p>
        </w:tc>
        <w:tc>
          <w:tcPr>
            <w:tcW w:w="0" w:type="auto"/>
            <w:noWrap/>
            <w:hideMark/>
          </w:tcPr>
          <w:p w:rsidR="00FF227B" w:rsidRPr="009448E0" w:rsidRDefault="00FF227B" w:rsidP="00890252">
            <w:pPr>
              <w:spacing w:line="240" w:lineRule="auto"/>
              <w:jc w:val="center"/>
              <w:cnfStyle w:val="000000100000"/>
              <w:rPr>
                <w:rFonts w:ascii="Times New Roman" w:eastAsia="Times New Roman" w:hAnsi="Times New Roman" w:cs="Times New Roman"/>
                <w:sz w:val="20"/>
                <w:szCs w:val="20"/>
                <w:lang w:eastAsia="en-GB"/>
              </w:rPr>
            </w:pPr>
          </w:p>
        </w:tc>
        <w:tc>
          <w:tcPr>
            <w:tcW w:w="0" w:type="auto"/>
            <w:noWrap/>
            <w:hideMark/>
          </w:tcPr>
          <w:p w:rsidR="00FF227B" w:rsidRPr="009448E0" w:rsidRDefault="00FF227B" w:rsidP="00890252">
            <w:pPr>
              <w:spacing w:line="240" w:lineRule="auto"/>
              <w:jc w:val="center"/>
              <w:cnfStyle w:val="000000100000"/>
              <w:rPr>
                <w:rFonts w:ascii="Times New Roman" w:eastAsia="Times New Roman" w:hAnsi="Times New Roman" w:cs="Times New Roman"/>
                <w:sz w:val="20"/>
                <w:szCs w:val="20"/>
                <w:lang w:eastAsia="en-GB"/>
              </w:rPr>
            </w:pPr>
          </w:p>
        </w:tc>
        <w:tc>
          <w:tcPr>
            <w:tcW w:w="0" w:type="auto"/>
            <w:noWrap/>
            <w:hideMark/>
          </w:tcPr>
          <w:p w:rsidR="00FF227B" w:rsidRPr="009448E0" w:rsidRDefault="00FF227B" w:rsidP="00890252">
            <w:pPr>
              <w:spacing w:line="240" w:lineRule="auto"/>
              <w:jc w:val="center"/>
              <w:cnfStyle w:val="000000100000"/>
              <w:rPr>
                <w:rFonts w:ascii="Times New Roman" w:eastAsia="Times New Roman" w:hAnsi="Times New Roman" w:cs="Times New Roman"/>
                <w:sz w:val="20"/>
                <w:szCs w:val="20"/>
                <w:lang w:eastAsia="en-GB"/>
              </w:rPr>
            </w:pPr>
          </w:p>
        </w:tc>
      </w:tr>
      <w:tr w:rsidR="00FF227B" w:rsidRPr="009448E0" w:rsidTr="00890252">
        <w:trPr>
          <w:trHeight w:val="240"/>
        </w:trPr>
        <w:tc>
          <w:tcPr>
            <w:cnfStyle w:val="001000000000"/>
            <w:tcW w:w="0" w:type="auto"/>
            <w:noWrap/>
            <w:hideMark/>
          </w:tcPr>
          <w:p w:rsidR="00FF227B" w:rsidRPr="009448E0" w:rsidRDefault="00FF227B" w:rsidP="00890252">
            <w:pPr>
              <w:spacing w:line="240" w:lineRule="auto"/>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Petersen et al. (2014)</w:t>
            </w:r>
            <w:r>
              <w:rPr>
                <w:rFonts w:ascii="Calibri" w:eastAsia="Times New Roman" w:hAnsi="Calibri" w:cs="Times New Roman"/>
                <w:noProof/>
                <w:color w:val="000000"/>
                <w:sz w:val="18"/>
                <w:szCs w:val="18"/>
                <w:lang w:eastAsia="en-GB"/>
              </w:rPr>
              <w:t>(64)</w:t>
            </w:r>
          </w:p>
        </w:tc>
        <w:tc>
          <w:tcPr>
            <w:tcW w:w="0" w:type="auto"/>
            <w:noWrap/>
            <w:hideMark/>
          </w:tcPr>
          <w:p w:rsidR="00FF227B" w:rsidRPr="009448E0" w:rsidRDefault="00FF227B" w:rsidP="00890252">
            <w:pPr>
              <w:spacing w:line="240" w:lineRule="auto"/>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Total sitting</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0-&lt;6</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6-&lt;10</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10+</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p>
        </w:tc>
        <w:tc>
          <w:tcPr>
            <w:tcW w:w="0" w:type="auto"/>
            <w:noWrap/>
            <w:hideMark/>
          </w:tcPr>
          <w:p w:rsidR="00FF227B" w:rsidRPr="009448E0" w:rsidRDefault="00FF227B" w:rsidP="00890252">
            <w:pPr>
              <w:spacing w:line="240" w:lineRule="auto"/>
              <w:jc w:val="center"/>
              <w:cnfStyle w:val="000000000000"/>
              <w:rPr>
                <w:rFonts w:ascii="Times New Roman" w:eastAsia="Times New Roman" w:hAnsi="Times New Roman" w:cs="Times New Roman"/>
                <w:sz w:val="20"/>
                <w:szCs w:val="20"/>
                <w:lang w:eastAsia="en-GB"/>
              </w:rPr>
            </w:pPr>
          </w:p>
        </w:tc>
        <w:tc>
          <w:tcPr>
            <w:tcW w:w="0" w:type="auto"/>
            <w:tcBorders>
              <w:right w:val="single" w:sz="4" w:space="0" w:color="auto"/>
            </w:tcBorders>
            <w:noWrap/>
            <w:hideMark/>
          </w:tcPr>
          <w:p w:rsidR="00FF227B" w:rsidRPr="009448E0" w:rsidRDefault="00FF227B" w:rsidP="00890252">
            <w:pPr>
              <w:spacing w:line="240" w:lineRule="auto"/>
              <w:jc w:val="center"/>
              <w:cnfStyle w:val="000000000000"/>
              <w:rPr>
                <w:rFonts w:ascii="Times New Roman" w:eastAsia="Times New Roman" w:hAnsi="Times New Roman" w:cs="Times New Roman"/>
                <w:sz w:val="20"/>
                <w:szCs w:val="20"/>
                <w:lang w:eastAsia="en-GB"/>
              </w:rPr>
            </w:pPr>
          </w:p>
        </w:tc>
        <w:tc>
          <w:tcPr>
            <w:tcW w:w="0" w:type="auto"/>
            <w:tcBorders>
              <w:left w:val="single" w:sz="4" w:space="0" w:color="auto"/>
            </w:tcBorders>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3</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8</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12</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p>
        </w:tc>
        <w:tc>
          <w:tcPr>
            <w:tcW w:w="0" w:type="auto"/>
            <w:noWrap/>
            <w:hideMark/>
          </w:tcPr>
          <w:p w:rsidR="00FF227B" w:rsidRPr="009448E0" w:rsidRDefault="00FF227B" w:rsidP="00890252">
            <w:pPr>
              <w:spacing w:line="240" w:lineRule="auto"/>
              <w:jc w:val="center"/>
              <w:cnfStyle w:val="000000000000"/>
              <w:rPr>
                <w:rFonts w:ascii="Times New Roman" w:eastAsia="Times New Roman" w:hAnsi="Times New Roman" w:cs="Times New Roman"/>
                <w:sz w:val="20"/>
                <w:szCs w:val="20"/>
                <w:lang w:eastAsia="en-GB"/>
              </w:rPr>
            </w:pPr>
          </w:p>
        </w:tc>
        <w:tc>
          <w:tcPr>
            <w:tcW w:w="0" w:type="auto"/>
            <w:noWrap/>
            <w:hideMark/>
          </w:tcPr>
          <w:p w:rsidR="00FF227B" w:rsidRPr="009448E0" w:rsidRDefault="00FF227B" w:rsidP="00890252">
            <w:pPr>
              <w:spacing w:line="240" w:lineRule="auto"/>
              <w:jc w:val="center"/>
              <w:cnfStyle w:val="000000000000"/>
              <w:rPr>
                <w:rFonts w:ascii="Times New Roman" w:eastAsia="Times New Roman" w:hAnsi="Times New Roman" w:cs="Times New Roman"/>
                <w:sz w:val="20"/>
                <w:szCs w:val="20"/>
                <w:lang w:eastAsia="en-GB"/>
              </w:rPr>
            </w:pPr>
          </w:p>
        </w:tc>
      </w:tr>
      <w:tr w:rsidR="00FF227B" w:rsidRPr="009448E0" w:rsidTr="00890252">
        <w:trPr>
          <w:cnfStyle w:val="000000100000"/>
          <w:trHeight w:val="240"/>
        </w:trPr>
        <w:tc>
          <w:tcPr>
            <w:cnfStyle w:val="001000000000"/>
            <w:tcW w:w="0" w:type="auto"/>
            <w:noWrap/>
            <w:hideMark/>
          </w:tcPr>
          <w:p w:rsidR="00FF227B" w:rsidRPr="009448E0" w:rsidRDefault="00FF227B" w:rsidP="00890252">
            <w:pPr>
              <w:spacing w:line="240" w:lineRule="auto"/>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Chau et al.</w:t>
            </w:r>
            <w:r>
              <w:rPr>
                <w:rFonts w:ascii="Calibri" w:eastAsia="Times New Roman" w:hAnsi="Calibri" w:cs="Times New Roman"/>
                <w:noProof/>
                <w:color w:val="000000"/>
                <w:sz w:val="18"/>
                <w:szCs w:val="18"/>
                <w:lang w:eastAsia="en-GB"/>
              </w:rPr>
              <w:t>(40)</w:t>
            </w:r>
          </w:p>
        </w:tc>
        <w:tc>
          <w:tcPr>
            <w:tcW w:w="0" w:type="auto"/>
            <w:noWrap/>
            <w:hideMark/>
          </w:tcPr>
          <w:p w:rsidR="00FF227B" w:rsidRPr="009448E0" w:rsidRDefault="00FF227B" w:rsidP="00890252">
            <w:pPr>
              <w:spacing w:line="240" w:lineRule="auto"/>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Total sitting</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&lt;4</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4-&lt;7</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7-&lt;10</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≥10</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p>
        </w:tc>
        <w:tc>
          <w:tcPr>
            <w:tcW w:w="0" w:type="auto"/>
            <w:tcBorders>
              <w:right w:val="single" w:sz="4" w:space="0" w:color="auto"/>
            </w:tcBorders>
            <w:noWrap/>
            <w:hideMark/>
          </w:tcPr>
          <w:p w:rsidR="00FF227B" w:rsidRPr="009448E0" w:rsidRDefault="00FF227B" w:rsidP="00890252">
            <w:pPr>
              <w:spacing w:line="240" w:lineRule="auto"/>
              <w:jc w:val="center"/>
              <w:cnfStyle w:val="000000100000"/>
              <w:rPr>
                <w:rFonts w:ascii="Times New Roman" w:eastAsia="Times New Roman" w:hAnsi="Times New Roman" w:cs="Times New Roman"/>
                <w:sz w:val="20"/>
                <w:szCs w:val="20"/>
                <w:lang w:eastAsia="en-GB"/>
              </w:rPr>
            </w:pPr>
          </w:p>
        </w:tc>
        <w:tc>
          <w:tcPr>
            <w:tcW w:w="0" w:type="auto"/>
            <w:tcBorders>
              <w:left w:val="single" w:sz="4" w:space="0" w:color="auto"/>
            </w:tcBorders>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2</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5.5</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8.5</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11.5</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p>
        </w:tc>
        <w:tc>
          <w:tcPr>
            <w:tcW w:w="0" w:type="auto"/>
            <w:noWrap/>
            <w:hideMark/>
          </w:tcPr>
          <w:p w:rsidR="00FF227B" w:rsidRPr="009448E0" w:rsidRDefault="00FF227B" w:rsidP="00890252">
            <w:pPr>
              <w:spacing w:line="240" w:lineRule="auto"/>
              <w:jc w:val="center"/>
              <w:cnfStyle w:val="000000100000"/>
              <w:rPr>
                <w:rFonts w:ascii="Times New Roman" w:eastAsia="Times New Roman" w:hAnsi="Times New Roman" w:cs="Times New Roman"/>
                <w:sz w:val="20"/>
                <w:szCs w:val="20"/>
                <w:lang w:eastAsia="en-GB"/>
              </w:rPr>
            </w:pPr>
          </w:p>
        </w:tc>
      </w:tr>
      <w:tr w:rsidR="00FF227B" w:rsidRPr="009448E0" w:rsidTr="00890252">
        <w:trPr>
          <w:trHeight w:val="240"/>
        </w:trPr>
        <w:tc>
          <w:tcPr>
            <w:cnfStyle w:val="001000000000"/>
            <w:tcW w:w="0" w:type="auto"/>
            <w:noWrap/>
            <w:hideMark/>
          </w:tcPr>
          <w:p w:rsidR="00FF227B" w:rsidRPr="009448E0" w:rsidRDefault="00FF227B" w:rsidP="00890252">
            <w:pPr>
              <w:spacing w:line="240" w:lineRule="auto"/>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Ding et al.</w:t>
            </w:r>
            <w:r>
              <w:rPr>
                <w:rFonts w:ascii="Calibri" w:eastAsia="Times New Roman" w:hAnsi="Calibri" w:cs="Times New Roman"/>
                <w:noProof/>
                <w:color w:val="000000"/>
                <w:sz w:val="18"/>
                <w:szCs w:val="18"/>
                <w:lang w:eastAsia="en-GB"/>
              </w:rPr>
              <w:t>(41)</w:t>
            </w:r>
          </w:p>
        </w:tc>
        <w:tc>
          <w:tcPr>
            <w:tcW w:w="0" w:type="auto"/>
            <w:noWrap/>
            <w:hideMark/>
          </w:tcPr>
          <w:p w:rsidR="00FF227B" w:rsidRPr="009448E0" w:rsidRDefault="00FF227B" w:rsidP="00890252">
            <w:pPr>
              <w:spacing w:line="240" w:lineRule="auto"/>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Total sitting</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&lt;8</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8-&lt;11</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&gt;11</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p>
        </w:tc>
        <w:tc>
          <w:tcPr>
            <w:tcW w:w="0" w:type="auto"/>
            <w:noWrap/>
            <w:hideMark/>
          </w:tcPr>
          <w:p w:rsidR="00FF227B" w:rsidRPr="009448E0" w:rsidRDefault="00FF227B" w:rsidP="00890252">
            <w:pPr>
              <w:spacing w:line="240" w:lineRule="auto"/>
              <w:jc w:val="center"/>
              <w:cnfStyle w:val="000000000000"/>
              <w:rPr>
                <w:rFonts w:ascii="Times New Roman" w:eastAsia="Times New Roman" w:hAnsi="Times New Roman" w:cs="Times New Roman"/>
                <w:sz w:val="20"/>
                <w:szCs w:val="20"/>
                <w:lang w:eastAsia="en-GB"/>
              </w:rPr>
            </w:pPr>
          </w:p>
        </w:tc>
        <w:tc>
          <w:tcPr>
            <w:tcW w:w="0" w:type="auto"/>
            <w:tcBorders>
              <w:right w:val="single" w:sz="4" w:space="0" w:color="auto"/>
            </w:tcBorders>
            <w:noWrap/>
            <w:hideMark/>
          </w:tcPr>
          <w:p w:rsidR="00FF227B" w:rsidRPr="009448E0" w:rsidRDefault="00FF227B" w:rsidP="00890252">
            <w:pPr>
              <w:spacing w:line="240" w:lineRule="auto"/>
              <w:jc w:val="center"/>
              <w:cnfStyle w:val="000000000000"/>
              <w:rPr>
                <w:rFonts w:ascii="Times New Roman" w:eastAsia="Times New Roman" w:hAnsi="Times New Roman" w:cs="Times New Roman"/>
                <w:sz w:val="20"/>
                <w:szCs w:val="20"/>
                <w:lang w:eastAsia="en-GB"/>
              </w:rPr>
            </w:pPr>
          </w:p>
        </w:tc>
        <w:tc>
          <w:tcPr>
            <w:tcW w:w="0" w:type="auto"/>
            <w:tcBorders>
              <w:left w:val="single" w:sz="4" w:space="0" w:color="auto"/>
            </w:tcBorders>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4</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9.5</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12.5</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p>
        </w:tc>
        <w:tc>
          <w:tcPr>
            <w:tcW w:w="0" w:type="auto"/>
            <w:noWrap/>
            <w:hideMark/>
          </w:tcPr>
          <w:p w:rsidR="00FF227B" w:rsidRPr="009448E0" w:rsidRDefault="00FF227B" w:rsidP="00890252">
            <w:pPr>
              <w:spacing w:line="240" w:lineRule="auto"/>
              <w:jc w:val="center"/>
              <w:cnfStyle w:val="000000000000"/>
              <w:rPr>
                <w:rFonts w:ascii="Times New Roman" w:eastAsia="Times New Roman" w:hAnsi="Times New Roman" w:cs="Times New Roman"/>
                <w:sz w:val="20"/>
                <w:szCs w:val="20"/>
                <w:lang w:eastAsia="en-GB"/>
              </w:rPr>
            </w:pPr>
          </w:p>
        </w:tc>
        <w:tc>
          <w:tcPr>
            <w:tcW w:w="0" w:type="auto"/>
            <w:noWrap/>
            <w:hideMark/>
          </w:tcPr>
          <w:p w:rsidR="00FF227B" w:rsidRPr="009448E0" w:rsidRDefault="00FF227B" w:rsidP="00890252">
            <w:pPr>
              <w:spacing w:line="240" w:lineRule="auto"/>
              <w:jc w:val="center"/>
              <w:cnfStyle w:val="000000000000"/>
              <w:rPr>
                <w:rFonts w:ascii="Times New Roman" w:eastAsia="Times New Roman" w:hAnsi="Times New Roman" w:cs="Times New Roman"/>
                <w:sz w:val="20"/>
                <w:szCs w:val="20"/>
                <w:lang w:eastAsia="en-GB"/>
              </w:rPr>
            </w:pPr>
          </w:p>
        </w:tc>
      </w:tr>
      <w:tr w:rsidR="00FF227B" w:rsidRPr="009448E0" w:rsidTr="00890252">
        <w:trPr>
          <w:cnfStyle w:val="000000100000"/>
          <w:trHeight w:val="240"/>
        </w:trPr>
        <w:tc>
          <w:tcPr>
            <w:cnfStyle w:val="001000000000"/>
            <w:tcW w:w="0" w:type="auto"/>
            <w:noWrap/>
            <w:hideMark/>
          </w:tcPr>
          <w:p w:rsidR="00FF227B" w:rsidRPr="009448E0" w:rsidRDefault="00FF227B" w:rsidP="00890252">
            <w:pPr>
              <w:spacing w:line="240" w:lineRule="auto"/>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Gibbs et al.</w:t>
            </w:r>
            <w:r>
              <w:rPr>
                <w:rFonts w:ascii="Calibri" w:eastAsia="Times New Roman" w:hAnsi="Calibri" w:cs="Times New Roman"/>
                <w:noProof/>
                <w:color w:val="000000"/>
                <w:sz w:val="18"/>
                <w:szCs w:val="18"/>
                <w:lang w:eastAsia="en-GB"/>
              </w:rPr>
              <w:t>(43)</w:t>
            </w:r>
          </w:p>
        </w:tc>
        <w:tc>
          <w:tcPr>
            <w:tcW w:w="0" w:type="auto"/>
            <w:noWrap/>
            <w:hideMark/>
          </w:tcPr>
          <w:p w:rsidR="00FF227B" w:rsidRPr="009448E0" w:rsidRDefault="00FF227B" w:rsidP="00890252">
            <w:pPr>
              <w:spacing w:line="240" w:lineRule="auto"/>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Total sitting</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&lt;6</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6-&lt;8</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 xml:space="preserve">8-&lt;10 </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≥10</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p>
        </w:tc>
        <w:tc>
          <w:tcPr>
            <w:tcW w:w="0" w:type="auto"/>
            <w:tcBorders>
              <w:right w:val="single" w:sz="4" w:space="0" w:color="auto"/>
            </w:tcBorders>
            <w:noWrap/>
            <w:hideMark/>
          </w:tcPr>
          <w:p w:rsidR="00FF227B" w:rsidRPr="009448E0" w:rsidRDefault="00FF227B" w:rsidP="00890252">
            <w:pPr>
              <w:spacing w:line="240" w:lineRule="auto"/>
              <w:jc w:val="center"/>
              <w:cnfStyle w:val="000000100000"/>
              <w:rPr>
                <w:rFonts w:ascii="Times New Roman" w:eastAsia="Times New Roman" w:hAnsi="Times New Roman" w:cs="Times New Roman"/>
                <w:sz w:val="20"/>
                <w:szCs w:val="20"/>
                <w:lang w:eastAsia="en-GB"/>
              </w:rPr>
            </w:pPr>
          </w:p>
        </w:tc>
        <w:tc>
          <w:tcPr>
            <w:tcW w:w="0" w:type="auto"/>
            <w:tcBorders>
              <w:left w:val="single" w:sz="4" w:space="0" w:color="auto"/>
            </w:tcBorders>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3</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7</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9</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11</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p>
        </w:tc>
        <w:tc>
          <w:tcPr>
            <w:tcW w:w="0" w:type="auto"/>
            <w:noWrap/>
            <w:hideMark/>
          </w:tcPr>
          <w:p w:rsidR="00FF227B" w:rsidRPr="009448E0" w:rsidRDefault="00FF227B" w:rsidP="00890252">
            <w:pPr>
              <w:spacing w:line="240" w:lineRule="auto"/>
              <w:jc w:val="center"/>
              <w:cnfStyle w:val="000000100000"/>
              <w:rPr>
                <w:rFonts w:ascii="Times New Roman" w:eastAsia="Times New Roman" w:hAnsi="Times New Roman" w:cs="Times New Roman"/>
                <w:sz w:val="20"/>
                <w:szCs w:val="20"/>
                <w:lang w:eastAsia="en-GB"/>
              </w:rPr>
            </w:pPr>
          </w:p>
        </w:tc>
      </w:tr>
      <w:tr w:rsidR="00FF227B" w:rsidRPr="009448E0" w:rsidTr="00890252">
        <w:trPr>
          <w:trHeight w:val="240"/>
        </w:trPr>
        <w:tc>
          <w:tcPr>
            <w:cnfStyle w:val="001000000000"/>
            <w:tcW w:w="0" w:type="auto"/>
            <w:noWrap/>
            <w:hideMark/>
          </w:tcPr>
          <w:p w:rsidR="00FF227B" w:rsidRPr="009448E0" w:rsidRDefault="00FF227B" w:rsidP="00890252">
            <w:pPr>
              <w:spacing w:line="240" w:lineRule="auto"/>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Inoue et al.</w:t>
            </w:r>
            <w:r>
              <w:rPr>
                <w:rFonts w:ascii="Calibri" w:eastAsia="Times New Roman" w:hAnsi="Calibri" w:cs="Times New Roman"/>
                <w:noProof/>
                <w:color w:val="000000"/>
                <w:sz w:val="18"/>
                <w:szCs w:val="18"/>
                <w:lang w:eastAsia="en-GB"/>
              </w:rPr>
              <w:t>(55)</w:t>
            </w:r>
          </w:p>
        </w:tc>
        <w:tc>
          <w:tcPr>
            <w:tcW w:w="0" w:type="auto"/>
            <w:noWrap/>
            <w:hideMark/>
          </w:tcPr>
          <w:p w:rsidR="00FF227B" w:rsidRPr="009448E0" w:rsidRDefault="00FF227B" w:rsidP="00890252">
            <w:pPr>
              <w:spacing w:line="240" w:lineRule="auto"/>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Total sitting</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&lt;3</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3-8</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≥8</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p>
        </w:tc>
        <w:tc>
          <w:tcPr>
            <w:tcW w:w="0" w:type="auto"/>
            <w:noWrap/>
            <w:hideMark/>
          </w:tcPr>
          <w:p w:rsidR="00FF227B" w:rsidRPr="009448E0" w:rsidRDefault="00FF227B" w:rsidP="00890252">
            <w:pPr>
              <w:spacing w:line="240" w:lineRule="auto"/>
              <w:jc w:val="center"/>
              <w:cnfStyle w:val="000000000000"/>
              <w:rPr>
                <w:rFonts w:ascii="Times New Roman" w:eastAsia="Times New Roman" w:hAnsi="Times New Roman" w:cs="Times New Roman"/>
                <w:sz w:val="20"/>
                <w:szCs w:val="20"/>
                <w:lang w:eastAsia="en-GB"/>
              </w:rPr>
            </w:pPr>
          </w:p>
        </w:tc>
        <w:tc>
          <w:tcPr>
            <w:tcW w:w="0" w:type="auto"/>
            <w:tcBorders>
              <w:right w:val="single" w:sz="4" w:space="0" w:color="auto"/>
            </w:tcBorders>
            <w:noWrap/>
            <w:hideMark/>
          </w:tcPr>
          <w:p w:rsidR="00FF227B" w:rsidRPr="009448E0" w:rsidRDefault="00FF227B" w:rsidP="00890252">
            <w:pPr>
              <w:spacing w:line="240" w:lineRule="auto"/>
              <w:jc w:val="center"/>
              <w:cnfStyle w:val="000000000000"/>
              <w:rPr>
                <w:rFonts w:ascii="Times New Roman" w:eastAsia="Times New Roman" w:hAnsi="Times New Roman" w:cs="Times New Roman"/>
                <w:sz w:val="20"/>
                <w:szCs w:val="20"/>
                <w:lang w:eastAsia="en-GB"/>
              </w:rPr>
            </w:pPr>
          </w:p>
        </w:tc>
        <w:tc>
          <w:tcPr>
            <w:tcW w:w="0" w:type="auto"/>
            <w:tcBorders>
              <w:left w:val="single" w:sz="4" w:space="0" w:color="auto"/>
            </w:tcBorders>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1.5</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5.5</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10.5</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p>
        </w:tc>
        <w:tc>
          <w:tcPr>
            <w:tcW w:w="0" w:type="auto"/>
            <w:noWrap/>
            <w:hideMark/>
          </w:tcPr>
          <w:p w:rsidR="00FF227B" w:rsidRPr="009448E0" w:rsidRDefault="00FF227B" w:rsidP="00890252">
            <w:pPr>
              <w:spacing w:line="240" w:lineRule="auto"/>
              <w:jc w:val="center"/>
              <w:cnfStyle w:val="000000000000"/>
              <w:rPr>
                <w:rFonts w:ascii="Times New Roman" w:eastAsia="Times New Roman" w:hAnsi="Times New Roman" w:cs="Times New Roman"/>
                <w:sz w:val="20"/>
                <w:szCs w:val="20"/>
                <w:lang w:eastAsia="en-GB"/>
              </w:rPr>
            </w:pPr>
          </w:p>
        </w:tc>
        <w:tc>
          <w:tcPr>
            <w:tcW w:w="0" w:type="auto"/>
            <w:noWrap/>
            <w:hideMark/>
          </w:tcPr>
          <w:p w:rsidR="00FF227B" w:rsidRPr="009448E0" w:rsidRDefault="00FF227B" w:rsidP="00890252">
            <w:pPr>
              <w:spacing w:line="240" w:lineRule="auto"/>
              <w:jc w:val="center"/>
              <w:cnfStyle w:val="000000000000"/>
              <w:rPr>
                <w:rFonts w:ascii="Times New Roman" w:eastAsia="Times New Roman" w:hAnsi="Times New Roman" w:cs="Times New Roman"/>
                <w:sz w:val="20"/>
                <w:szCs w:val="20"/>
                <w:lang w:eastAsia="en-GB"/>
              </w:rPr>
            </w:pPr>
          </w:p>
        </w:tc>
      </w:tr>
      <w:tr w:rsidR="00FF227B" w:rsidRPr="009448E0" w:rsidTr="00890252">
        <w:trPr>
          <w:cnfStyle w:val="000000100000"/>
          <w:trHeight w:val="240"/>
        </w:trPr>
        <w:tc>
          <w:tcPr>
            <w:cnfStyle w:val="001000000000"/>
            <w:tcW w:w="0" w:type="auto"/>
            <w:noWrap/>
            <w:hideMark/>
          </w:tcPr>
          <w:p w:rsidR="00FF227B" w:rsidRPr="009448E0" w:rsidRDefault="00FF227B" w:rsidP="00890252">
            <w:pPr>
              <w:spacing w:line="240" w:lineRule="auto"/>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Katzmarzyk et al.</w:t>
            </w:r>
            <w:r>
              <w:rPr>
                <w:rFonts w:ascii="Calibri" w:eastAsia="Times New Roman" w:hAnsi="Calibri" w:cs="Times New Roman"/>
                <w:noProof/>
                <w:color w:val="000000"/>
                <w:sz w:val="18"/>
                <w:szCs w:val="18"/>
                <w:lang w:eastAsia="en-GB"/>
              </w:rPr>
              <w:t>(56)</w:t>
            </w:r>
          </w:p>
        </w:tc>
        <w:tc>
          <w:tcPr>
            <w:tcW w:w="0" w:type="auto"/>
            <w:noWrap/>
            <w:hideMark/>
          </w:tcPr>
          <w:p w:rsidR="00FF227B" w:rsidRPr="009448E0" w:rsidRDefault="00FF227B" w:rsidP="00890252">
            <w:pPr>
              <w:spacing w:line="240" w:lineRule="auto"/>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Total Sitting</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almost none of the time</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¼ of the time</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½ the time</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¾</w:t>
            </w:r>
          </w:p>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 xml:space="preserve"> of the time</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almost all of the time</w:t>
            </w:r>
          </w:p>
        </w:tc>
        <w:tc>
          <w:tcPr>
            <w:tcW w:w="0" w:type="auto"/>
            <w:tcBorders>
              <w:right w:val="single" w:sz="4" w:space="0" w:color="auto"/>
            </w:tcBorders>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p>
        </w:tc>
        <w:tc>
          <w:tcPr>
            <w:tcW w:w="0" w:type="auto"/>
            <w:tcBorders>
              <w:left w:val="single" w:sz="4" w:space="0" w:color="auto"/>
            </w:tcBorders>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1.5</w:t>
            </w:r>
          </w:p>
        </w:tc>
        <w:tc>
          <w:tcPr>
            <w:tcW w:w="0" w:type="auto"/>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4</w:t>
            </w:r>
          </w:p>
        </w:tc>
        <w:tc>
          <w:tcPr>
            <w:tcW w:w="0" w:type="auto"/>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8</w:t>
            </w:r>
          </w:p>
        </w:tc>
        <w:tc>
          <w:tcPr>
            <w:tcW w:w="0" w:type="auto"/>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12</w:t>
            </w:r>
          </w:p>
        </w:tc>
        <w:tc>
          <w:tcPr>
            <w:tcW w:w="0" w:type="auto"/>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16</w:t>
            </w:r>
          </w:p>
        </w:tc>
        <w:tc>
          <w:tcPr>
            <w:tcW w:w="0" w:type="auto"/>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p>
        </w:tc>
      </w:tr>
      <w:tr w:rsidR="00FF227B" w:rsidRPr="009448E0" w:rsidTr="00890252">
        <w:trPr>
          <w:trHeight w:val="240"/>
        </w:trPr>
        <w:tc>
          <w:tcPr>
            <w:cnfStyle w:val="001000000000"/>
            <w:tcW w:w="0" w:type="auto"/>
            <w:noWrap/>
            <w:hideMark/>
          </w:tcPr>
          <w:p w:rsidR="00FF227B" w:rsidRPr="009448E0" w:rsidRDefault="00FF227B" w:rsidP="00890252">
            <w:pPr>
              <w:spacing w:line="240" w:lineRule="auto"/>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Manini et al.</w:t>
            </w:r>
            <w:r>
              <w:rPr>
                <w:rFonts w:ascii="Calibri" w:eastAsia="Times New Roman" w:hAnsi="Calibri" w:cs="Times New Roman"/>
                <w:noProof/>
                <w:color w:val="000000"/>
                <w:sz w:val="18"/>
                <w:szCs w:val="18"/>
                <w:lang w:eastAsia="en-GB"/>
              </w:rPr>
              <w:t>(59)</w:t>
            </w:r>
          </w:p>
        </w:tc>
        <w:tc>
          <w:tcPr>
            <w:tcW w:w="0" w:type="auto"/>
            <w:noWrap/>
            <w:hideMark/>
          </w:tcPr>
          <w:p w:rsidR="00FF227B" w:rsidRPr="009448E0" w:rsidRDefault="00FF227B" w:rsidP="00890252">
            <w:pPr>
              <w:spacing w:line="240" w:lineRule="auto"/>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Total sitting</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≤7</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8-11</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12-15</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≥16</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p>
        </w:tc>
        <w:tc>
          <w:tcPr>
            <w:tcW w:w="0" w:type="auto"/>
            <w:tcBorders>
              <w:right w:val="single" w:sz="4" w:space="0" w:color="auto"/>
            </w:tcBorders>
            <w:noWrap/>
            <w:hideMark/>
          </w:tcPr>
          <w:p w:rsidR="00FF227B" w:rsidRPr="009448E0" w:rsidRDefault="00FF227B" w:rsidP="00890252">
            <w:pPr>
              <w:spacing w:line="240" w:lineRule="auto"/>
              <w:jc w:val="center"/>
              <w:cnfStyle w:val="000000000000"/>
              <w:rPr>
                <w:rFonts w:ascii="Times New Roman" w:eastAsia="Times New Roman" w:hAnsi="Times New Roman" w:cs="Times New Roman"/>
                <w:sz w:val="20"/>
                <w:szCs w:val="20"/>
                <w:lang w:eastAsia="en-GB"/>
              </w:rPr>
            </w:pPr>
          </w:p>
        </w:tc>
        <w:tc>
          <w:tcPr>
            <w:tcW w:w="0" w:type="auto"/>
            <w:tcBorders>
              <w:left w:val="single" w:sz="4" w:space="0" w:color="auto"/>
            </w:tcBorders>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3.5</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9</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13.5</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18.5</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p>
        </w:tc>
        <w:tc>
          <w:tcPr>
            <w:tcW w:w="0" w:type="auto"/>
            <w:noWrap/>
            <w:hideMark/>
          </w:tcPr>
          <w:p w:rsidR="00FF227B" w:rsidRPr="009448E0" w:rsidRDefault="00FF227B" w:rsidP="00890252">
            <w:pPr>
              <w:spacing w:line="240" w:lineRule="auto"/>
              <w:jc w:val="center"/>
              <w:cnfStyle w:val="000000000000"/>
              <w:rPr>
                <w:rFonts w:ascii="Times New Roman" w:eastAsia="Times New Roman" w:hAnsi="Times New Roman" w:cs="Times New Roman"/>
                <w:sz w:val="20"/>
                <w:szCs w:val="20"/>
                <w:lang w:eastAsia="en-GB"/>
              </w:rPr>
            </w:pPr>
          </w:p>
        </w:tc>
      </w:tr>
      <w:tr w:rsidR="00FF227B" w:rsidRPr="009448E0" w:rsidTr="00890252">
        <w:trPr>
          <w:cnfStyle w:val="000000100000"/>
          <w:trHeight w:val="240"/>
        </w:trPr>
        <w:tc>
          <w:tcPr>
            <w:cnfStyle w:val="001000000000"/>
            <w:tcW w:w="0" w:type="auto"/>
            <w:noWrap/>
            <w:hideMark/>
          </w:tcPr>
          <w:p w:rsidR="00FF227B" w:rsidRPr="009448E0" w:rsidRDefault="00FF227B" w:rsidP="00890252">
            <w:pPr>
              <w:spacing w:line="240" w:lineRule="auto"/>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Matthews et al. (2014)</w:t>
            </w:r>
            <w:r>
              <w:rPr>
                <w:rFonts w:ascii="Calibri" w:eastAsia="Times New Roman" w:hAnsi="Calibri" w:cs="Times New Roman"/>
                <w:noProof/>
                <w:color w:val="000000"/>
                <w:sz w:val="18"/>
                <w:szCs w:val="18"/>
                <w:lang w:eastAsia="en-GB"/>
              </w:rPr>
              <w:t>(60)</w:t>
            </w:r>
          </w:p>
        </w:tc>
        <w:tc>
          <w:tcPr>
            <w:tcW w:w="0" w:type="auto"/>
            <w:noWrap/>
            <w:hideMark/>
          </w:tcPr>
          <w:p w:rsidR="00FF227B" w:rsidRPr="009448E0" w:rsidRDefault="00FF227B" w:rsidP="00890252">
            <w:pPr>
              <w:spacing w:line="240" w:lineRule="auto"/>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Total sitting</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&lt;5.76</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5.76-8.5</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8.51-12</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&gt;12</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p>
        </w:tc>
        <w:tc>
          <w:tcPr>
            <w:tcW w:w="0" w:type="auto"/>
            <w:tcBorders>
              <w:right w:val="single" w:sz="4" w:space="0" w:color="auto"/>
            </w:tcBorders>
            <w:noWrap/>
            <w:hideMark/>
          </w:tcPr>
          <w:p w:rsidR="00FF227B" w:rsidRPr="009448E0" w:rsidRDefault="00FF227B" w:rsidP="00890252">
            <w:pPr>
              <w:spacing w:line="240" w:lineRule="auto"/>
              <w:jc w:val="center"/>
              <w:cnfStyle w:val="000000100000"/>
              <w:rPr>
                <w:rFonts w:ascii="Times New Roman" w:eastAsia="Times New Roman" w:hAnsi="Times New Roman" w:cs="Times New Roman"/>
                <w:sz w:val="20"/>
                <w:szCs w:val="20"/>
                <w:lang w:eastAsia="en-GB"/>
              </w:rPr>
            </w:pPr>
          </w:p>
        </w:tc>
        <w:tc>
          <w:tcPr>
            <w:tcW w:w="0" w:type="auto"/>
            <w:tcBorders>
              <w:left w:val="single" w:sz="4" w:space="0" w:color="auto"/>
            </w:tcBorders>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2.88</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7.13</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10.26</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13.75</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p>
        </w:tc>
        <w:tc>
          <w:tcPr>
            <w:tcW w:w="0" w:type="auto"/>
            <w:noWrap/>
            <w:hideMark/>
          </w:tcPr>
          <w:p w:rsidR="00FF227B" w:rsidRPr="009448E0" w:rsidRDefault="00FF227B" w:rsidP="00890252">
            <w:pPr>
              <w:spacing w:line="240" w:lineRule="auto"/>
              <w:jc w:val="center"/>
              <w:cnfStyle w:val="000000100000"/>
              <w:rPr>
                <w:rFonts w:ascii="Times New Roman" w:eastAsia="Times New Roman" w:hAnsi="Times New Roman" w:cs="Times New Roman"/>
                <w:sz w:val="20"/>
                <w:szCs w:val="20"/>
                <w:lang w:eastAsia="en-GB"/>
              </w:rPr>
            </w:pPr>
          </w:p>
        </w:tc>
      </w:tr>
      <w:tr w:rsidR="00FF227B" w:rsidRPr="009448E0" w:rsidTr="00890252">
        <w:trPr>
          <w:trHeight w:val="240"/>
        </w:trPr>
        <w:tc>
          <w:tcPr>
            <w:cnfStyle w:val="001000000000"/>
            <w:tcW w:w="0" w:type="auto"/>
            <w:noWrap/>
            <w:hideMark/>
          </w:tcPr>
          <w:p w:rsidR="00FF227B" w:rsidRPr="009448E0" w:rsidRDefault="00FF227B" w:rsidP="00890252">
            <w:pPr>
              <w:spacing w:line="240" w:lineRule="auto"/>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Matthews et al. (2012)</w:t>
            </w:r>
            <w:r>
              <w:rPr>
                <w:rFonts w:ascii="Calibri" w:eastAsia="Times New Roman" w:hAnsi="Calibri" w:cs="Times New Roman"/>
                <w:noProof/>
                <w:color w:val="000000"/>
                <w:sz w:val="18"/>
                <w:szCs w:val="18"/>
                <w:lang w:eastAsia="en-GB"/>
              </w:rPr>
              <w:t>(61)</w:t>
            </w:r>
          </w:p>
        </w:tc>
        <w:tc>
          <w:tcPr>
            <w:tcW w:w="0" w:type="auto"/>
            <w:noWrap/>
            <w:hideMark/>
          </w:tcPr>
          <w:p w:rsidR="00FF227B" w:rsidRPr="009448E0" w:rsidRDefault="00FF227B" w:rsidP="00890252">
            <w:pPr>
              <w:spacing w:line="240" w:lineRule="auto"/>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Total sitting</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&lt;3</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3-4</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5-6</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7-8</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≥9</w:t>
            </w:r>
          </w:p>
        </w:tc>
        <w:tc>
          <w:tcPr>
            <w:tcW w:w="0" w:type="auto"/>
            <w:tcBorders>
              <w:right w:val="single" w:sz="4" w:space="0" w:color="auto"/>
            </w:tcBorders>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p>
        </w:tc>
        <w:tc>
          <w:tcPr>
            <w:tcW w:w="0" w:type="auto"/>
            <w:tcBorders>
              <w:left w:val="single" w:sz="4" w:space="0" w:color="auto"/>
            </w:tcBorders>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1.5</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4</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6</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8</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10</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p>
        </w:tc>
      </w:tr>
      <w:tr w:rsidR="00FF227B" w:rsidRPr="009448E0" w:rsidTr="00890252">
        <w:trPr>
          <w:cnfStyle w:val="000000100000"/>
          <w:trHeight w:val="240"/>
        </w:trPr>
        <w:tc>
          <w:tcPr>
            <w:cnfStyle w:val="001000000000"/>
            <w:tcW w:w="0" w:type="auto"/>
            <w:noWrap/>
            <w:hideMark/>
          </w:tcPr>
          <w:p w:rsidR="00FF227B" w:rsidRPr="009448E0" w:rsidRDefault="00FF227B" w:rsidP="00890252">
            <w:pPr>
              <w:spacing w:line="240" w:lineRule="auto"/>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Pavey et al.</w:t>
            </w:r>
            <w:r>
              <w:rPr>
                <w:rFonts w:ascii="Calibri" w:eastAsia="Times New Roman" w:hAnsi="Calibri" w:cs="Times New Roman"/>
                <w:noProof/>
                <w:color w:val="000000"/>
                <w:sz w:val="18"/>
                <w:szCs w:val="18"/>
                <w:lang w:eastAsia="en-GB"/>
              </w:rPr>
              <w:t>(63)</w:t>
            </w:r>
          </w:p>
        </w:tc>
        <w:tc>
          <w:tcPr>
            <w:tcW w:w="0" w:type="auto"/>
            <w:noWrap/>
            <w:hideMark/>
          </w:tcPr>
          <w:p w:rsidR="00FF227B" w:rsidRPr="009448E0" w:rsidRDefault="00FF227B" w:rsidP="00890252">
            <w:pPr>
              <w:spacing w:line="240" w:lineRule="auto"/>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Total sitting</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0-&lt;4</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4-&lt;8</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8-&lt;11</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≥11</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p>
        </w:tc>
        <w:tc>
          <w:tcPr>
            <w:tcW w:w="0" w:type="auto"/>
            <w:tcBorders>
              <w:right w:val="single" w:sz="4" w:space="0" w:color="auto"/>
            </w:tcBorders>
            <w:noWrap/>
            <w:hideMark/>
          </w:tcPr>
          <w:p w:rsidR="00FF227B" w:rsidRPr="009448E0" w:rsidRDefault="00FF227B" w:rsidP="00890252">
            <w:pPr>
              <w:spacing w:line="240" w:lineRule="auto"/>
              <w:jc w:val="center"/>
              <w:cnfStyle w:val="000000100000"/>
              <w:rPr>
                <w:rFonts w:ascii="Times New Roman" w:eastAsia="Times New Roman" w:hAnsi="Times New Roman" w:cs="Times New Roman"/>
                <w:sz w:val="20"/>
                <w:szCs w:val="20"/>
                <w:lang w:eastAsia="en-GB"/>
              </w:rPr>
            </w:pPr>
          </w:p>
        </w:tc>
        <w:tc>
          <w:tcPr>
            <w:tcW w:w="0" w:type="auto"/>
            <w:tcBorders>
              <w:left w:val="single" w:sz="4" w:space="0" w:color="auto"/>
            </w:tcBorders>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2</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6</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9.5</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12.5</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p>
        </w:tc>
        <w:tc>
          <w:tcPr>
            <w:tcW w:w="0" w:type="auto"/>
            <w:noWrap/>
            <w:hideMark/>
          </w:tcPr>
          <w:p w:rsidR="00FF227B" w:rsidRPr="009448E0" w:rsidRDefault="00FF227B" w:rsidP="00890252">
            <w:pPr>
              <w:spacing w:line="240" w:lineRule="auto"/>
              <w:jc w:val="center"/>
              <w:cnfStyle w:val="000000100000"/>
              <w:rPr>
                <w:rFonts w:ascii="Times New Roman" w:eastAsia="Times New Roman" w:hAnsi="Times New Roman" w:cs="Times New Roman"/>
                <w:sz w:val="20"/>
                <w:szCs w:val="20"/>
                <w:lang w:eastAsia="en-GB"/>
              </w:rPr>
            </w:pPr>
          </w:p>
        </w:tc>
      </w:tr>
      <w:tr w:rsidR="00FF227B" w:rsidRPr="009448E0" w:rsidTr="00890252">
        <w:trPr>
          <w:trHeight w:val="240"/>
        </w:trPr>
        <w:tc>
          <w:tcPr>
            <w:cnfStyle w:val="001000000000"/>
            <w:tcW w:w="0" w:type="auto"/>
            <w:noWrap/>
            <w:hideMark/>
          </w:tcPr>
          <w:p w:rsidR="00FF227B" w:rsidRPr="009448E0" w:rsidRDefault="00FF227B" w:rsidP="00890252">
            <w:pPr>
              <w:spacing w:line="240" w:lineRule="auto"/>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Peterson et al. (2016)</w:t>
            </w:r>
            <w:r>
              <w:rPr>
                <w:rFonts w:ascii="Calibri" w:eastAsia="Times New Roman" w:hAnsi="Calibri" w:cs="Times New Roman"/>
                <w:noProof/>
                <w:color w:val="000000"/>
                <w:sz w:val="18"/>
                <w:szCs w:val="18"/>
                <w:lang w:eastAsia="en-GB"/>
              </w:rPr>
              <w:t>(65)</w:t>
            </w:r>
          </w:p>
        </w:tc>
        <w:tc>
          <w:tcPr>
            <w:tcW w:w="0" w:type="auto"/>
            <w:noWrap/>
            <w:hideMark/>
          </w:tcPr>
          <w:p w:rsidR="00FF227B" w:rsidRPr="009448E0" w:rsidRDefault="00FF227B" w:rsidP="00890252">
            <w:pPr>
              <w:spacing w:line="240" w:lineRule="auto"/>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Total sitting</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0-6</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6-&lt;10</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10+</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p>
        </w:tc>
        <w:tc>
          <w:tcPr>
            <w:tcW w:w="0" w:type="auto"/>
            <w:noWrap/>
            <w:hideMark/>
          </w:tcPr>
          <w:p w:rsidR="00FF227B" w:rsidRPr="009448E0" w:rsidRDefault="00FF227B" w:rsidP="00890252">
            <w:pPr>
              <w:spacing w:line="240" w:lineRule="auto"/>
              <w:jc w:val="center"/>
              <w:cnfStyle w:val="000000000000"/>
              <w:rPr>
                <w:rFonts w:ascii="Times New Roman" w:eastAsia="Times New Roman" w:hAnsi="Times New Roman" w:cs="Times New Roman"/>
                <w:sz w:val="20"/>
                <w:szCs w:val="20"/>
                <w:lang w:eastAsia="en-GB"/>
              </w:rPr>
            </w:pPr>
          </w:p>
        </w:tc>
        <w:tc>
          <w:tcPr>
            <w:tcW w:w="0" w:type="auto"/>
            <w:tcBorders>
              <w:right w:val="single" w:sz="4" w:space="0" w:color="auto"/>
            </w:tcBorders>
            <w:noWrap/>
            <w:hideMark/>
          </w:tcPr>
          <w:p w:rsidR="00FF227B" w:rsidRPr="009448E0" w:rsidRDefault="00FF227B" w:rsidP="00890252">
            <w:pPr>
              <w:spacing w:line="240" w:lineRule="auto"/>
              <w:jc w:val="center"/>
              <w:cnfStyle w:val="000000000000"/>
              <w:rPr>
                <w:rFonts w:ascii="Times New Roman" w:eastAsia="Times New Roman" w:hAnsi="Times New Roman" w:cs="Times New Roman"/>
                <w:sz w:val="20"/>
                <w:szCs w:val="20"/>
                <w:lang w:eastAsia="en-GB"/>
              </w:rPr>
            </w:pPr>
          </w:p>
        </w:tc>
        <w:tc>
          <w:tcPr>
            <w:tcW w:w="0" w:type="auto"/>
            <w:tcBorders>
              <w:left w:val="single" w:sz="4" w:space="0" w:color="auto"/>
            </w:tcBorders>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3</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8</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12</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p>
        </w:tc>
        <w:tc>
          <w:tcPr>
            <w:tcW w:w="0" w:type="auto"/>
            <w:noWrap/>
            <w:hideMark/>
          </w:tcPr>
          <w:p w:rsidR="00FF227B" w:rsidRPr="009448E0" w:rsidRDefault="00FF227B" w:rsidP="00890252">
            <w:pPr>
              <w:spacing w:line="240" w:lineRule="auto"/>
              <w:jc w:val="center"/>
              <w:cnfStyle w:val="000000000000"/>
              <w:rPr>
                <w:rFonts w:ascii="Times New Roman" w:eastAsia="Times New Roman" w:hAnsi="Times New Roman" w:cs="Times New Roman"/>
                <w:sz w:val="20"/>
                <w:szCs w:val="20"/>
                <w:lang w:eastAsia="en-GB"/>
              </w:rPr>
            </w:pPr>
          </w:p>
        </w:tc>
        <w:tc>
          <w:tcPr>
            <w:tcW w:w="0" w:type="auto"/>
            <w:noWrap/>
            <w:hideMark/>
          </w:tcPr>
          <w:p w:rsidR="00FF227B" w:rsidRPr="009448E0" w:rsidRDefault="00FF227B" w:rsidP="00890252">
            <w:pPr>
              <w:spacing w:line="240" w:lineRule="auto"/>
              <w:jc w:val="center"/>
              <w:cnfStyle w:val="000000000000"/>
              <w:rPr>
                <w:rFonts w:ascii="Times New Roman" w:eastAsia="Times New Roman" w:hAnsi="Times New Roman" w:cs="Times New Roman"/>
                <w:sz w:val="20"/>
                <w:szCs w:val="20"/>
                <w:lang w:eastAsia="en-GB"/>
              </w:rPr>
            </w:pPr>
          </w:p>
        </w:tc>
      </w:tr>
      <w:tr w:rsidR="00FF227B" w:rsidRPr="009448E0" w:rsidTr="00890252">
        <w:trPr>
          <w:cnfStyle w:val="000000100000"/>
          <w:trHeight w:val="240"/>
        </w:trPr>
        <w:tc>
          <w:tcPr>
            <w:cnfStyle w:val="001000000000"/>
            <w:tcW w:w="0" w:type="auto"/>
            <w:noWrap/>
            <w:hideMark/>
          </w:tcPr>
          <w:p w:rsidR="00FF227B" w:rsidRPr="009448E0" w:rsidRDefault="00FF227B" w:rsidP="00890252">
            <w:pPr>
              <w:spacing w:line="240" w:lineRule="auto"/>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Pulsford et al.</w:t>
            </w:r>
            <w:r>
              <w:rPr>
                <w:rFonts w:ascii="Calibri" w:eastAsia="Times New Roman" w:hAnsi="Calibri" w:cs="Times New Roman"/>
                <w:noProof/>
                <w:color w:val="000000"/>
                <w:sz w:val="18"/>
                <w:szCs w:val="18"/>
                <w:lang w:eastAsia="en-GB"/>
              </w:rPr>
              <w:t>(66)</w:t>
            </w:r>
          </w:p>
        </w:tc>
        <w:tc>
          <w:tcPr>
            <w:tcW w:w="0" w:type="auto"/>
            <w:noWrap/>
            <w:hideMark/>
          </w:tcPr>
          <w:p w:rsidR="00FF227B" w:rsidRPr="009448E0" w:rsidRDefault="00FF227B" w:rsidP="00890252">
            <w:pPr>
              <w:spacing w:line="240" w:lineRule="auto"/>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 xml:space="preserve">Total sitting </w:t>
            </w:r>
          </w:p>
          <w:p w:rsidR="00FF227B" w:rsidRPr="009448E0" w:rsidRDefault="00FF227B" w:rsidP="00890252">
            <w:pPr>
              <w:spacing w:line="240" w:lineRule="auto"/>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(hours/week)</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≥0, &lt;26</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≥26, &lt;41</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≥41, &lt;55</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≥55</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p>
        </w:tc>
        <w:tc>
          <w:tcPr>
            <w:tcW w:w="0" w:type="auto"/>
            <w:tcBorders>
              <w:right w:val="single" w:sz="4" w:space="0" w:color="auto"/>
            </w:tcBorders>
            <w:noWrap/>
            <w:hideMark/>
          </w:tcPr>
          <w:p w:rsidR="00FF227B" w:rsidRPr="009448E0" w:rsidRDefault="00FF227B" w:rsidP="00890252">
            <w:pPr>
              <w:spacing w:line="240" w:lineRule="auto"/>
              <w:jc w:val="center"/>
              <w:cnfStyle w:val="000000100000"/>
              <w:rPr>
                <w:rFonts w:ascii="Times New Roman" w:eastAsia="Times New Roman" w:hAnsi="Times New Roman" w:cs="Times New Roman"/>
                <w:sz w:val="20"/>
                <w:szCs w:val="20"/>
                <w:lang w:eastAsia="en-GB"/>
              </w:rPr>
            </w:pPr>
          </w:p>
        </w:tc>
        <w:tc>
          <w:tcPr>
            <w:tcW w:w="0" w:type="auto"/>
            <w:tcBorders>
              <w:left w:val="single" w:sz="4" w:space="0" w:color="auto"/>
            </w:tcBorders>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1.857</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4.786</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6.857</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8.857</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p>
        </w:tc>
        <w:tc>
          <w:tcPr>
            <w:tcW w:w="0" w:type="auto"/>
            <w:noWrap/>
            <w:hideMark/>
          </w:tcPr>
          <w:p w:rsidR="00FF227B" w:rsidRPr="009448E0" w:rsidRDefault="00FF227B" w:rsidP="00890252">
            <w:pPr>
              <w:spacing w:line="240" w:lineRule="auto"/>
              <w:jc w:val="center"/>
              <w:cnfStyle w:val="000000100000"/>
              <w:rPr>
                <w:rFonts w:ascii="Times New Roman" w:eastAsia="Times New Roman" w:hAnsi="Times New Roman" w:cs="Times New Roman"/>
                <w:sz w:val="20"/>
                <w:szCs w:val="20"/>
                <w:lang w:eastAsia="en-GB"/>
              </w:rPr>
            </w:pPr>
          </w:p>
        </w:tc>
      </w:tr>
      <w:tr w:rsidR="00FF227B" w:rsidRPr="009448E0" w:rsidTr="00890252">
        <w:trPr>
          <w:trHeight w:val="240"/>
        </w:trPr>
        <w:tc>
          <w:tcPr>
            <w:cnfStyle w:val="001000000000"/>
            <w:tcW w:w="0" w:type="auto"/>
            <w:noWrap/>
            <w:hideMark/>
          </w:tcPr>
          <w:p w:rsidR="00FF227B" w:rsidRPr="009448E0" w:rsidRDefault="00FF227B" w:rsidP="00890252">
            <w:pPr>
              <w:spacing w:line="240" w:lineRule="auto"/>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Seguin et al.</w:t>
            </w:r>
            <w:r>
              <w:rPr>
                <w:rFonts w:ascii="Calibri" w:eastAsia="Times New Roman" w:hAnsi="Calibri" w:cs="Times New Roman"/>
                <w:noProof/>
                <w:color w:val="000000"/>
                <w:sz w:val="18"/>
                <w:szCs w:val="18"/>
                <w:lang w:eastAsia="en-GB"/>
              </w:rPr>
              <w:t>(68)</w:t>
            </w:r>
          </w:p>
        </w:tc>
        <w:tc>
          <w:tcPr>
            <w:tcW w:w="0" w:type="auto"/>
            <w:noWrap/>
            <w:hideMark/>
          </w:tcPr>
          <w:p w:rsidR="00FF227B" w:rsidRPr="009448E0" w:rsidRDefault="00FF227B" w:rsidP="00890252">
            <w:pPr>
              <w:spacing w:line="240" w:lineRule="auto"/>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Total sitting</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&lt;4</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&gt;4-8</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&gt;8-11</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≥11</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p>
        </w:tc>
        <w:tc>
          <w:tcPr>
            <w:tcW w:w="0" w:type="auto"/>
            <w:tcBorders>
              <w:right w:val="single" w:sz="4" w:space="0" w:color="auto"/>
            </w:tcBorders>
            <w:noWrap/>
            <w:hideMark/>
          </w:tcPr>
          <w:p w:rsidR="00FF227B" w:rsidRPr="009448E0" w:rsidRDefault="00FF227B" w:rsidP="00890252">
            <w:pPr>
              <w:spacing w:line="240" w:lineRule="auto"/>
              <w:jc w:val="center"/>
              <w:cnfStyle w:val="000000000000"/>
              <w:rPr>
                <w:rFonts w:ascii="Times New Roman" w:eastAsia="Times New Roman" w:hAnsi="Times New Roman" w:cs="Times New Roman"/>
                <w:sz w:val="20"/>
                <w:szCs w:val="20"/>
                <w:lang w:eastAsia="en-GB"/>
              </w:rPr>
            </w:pPr>
          </w:p>
        </w:tc>
        <w:tc>
          <w:tcPr>
            <w:tcW w:w="0" w:type="auto"/>
            <w:tcBorders>
              <w:left w:val="single" w:sz="4" w:space="0" w:color="auto"/>
            </w:tcBorders>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2</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6</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9.5</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12.5</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p>
        </w:tc>
        <w:tc>
          <w:tcPr>
            <w:tcW w:w="0" w:type="auto"/>
            <w:noWrap/>
            <w:hideMark/>
          </w:tcPr>
          <w:p w:rsidR="00FF227B" w:rsidRPr="009448E0" w:rsidRDefault="00FF227B" w:rsidP="00890252">
            <w:pPr>
              <w:spacing w:line="240" w:lineRule="auto"/>
              <w:jc w:val="center"/>
              <w:cnfStyle w:val="000000000000"/>
              <w:rPr>
                <w:rFonts w:ascii="Times New Roman" w:eastAsia="Times New Roman" w:hAnsi="Times New Roman" w:cs="Times New Roman"/>
                <w:sz w:val="20"/>
                <w:szCs w:val="20"/>
                <w:lang w:eastAsia="en-GB"/>
              </w:rPr>
            </w:pPr>
          </w:p>
        </w:tc>
      </w:tr>
      <w:tr w:rsidR="00FF227B" w:rsidRPr="009448E0" w:rsidTr="00890252">
        <w:trPr>
          <w:cnfStyle w:val="000000100000"/>
          <w:trHeight w:val="240"/>
        </w:trPr>
        <w:tc>
          <w:tcPr>
            <w:cnfStyle w:val="001000000000"/>
            <w:tcW w:w="0" w:type="auto"/>
            <w:noWrap/>
            <w:hideMark/>
          </w:tcPr>
          <w:p w:rsidR="00FF227B" w:rsidRPr="009448E0" w:rsidRDefault="00FF227B" w:rsidP="00890252">
            <w:pPr>
              <w:spacing w:line="240" w:lineRule="auto"/>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Van der Ploeg et al.</w:t>
            </w:r>
            <w:r>
              <w:rPr>
                <w:rFonts w:ascii="Calibri" w:eastAsia="Times New Roman" w:hAnsi="Calibri" w:cs="Times New Roman"/>
                <w:noProof/>
                <w:color w:val="000000"/>
                <w:sz w:val="18"/>
                <w:szCs w:val="18"/>
                <w:lang w:eastAsia="en-GB"/>
              </w:rPr>
              <w:t>(71)</w:t>
            </w:r>
          </w:p>
        </w:tc>
        <w:tc>
          <w:tcPr>
            <w:tcW w:w="0" w:type="auto"/>
            <w:noWrap/>
            <w:hideMark/>
          </w:tcPr>
          <w:p w:rsidR="00FF227B" w:rsidRPr="009448E0" w:rsidRDefault="00FF227B" w:rsidP="00890252">
            <w:pPr>
              <w:spacing w:line="240" w:lineRule="auto"/>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Total sitting</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0-&lt;4</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4-&lt;8</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8-&lt;11</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≥11</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p>
        </w:tc>
        <w:tc>
          <w:tcPr>
            <w:tcW w:w="0" w:type="auto"/>
            <w:tcBorders>
              <w:right w:val="single" w:sz="4" w:space="0" w:color="auto"/>
            </w:tcBorders>
            <w:noWrap/>
            <w:hideMark/>
          </w:tcPr>
          <w:p w:rsidR="00FF227B" w:rsidRPr="009448E0" w:rsidRDefault="00FF227B" w:rsidP="00890252">
            <w:pPr>
              <w:spacing w:line="240" w:lineRule="auto"/>
              <w:jc w:val="center"/>
              <w:cnfStyle w:val="000000100000"/>
              <w:rPr>
                <w:rFonts w:ascii="Times New Roman" w:eastAsia="Times New Roman" w:hAnsi="Times New Roman" w:cs="Times New Roman"/>
                <w:sz w:val="20"/>
                <w:szCs w:val="20"/>
                <w:lang w:eastAsia="en-GB"/>
              </w:rPr>
            </w:pPr>
          </w:p>
        </w:tc>
        <w:tc>
          <w:tcPr>
            <w:tcW w:w="0" w:type="auto"/>
            <w:tcBorders>
              <w:left w:val="single" w:sz="4" w:space="0" w:color="auto"/>
            </w:tcBorders>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2</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6</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9.5</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12.5</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p>
        </w:tc>
        <w:tc>
          <w:tcPr>
            <w:tcW w:w="0" w:type="auto"/>
            <w:noWrap/>
            <w:hideMark/>
          </w:tcPr>
          <w:p w:rsidR="00FF227B" w:rsidRPr="009448E0" w:rsidRDefault="00FF227B" w:rsidP="00890252">
            <w:pPr>
              <w:spacing w:line="240" w:lineRule="auto"/>
              <w:jc w:val="center"/>
              <w:cnfStyle w:val="000000100000"/>
              <w:rPr>
                <w:rFonts w:ascii="Times New Roman" w:eastAsia="Times New Roman" w:hAnsi="Times New Roman" w:cs="Times New Roman"/>
                <w:sz w:val="20"/>
                <w:szCs w:val="20"/>
                <w:lang w:eastAsia="en-GB"/>
              </w:rPr>
            </w:pPr>
          </w:p>
        </w:tc>
      </w:tr>
      <w:tr w:rsidR="00FF227B" w:rsidRPr="009448E0" w:rsidTr="00890252">
        <w:trPr>
          <w:trHeight w:val="240"/>
        </w:trPr>
        <w:tc>
          <w:tcPr>
            <w:cnfStyle w:val="001000000000"/>
            <w:tcW w:w="0" w:type="auto"/>
            <w:noWrap/>
            <w:hideMark/>
          </w:tcPr>
          <w:p w:rsidR="00FF227B" w:rsidRPr="009448E0" w:rsidRDefault="00FF227B" w:rsidP="00890252">
            <w:pPr>
              <w:spacing w:line="240" w:lineRule="auto"/>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Kim et al.</w:t>
            </w:r>
            <w:r>
              <w:rPr>
                <w:rFonts w:ascii="Calibri" w:eastAsia="Times New Roman" w:hAnsi="Calibri" w:cs="Times New Roman"/>
                <w:noProof/>
                <w:color w:val="000000"/>
                <w:sz w:val="18"/>
                <w:szCs w:val="18"/>
                <w:lang w:eastAsia="en-GB"/>
              </w:rPr>
              <w:t>(45)</w:t>
            </w:r>
          </w:p>
        </w:tc>
        <w:tc>
          <w:tcPr>
            <w:tcW w:w="0" w:type="auto"/>
            <w:noWrap/>
            <w:hideMark/>
          </w:tcPr>
          <w:p w:rsidR="00FF227B" w:rsidRPr="009448E0" w:rsidRDefault="00FF227B" w:rsidP="00890252">
            <w:pPr>
              <w:spacing w:line="240" w:lineRule="auto"/>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 xml:space="preserve">Total sitting </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&lt;5</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5-&lt;10</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≥10</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p>
        </w:tc>
        <w:tc>
          <w:tcPr>
            <w:tcW w:w="0" w:type="auto"/>
            <w:noWrap/>
            <w:hideMark/>
          </w:tcPr>
          <w:p w:rsidR="00FF227B" w:rsidRPr="009448E0" w:rsidRDefault="00FF227B" w:rsidP="00890252">
            <w:pPr>
              <w:spacing w:line="240" w:lineRule="auto"/>
              <w:jc w:val="center"/>
              <w:cnfStyle w:val="000000000000"/>
              <w:rPr>
                <w:rFonts w:ascii="Times New Roman" w:eastAsia="Times New Roman" w:hAnsi="Times New Roman" w:cs="Times New Roman"/>
                <w:sz w:val="20"/>
                <w:szCs w:val="20"/>
                <w:lang w:eastAsia="en-GB"/>
              </w:rPr>
            </w:pPr>
          </w:p>
        </w:tc>
        <w:tc>
          <w:tcPr>
            <w:tcW w:w="0" w:type="auto"/>
            <w:tcBorders>
              <w:right w:val="single" w:sz="4" w:space="0" w:color="auto"/>
            </w:tcBorders>
            <w:noWrap/>
            <w:hideMark/>
          </w:tcPr>
          <w:p w:rsidR="00FF227B" w:rsidRPr="009448E0" w:rsidRDefault="00FF227B" w:rsidP="00890252">
            <w:pPr>
              <w:spacing w:line="240" w:lineRule="auto"/>
              <w:jc w:val="center"/>
              <w:cnfStyle w:val="000000000000"/>
              <w:rPr>
                <w:rFonts w:ascii="Times New Roman" w:eastAsia="Times New Roman" w:hAnsi="Times New Roman" w:cs="Times New Roman"/>
                <w:sz w:val="20"/>
                <w:szCs w:val="20"/>
                <w:lang w:eastAsia="en-GB"/>
              </w:rPr>
            </w:pPr>
          </w:p>
        </w:tc>
        <w:tc>
          <w:tcPr>
            <w:tcW w:w="0" w:type="auto"/>
            <w:tcBorders>
              <w:left w:val="single" w:sz="4" w:space="0" w:color="auto"/>
            </w:tcBorders>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2.5</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7.5</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12.5</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p>
        </w:tc>
        <w:tc>
          <w:tcPr>
            <w:tcW w:w="0" w:type="auto"/>
            <w:noWrap/>
            <w:hideMark/>
          </w:tcPr>
          <w:p w:rsidR="00FF227B" w:rsidRPr="009448E0" w:rsidRDefault="00FF227B" w:rsidP="00890252">
            <w:pPr>
              <w:spacing w:line="240" w:lineRule="auto"/>
              <w:jc w:val="center"/>
              <w:cnfStyle w:val="000000000000"/>
              <w:rPr>
                <w:rFonts w:ascii="Times New Roman" w:eastAsia="Times New Roman" w:hAnsi="Times New Roman" w:cs="Times New Roman"/>
                <w:sz w:val="20"/>
                <w:szCs w:val="20"/>
                <w:lang w:eastAsia="en-GB"/>
              </w:rPr>
            </w:pPr>
          </w:p>
        </w:tc>
        <w:tc>
          <w:tcPr>
            <w:tcW w:w="0" w:type="auto"/>
            <w:noWrap/>
            <w:hideMark/>
          </w:tcPr>
          <w:p w:rsidR="00FF227B" w:rsidRPr="009448E0" w:rsidRDefault="00FF227B" w:rsidP="00890252">
            <w:pPr>
              <w:spacing w:line="240" w:lineRule="auto"/>
              <w:jc w:val="center"/>
              <w:cnfStyle w:val="000000000000"/>
              <w:rPr>
                <w:rFonts w:ascii="Times New Roman" w:eastAsia="Times New Roman" w:hAnsi="Times New Roman" w:cs="Times New Roman"/>
                <w:sz w:val="20"/>
                <w:szCs w:val="20"/>
                <w:lang w:eastAsia="en-GB"/>
              </w:rPr>
            </w:pPr>
          </w:p>
        </w:tc>
      </w:tr>
      <w:tr w:rsidR="00FF227B" w:rsidRPr="009448E0" w:rsidTr="00890252">
        <w:trPr>
          <w:cnfStyle w:val="000000100000"/>
          <w:trHeight w:val="240"/>
        </w:trPr>
        <w:tc>
          <w:tcPr>
            <w:cnfStyle w:val="001000000000"/>
            <w:tcW w:w="0" w:type="auto"/>
            <w:noWrap/>
            <w:hideMark/>
          </w:tcPr>
          <w:p w:rsidR="00FF227B" w:rsidRPr="009448E0" w:rsidRDefault="00FF227B" w:rsidP="00890252">
            <w:pPr>
              <w:spacing w:line="240" w:lineRule="auto"/>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Matthews et al. (2015)</w:t>
            </w:r>
            <w:r>
              <w:rPr>
                <w:rFonts w:ascii="Calibri" w:eastAsia="Times New Roman" w:hAnsi="Calibri" w:cs="Times New Roman"/>
                <w:noProof/>
                <w:color w:val="000000"/>
                <w:sz w:val="18"/>
                <w:szCs w:val="18"/>
                <w:lang w:eastAsia="en-GB"/>
              </w:rPr>
              <w:t>(62)</w:t>
            </w:r>
          </w:p>
        </w:tc>
        <w:tc>
          <w:tcPr>
            <w:tcW w:w="0" w:type="auto"/>
            <w:noWrap/>
            <w:hideMark/>
          </w:tcPr>
          <w:p w:rsidR="00FF227B" w:rsidRPr="009448E0" w:rsidRDefault="00FF227B" w:rsidP="00890252">
            <w:pPr>
              <w:spacing w:line="240" w:lineRule="auto"/>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 xml:space="preserve">Total sitting </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&lt;5</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5-6.9</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7-8.9</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9-11.9</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≥12</w:t>
            </w:r>
          </w:p>
        </w:tc>
        <w:tc>
          <w:tcPr>
            <w:tcW w:w="0" w:type="auto"/>
            <w:tcBorders>
              <w:right w:val="single" w:sz="4" w:space="0" w:color="auto"/>
            </w:tcBorders>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p>
        </w:tc>
        <w:tc>
          <w:tcPr>
            <w:tcW w:w="0" w:type="auto"/>
            <w:tcBorders>
              <w:left w:val="single" w:sz="4" w:space="0" w:color="auto"/>
            </w:tcBorders>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2.5</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6</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8</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10.5</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13.5</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p>
        </w:tc>
      </w:tr>
    </w:tbl>
    <w:p w:rsidR="00FF227B" w:rsidRPr="009448E0" w:rsidRDefault="00FF227B" w:rsidP="00890252">
      <w:pPr>
        <w:spacing w:line="259" w:lineRule="auto"/>
      </w:pPr>
    </w:p>
    <w:p w:rsidR="00FF227B" w:rsidRPr="009448E0" w:rsidRDefault="00FF227B" w:rsidP="00890252">
      <w:pPr>
        <w:spacing w:line="259" w:lineRule="auto"/>
      </w:pPr>
    </w:p>
    <w:p w:rsidR="00FF227B" w:rsidRPr="009448E0" w:rsidRDefault="00FF227B" w:rsidP="00890252">
      <w:pPr>
        <w:spacing w:line="259" w:lineRule="auto"/>
      </w:pPr>
    </w:p>
    <w:p w:rsidR="00FF227B" w:rsidRPr="009448E0" w:rsidRDefault="00FF227B" w:rsidP="00890252">
      <w:pPr>
        <w:spacing w:line="259" w:lineRule="auto"/>
      </w:pPr>
      <w:r w:rsidRPr="009448E0">
        <w:br w:type="page"/>
      </w:r>
    </w:p>
    <w:p w:rsidR="00FF227B" w:rsidRPr="009448E0" w:rsidRDefault="00FF227B" w:rsidP="00890252">
      <w:pPr>
        <w:keepNext/>
        <w:keepLines/>
        <w:spacing w:before="240" w:after="0" w:line="240" w:lineRule="auto"/>
        <w:outlineLvl w:val="0"/>
        <w:rPr>
          <w:rFonts w:eastAsia="Times New Roman" w:cstheme="majorBidi"/>
          <w:szCs w:val="32"/>
          <w:lang w:eastAsia="en-GB"/>
        </w:rPr>
      </w:pPr>
      <w:bookmarkStart w:id="4" w:name="_Toc486427060"/>
      <w:r>
        <w:rPr>
          <w:rFonts w:eastAsia="Times New Roman" w:cstheme="majorBidi"/>
          <w:szCs w:val="32"/>
          <w:lang w:eastAsia="en-GB"/>
        </w:rPr>
        <w:lastRenderedPageBreak/>
        <w:t>Appendix Table</w:t>
      </w:r>
      <w:r w:rsidRPr="009448E0">
        <w:rPr>
          <w:rFonts w:eastAsia="Times New Roman" w:cstheme="majorBidi"/>
          <w:szCs w:val="32"/>
          <w:lang w:eastAsia="en-GB"/>
        </w:rPr>
        <w:t xml:space="preserve"> 3 – Dose assignments for studies using TV viewing time</w:t>
      </w:r>
      <w:bookmarkEnd w:id="4"/>
    </w:p>
    <w:tbl>
      <w:tblPr>
        <w:tblStyle w:val="PlainTable31"/>
        <w:tblW w:w="0" w:type="auto"/>
        <w:tblLook w:val="04A0"/>
      </w:tblPr>
      <w:tblGrid>
        <w:gridCol w:w="2527"/>
        <w:gridCol w:w="1202"/>
        <w:gridCol w:w="933"/>
        <w:gridCol w:w="1060"/>
        <w:gridCol w:w="1188"/>
        <w:gridCol w:w="895"/>
        <w:gridCol w:w="687"/>
        <w:gridCol w:w="558"/>
        <w:gridCol w:w="627"/>
        <w:gridCol w:w="627"/>
        <w:gridCol w:w="627"/>
        <w:gridCol w:w="627"/>
        <w:gridCol w:w="627"/>
        <w:gridCol w:w="444"/>
      </w:tblGrid>
      <w:tr w:rsidR="00FF227B" w:rsidRPr="009448E0" w:rsidTr="00890252">
        <w:trPr>
          <w:cnfStyle w:val="100000000000"/>
          <w:trHeight w:val="240"/>
        </w:trPr>
        <w:tc>
          <w:tcPr>
            <w:cnfStyle w:val="001000000100"/>
            <w:tcW w:w="0" w:type="auto"/>
            <w:gridSpan w:val="14"/>
            <w:noWrap/>
          </w:tcPr>
          <w:p w:rsidR="00FF227B" w:rsidRPr="009448E0" w:rsidRDefault="00FF227B" w:rsidP="00890252">
            <w:pPr>
              <w:spacing w:line="240" w:lineRule="auto"/>
            </w:pPr>
          </w:p>
        </w:tc>
      </w:tr>
      <w:tr w:rsidR="00FF227B" w:rsidRPr="009448E0" w:rsidTr="00890252">
        <w:trPr>
          <w:cnfStyle w:val="000000100000"/>
          <w:trHeight w:val="240"/>
        </w:trPr>
        <w:tc>
          <w:tcPr>
            <w:cnfStyle w:val="001000000000"/>
            <w:tcW w:w="0" w:type="auto"/>
            <w:noWrap/>
          </w:tcPr>
          <w:p w:rsidR="00FF227B" w:rsidRPr="009448E0" w:rsidRDefault="00FF227B" w:rsidP="00890252">
            <w:pPr>
              <w:spacing w:line="240" w:lineRule="auto"/>
              <w:rPr>
                <w:rFonts w:ascii="Calibri" w:eastAsia="Times New Roman" w:hAnsi="Calibri" w:cs="Times New Roman"/>
                <w:color w:val="000000"/>
                <w:sz w:val="18"/>
                <w:szCs w:val="18"/>
                <w:lang w:eastAsia="en-GB"/>
              </w:rPr>
            </w:pPr>
          </w:p>
        </w:tc>
        <w:tc>
          <w:tcPr>
            <w:tcW w:w="0" w:type="auto"/>
            <w:noWrap/>
          </w:tcPr>
          <w:p w:rsidR="00FF227B" w:rsidRPr="009448E0" w:rsidRDefault="00FF227B" w:rsidP="00890252">
            <w:pPr>
              <w:spacing w:line="240" w:lineRule="auto"/>
              <w:cnfStyle w:val="000000100000"/>
              <w:rPr>
                <w:rFonts w:ascii="Calibri" w:eastAsia="Times New Roman" w:hAnsi="Calibri" w:cs="Times New Roman"/>
                <w:b/>
                <w:color w:val="000000"/>
                <w:sz w:val="18"/>
                <w:szCs w:val="18"/>
                <w:lang w:eastAsia="en-GB"/>
              </w:rPr>
            </w:pPr>
            <w:r w:rsidRPr="009448E0">
              <w:rPr>
                <w:rFonts w:ascii="Calibri" w:eastAsia="Times New Roman" w:hAnsi="Calibri" w:cs="Times New Roman"/>
                <w:b/>
                <w:color w:val="000000"/>
                <w:sz w:val="18"/>
                <w:szCs w:val="18"/>
                <w:lang w:eastAsia="en-GB"/>
              </w:rPr>
              <w:t>Exposure</w:t>
            </w:r>
          </w:p>
        </w:tc>
        <w:tc>
          <w:tcPr>
            <w:tcW w:w="0" w:type="auto"/>
            <w:gridSpan w:val="6"/>
            <w:tcBorders>
              <w:right w:val="single" w:sz="4" w:space="0" w:color="auto"/>
            </w:tcBorders>
            <w:noWrap/>
          </w:tcPr>
          <w:p w:rsidR="00FF227B" w:rsidRPr="009448E0" w:rsidRDefault="00FF227B" w:rsidP="00890252">
            <w:pPr>
              <w:spacing w:line="240" w:lineRule="auto"/>
              <w:jc w:val="center"/>
              <w:cnfStyle w:val="000000100000"/>
              <w:rPr>
                <w:rFonts w:ascii="Calibri" w:eastAsia="Times New Roman" w:hAnsi="Calibri" w:cs="Times New Roman"/>
                <w:b/>
                <w:bCs/>
                <w:sz w:val="18"/>
                <w:szCs w:val="18"/>
                <w:lang w:eastAsia="en-GB"/>
              </w:rPr>
            </w:pPr>
            <w:r w:rsidRPr="009448E0">
              <w:rPr>
                <w:rFonts w:ascii="Calibri" w:eastAsia="Times New Roman" w:hAnsi="Calibri" w:cs="Times New Roman"/>
                <w:color w:val="000000"/>
                <w:sz w:val="18"/>
                <w:szCs w:val="18"/>
                <w:lang w:eastAsia="en-GB"/>
              </w:rPr>
              <w:t>Categories used by study authors (hours/day unless otherwise stated)</w:t>
            </w:r>
          </w:p>
        </w:tc>
        <w:tc>
          <w:tcPr>
            <w:tcW w:w="0" w:type="auto"/>
            <w:gridSpan w:val="6"/>
            <w:tcBorders>
              <w:left w:val="single" w:sz="4" w:space="0" w:color="auto"/>
            </w:tcBorders>
            <w:noWrap/>
          </w:tcPr>
          <w:p w:rsidR="00FF227B" w:rsidRPr="009448E0" w:rsidRDefault="00FF227B" w:rsidP="00890252">
            <w:pPr>
              <w:spacing w:line="240" w:lineRule="auto"/>
              <w:jc w:val="center"/>
              <w:cnfStyle w:val="000000100000"/>
              <w:rPr>
                <w:rFonts w:ascii="Calibri" w:eastAsia="Times New Roman" w:hAnsi="Calibri" w:cs="Times New Roman"/>
                <w:b/>
                <w:bCs/>
                <w:sz w:val="18"/>
                <w:szCs w:val="18"/>
                <w:lang w:eastAsia="en-GB"/>
              </w:rPr>
            </w:pPr>
            <w:r w:rsidRPr="009448E0">
              <w:rPr>
                <w:rFonts w:ascii="Calibri" w:eastAsia="Times New Roman" w:hAnsi="Calibri" w:cs="Times New Roman"/>
                <w:color w:val="000000"/>
                <w:sz w:val="18"/>
                <w:szCs w:val="18"/>
                <w:lang w:eastAsia="en-GB"/>
              </w:rPr>
              <w:t>Dose applied to exposure category</w:t>
            </w:r>
          </w:p>
        </w:tc>
      </w:tr>
      <w:tr w:rsidR="00FF227B" w:rsidRPr="009448E0" w:rsidTr="00890252">
        <w:trPr>
          <w:trHeight w:val="240"/>
        </w:trPr>
        <w:tc>
          <w:tcPr>
            <w:cnfStyle w:val="001000000000"/>
            <w:tcW w:w="0" w:type="auto"/>
            <w:noWrap/>
            <w:hideMark/>
          </w:tcPr>
          <w:p w:rsidR="00FF227B" w:rsidRPr="009448E0" w:rsidRDefault="00FF227B" w:rsidP="00890252">
            <w:pPr>
              <w:spacing w:line="240" w:lineRule="auto"/>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Anjana et al.</w:t>
            </w:r>
            <w:r>
              <w:rPr>
                <w:rFonts w:ascii="Calibri" w:eastAsia="Times New Roman" w:hAnsi="Calibri" w:cs="Times New Roman"/>
                <w:noProof/>
                <w:color w:val="000000"/>
                <w:sz w:val="18"/>
                <w:szCs w:val="18"/>
                <w:lang w:eastAsia="en-GB"/>
              </w:rPr>
              <w:t>(38)</w:t>
            </w:r>
          </w:p>
        </w:tc>
        <w:tc>
          <w:tcPr>
            <w:tcW w:w="0" w:type="auto"/>
            <w:noWrap/>
            <w:hideMark/>
          </w:tcPr>
          <w:p w:rsidR="00FF227B" w:rsidRPr="009448E0" w:rsidRDefault="00FF227B" w:rsidP="00890252">
            <w:pPr>
              <w:spacing w:line="240" w:lineRule="auto"/>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TV viewing</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b/>
                <w:bCs/>
                <w:sz w:val="18"/>
                <w:szCs w:val="18"/>
                <w:lang w:eastAsia="en-GB"/>
              </w:rPr>
            </w:pPr>
            <w:r w:rsidRPr="009448E0">
              <w:rPr>
                <w:rFonts w:ascii="Calibri" w:eastAsia="Times New Roman" w:hAnsi="Calibri" w:cs="Times New Roman"/>
                <w:b/>
                <w:bCs/>
                <w:sz w:val="18"/>
                <w:szCs w:val="18"/>
                <w:lang w:eastAsia="en-GB"/>
              </w:rPr>
              <w:t>1</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b/>
                <w:bCs/>
                <w:sz w:val="18"/>
                <w:szCs w:val="18"/>
                <w:lang w:eastAsia="en-GB"/>
              </w:rPr>
            </w:pPr>
            <w:r w:rsidRPr="009448E0">
              <w:rPr>
                <w:rFonts w:ascii="Calibri" w:eastAsia="Times New Roman" w:hAnsi="Calibri" w:cs="Times New Roman"/>
                <w:b/>
                <w:bCs/>
                <w:sz w:val="18"/>
                <w:szCs w:val="18"/>
                <w:lang w:eastAsia="en-GB"/>
              </w:rPr>
              <w:t>2</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b/>
                <w:bCs/>
                <w:sz w:val="18"/>
                <w:szCs w:val="18"/>
                <w:lang w:eastAsia="en-GB"/>
              </w:rPr>
            </w:pPr>
            <w:r w:rsidRPr="009448E0">
              <w:rPr>
                <w:rFonts w:ascii="Calibri" w:eastAsia="Times New Roman" w:hAnsi="Calibri" w:cs="Times New Roman"/>
                <w:b/>
                <w:bCs/>
                <w:sz w:val="18"/>
                <w:szCs w:val="18"/>
                <w:lang w:eastAsia="en-GB"/>
              </w:rPr>
              <w:t>3</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b/>
                <w:bCs/>
                <w:sz w:val="18"/>
                <w:szCs w:val="18"/>
                <w:lang w:eastAsia="en-GB"/>
              </w:rPr>
            </w:pPr>
            <w:r w:rsidRPr="009448E0">
              <w:rPr>
                <w:rFonts w:ascii="Calibri" w:eastAsia="Times New Roman" w:hAnsi="Calibri" w:cs="Times New Roman"/>
                <w:b/>
                <w:bCs/>
                <w:sz w:val="18"/>
                <w:szCs w:val="18"/>
                <w:lang w:eastAsia="en-GB"/>
              </w:rPr>
              <w:t>4</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b/>
                <w:bCs/>
                <w:sz w:val="18"/>
                <w:szCs w:val="18"/>
                <w:lang w:eastAsia="en-GB"/>
              </w:rPr>
            </w:pPr>
            <w:r w:rsidRPr="009448E0">
              <w:rPr>
                <w:rFonts w:ascii="Calibri" w:eastAsia="Times New Roman" w:hAnsi="Calibri" w:cs="Times New Roman"/>
                <w:b/>
                <w:bCs/>
                <w:sz w:val="18"/>
                <w:szCs w:val="18"/>
                <w:lang w:eastAsia="en-GB"/>
              </w:rPr>
              <w:t>5</w:t>
            </w:r>
          </w:p>
        </w:tc>
        <w:tc>
          <w:tcPr>
            <w:tcW w:w="0" w:type="auto"/>
            <w:tcBorders>
              <w:right w:val="single" w:sz="4" w:space="0" w:color="auto"/>
            </w:tcBorders>
            <w:noWrap/>
            <w:hideMark/>
          </w:tcPr>
          <w:p w:rsidR="00FF227B" w:rsidRPr="009448E0" w:rsidRDefault="00FF227B" w:rsidP="00890252">
            <w:pPr>
              <w:spacing w:line="240" w:lineRule="auto"/>
              <w:jc w:val="center"/>
              <w:cnfStyle w:val="000000000000"/>
              <w:rPr>
                <w:rFonts w:ascii="Calibri" w:eastAsia="Times New Roman" w:hAnsi="Calibri" w:cs="Times New Roman"/>
                <w:b/>
                <w:bCs/>
                <w:sz w:val="18"/>
                <w:szCs w:val="18"/>
                <w:lang w:eastAsia="en-GB"/>
              </w:rPr>
            </w:pPr>
            <w:r w:rsidRPr="009448E0">
              <w:rPr>
                <w:rFonts w:ascii="Calibri" w:eastAsia="Times New Roman" w:hAnsi="Calibri" w:cs="Times New Roman"/>
                <w:b/>
                <w:bCs/>
                <w:sz w:val="18"/>
                <w:szCs w:val="18"/>
                <w:lang w:eastAsia="en-GB"/>
              </w:rPr>
              <w:t>6</w:t>
            </w:r>
          </w:p>
        </w:tc>
        <w:tc>
          <w:tcPr>
            <w:tcW w:w="0" w:type="auto"/>
            <w:tcBorders>
              <w:left w:val="single" w:sz="4" w:space="0" w:color="auto"/>
            </w:tcBorders>
            <w:noWrap/>
            <w:hideMark/>
          </w:tcPr>
          <w:p w:rsidR="00FF227B" w:rsidRPr="009448E0" w:rsidRDefault="00FF227B" w:rsidP="00890252">
            <w:pPr>
              <w:spacing w:line="240" w:lineRule="auto"/>
              <w:jc w:val="center"/>
              <w:cnfStyle w:val="000000000000"/>
              <w:rPr>
                <w:rFonts w:ascii="Calibri" w:eastAsia="Times New Roman" w:hAnsi="Calibri" w:cs="Times New Roman"/>
                <w:b/>
                <w:bCs/>
                <w:sz w:val="18"/>
                <w:szCs w:val="18"/>
                <w:lang w:eastAsia="en-GB"/>
              </w:rPr>
            </w:pPr>
            <w:r w:rsidRPr="009448E0">
              <w:rPr>
                <w:rFonts w:ascii="Calibri" w:eastAsia="Times New Roman" w:hAnsi="Calibri" w:cs="Times New Roman"/>
                <w:b/>
                <w:bCs/>
                <w:sz w:val="18"/>
                <w:szCs w:val="18"/>
                <w:lang w:eastAsia="en-GB"/>
              </w:rPr>
              <w:t>1</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b/>
                <w:bCs/>
                <w:sz w:val="18"/>
                <w:szCs w:val="18"/>
                <w:lang w:eastAsia="en-GB"/>
              </w:rPr>
            </w:pPr>
            <w:r w:rsidRPr="009448E0">
              <w:rPr>
                <w:rFonts w:ascii="Calibri" w:eastAsia="Times New Roman" w:hAnsi="Calibri" w:cs="Times New Roman"/>
                <w:b/>
                <w:bCs/>
                <w:sz w:val="18"/>
                <w:szCs w:val="18"/>
                <w:lang w:eastAsia="en-GB"/>
              </w:rPr>
              <w:t>2</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b/>
                <w:bCs/>
                <w:sz w:val="18"/>
                <w:szCs w:val="18"/>
                <w:lang w:eastAsia="en-GB"/>
              </w:rPr>
            </w:pPr>
            <w:r w:rsidRPr="009448E0">
              <w:rPr>
                <w:rFonts w:ascii="Calibri" w:eastAsia="Times New Roman" w:hAnsi="Calibri" w:cs="Times New Roman"/>
                <w:b/>
                <w:bCs/>
                <w:sz w:val="18"/>
                <w:szCs w:val="18"/>
                <w:lang w:eastAsia="en-GB"/>
              </w:rPr>
              <w:t>3</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b/>
                <w:bCs/>
                <w:sz w:val="18"/>
                <w:szCs w:val="18"/>
                <w:lang w:eastAsia="en-GB"/>
              </w:rPr>
            </w:pPr>
            <w:r w:rsidRPr="009448E0">
              <w:rPr>
                <w:rFonts w:ascii="Calibri" w:eastAsia="Times New Roman" w:hAnsi="Calibri" w:cs="Times New Roman"/>
                <w:b/>
                <w:bCs/>
                <w:sz w:val="18"/>
                <w:szCs w:val="18"/>
                <w:lang w:eastAsia="en-GB"/>
              </w:rPr>
              <w:t>4</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b/>
                <w:bCs/>
                <w:sz w:val="18"/>
                <w:szCs w:val="18"/>
                <w:lang w:eastAsia="en-GB"/>
              </w:rPr>
            </w:pPr>
            <w:r w:rsidRPr="009448E0">
              <w:rPr>
                <w:rFonts w:ascii="Calibri" w:eastAsia="Times New Roman" w:hAnsi="Calibri" w:cs="Times New Roman"/>
                <w:b/>
                <w:bCs/>
                <w:sz w:val="18"/>
                <w:szCs w:val="18"/>
                <w:lang w:eastAsia="en-GB"/>
              </w:rPr>
              <w:t>5</w:t>
            </w:r>
          </w:p>
        </w:tc>
        <w:tc>
          <w:tcPr>
            <w:tcW w:w="0" w:type="auto"/>
          </w:tcPr>
          <w:p w:rsidR="00FF227B" w:rsidRPr="009448E0" w:rsidRDefault="00FF227B" w:rsidP="00890252">
            <w:pPr>
              <w:spacing w:line="240" w:lineRule="auto"/>
              <w:jc w:val="center"/>
              <w:cnfStyle w:val="000000000000"/>
              <w:rPr>
                <w:rFonts w:ascii="Calibri" w:eastAsia="Times New Roman" w:hAnsi="Calibri" w:cs="Times New Roman"/>
                <w:b/>
                <w:bCs/>
                <w:sz w:val="18"/>
                <w:szCs w:val="18"/>
                <w:lang w:eastAsia="en-GB"/>
              </w:rPr>
            </w:pPr>
            <w:r w:rsidRPr="009448E0">
              <w:rPr>
                <w:rFonts w:ascii="Calibri" w:eastAsia="Times New Roman" w:hAnsi="Calibri" w:cs="Times New Roman"/>
                <w:b/>
                <w:bCs/>
                <w:sz w:val="18"/>
                <w:szCs w:val="18"/>
                <w:lang w:eastAsia="en-GB"/>
              </w:rPr>
              <w:t>6</w:t>
            </w:r>
          </w:p>
        </w:tc>
      </w:tr>
      <w:tr w:rsidR="00FF227B" w:rsidRPr="009448E0" w:rsidTr="00890252">
        <w:trPr>
          <w:cnfStyle w:val="000000100000"/>
          <w:trHeight w:val="240"/>
        </w:trPr>
        <w:tc>
          <w:tcPr>
            <w:cnfStyle w:val="001000000000"/>
            <w:tcW w:w="0" w:type="auto"/>
            <w:noWrap/>
            <w:hideMark/>
          </w:tcPr>
          <w:p w:rsidR="00FF227B" w:rsidRPr="009448E0" w:rsidRDefault="00FF227B" w:rsidP="00890252">
            <w:pPr>
              <w:spacing w:line="240" w:lineRule="auto"/>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Basterra-gortari et al.</w:t>
            </w:r>
            <w:r>
              <w:rPr>
                <w:rFonts w:ascii="Calibri" w:eastAsia="Times New Roman" w:hAnsi="Calibri" w:cs="Times New Roman"/>
                <w:noProof/>
                <w:color w:val="000000"/>
                <w:sz w:val="18"/>
                <w:szCs w:val="18"/>
                <w:lang w:eastAsia="en-GB"/>
              </w:rPr>
              <w:t>(39)</w:t>
            </w:r>
          </w:p>
        </w:tc>
        <w:tc>
          <w:tcPr>
            <w:tcW w:w="0" w:type="auto"/>
            <w:noWrap/>
            <w:hideMark/>
          </w:tcPr>
          <w:p w:rsidR="00FF227B" w:rsidRPr="009448E0" w:rsidRDefault="00FF227B" w:rsidP="00890252">
            <w:pPr>
              <w:spacing w:line="240" w:lineRule="auto"/>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TV viewing</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&lt;1</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1-2</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2-3</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≥3</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p>
        </w:tc>
        <w:tc>
          <w:tcPr>
            <w:tcW w:w="0" w:type="auto"/>
            <w:tcBorders>
              <w:right w:val="single" w:sz="4" w:space="0" w:color="auto"/>
            </w:tcBorders>
            <w:noWrap/>
            <w:hideMark/>
          </w:tcPr>
          <w:p w:rsidR="00FF227B" w:rsidRPr="009448E0" w:rsidRDefault="00FF227B" w:rsidP="00890252">
            <w:pPr>
              <w:spacing w:line="240" w:lineRule="auto"/>
              <w:jc w:val="center"/>
              <w:cnfStyle w:val="000000100000"/>
              <w:rPr>
                <w:rFonts w:ascii="Times New Roman" w:eastAsia="Times New Roman" w:hAnsi="Times New Roman" w:cs="Times New Roman"/>
                <w:sz w:val="20"/>
                <w:szCs w:val="20"/>
                <w:lang w:eastAsia="en-GB"/>
              </w:rPr>
            </w:pPr>
          </w:p>
        </w:tc>
        <w:tc>
          <w:tcPr>
            <w:tcW w:w="0" w:type="auto"/>
            <w:tcBorders>
              <w:left w:val="single" w:sz="4" w:space="0" w:color="auto"/>
            </w:tcBorders>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0.5</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1.5</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2.5</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3.5</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p>
        </w:tc>
        <w:tc>
          <w:tcPr>
            <w:tcW w:w="0" w:type="auto"/>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p>
        </w:tc>
      </w:tr>
      <w:tr w:rsidR="00FF227B" w:rsidRPr="009448E0" w:rsidTr="00890252">
        <w:trPr>
          <w:trHeight w:val="240"/>
        </w:trPr>
        <w:tc>
          <w:tcPr>
            <w:cnfStyle w:val="001000000000"/>
            <w:tcW w:w="0" w:type="auto"/>
            <w:noWrap/>
            <w:hideMark/>
          </w:tcPr>
          <w:p w:rsidR="00FF227B" w:rsidRPr="009448E0" w:rsidRDefault="00FF227B" w:rsidP="00890252">
            <w:pPr>
              <w:spacing w:line="240" w:lineRule="auto"/>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Chau et al.</w:t>
            </w:r>
            <w:r>
              <w:rPr>
                <w:rFonts w:ascii="Calibri" w:eastAsia="Times New Roman" w:hAnsi="Calibri" w:cs="Times New Roman"/>
                <w:noProof/>
                <w:color w:val="000000"/>
                <w:sz w:val="18"/>
                <w:szCs w:val="18"/>
                <w:lang w:eastAsia="en-GB"/>
              </w:rPr>
              <w:t>(40)</w:t>
            </w:r>
          </w:p>
        </w:tc>
        <w:tc>
          <w:tcPr>
            <w:tcW w:w="0" w:type="auto"/>
            <w:noWrap/>
            <w:hideMark/>
          </w:tcPr>
          <w:p w:rsidR="00FF227B" w:rsidRPr="009448E0" w:rsidRDefault="00FF227B" w:rsidP="00890252">
            <w:pPr>
              <w:spacing w:line="240" w:lineRule="auto"/>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 xml:space="preserve">TV viewing </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&lt;1</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1-3</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≥4</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p>
        </w:tc>
        <w:tc>
          <w:tcPr>
            <w:tcW w:w="0" w:type="auto"/>
            <w:noWrap/>
            <w:hideMark/>
          </w:tcPr>
          <w:p w:rsidR="00FF227B" w:rsidRPr="009448E0" w:rsidRDefault="00FF227B" w:rsidP="00890252">
            <w:pPr>
              <w:spacing w:line="240" w:lineRule="auto"/>
              <w:jc w:val="center"/>
              <w:cnfStyle w:val="000000000000"/>
              <w:rPr>
                <w:rFonts w:ascii="Times New Roman" w:eastAsia="Times New Roman" w:hAnsi="Times New Roman" w:cs="Times New Roman"/>
                <w:sz w:val="20"/>
                <w:szCs w:val="20"/>
                <w:lang w:eastAsia="en-GB"/>
              </w:rPr>
            </w:pPr>
          </w:p>
        </w:tc>
        <w:tc>
          <w:tcPr>
            <w:tcW w:w="0" w:type="auto"/>
            <w:tcBorders>
              <w:right w:val="single" w:sz="4" w:space="0" w:color="auto"/>
            </w:tcBorders>
            <w:noWrap/>
            <w:hideMark/>
          </w:tcPr>
          <w:p w:rsidR="00FF227B" w:rsidRPr="009448E0" w:rsidRDefault="00FF227B" w:rsidP="00890252">
            <w:pPr>
              <w:spacing w:line="240" w:lineRule="auto"/>
              <w:jc w:val="center"/>
              <w:cnfStyle w:val="000000000000"/>
              <w:rPr>
                <w:rFonts w:ascii="Times New Roman" w:eastAsia="Times New Roman" w:hAnsi="Times New Roman" w:cs="Times New Roman"/>
                <w:sz w:val="20"/>
                <w:szCs w:val="20"/>
                <w:lang w:eastAsia="en-GB"/>
              </w:rPr>
            </w:pPr>
          </w:p>
        </w:tc>
        <w:tc>
          <w:tcPr>
            <w:tcW w:w="0" w:type="auto"/>
            <w:tcBorders>
              <w:left w:val="single" w:sz="4" w:space="0" w:color="auto"/>
            </w:tcBorders>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0.5</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2</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5</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p>
        </w:tc>
        <w:tc>
          <w:tcPr>
            <w:tcW w:w="0" w:type="auto"/>
            <w:noWrap/>
            <w:hideMark/>
          </w:tcPr>
          <w:p w:rsidR="00FF227B" w:rsidRPr="009448E0" w:rsidRDefault="00FF227B" w:rsidP="00890252">
            <w:pPr>
              <w:spacing w:line="240" w:lineRule="auto"/>
              <w:jc w:val="center"/>
              <w:cnfStyle w:val="000000000000"/>
              <w:rPr>
                <w:rFonts w:ascii="Times New Roman" w:eastAsia="Times New Roman" w:hAnsi="Times New Roman" w:cs="Times New Roman"/>
                <w:sz w:val="20"/>
                <w:szCs w:val="20"/>
                <w:lang w:eastAsia="en-GB"/>
              </w:rPr>
            </w:pPr>
          </w:p>
        </w:tc>
        <w:tc>
          <w:tcPr>
            <w:tcW w:w="0" w:type="auto"/>
          </w:tcPr>
          <w:p w:rsidR="00FF227B" w:rsidRPr="009448E0" w:rsidRDefault="00FF227B" w:rsidP="00890252">
            <w:pPr>
              <w:spacing w:line="240" w:lineRule="auto"/>
              <w:jc w:val="center"/>
              <w:cnfStyle w:val="000000000000"/>
              <w:rPr>
                <w:rFonts w:ascii="Times New Roman" w:eastAsia="Times New Roman" w:hAnsi="Times New Roman" w:cs="Times New Roman"/>
                <w:sz w:val="20"/>
                <w:szCs w:val="20"/>
                <w:lang w:eastAsia="en-GB"/>
              </w:rPr>
            </w:pPr>
          </w:p>
        </w:tc>
      </w:tr>
      <w:tr w:rsidR="00FF227B" w:rsidRPr="009448E0" w:rsidTr="00890252">
        <w:trPr>
          <w:cnfStyle w:val="000000100000"/>
          <w:trHeight w:val="240"/>
        </w:trPr>
        <w:tc>
          <w:tcPr>
            <w:cnfStyle w:val="001000000000"/>
            <w:tcW w:w="0" w:type="auto"/>
            <w:noWrap/>
            <w:hideMark/>
          </w:tcPr>
          <w:p w:rsidR="00FF227B" w:rsidRPr="009448E0" w:rsidRDefault="00FF227B" w:rsidP="00890252">
            <w:pPr>
              <w:spacing w:line="240" w:lineRule="auto"/>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Dunstan et al.</w:t>
            </w:r>
            <w:r>
              <w:rPr>
                <w:rFonts w:ascii="Calibri" w:eastAsia="Times New Roman" w:hAnsi="Calibri" w:cs="Times New Roman"/>
                <w:noProof/>
                <w:color w:val="000000"/>
                <w:sz w:val="18"/>
                <w:szCs w:val="18"/>
                <w:lang w:eastAsia="en-GB"/>
              </w:rPr>
              <w:t>(49)</w:t>
            </w:r>
          </w:p>
        </w:tc>
        <w:tc>
          <w:tcPr>
            <w:tcW w:w="0" w:type="auto"/>
            <w:noWrap/>
            <w:hideMark/>
          </w:tcPr>
          <w:p w:rsidR="00FF227B" w:rsidRPr="009448E0" w:rsidRDefault="00FF227B" w:rsidP="00890252">
            <w:pPr>
              <w:spacing w:line="240" w:lineRule="auto"/>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TV viewing</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&lt;2</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&gt;=2&lt;4</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&gt;=4</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p>
        </w:tc>
        <w:tc>
          <w:tcPr>
            <w:tcW w:w="0" w:type="auto"/>
            <w:noWrap/>
            <w:hideMark/>
          </w:tcPr>
          <w:p w:rsidR="00FF227B" w:rsidRPr="009448E0" w:rsidRDefault="00FF227B" w:rsidP="00890252">
            <w:pPr>
              <w:spacing w:line="240" w:lineRule="auto"/>
              <w:jc w:val="center"/>
              <w:cnfStyle w:val="000000100000"/>
              <w:rPr>
                <w:rFonts w:ascii="Times New Roman" w:eastAsia="Times New Roman" w:hAnsi="Times New Roman" w:cs="Times New Roman"/>
                <w:sz w:val="20"/>
                <w:szCs w:val="20"/>
                <w:lang w:eastAsia="en-GB"/>
              </w:rPr>
            </w:pPr>
          </w:p>
        </w:tc>
        <w:tc>
          <w:tcPr>
            <w:tcW w:w="0" w:type="auto"/>
            <w:tcBorders>
              <w:right w:val="single" w:sz="4" w:space="0" w:color="auto"/>
            </w:tcBorders>
            <w:noWrap/>
            <w:hideMark/>
          </w:tcPr>
          <w:p w:rsidR="00FF227B" w:rsidRPr="009448E0" w:rsidRDefault="00FF227B" w:rsidP="00890252">
            <w:pPr>
              <w:spacing w:line="240" w:lineRule="auto"/>
              <w:jc w:val="center"/>
              <w:cnfStyle w:val="000000100000"/>
              <w:rPr>
                <w:rFonts w:ascii="Times New Roman" w:eastAsia="Times New Roman" w:hAnsi="Times New Roman" w:cs="Times New Roman"/>
                <w:sz w:val="20"/>
                <w:szCs w:val="20"/>
                <w:lang w:eastAsia="en-GB"/>
              </w:rPr>
            </w:pPr>
          </w:p>
        </w:tc>
        <w:tc>
          <w:tcPr>
            <w:tcW w:w="0" w:type="auto"/>
            <w:tcBorders>
              <w:left w:val="single" w:sz="4" w:space="0" w:color="auto"/>
            </w:tcBorders>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1</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3</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5</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p>
        </w:tc>
        <w:tc>
          <w:tcPr>
            <w:tcW w:w="0" w:type="auto"/>
            <w:noWrap/>
            <w:hideMark/>
          </w:tcPr>
          <w:p w:rsidR="00FF227B" w:rsidRPr="009448E0" w:rsidRDefault="00FF227B" w:rsidP="00890252">
            <w:pPr>
              <w:spacing w:line="240" w:lineRule="auto"/>
              <w:jc w:val="center"/>
              <w:cnfStyle w:val="000000100000"/>
              <w:rPr>
                <w:rFonts w:ascii="Times New Roman" w:eastAsia="Times New Roman" w:hAnsi="Times New Roman" w:cs="Times New Roman"/>
                <w:sz w:val="20"/>
                <w:szCs w:val="20"/>
                <w:lang w:eastAsia="en-GB"/>
              </w:rPr>
            </w:pPr>
          </w:p>
        </w:tc>
        <w:tc>
          <w:tcPr>
            <w:tcW w:w="0" w:type="auto"/>
          </w:tcPr>
          <w:p w:rsidR="00FF227B" w:rsidRPr="009448E0" w:rsidRDefault="00FF227B" w:rsidP="00890252">
            <w:pPr>
              <w:spacing w:line="240" w:lineRule="auto"/>
              <w:jc w:val="center"/>
              <w:cnfStyle w:val="000000100000"/>
              <w:rPr>
                <w:rFonts w:ascii="Times New Roman" w:eastAsia="Times New Roman" w:hAnsi="Times New Roman" w:cs="Times New Roman"/>
                <w:sz w:val="20"/>
                <w:szCs w:val="20"/>
                <w:lang w:eastAsia="en-GB"/>
              </w:rPr>
            </w:pPr>
          </w:p>
        </w:tc>
      </w:tr>
      <w:tr w:rsidR="00FF227B" w:rsidRPr="009448E0" w:rsidTr="00890252">
        <w:trPr>
          <w:trHeight w:val="240"/>
        </w:trPr>
        <w:tc>
          <w:tcPr>
            <w:cnfStyle w:val="001000000000"/>
            <w:tcW w:w="0" w:type="auto"/>
            <w:noWrap/>
            <w:hideMark/>
          </w:tcPr>
          <w:p w:rsidR="00FF227B" w:rsidRPr="009448E0" w:rsidRDefault="00FF227B" w:rsidP="00890252">
            <w:pPr>
              <w:spacing w:line="240" w:lineRule="auto"/>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Ford et al.</w:t>
            </w:r>
            <w:r>
              <w:rPr>
                <w:rFonts w:ascii="Calibri" w:eastAsia="Times New Roman" w:hAnsi="Calibri" w:cs="Times New Roman"/>
                <w:noProof/>
                <w:color w:val="000000"/>
                <w:sz w:val="18"/>
                <w:szCs w:val="18"/>
                <w:lang w:eastAsia="en-GB"/>
              </w:rPr>
              <w:t>(50)</w:t>
            </w:r>
          </w:p>
        </w:tc>
        <w:tc>
          <w:tcPr>
            <w:tcW w:w="0" w:type="auto"/>
            <w:noWrap/>
            <w:hideMark/>
          </w:tcPr>
          <w:p w:rsidR="00FF227B" w:rsidRPr="009448E0" w:rsidRDefault="00FF227B" w:rsidP="00890252">
            <w:pPr>
              <w:spacing w:line="240" w:lineRule="auto"/>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TV viewing</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&lt;1</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1-&lt;2</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2-&lt;3</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3-&lt;4</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4+</w:t>
            </w:r>
          </w:p>
        </w:tc>
        <w:tc>
          <w:tcPr>
            <w:tcW w:w="0" w:type="auto"/>
            <w:tcBorders>
              <w:right w:val="single" w:sz="4" w:space="0" w:color="auto"/>
            </w:tcBorders>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p>
        </w:tc>
        <w:tc>
          <w:tcPr>
            <w:tcW w:w="0" w:type="auto"/>
            <w:tcBorders>
              <w:left w:val="single" w:sz="4" w:space="0" w:color="auto"/>
            </w:tcBorders>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0.5</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1.5</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2.5</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3.5</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4.5</w:t>
            </w:r>
          </w:p>
        </w:tc>
        <w:tc>
          <w:tcPr>
            <w:tcW w:w="0" w:type="auto"/>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p>
        </w:tc>
      </w:tr>
      <w:tr w:rsidR="00FF227B" w:rsidRPr="009448E0" w:rsidTr="00890252">
        <w:trPr>
          <w:cnfStyle w:val="000000100000"/>
          <w:trHeight w:val="240"/>
        </w:trPr>
        <w:tc>
          <w:tcPr>
            <w:cnfStyle w:val="001000000000"/>
            <w:tcW w:w="0" w:type="auto"/>
            <w:noWrap/>
            <w:hideMark/>
          </w:tcPr>
          <w:p w:rsidR="00FF227B" w:rsidRPr="009448E0" w:rsidRDefault="00FF227B" w:rsidP="00890252">
            <w:pPr>
              <w:spacing w:line="240" w:lineRule="auto"/>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Hu et al. (2001)</w:t>
            </w:r>
            <w:r>
              <w:rPr>
                <w:rFonts w:ascii="Calibri" w:eastAsia="Times New Roman" w:hAnsi="Calibri" w:cs="Times New Roman"/>
                <w:noProof/>
                <w:color w:val="000000"/>
                <w:sz w:val="18"/>
                <w:szCs w:val="18"/>
                <w:lang w:eastAsia="en-GB"/>
              </w:rPr>
              <w:t>(52)</w:t>
            </w:r>
          </w:p>
        </w:tc>
        <w:tc>
          <w:tcPr>
            <w:tcW w:w="0" w:type="auto"/>
            <w:noWrap/>
            <w:hideMark/>
          </w:tcPr>
          <w:p w:rsidR="00FF227B" w:rsidRPr="009448E0" w:rsidRDefault="00FF227B" w:rsidP="00890252">
            <w:pPr>
              <w:spacing w:line="240" w:lineRule="auto"/>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TV viewing</w:t>
            </w:r>
          </w:p>
          <w:p w:rsidR="00FF227B" w:rsidRPr="009448E0" w:rsidRDefault="00FF227B" w:rsidP="00890252">
            <w:pPr>
              <w:spacing w:line="240" w:lineRule="auto"/>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(hours/week)</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0-1</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2-10</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11-20</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21-40</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&gt;40</w:t>
            </w:r>
          </w:p>
        </w:tc>
        <w:tc>
          <w:tcPr>
            <w:tcW w:w="0" w:type="auto"/>
            <w:tcBorders>
              <w:right w:val="single" w:sz="4" w:space="0" w:color="auto"/>
            </w:tcBorders>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p>
        </w:tc>
        <w:tc>
          <w:tcPr>
            <w:tcW w:w="0" w:type="auto"/>
            <w:tcBorders>
              <w:left w:val="single" w:sz="4" w:space="0" w:color="auto"/>
            </w:tcBorders>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0.07</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0.79</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2.14</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4.29</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7.143</w:t>
            </w:r>
          </w:p>
        </w:tc>
        <w:tc>
          <w:tcPr>
            <w:tcW w:w="0" w:type="auto"/>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p>
        </w:tc>
      </w:tr>
      <w:tr w:rsidR="00FF227B" w:rsidRPr="009448E0" w:rsidTr="00890252">
        <w:trPr>
          <w:trHeight w:val="240"/>
        </w:trPr>
        <w:tc>
          <w:tcPr>
            <w:cnfStyle w:val="001000000000"/>
            <w:tcW w:w="0" w:type="auto"/>
            <w:noWrap/>
            <w:hideMark/>
          </w:tcPr>
          <w:p w:rsidR="00FF227B" w:rsidRPr="009448E0" w:rsidRDefault="00FF227B" w:rsidP="00890252">
            <w:pPr>
              <w:spacing w:line="240" w:lineRule="auto"/>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Hu et al. (2003)</w:t>
            </w:r>
            <w:r>
              <w:rPr>
                <w:rFonts w:ascii="Calibri" w:eastAsia="Times New Roman" w:hAnsi="Calibri" w:cs="Times New Roman"/>
                <w:noProof/>
                <w:color w:val="000000"/>
                <w:sz w:val="18"/>
                <w:szCs w:val="18"/>
                <w:lang w:eastAsia="en-GB"/>
              </w:rPr>
              <w:t>(53)</w:t>
            </w:r>
          </w:p>
        </w:tc>
        <w:tc>
          <w:tcPr>
            <w:tcW w:w="0" w:type="auto"/>
            <w:noWrap/>
            <w:hideMark/>
          </w:tcPr>
          <w:p w:rsidR="00FF227B" w:rsidRPr="009448E0" w:rsidRDefault="00FF227B" w:rsidP="00890252">
            <w:pPr>
              <w:spacing w:line="240" w:lineRule="auto"/>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 xml:space="preserve">TV viewing </w:t>
            </w:r>
          </w:p>
          <w:p w:rsidR="00FF227B" w:rsidRPr="009448E0" w:rsidRDefault="00FF227B" w:rsidP="00890252">
            <w:pPr>
              <w:spacing w:line="240" w:lineRule="auto"/>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(hours/week)</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0-1</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2-5</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6-20</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21-40</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&gt;40</w:t>
            </w:r>
          </w:p>
        </w:tc>
        <w:tc>
          <w:tcPr>
            <w:tcW w:w="0" w:type="auto"/>
            <w:tcBorders>
              <w:right w:val="single" w:sz="4" w:space="0" w:color="auto"/>
            </w:tcBorders>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p>
        </w:tc>
        <w:tc>
          <w:tcPr>
            <w:tcW w:w="0" w:type="auto"/>
            <w:tcBorders>
              <w:left w:val="single" w:sz="4" w:space="0" w:color="auto"/>
            </w:tcBorders>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0.07</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0.57</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1.79</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4.29</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7.143</w:t>
            </w:r>
          </w:p>
        </w:tc>
        <w:tc>
          <w:tcPr>
            <w:tcW w:w="0" w:type="auto"/>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p>
        </w:tc>
      </w:tr>
      <w:tr w:rsidR="00FF227B" w:rsidRPr="009448E0" w:rsidTr="00890252">
        <w:trPr>
          <w:cnfStyle w:val="000000100000"/>
          <w:trHeight w:val="240"/>
        </w:trPr>
        <w:tc>
          <w:tcPr>
            <w:cnfStyle w:val="001000000000"/>
            <w:tcW w:w="0" w:type="auto"/>
            <w:noWrap/>
            <w:hideMark/>
          </w:tcPr>
          <w:p w:rsidR="00FF227B" w:rsidRPr="009448E0" w:rsidRDefault="00FF227B" w:rsidP="00890252">
            <w:pPr>
              <w:spacing w:line="240" w:lineRule="auto"/>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Ikehara et al.</w:t>
            </w:r>
            <w:r>
              <w:rPr>
                <w:rFonts w:ascii="Calibri" w:eastAsia="Times New Roman" w:hAnsi="Calibri" w:cs="Times New Roman"/>
                <w:noProof/>
                <w:color w:val="000000"/>
                <w:sz w:val="18"/>
                <w:szCs w:val="18"/>
                <w:lang w:eastAsia="en-GB"/>
              </w:rPr>
              <w:t>(54)</w:t>
            </w:r>
          </w:p>
        </w:tc>
        <w:tc>
          <w:tcPr>
            <w:tcW w:w="0" w:type="auto"/>
            <w:noWrap/>
            <w:hideMark/>
          </w:tcPr>
          <w:p w:rsidR="00FF227B" w:rsidRPr="009448E0" w:rsidRDefault="00FF227B" w:rsidP="00890252">
            <w:pPr>
              <w:spacing w:line="240" w:lineRule="auto"/>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TV viewing</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&lt;2</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2</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3</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4</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5</w:t>
            </w:r>
          </w:p>
        </w:tc>
        <w:tc>
          <w:tcPr>
            <w:tcW w:w="0" w:type="auto"/>
            <w:tcBorders>
              <w:right w:val="single" w:sz="4" w:space="0" w:color="auto"/>
            </w:tcBorders>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≥6</w:t>
            </w:r>
          </w:p>
        </w:tc>
        <w:tc>
          <w:tcPr>
            <w:tcW w:w="0" w:type="auto"/>
            <w:tcBorders>
              <w:left w:val="single" w:sz="4" w:space="0" w:color="auto"/>
            </w:tcBorders>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1</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2</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3</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4</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5</w:t>
            </w:r>
          </w:p>
        </w:tc>
        <w:tc>
          <w:tcPr>
            <w:tcW w:w="0" w:type="auto"/>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6.5</w:t>
            </w:r>
          </w:p>
        </w:tc>
      </w:tr>
      <w:tr w:rsidR="00FF227B" w:rsidRPr="009448E0" w:rsidTr="00890252">
        <w:trPr>
          <w:trHeight w:val="240"/>
        </w:trPr>
        <w:tc>
          <w:tcPr>
            <w:cnfStyle w:val="001000000000"/>
            <w:tcW w:w="0" w:type="auto"/>
            <w:noWrap/>
            <w:hideMark/>
          </w:tcPr>
          <w:p w:rsidR="00FF227B" w:rsidRPr="009448E0" w:rsidRDefault="00FF227B" w:rsidP="00890252">
            <w:pPr>
              <w:spacing w:line="240" w:lineRule="auto"/>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Joseph et al.</w:t>
            </w:r>
            <w:r>
              <w:rPr>
                <w:rFonts w:ascii="Calibri" w:eastAsia="Times New Roman" w:hAnsi="Calibri" w:cs="Times New Roman"/>
                <w:noProof/>
                <w:color w:val="000000"/>
                <w:sz w:val="18"/>
                <w:szCs w:val="18"/>
                <w:lang w:eastAsia="en-GB"/>
              </w:rPr>
              <w:t>(44)</w:t>
            </w:r>
          </w:p>
        </w:tc>
        <w:tc>
          <w:tcPr>
            <w:tcW w:w="0" w:type="auto"/>
            <w:noWrap/>
            <w:hideMark/>
          </w:tcPr>
          <w:p w:rsidR="00FF227B" w:rsidRPr="009448E0" w:rsidRDefault="00FF227B" w:rsidP="00890252">
            <w:pPr>
              <w:spacing w:line="240" w:lineRule="auto"/>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TV viewing</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0-2</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2.01-4</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4.01-6</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&gt;6</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p>
        </w:tc>
        <w:tc>
          <w:tcPr>
            <w:tcW w:w="0" w:type="auto"/>
            <w:tcBorders>
              <w:right w:val="single" w:sz="4" w:space="0" w:color="auto"/>
            </w:tcBorders>
            <w:noWrap/>
            <w:hideMark/>
          </w:tcPr>
          <w:p w:rsidR="00FF227B" w:rsidRPr="009448E0" w:rsidRDefault="00FF227B" w:rsidP="00890252">
            <w:pPr>
              <w:spacing w:line="240" w:lineRule="auto"/>
              <w:jc w:val="center"/>
              <w:cnfStyle w:val="000000000000"/>
              <w:rPr>
                <w:rFonts w:ascii="Times New Roman" w:eastAsia="Times New Roman" w:hAnsi="Times New Roman" w:cs="Times New Roman"/>
                <w:sz w:val="20"/>
                <w:szCs w:val="20"/>
                <w:lang w:eastAsia="en-GB"/>
              </w:rPr>
            </w:pPr>
          </w:p>
        </w:tc>
        <w:tc>
          <w:tcPr>
            <w:tcW w:w="0" w:type="auto"/>
            <w:tcBorders>
              <w:left w:val="single" w:sz="4" w:space="0" w:color="auto"/>
            </w:tcBorders>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1</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3</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5</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7</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p>
        </w:tc>
        <w:tc>
          <w:tcPr>
            <w:tcW w:w="0" w:type="auto"/>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p>
        </w:tc>
      </w:tr>
      <w:tr w:rsidR="00FF227B" w:rsidRPr="009448E0" w:rsidTr="00890252">
        <w:trPr>
          <w:cnfStyle w:val="000000100000"/>
          <w:trHeight w:val="240"/>
        </w:trPr>
        <w:tc>
          <w:tcPr>
            <w:cnfStyle w:val="001000000000"/>
            <w:tcW w:w="0" w:type="auto"/>
            <w:noWrap/>
            <w:hideMark/>
          </w:tcPr>
          <w:p w:rsidR="00FF227B" w:rsidRPr="009448E0" w:rsidRDefault="00FF227B" w:rsidP="00890252">
            <w:pPr>
              <w:spacing w:line="240" w:lineRule="auto"/>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Keadle et al.</w:t>
            </w:r>
            <w:r>
              <w:rPr>
                <w:rFonts w:ascii="Calibri" w:eastAsia="Times New Roman" w:hAnsi="Calibri" w:cs="Times New Roman"/>
                <w:noProof/>
                <w:color w:val="000000"/>
                <w:sz w:val="18"/>
                <w:szCs w:val="18"/>
                <w:lang w:eastAsia="en-GB"/>
              </w:rPr>
              <w:t>(57)</w:t>
            </w:r>
          </w:p>
        </w:tc>
        <w:tc>
          <w:tcPr>
            <w:tcW w:w="0" w:type="auto"/>
            <w:noWrap/>
            <w:hideMark/>
          </w:tcPr>
          <w:p w:rsidR="00FF227B" w:rsidRPr="009448E0" w:rsidRDefault="00FF227B" w:rsidP="00890252">
            <w:pPr>
              <w:spacing w:line="240" w:lineRule="auto"/>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TV viewing</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&lt;1</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1-2</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3-4</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5-6</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&gt;7</w:t>
            </w:r>
          </w:p>
        </w:tc>
        <w:tc>
          <w:tcPr>
            <w:tcW w:w="0" w:type="auto"/>
            <w:tcBorders>
              <w:right w:val="single" w:sz="4" w:space="0" w:color="auto"/>
            </w:tcBorders>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p>
        </w:tc>
        <w:tc>
          <w:tcPr>
            <w:tcW w:w="0" w:type="auto"/>
            <w:tcBorders>
              <w:left w:val="single" w:sz="4" w:space="0" w:color="auto"/>
            </w:tcBorders>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0.5</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2</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4</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6</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8</w:t>
            </w:r>
          </w:p>
        </w:tc>
        <w:tc>
          <w:tcPr>
            <w:tcW w:w="0" w:type="auto"/>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p>
        </w:tc>
      </w:tr>
      <w:tr w:rsidR="00FF227B" w:rsidRPr="009448E0" w:rsidTr="00890252">
        <w:trPr>
          <w:trHeight w:val="240"/>
        </w:trPr>
        <w:tc>
          <w:tcPr>
            <w:cnfStyle w:val="001000000000"/>
            <w:tcW w:w="0" w:type="auto"/>
            <w:noWrap/>
            <w:hideMark/>
          </w:tcPr>
          <w:p w:rsidR="00FF227B" w:rsidRPr="009448E0" w:rsidRDefault="00FF227B" w:rsidP="00890252">
            <w:pPr>
              <w:spacing w:line="240" w:lineRule="auto"/>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Kim et al.</w:t>
            </w:r>
            <w:r>
              <w:rPr>
                <w:rFonts w:ascii="Calibri" w:eastAsia="Times New Roman" w:hAnsi="Calibri" w:cs="Times New Roman"/>
                <w:noProof/>
                <w:color w:val="000000"/>
                <w:sz w:val="18"/>
                <w:szCs w:val="18"/>
                <w:lang w:eastAsia="en-GB"/>
              </w:rPr>
              <w:t>(45)</w:t>
            </w:r>
          </w:p>
        </w:tc>
        <w:tc>
          <w:tcPr>
            <w:tcW w:w="0" w:type="auto"/>
            <w:noWrap/>
            <w:hideMark/>
          </w:tcPr>
          <w:p w:rsidR="00FF227B" w:rsidRPr="009448E0" w:rsidRDefault="00FF227B" w:rsidP="00890252">
            <w:pPr>
              <w:spacing w:line="240" w:lineRule="auto"/>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TV viewing</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&lt;1</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1-4</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&gt;=5</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p>
        </w:tc>
        <w:tc>
          <w:tcPr>
            <w:tcW w:w="0" w:type="auto"/>
            <w:noWrap/>
            <w:hideMark/>
          </w:tcPr>
          <w:p w:rsidR="00FF227B" w:rsidRPr="009448E0" w:rsidRDefault="00FF227B" w:rsidP="00890252">
            <w:pPr>
              <w:spacing w:line="240" w:lineRule="auto"/>
              <w:jc w:val="center"/>
              <w:cnfStyle w:val="000000000000"/>
              <w:rPr>
                <w:rFonts w:ascii="Times New Roman" w:eastAsia="Times New Roman" w:hAnsi="Times New Roman" w:cs="Times New Roman"/>
                <w:sz w:val="20"/>
                <w:szCs w:val="20"/>
                <w:lang w:eastAsia="en-GB"/>
              </w:rPr>
            </w:pPr>
          </w:p>
        </w:tc>
        <w:tc>
          <w:tcPr>
            <w:tcW w:w="0" w:type="auto"/>
            <w:tcBorders>
              <w:right w:val="single" w:sz="4" w:space="0" w:color="auto"/>
            </w:tcBorders>
            <w:noWrap/>
            <w:hideMark/>
          </w:tcPr>
          <w:p w:rsidR="00FF227B" w:rsidRPr="009448E0" w:rsidRDefault="00FF227B" w:rsidP="00890252">
            <w:pPr>
              <w:spacing w:line="240" w:lineRule="auto"/>
              <w:jc w:val="center"/>
              <w:cnfStyle w:val="000000000000"/>
              <w:rPr>
                <w:rFonts w:ascii="Times New Roman" w:eastAsia="Times New Roman" w:hAnsi="Times New Roman" w:cs="Times New Roman"/>
                <w:sz w:val="20"/>
                <w:szCs w:val="20"/>
                <w:lang w:eastAsia="en-GB"/>
              </w:rPr>
            </w:pPr>
          </w:p>
        </w:tc>
        <w:tc>
          <w:tcPr>
            <w:tcW w:w="0" w:type="auto"/>
            <w:tcBorders>
              <w:left w:val="single" w:sz="4" w:space="0" w:color="auto"/>
            </w:tcBorders>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0.5</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3</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7</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p>
        </w:tc>
        <w:tc>
          <w:tcPr>
            <w:tcW w:w="0" w:type="auto"/>
            <w:noWrap/>
            <w:hideMark/>
          </w:tcPr>
          <w:p w:rsidR="00FF227B" w:rsidRPr="009448E0" w:rsidRDefault="00FF227B" w:rsidP="00890252">
            <w:pPr>
              <w:spacing w:line="240" w:lineRule="auto"/>
              <w:jc w:val="center"/>
              <w:cnfStyle w:val="000000000000"/>
              <w:rPr>
                <w:rFonts w:ascii="Times New Roman" w:eastAsia="Times New Roman" w:hAnsi="Times New Roman" w:cs="Times New Roman"/>
                <w:sz w:val="20"/>
                <w:szCs w:val="20"/>
                <w:lang w:eastAsia="en-GB"/>
              </w:rPr>
            </w:pPr>
          </w:p>
        </w:tc>
        <w:tc>
          <w:tcPr>
            <w:tcW w:w="0" w:type="auto"/>
          </w:tcPr>
          <w:p w:rsidR="00FF227B" w:rsidRPr="009448E0" w:rsidRDefault="00FF227B" w:rsidP="00890252">
            <w:pPr>
              <w:spacing w:line="240" w:lineRule="auto"/>
              <w:jc w:val="center"/>
              <w:cnfStyle w:val="000000000000"/>
              <w:rPr>
                <w:rFonts w:ascii="Times New Roman" w:eastAsia="Times New Roman" w:hAnsi="Times New Roman" w:cs="Times New Roman"/>
                <w:sz w:val="20"/>
                <w:szCs w:val="20"/>
                <w:lang w:eastAsia="en-GB"/>
              </w:rPr>
            </w:pPr>
          </w:p>
        </w:tc>
      </w:tr>
      <w:tr w:rsidR="00FF227B" w:rsidRPr="009448E0" w:rsidTr="00890252">
        <w:trPr>
          <w:cnfStyle w:val="000000100000"/>
          <w:trHeight w:val="240"/>
        </w:trPr>
        <w:tc>
          <w:tcPr>
            <w:cnfStyle w:val="001000000000"/>
            <w:tcW w:w="0" w:type="auto"/>
            <w:noWrap/>
            <w:hideMark/>
          </w:tcPr>
          <w:p w:rsidR="00FF227B" w:rsidRPr="009448E0" w:rsidRDefault="00FF227B" w:rsidP="00890252">
            <w:pPr>
              <w:spacing w:line="240" w:lineRule="auto"/>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Krishnan et al.</w:t>
            </w:r>
            <w:r>
              <w:rPr>
                <w:rFonts w:ascii="Calibri" w:eastAsia="Times New Roman" w:hAnsi="Calibri" w:cs="Times New Roman"/>
                <w:noProof/>
                <w:color w:val="000000"/>
                <w:sz w:val="18"/>
                <w:szCs w:val="18"/>
                <w:lang w:eastAsia="en-GB"/>
              </w:rPr>
              <w:t>(58)</w:t>
            </w:r>
          </w:p>
        </w:tc>
        <w:tc>
          <w:tcPr>
            <w:tcW w:w="0" w:type="auto"/>
            <w:noWrap/>
            <w:hideMark/>
          </w:tcPr>
          <w:p w:rsidR="00FF227B" w:rsidRPr="009448E0" w:rsidRDefault="00FF227B" w:rsidP="00890252">
            <w:pPr>
              <w:spacing w:line="240" w:lineRule="auto"/>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TV viewing</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&lt;1</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1-2</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3-4</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&gt;5</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p>
        </w:tc>
        <w:tc>
          <w:tcPr>
            <w:tcW w:w="0" w:type="auto"/>
            <w:tcBorders>
              <w:right w:val="single" w:sz="4" w:space="0" w:color="auto"/>
            </w:tcBorders>
            <w:noWrap/>
            <w:hideMark/>
          </w:tcPr>
          <w:p w:rsidR="00FF227B" w:rsidRPr="009448E0" w:rsidRDefault="00FF227B" w:rsidP="00890252">
            <w:pPr>
              <w:spacing w:line="240" w:lineRule="auto"/>
              <w:jc w:val="center"/>
              <w:cnfStyle w:val="000000100000"/>
              <w:rPr>
                <w:rFonts w:ascii="Times New Roman" w:eastAsia="Times New Roman" w:hAnsi="Times New Roman" w:cs="Times New Roman"/>
                <w:sz w:val="20"/>
                <w:szCs w:val="20"/>
                <w:lang w:eastAsia="en-GB"/>
              </w:rPr>
            </w:pPr>
          </w:p>
        </w:tc>
        <w:tc>
          <w:tcPr>
            <w:tcW w:w="0" w:type="auto"/>
            <w:tcBorders>
              <w:left w:val="single" w:sz="4" w:space="0" w:color="auto"/>
            </w:tcBorders>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0.5</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2</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4</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6</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p>
        </w:tc>
        <w:tc>
          <w:tcPr>
            <w:tcW w:w="0" w:type="auto"/>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p>
        </w:tc>
      </w:tr>
      <w:tr w:rsidR="00FF227B" w:rsidRPr="009448E0" w:rsidTr="00890252">
        <w:trPr>
          <w:trHeight w:val="240"/>
        </w:trPr>
        <w:tc>
          <w:tcPr>
            <w:cnfStyle w:val="001000000000"/>
            <w:tcW w:w="0" w:type="auto"/>
            <w:noWrap/>
            <w:hideMark/>
          </w:tcPr>
          <w:p w:rsidR="00FF227B" w:rsidRPr="009448E0" w:rsidRDefault="00FF227B" w:rsidP="00890252">
            <w:pPr>
              <w:spacing w:line="240" w:lineRule="auto"/>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Matthews et al. (2012)</w:t>
            </w:r>
            <w:r>
              <w:rPr>
                <w:rFonts w:ascii="Calibri" w:eastAsia="Times New Roman" w:hAnsi="Calibri" w:cs="Times New Roman"/>
                <w:noProof/>
                <w:color w:val="000000"/>
                <w:sz w:val="18"/>
                <w:szCs w:val="18"/>
                <w:lang w:eastAsia="en-GB"/>
              </w:rPr>
              <w:t>(61)</w:t>
            </w:r>
          </w:p>
        </w:tc>
        <w:tc>
          <w:tcPr>
            <w:tcW w:w="0" w:type="auto"/>
            <w:noWrap/>
            <w:hideMark/>
          </w:tcPr>
          <w:p w:rsidR="00FF227B" w:rsidRPr="009448E0" w:rsidRDefault="00FF227B" w:rsidP="00890252">
            <w:pPr>
              <w:spacing w:line="240" w:lineRule="auto"/>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TV viewing</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&lt;1</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1-2</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3-4</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5-6</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≥7</w:t>
            </w:r>
          </w:p>
        </w:tc>
        <w:tc>
          <w:tcPr>
            <w:tcW w:w="0" w:type="auto"/>
            <w:tcBorders>
              <w:right w:val="single" w:sz="4" w:space="0" w:color="auto"/>
            </w:tcBorders>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p>
        </w:tc>
        <w:tc>
          <w:tcPr>
            <w:tcW w:w="0" w:type="auto"/>
            <w:tcBorders>
              <w:left w:val="single" w:sz="4" w:space="0" w:color="auto"/>
            </w:tcBorders>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0.5</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2</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4</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6</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8</w:t>
            </w:r>
          </w:p>
        </w:tc>
        <w:tc>
          <w:tcPr>
            <w:tcW w:w="0" w:type="auto"/>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p>
        </w:tc>
      </w:tr>
      <w:tr w:rsidR="00FF227B" w:rsidRPr="009448E0" w:rsidTr="00890252">
        <w:trPr>
          <w:cnfStyle w:val="000000100000"/>
          <w:trHeight w:val="240"/>
        </w:trPr>
        <w:tc>
          <w:tcPr>
            <w:cnfStyle w:val="001000000000"/>
            <w:tcW w:w="0" w:type="auto"/>
            <w:noWrap/>
            <w:hideMark/>
          </w:tcPr>
          <w:p w:rsidR="00FF227B" w:rsidRPr="009448E0" w:rsidRDefault="00FF227B" w:rsidP="00890252">
            <w:pPr>
              <w:spacing w:line="240" w:lineRule="auto"/>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Muennig et al.</w:t>
            </w:r>
            <w:r>
              <w:rPr>
                <w:rFonts w:ascii="Calibri" w:eastAsia="Times New Roman" w:hAnsi="Calibri" w:cs="Times New Roman"/>
                <w:noProof/>
                <w:color w:val="000000"/>
                <w:sz w:val="18"/>
                <w:szCs w:val="18"/>
                <w:lang w:eastAsia="en-GB"/>
              </w:rPr>
              <w:t>(46)</w:t>
            </w:r>
          </w:p>
        </w:tc>
        <w:tc>
          <w:tcPr>
            <w:tcW w:w="0" w:type="auto"/>
            <w:noWrap/>
            <w:hideMark/>
          </w:tcPr>
          <w:p w:rsidR="00FF227B" w:rsidRPr="009448E0" w:rsidRDefault="00FF227B" w:rsidP="00890252">
            <w:pPr>
              <w:spacing w:line="240" w:lineRule="auto"/>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TV viewing</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0-1</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2-3</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4-5</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6+</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p>
        </w:tc>
        <w:tc>
          <w:tcPr>
            <w:tcW w:w="0" w:type="auto"/>
            <w:tcBorders>
              <w:right w:val="single" w:sz="4" w:space="0" w:color="auto"/>
            </w:tcBorders>
            <w:noWrap/>
            <w:hideMark/>
          </w:tcPr>
          <w:p w:rsidR="00FF227B" w:rsidRPr="009448E0" w:rsidRDefault="00FF227B" w:rsidP="00890252">
            <w:pPr>
              <w:spacing w:line="240" w:lineRule="auto"/>
              <w:jc w:val="center"/>
              <w:cnfStyle w:val="000000100000"/>
              <w:rPr>
                <w:rFonts w:ascii="Times New Roman" w:eastAsia="Times New Roman" w:hAnsi="Times New Roman" w:cs="Times New Roman"/>
                <w:sz w:val="20"/>
                <w:szCs w:val="20"/>
                <w:lang w:eastAsia="en-GB"/>
              </w:rPr>
            </w:pPr>
          </w:p>
        </w:tc>
        <w:tc>
          <w:tcPr>
            <w:tcW w:w="0" w:type="auto"/>
            <w:tcBorders>
              <w:left w:val="single" w:sz="4" w:space="0" w:color="auto"/>
            </w:tcBorders>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1</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3</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5</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7</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p>
        </w:tc>
        <w:tc>
          <w:tcPr>
            <w:tcW w:w="0" w:type="auto"/>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p>
        </w:tc>
      </w:tr>
      <w:tr w:rsidR="00FF227B" w:rsidRPr="009448E0" w:rsidTr="00890252">
        <w:trPr>
          <w:trHeight w:val="240"/>
        </w:trPr>
        <w:tc>
          <w:tcPr>
            <w:cnfStyle w:val="001000000000"/>
            <w:tcW w:w="0" w:type="auto"/>
            <w:noWrap/>
            <w:hideMark/>
          </w:tcPr>
          <w:p w:rsidR="00FF227B" w:rsidRPr="009448E0" w:rsidRDefault="00FF227B" w:rsidP="00890252">
            <w:pPr>
              <w:spacing w:line="240" w:lineRule="auto"/>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Pulsford et al.</w:t>
            </w:r>
            <w:r>
              <w:rPr>
                <w:rFonts w:ascii="Calibri" w:eastAsia="Times New Roman" w:hAnsi="Calibri" w:cs="Times New Roman"/>
                <w:noProof/>
                <w:color w:val="000000"/>
                <w:sz w:val="18"/>
                <w:szCs w:val="18"/>
                <w:lang w:eastAsia="en-GB"/>
              </w:rPr>
              <w:t>(66)</w:t>
            </w:r>
          </w:p>
        </w:tc>
        <w:tc>
          <w:tcPr>
            <w:tcW w:w="0" w:type="auto"/>
            <w:noWrap/>
            <w:hideMark/>
          </w:tcPr>
          <w:p w:rsidR="00FF227B" w:rsidRPr="009448E0" w:rsidRDefault="00FF227B" w:rsidP="00890252">
            <w:pPr>
              <w:spacing w:line="240" w:lineRule="auto"/>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 xml:space="preserve">TV viewing </w:t>
            </w:r>
          </w:p>
          <w:p w:rsidR="00FF227B" w:rsidRPr="009448E0" w:rsidRDefault="00FF227B" w:rsidP="00890252">
            <w:pPr>
              <w:spacing w:line="240" w:lineRule="auto"/>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(hours/week)</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≥0, &lt;8</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≥8, &lt;15</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≥15, &lt;16</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≥16</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p>
        </w:tc>
        <w:tc>
          <w:tcPr>
            <w:tcW w:w="0" w:type="auto"/>
            <w:tcBorders>
              <w:right w:val="single" w:sz="4" w:space="0" w:color="auto"/>
            </w:tcBorders>
            <w:noWrap/>
            <w:hideMark/>
          </w:tcPr>
          <w:p w:rsidR="00FF227B" w:rsidRPr="009448E0" w:rsidRDefault="00FF227B" w:rsidP="00890252">
            <w:pPr>
              <w:spacing w:line="240" w:lineRule="auto"/>
              <w:jc w:val="center"/>
              <w:cnfStyle w:val="000000000000"/>
              <w:rPr>
                <w:rFonts w:ascii="Times New Roman" w:eastAsia="Times New Roman" w:hAnsi="Times New Roman" w:cs="Times New Roman"/>
                <w:sz w:val="20"/>
                <w:szCs w:val="20"/>
                <w:lang w:eastAsia="en-GB"/>
              </w:rPr>
            </w:pPr>
          </w:p>
        </w:tc>
        <w:tc>
          <w:tcPr>
            <w:tcW w:w="0" w:type="auto"/>
            <w:tcBorders>
              <w:left w:val="single" w:sz="4" w:space="0" w:color="auto"/>
            </w:tcBorders>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0.571</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1.643</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2.214</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2.357</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p>
        </w:tc>
        <w:tc>
          <w:tcPr>
            <w:tcW w:w="0" w:type="auto"/>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p>
        </w:tc>
      </w:tr>
      <w:tr w:rsidR="00FF227B" w:rsidRPr="009448E0" w:rsidTr="00890252">
        <w:trPr>
          <w:cnfStyle w:val="000000100000"/>
          <w:trHeight w:val="240"/>
        </w:trPr>
        <w:tc>
          <w:tcPr>
            <w:cnfStyle w:val="001000000000"/>
            <w:tcW w:w="0" w:type="auto"/>
            <w:noWrap/>
            <w:hideMark/>
          </w:tcPr>
          <w:p w:rsidR="00FF227B" w:rsidRPr="009448E0" w:rsidRDefault="00FF227B" w:rsidP="00890252">
            <w:pPr>
              <w:spacing w:line="240" w:lineRule="auto"/>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Smith et al.</w:t>
            </w:r>
            <w:r>
              <w:rPr>
                <w:rFonts w:ascii="Calibri" w:eastAsia="Times New Roman" w:hAnsi="Calibri" w:cs="Times New Roman"/>
                <w:noProof/>
                <w:color w:val="000000"/>
                <w:sz w:val="18"/>
                <w:szCs w:val="18"/>
                <w:lang w:eastAsia="en-GB"/>
              </w:rPr>
              <w:t>(69)</w:t>
            </w:r>
          </w:p>
        </w:tc>
        <w:tc>
          <w:tcPr>
            <w:tcW w:w="0" w:type="auto"/>
            <w:noWrap/>
            <w:hideMark/>
          </w:tcPr>
          <w:p w:rsidR="00FF227B" w:rsidRPr="009448E0" w:rsidRDefault="00FF227B" w:rsidP="00890252">
            <w:pPr>
              <w:spacing w:line="240" w:lineRule="auto"/>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TV viewing</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&lt;2</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≥2, &lt;4</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≥4, &lt;6</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≥6</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p>
        </w:tc>
        <w:tc>
          <w:tcPr>
            <w:tcW w:w="0" w:type="auto"/>
            <w:tcBorders>
              <w:right w:val="single" w:sz="4" w:space="0" w:color="auto"/>
            </w:tcBorders>
            <w:noWrap/>
            <w:hideMark/>
          </w:tcPr>
          <w:p w:rsidR="00FF227B" w:rsidRPr="009448E0" w:rsidRDefault="00FF227B" w:rsidP="00890252">
            <w:pPr>
              <w:spacing w:line="240" w:lineRule="auto"/>
              <w:jc w:val="center"/>
              <w:cnfStyle w:val="000000100000"/>
              <w:rPr>
                <w:rFonts w:ascii="Times New Roman" w:eastAsia="Times New Roman" w:hAnsi="Times New Roman" w:cs="Times New Roman"/>
                <w:sz w:val="20"/>
                <w:szCs w:val="20"/>
                <w:lang w:eastAsia="en-GB"/>
              </w:rPr>
            </w:pPr>
          </w:p>
        </w:tc>
        <w:tc>
          <w:tcPr>
            <w:tcW w:w="0" w:type="auto"/>
            <w:tcBorders>
              <w:left w:val="single" w:sz="4" w:space="0" w:color="auto"/>
            </w:tcBorders>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1</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3</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5</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7</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p>
        </w:tc>
        <w:tc>
          <w:tcPr>
            <w:tcW w:w="0" w:type="auto"/>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p>
        </w:tc>
      </w:tr>
      <w:tr w:rsidR="00FF227B" w:rsidRPr="009448E0" w:rsidTr="00890252">
        <w:trPr>
          <w:trHeight w:val="240"/>
        </w:trPr>
        <w:tc>
          <w:tcPr>
            <w:cnfStyle w:val="001000000000"/>
            <w:tcW w:w="0" w:type="auto"/>
            <w:noWrap/>
            <w:hideMark/>
          </w:tcPr>
          <w:p w:rsidR="00FF227B" w:rsidRPr="009448E0" w:rsidRDefault="00FF227B" w:rsidP="00890252">
            <w:pPr>
              <w:spacing w:line="240" w:lineRule="auto"/>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Suzuki et al.</w:t>
            </w:r>
            <w:r>
              <w:rPr>
                <w:rFonts w:ascii="Calibri" w:eastAsia="Times New Roman" w:hAnsi="Calibri" w:cs="Times New Roman"/>
                <w:noProof/>
                <w:color w:val="000000"/>
                <w:sz w:val="18"/>
                <w:szCs w:val="18"/>
                <w:lang w:eastAsia="en-GB"/>
              </w:rPr>
              <w:t>(70)</w:t>
            </w:r>
          </w:p>
        </w:tc>
        <w:tc>
          <w:tcPr>
            <w:tcW w:w="0" w:type="auto"/>
            <w:noWrap/>
            <w:hideMark/>
          </w:tcPr>
          <w:p w:rsidR="00FF227B" w:rsidRPr="009448E0" w:rsidRDefault="00FF227B" w:rsidP="00890252">
            <w:pPr>
              <w:spacing w:line="240" w:lineRule="auto"/>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TV viewing</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&lt;2</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2-4</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4+</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p>
        </w:tc>
        <w:tc>
          <w:tcPr>
            <w:tcW w:w="0" w:type="auto"/>
            <w:noWrap/>
            <w:hideMark/>
          </w:tcPr>
          <w:p w:rsidR="00FF227B" w:rsidRPr="009448E0" w:rsidRDefault="00FF227B" w:rsidP="00890252">
            <w:pPr>
              <w:spacing w:line="240" w:lineRule="auto"/>
              <w:jc w:val="center"/>
              <w:cnfStyle w:val="000000000000"/>
              <w:rPr>
                <w:rFonts w:ascii="Times New Roman" w:eastAsia="Times New Roman" w:hAnsi="Times New Roman" w:cs="Times New Roman"/>
                <w:sz w:val="20"/>
                <w:szCs w:val="20"/>
                <w:lang w:eastAsia="en-GB"/>
              </w:rPr>
            </w:pPr>
          </w:p>
        </w:tc>
        <w:tc>
          <w:tcPr>
            <w:tcW w:w="0" w:type="auto"/>
            <w:tcBorders>
              <w:right w:val="single" w:sz="4" w:space="0" w:color="auto"/>
            </w:tcBorders>
            <w:noWrap/>
            <w:hideMark/>
          </w:tcPr>
          <w:p w:rsidR="00FF227B" w:rsidRPr="009448E0" w:rsidRDefault="00FF227B" w:rsidP="00890252">
            <w:pPr>
              <w:spacing w:line="240" w:lineRule="auto"/>
              <w:jc w:val="center"/>
              <w:cnfStyle w:val="000000000000"/>
              <w:rPr>
                <w:rFonts w:ascii="Times New Roman" w:eastAsia="Times New Roman" w:hAnsi="Times New Roman" w:cs="Times New Roman"/>
                <w:sz w:val="20"/>
                <w:szCs w:val="20"/>
                <w:lang w:eastAsia="en-GB"/>
              </w:rPr>
            </w:pPr>
          </w:p>
        </w:tc>
        <w:tc>
          <w:tcPr>
            <w:tcW w:w="0" w:type="auto"/>
            <w:tcBorders>
              <w:left w:val="single" w:sz="4" w:space="0" w:color="auto"/>
            </w:tcBorders>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1</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3</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5</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p>
        </w:tc>
        <w:tc>
          <w:tcPr>
            <w:tcW w:w="0" w:type="auto"/>
            <w:noWrap/>
            <w:hideMark/>
          </w:tcPr>
          <w:p w:rsidR="00FF227B" w:rsidRPr="009448E0" w:rsidRDefault="00FF227B" w:rsidP="00890252">
            <w:pPr>
              <w:spacing w:line="240" w:lineRule="auto"/>
              <w:jc w:val="center"/>
              <w:cnfStyle w:val="000000000000"/>
              <w:rPr>
                <w:rFonts w:ascii="Times New Roman" w:eastAsia="Times New Roman" w:hAnsi="Times New Roman" w:cs="Times New Roman"/>
                <w:sz w:val="20"/>
                <w:szCs w:val="20"/>
                <w:lang w:eastAsia="en-GB"/>
              </w:rPr>
            </w:pPr>
          </w:p>
        </w:tc>
        <w:tc>
          <w:tcPr>
            <w:tcW w:w="0" w:type="auto"/>
          </w:tcPr>
          <w:p w:rsidR="00FF227B" w:rsidRPr="009448E0" w:rsidRDefault="00FF227B" w:rsidP="00890252">
            <w:pPr>
              <w:spacing w:line="240" w:lineRule="auto"/>
              <w:jc w:val="center"/>
              <w:cnfStyle w:val="000000000000"/>
              <w:rPr>
                <w:rFonts w:ascii="Times New Roman" w:eastAsia="Times New Roman" w:hAnsi="Times New Roman" w:cs="Times New Roman"/>
                <w:sz w:val="20"/>
                <w:szCs w:val="20"/>
                <w:lang w:eastAsia="en-GB"/>
              </w:rPr>
            </w:pPr>
          </w:p>
        </w:tc>
      </w:tr>
      <w:tr w:rsidR="00FF227B" w:rsidRPr="009448E0" w:rsidTr="00890252">
        <w:trPr>
          <w:cnfStyle w:val="000000100000"/>
          <w:trHeight w:val="240"/>
        </w:trPr>
        <w:tc>
          <w:tcPr>
            <w:cnfStyle w:val="001000000000"/>
            <w:tcW w:w="0" w:type="auto"/>
            <w:noWrap/>
            <w:hideMark/>
          </w:tcPr>
          <w:p w:rsidR="00FF227B" w:rsidRPr="009448E0" w:rsidRDefault="00FF227B" w:rsidP="00890252">
            <w:pPr>
              <w:spacing w:line="240" w:lineRule="auto"/>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Warren et al.</w:t>
            </w:r>
            <w:r>
              <w:rPr>
                <w:rFonts w:ascii="Calibri" w:eastAsia="Times New Roman" w:hAnsi="Calibri" w:cs="Times New Roman"/>
                <w:noProof/>
                <w:color w:val="000000"/>
                <w:sz w:val="18"/>
                <w:szCs w:val="18"/>
                <w:lang w:eastAsia="en-GB"/>
              </w:rPr>
              <w:t>(47)</w:t>
            </w:r>
          </w:p>
        </w:tc>
        <w:tc>
          <w:tcPr>
            <w:tcW w:w="0" w:type="auto"/>
            <w:noWrap/>
            <w:hideMark/>
          </w:tcPr>
          <w:p w:rsidR="00FF227B" w:rsidRPr="009448E0" w:rsidRDefault="00FF227B" w:rsidP="00890252">
            <w:pPr>
              <w:spacing w:line="240" w:lineRule="auto"/>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TV viewing</w:t>
            </w:r>
          </w:p>
        </w:tc>
        <w:tc>
          <w:tcPr>
            <w:tcW w:w="0" w:type="auto"/>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&lt;4</w:t>
            </w:r>
          </w:p>
        </w:tc>
        <w:tc>
          <w:tcPr>
            <w:tcW w:w="0" w:type="auto"/>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4-8</w:t>
            </w:r>
          </w:p>
        </w:tc>
        <w:tc>
          <w:tcPr>
            <w:tcW w:w="0" w:type="auto"/>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8-12</w:t>
            </w:r>
          </w:p>
        </w:tc>
        <w:tc>
          <w:tcPr>
            <w:tcW w:w="0" w:type="auto"/>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&gt;12</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p>
        </w:tc>
        <w:tc>
          <w:tcPr>
            <w:tcW w:w="0" w:type="auto"/>
            <w:tcBorders>
              <w:right w:val="single" w:sz="4" w:space="0" w:color="auto"/>
            </w:tcBorders>
            <w:noWrap/>
            <w:hideMark/>
          </w:tcPr>
          <w:p w:rsidR="00FF227B" w:rsidRPr="009448E0" w:rsidRDefault="00FF227B" w:rsidP="00890252">
            <w:pPr>
              <w:spacing w:line="240" w:lineRule="auto"/>
              <w:jc w:val="center"/>
              <w:cnfStyle w:val="000000100000"/>
              <w:rPr>
                <w:rFonts w:ascii="Times New Roman" w:eastAsia="Times New Roman" w:hAnsi="Times New Roman" w:cs="Times New Roman"/>
                <w:sz w:val="20"/>
                <w:szCs w:val="20"/>
                <w:lang w:eastAsia="en-GB"/>
              </w:rPr>
            </w:pPr>
          </w:p>
        </w:tc>
        <w:tc>
          <w:tcPr>
            <w:tcW w:w="0" w:type="auto"/>
            <w:tcBorders>
              <w:left w:val="single" w:sz="4" w:space="0" w:color="auto"/>
            </w:tcBorders>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2</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6</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10</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14</w:t>
            </w:r>
          </w:p>
        </w:tc>
        <w:tc>
          <w:tcPr>
            <w:tcW w:w="0" w:type="auto"/>
            <w:noWrap/>
            <w:hideMark/>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p>
        </w:tc>
        <w:tc>
          <w:tcPr>
            <w:tcW w:w="0" w:type="auto"/>
          </w:tcPr>
          <w:p w:rsidR="00FF227B" w:rsidRPr="009448E0" w:rsidRDefault="00FF227B" w:rsidP="00890252">
            <w:pPr>
              <w:spacing w:line="240" w:lineRule="auto"/>
              <w:jc w:val="center"/>
              <w:cnfStyle w:val="000000100000"/>
              <w:rPr>
                <w:rFonts w:ascii="Calibri" w:eastAsia="Times New Roman" w:hAnsi="Calibri" w:cs="Times New Roman"/>
                <w:color w:val="000000"/>
                <w:sz w:val="18"/>
                <w:szCs w:val="18"/>
                <w:lang w:eastAsia="en-GB"/>
              </w:rPr>
            </w:pPr>
          </w:p>
        </w:tc>
      </w:tr>
      <w:tr w:rsidR="00FF227B" w:rsidRPr="009448E0" w:rsidTr="00890252">
        <w:trPr>
          <w:trHeight w:val="240"/>
        </w:trPr>
        <w:tc>
          <w:tcPr>
            <w:cnfStyle w:val="001000000000"/>
            <w:tcW w:w="0" w:type="auto"/>
            <w:noWrap/>
            <w:hideMark/>
          </w:tcPr>
          <w:p w:rsidR="00FF227B" w:rsidRPr="009448E0" w:rsidRDefault="00FF227B" w:rsidP="00890252">
            <w:pPr>
              <w:spacing w:line="240" w:lineRule="auto"/>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Wijndaele et al.</w:t>
            </w:r>
            <w:r>
              <w:rPr>
                <w:rFonts w:ascii="Calibri" w:eastAsia="Times New Roman" w:hAnsi="Calibri" w:cs="Times New Roman"/>
                <w:noProof/>
                <w:color w:val="000000"/>
                <w:sz w:val="18"/>
                <w:szCs w:val="18"/>
                <w:lang w:eastAsia="en-GB"/>
              </w:rPr>
              <w:t>(48)</w:t>
            </w:r>
          </w:p>
        </w:tc>
        <w:tc>
          <w:tcPr>
            <w:tcW w:w="0" w:type="auto"/>
            <w:noWrap/>
            <w:hideMark/>
          </w:tcPr>
          <w:p w:rsidR="00FF227B" w:rsidRPr="009448E0" w:rsidRDefault="00FF227B" w:rsidP="00890252">
            <w:pPr>
              <w:spacing w:line="240" w:lineRule="auto"/>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TV viewing</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&lt;2.5</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2.5-3.6</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&gt;3.6</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p>
        </w:tc>
        <w:tc>
          <w:tcPr>
            <w:tcW w:w="0" w:type="auto"/>
            <w:noWrap/>
            <w:hideMark/>
          </w:tcPr>
          <w:p w:rsidR="00FF227B" w:rsidRPr="009448E0" w:rsidRDefault="00FF227B" w:rsidP="00890252">
            <w:pPr>
              <w:spacing w:line="240" w:lineRule="auto"/>
              <w:jc w:val="center"/>
              <w:cnfStyle w:val="000000000000"/>
              <w:rPr>
                <w:rFonts w:ascii="Times New Roman" w:eastAsia="Times New Roman" w:hAnsi="Times New Roman" w:cs="Times New Roman"/>
                <w:sz w:val="20"/>
                <w:szCs w:val="20"/>
                <w:lang w:eastAsia="en-GB"/>
              </w:rPr>
            </w:pPr>
          </w:p>
        </w:tc>
        <w:tc>
          <w:tcPr>
            <w:tcW w:w="0" w:type="auto"/>
            <w:tcBorders>
              <w:right w:val="single" w:sz="4" w:space="0" w:color="auto"/>
            </w:tcBorders>
            <w:noWrap/>
            <w:hideMark/>
          </w:tcPr>
          <w:p w:rsidR="00FF227B" w:rsidRPr="009448E0" w:rsidRDefault="00FF227B" w:rsidP="00890252">
            <w:pPr>
              <w:spacing w:line="240" w:lineRule="auto"/>
              <w:jc w:val="center"/>
              <w:cnfStyle w:val="000000000000"/>
              <w:rPr>
                <w:rFonts w:ascii="Times New Roman" w:eastAsia="Times New Roman" w:hAnsi="Times New Roman" w:cs="Times New Roman"/>
                <w:sz w:val="20"/>
                <w:szCs w:val="20"/>
                <w:lang w:eastAsia="en-GB"/>
              </w:rPr>
            </w:pPr>
          </w:p>
        </w:tc>
        <w:tc>
          <w:tcPr>
            <w:tcW w:w="0" w:type="auto"/>
            <w:tcBorders>
              <w:left w:val="single" w:sz="4" w:space="0" w:color="auto"/>
            </w:tcBorders>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1.25</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3.05</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r w:rsidRPr="009448E0">
              <w:rPr>
                <w:rFonts w:ascii="Calibri" w:eastAsia="Times New Roman" w:hAnsi="Calibri" w:cs="Times New Roman"/>
                <w:color w:val="000000"/>
                <w:sz w:val="18"/>
                <w:szCs w:val="18"/>
                <w:lang w:eastAsia="en-GB"/>
              </w:rPr>
              <w:t>4.15</w:t>
            </w:r>
          </w:p>
        </w:tc>
        <w:tc>
          <w:tcPr>
            <w:tcW w:w="0" w:type="auto"/>
            <w:noWrap/>
            <w:hideMark/>
          </w:tcPr>
          <w:p w:rsidR="00FF227B" w:rsidRPr="009448E0" w:rsidRDefault="00FF227B" w:rsidP="00890252">
            <w:pPr>
              <w:spacing w:line="240" w:lineRule="auto"/>
              <w:jc w:val="center"/>
              <w:cnfStyle w:val="000000000000"/>
              <w:rPr>
                <w:rFonts w:ascii="Calibri" w:eastAsia="Times New Roman" w:hAnsi="Calibri" w:cs="Times New Roman"/>
                <w:color w:val="000000"/>
                <w:sz w:val="18"/>
                <w:szCs w:val="18"/>
                <w:lang w:eastAsia="en-GB"/>
              </w:rPr>
            </w:pPr>
          </w:p>
        </w:tc>
        <w:tc>
          <w:tcPr>
            <w:tcW w:w="0" w:type="auto"/>
            <w:noWrap/>
            <w:hideMark/>
          </w:tcPr>
          <w:p w:rsidR="00FF227B" w:rsidRPr="009448E0" w:rsidRDefault="00FF227B" w:rsidP="00890252">
            <w:pPr>
              <w:spacing w:line="240" w:lineRule="auto"/>
              <w:jc w:val="center"/>
              <w:cnfStyle w:val="000000000000"/>
              <w:rPr>
                <w:rFonts w:ascii="Times New Roman" w:eastAsia="Times New Roman" w:hAnsi="Times New Roman" w:cs="Times New Roman"/>
                <w:sz w:val="20"/>
                <w:szCs w:val="20"/>
                <w:lang w:eastAsia="en-GB"/>
              </w:rPr>
            </w:pPr>
          </w:p>
        </w:tc>
        <w:tc>
          <w:tcPr>
            <w:tcW w:w="0" w:type="auto"/>
          </w:tcPr>
          <w:p w:rsidR="00FF227B" w:rsidRPr="009448E0" w:rsidRDefault="00FF227B" w:rsidP="00890252">
            <w:pPr>
              <w:spacing w:line="240" w:lineRule="auto"/>
              <w:jc w:val="center"/>
              <w:cnfStyle w:val="000000000000"/>
              <w:rPr>
                <w:rFonts w:ascii="Times New Roman" w:eastAsia="Times New Roman" w:hAnsi="Times New Roman" w:cs="Times New Roman"/>
                <w:sz w:val="20"/>
                <w:szCs w:val="20"/>
                <w:lang w:eastAsia="en-GB"/>
              </w:rPr>
            </w:pPr>
          </w:p>
        </w:tc>
      </w:tr>
    </w:tbl>
    <w:p w:rsidR="00FF227B" w:rsidRPr="009448E0" w:rsidRDefault="00FF227B" w:rsidP="00890252">
      <w:pPr>
        <w:spacing w:line="259" w:lineRule="auto"/>
      </w:pPr>
    </w:p>
    <w:p w:rsidR="00FF227B" w:rsidRPr="009448E0" w:rsidRDefault="00FF227B" w:rsidP="00890252">
      <w:pPr>
        <w:spacing w:line="259" w:lineRule="auto"/>
      </w:pPr>
      <w:r w:rsidRPr="009448E0">
        <w:br w:type="page"/>
      </w:r>
    </w:p>
    <w:tbl>
      <w:tblPr>
        <w:tblStyle w:val="GridTable2-Accent11"/>
        <w:tblW w:w="0" w:type="auto"/>
        <w:tblLook w:val="04A0"/>
      </w:tblPr>
      <w:tblGrid>
        <w:gridCol w:w="1105"/>
        <w:gridCol w:w="2061"/>
        <w:gridCol w:w="2272"/>
        <w:gridCol w:w="1773"/>
        <w:gridCol w:w="1818"/>
        <w:gridCol w:w="3841"/>
        <w:gridCol w:w="2744"/>
      </w:tblGrid>
      <w:tr w:rsidR="00FF227B" w:rsidRPr="009448E0" w:rsidTr="00890252">
        <w:trPr>
          <w:cnfStyle w:val="100000000000"/>
          <w:trHeight w:val="675"/>
        </w:trPr>
        <w:tc>
          <w:tcPr>
            <w:cnfStyle w:val="001000000000"/>
            <w:tcW w:w="0" w:type="auto"/>
            <w:gridSpan w:val="6"/>
          </w:tcPr>
          <w:p w:rsidR="00FF227B" w:rsidRPr="009448E0" w:rsidRDefault="00FF227B" w:rsidP="00890252">
            <w:pPr>
              <w:keepNext/>
              <w:keepLines/>
              <w:spacing w:before="240" w:line="240" w:lineRule="auto"/>
              <w:outlineLvl w:val="0"/>
              <w:rPr>
                <w:rFonts w:eastAsia="Times New Roman" w:cstheme="majorBidi"/>
                <w:szCs w:val="32"/>
                <w:lang w:eastAsia="en-GB"/>
              </w:rPr>
            </w:pPr>
            <w:bookmarkStart w:id="5" w:name="_Toc486427061"/>
            <w:r>
              <w:rPr>
                <w:rFonts w:eastAsia="Times New Roman" w:cstheme="majorBidi"/>
                <w:szCs w:val="32"/>
                <w:lang w:eastAsia="en-GB"/>
              </w:rPr>
              <w:lastRenderedPageBreak/>
              <w:t>Appendix Table</w:t>
            </w:r>
            <w:r w:rsidRPr="009448E0">
              <w:rPr>
                <w:rFonts w:eastAsia="Times New Roman" w:cstheme="majorBidi"/>
                <w:szCs w:val="32"/>
                <w:lang w:eastAsia="en-GB"/>
              </w:rPr>
              <w:t xml:space="preserve"> 4 – additional information about the quality of the 34 studies included in the analysis by outcome</w:t>
            </w:r>
            <w:bookmarkEnd w:id="5"/>
          </w:p>
        </w:tc>
        <w:tc>
          <w:tcPr>
            <w:tcW w:w="0" w:type="auto"/>
          </w:tcPr>
          <w:p w:rsidR="00FF227B" w:rsidRPr="009448E0" w:rsidRDefault="00FF227B" w:rsidP="00890252">
            <w:pPr>
              <w:spacing w:line="240" w:lineRule="auto"/>
              <w:cnfStyle w:val="100000000000"/>
              <w:rPr>
                <w:rFonts w:ascii="Arial" w:eastAsia="Times New Roman" w:hAnsi="Arial" w:cs="Arial"/>
                <w:color w:val="000000"/>
                <w:sz w:val="16"/>
                <w:szCs w:val="16"/>
                <w:lang w:eastAsia="en-GB"/>
              </w:rPr>
            </w:pPr>
          </w:p>
        </w:tc>
      </w:tr>
      <w:tr w:rsidR="00FF227B" w:rsidRPr="009448E0" w:rsidTr="00890252">
        <w:trPr>
          <w:cnfStyle w:val="000000100000"/>
          <w:trHeight w:val="675"/>
        </w:trPr>
        <w:tc>
          <w:tcPr>
            <w:cnfStyle w:val="001000000000"/>
            <w:tcW w:w="0" w:type="auto"/>
            <w:hideMark/>
          </w:tcPr>
          <w:p w:rsidR="00FF227B" w:rsidRPr="009448E0" w:rsidRDefault="00FF227B" w:rsidP="00890252">
            <w:pPr>
              <w:spacing w:line="240" w:lineRule="auto"/>
              <w:rPr>
                <w:rFonts w:eastAsia="Times New Roman" w:cs="Arial"/>
                <w:color w:val="000000"/>
                <w:sz w:val="18"/>
                <w:szCs w:val="18"/>
                <w:lang w:eastAsia="en-GB"/>
              </w:rPr>
            </w:pPr>
            <w:r w:rsidRPr="009448E0">
              <w:rPr>
                <w:rFonts w:eastAsia="Times New Roman" w:cs="Arial"/>
                <w:color w:val="000000"/>
                <w:sz w:val="18"/>
                <w:szCs w:val="18"/>
                <w:lang w:eastAsia="en-GB"/>
              </w:rPr>
              <w:t>Authors</w:t>
            </w:r>
          </w:p>
        </w:tc>
        <w:tc>
          <w:tcPr>
            <w:tcW w:w="0" w:type="auto"/>
            <w:hideMark/>
          </w:tcPr>
          <w:p w:rsidR="00FF227B" w:rsidRPr="009448E0" w:rsidRDefault="00FF227B" w:rsidP="00890252">
            <w:pPr>
              <w:spacing w:line="240" w:lineRule="auto"/>
              <w:cnfStyle w:val="000000100000"/>
              <w:rPr>
                <w:rFonts w:eastAsia="Times New Roman" w:cs="Arial"/>
                <w:b/>
                <w:bCs/>
                <w:color w:val="000000"/>
                <w:sz w:val="18"/>
                <w:szCs w:val="18"/>
                <w:lang w:eastAsia="en-GB"/>
              </w:rPr>
            </w:pPr>
            <w:r w:rsidRPr="009448E0">
              <w:rPr>
                <w:rFonts w:eastAsia="Times New Roman" w:cs="Arial"/>
                <w:b/>
                <w:bCs/>
                <w:color w:val="000000"/>
                <w:sz w:val="18"/>
                <w:szCs w:val="18"/>
                <w:lang w:eastAsia="en-GB"/>
              </w:rPr>
              <w:t>Inclusion</w:t>
            </w:r>
            <w:r w:rsidRPr="009448E0">
              <w:rPr>
                <w:rFonts w:eastAsia="Times New Roman" w:cs="Arial"/>
                <w:color w:val="000000"/>
                <w:sz w:val="18"/>
                <w:szCs w:val="18"/>
                <w:lang w:eastAsia="en-GB"/>
              </w:rPr>
              <w:t> </w:t>
            </w:r>
            <w:r w:rsidRPr="009448E0">
              <w:rPr>
                <w:rFonts w:eastAsia="Times New Roman" w:cs="Arial"/>
                <w:b/>
                <w:bCs/>
                <w:color w:val="000000"/>
                <w:sz w:val="18"/>
                <w:szCs w:val="18"/>
                <w:lang w:eastAsia="en-GB"/>
              </w:rPr>
              <w:t xml:space="preserve"> criteria</w:t>
            </w:r>
          </w:p>
        </w:tc>
        <w:tc>
          <w:tcPr>
            <w:tcW w:w="0" w:type="auto"/>
            <w:hideMark/>
          </w:tcPr>
          <w:p w:rsidR="00FF227B" w:rsidRPr="009448E0" w:rsidRDefault="00FF227B" w:rsidP="00890252">
            <w:pPr>
              <w:spacing w:line="240" w:lineRule="auto"/>
              <w:cnfStyle w:val="000000100000"/>
              <w:rPr>
                <w:rFonts w:eastAsia="Times New Roman" w:cs="Arial"/>
                <w:b/>
                <w:bCs/>
                <w:color w:val="000000"/>
                <w:sz w:val="18"/>
                <w:szCs w:val="18"/>
                <w:lang w:eastAsia="en-GB"/>
              </w:rPr>
            </w:pPr>
            <w:r w:rsidRPr="009448E0">
              <w:rPr>
                <w:rFonts w:eastAsia="Times New Roman" w:cs="Arial"/>
                <w:b/>
                <w:bCs/>
                <w:color w:val="000000"/>
                <w:sz w:val="18"/>
                <w:szCs w:val="18"/>
                <w:lang w:eastAsia="en-GB"/>
              </w:rPr>
              <w:t>Health related exclusion criteria and/or adjustments</w:t>
            </w:r>
          </w:p>
        </w:tc>
        <w:tc>
          <w:tcPr>
            <w:tcW w:w="0" w:type="auto"/>
            <w:hideMark/>
          </w:tcPr>
          <w:p w:rsidR="00FF227B" w:rsidRPr="009448E0" w:rsidRDefault="00FF227B" w:rsidP="00890252">
            <w:pPr>
              <w:spacing w:line="240" w:lineRule="auto"/>
              <w:cnfStyle w:val="000000100000"/>
              <w:rPr>
                <w:rFonts w:eastAsia="Times New Roman" w:cs="Arial"/>
                <w:b/>
                <w:bCs/>
                <w:color w:val="000000"/>
                <w:sz w:val="18"/>
                <w:szCs w:val="18"/>
                <w:lang w:eastAsia="en-GB"/>
              </w:rPr>
            </w:pPr>
            <w:r w:rsidRPr="009448E0">
              <w:rPr>
                <w:rFonts w:eastAsia="Times New Roman" w:cs="Arial"/>
                <w:b/>
                <w:bCs/>
                <w:color w:val="000000"/>
                <w:sz w:val="18"/>
                <w:szCs w:val="18"/>
                <w:lang w:eastAsia="en-GB"/>
              </w:rPr>
              <w:t>Representativeness*</w:t>
            </w:r>
          </w:p>
        </w:tc>
        <w:tc>
          <w:tcPr>
            <w:tcW w:w="0" w:type="auto"/>
            <w:hideMark/>
          </w:tcPr>
          <w:p w:rsidR="00FF227B" w:rsidRPr="009448E0" w:rsidRDefault="00FF227B" w:rsidP="00890252">
            <w:pPr>
              <w:spacing w:line="240" w:lineRule="auto"/>
              <w:cnfStyle w:val="000000100000"/>
              <w:rPr>
                <w:rFonts w:eastAsia="Times New Roman" w:cs="Arial"/>
                <w:b/>
                <w:bCs/>
                <w:color w:val="000000"/>
                <w:sz w:val="18"/>
                <w:szCs w:val="18"/>
                <w:lang w:eastAsia="en-GB"/>
              </w:rPr>
            </w:pPr>
            <w:r w:rsidRPr="009448E0">
              <w:rPr>
                <w:rFonts w:eastAsia="Times New Roman" w:cs="Arial"/>
                <w:b/>
                <w:bCs/>
                <w:color w:val="000000"/>
                <w:sz w:val="18"/>
                <w:szCs w:val="18"/>
                <w:lang w:eastAsia="en-GB"/>
              </w:rPr>
              <w:t>Outcome measure</w:t>
            </w:r>
            <w:r w:rsidRPr="009448E0">
              <w:rPr>
                <w:rFonts w:eastAsia="Times New Roman" w:cs="Arial"/>
                <w:color w:val="000000"/>
                <w:sz w:val="18"/>
                <w:szCs w:val="18"/>
                <w:lang w:eastAsia="en-GB"/>
              </w:rPr>
              <w:t> </w:t>
            </w:r>
          </w:p>
        </w:tc>
        <w:tc>
          <w:tcPr>
            <w:tcW w:w="0" w:type="auto"/>
            <w:hideMark/>
          </w:tcPr>
          <w:p w:rsidR="00FF227B" w:rsidRPr="009448E0" w:rsidRDefault="00FF227B" w:rsidP="00890252">
            <w:pPr>
              <w:spacing w:line="240" w:lineRule="auto"/>
              <w:cnfStyle w:val="000000100000"/>
              <w:rPr>
                <w:rFonts w:eastAsia="Times New Roman" w:cs="Arial"/>
                <w:b/>
                <w:bCs/>
                <w:color w:val="000000"/>
                <w:sz w:val="18"/>
                <w:szCs w:val="18"/>
                <w:lang w:eastAsia="en-GB"/>
              </w:rPr>
            </w:pPr>
            <w:r w:rsidRPr="009448E0">
              <w:rPr>
                <w:rFonts w:eastAsia="Times New Roman" w:cs="Arial"/>
                <w:b/>
                <w:bCs/>
                <w:color w:val="000000"/>
                <w:sz w:val="18"/>
                <w:szCs w:val="18"/>
                <w:lang w:eastAsia="en-GB"/>
              </w:rPr>
              <w:t>Exposure measure</w:t>
            </w:r>
            <w:r w:rsidRPr="009448E0">
              <w:rPr>
                <w:rFonts w:eastAsia="Times New Roman" w:cs="Arial"/>
                <w:color w:val="000000"/>
                <w:sz w:val="18"/>
                <w:szCs w:val="18"/>
                <w:lang w:eastAsia="en-GB"/>
              </w:rPr>
              <w:t> </w:t>
            </w:r>
          </w:p>
        </w:tc>
        <w:tc>
          <w:tcPr>
            <w:tcW w:w="0" w:type="auto"/>
            <w:hideMark/>
          </w:tcPr>
          <w:p w:rsidR="00FF227B" w:rsidRPr="009448E0" w:rsidRDefault="00FF227B" w:rsidP="00890252">
            <w:pPr>
              <w:spacing w:line="240" w:lineRule="auto"/>
              <w:cnfStyle w:val="000000100000"/>
              <w:rPr>
                <w:rFonts w:eastAsia="Times New Roman" w:cs="Arial"/>
                <w:b/>
                <w:bCs/>
                <w:color w:val="000000"/>
                <w:sz w:val="18"/>
                <w:szCs w:val="18"/>
                <w:lang w:eastAsia="en-GB"/>
              </w:rPr>
            </w:pPr>
            <w:r w:rsidRPr="009448E0">
              <w:rPr>
                <w:rFonts w:eastAsia="Times New Roman" w:cs="Arial"/>
                <w:b/>
                <w:bCs/>
                <w:color w:val="000000"/>
                <w:sz w:val="18"/>
                <w:szCs w:val="18"/>
                <w:lang w:eastAsia="en-GB"/>
              </w:rPr>
              <w:t>Physical activity measurement</w:t>
            </w:r>
          </w:p>
        </w:tc>
      </w:tr>
      <w:tr w:rsidR="00FF227B" w:rsidRPr="009448E0" w:rsidTr="00890252">
        <w:trPr>
          <w:trHeight w:val="225"/>
        </w:trPr>
        <w:tc>
          <w:tcPr>
            <w:cnfStyle w:val="001000000000"/>
            <w:tcW w:w="0" w:type="auto"/>
            <w:gridSpan w:val="7"/>
            <w:hideMark/>
          </w:tcPr>
          <w:p w:rsidR="00FF227B" w:rsidRPr="009448E0" w:rsidRDefault="00FF227B" w:rsidP="00890252">
            <w:pPr>
              <w:pBdr>
                <w:top w:val="single" w:sz="4" w:space="10" w:color="5B9BD5" w:themeColor="accent1"/>
                <w:bottom w:val="single" w:sz="4" w:space="10" w:color="5B9BD5" w:themeColor="accent1"/>
              </w:pBdr>
              <w:spacing w:before="360" w:after="360" w:line="240" w:lineRule="auto"/>
              <w:ind w:left="864" w:right="864"/>
              <w:jc w:val="center"/>
              <w:rPr>
                <w:rFonts w:ascii="Times New Roman" w:hAnsi="Times New Roman" w:cs="Times New Roman"/>
                <w:i/>
                <w:iCs/>
                <w:color w:val="5B9BD5" w:themeColor="accent1"/>
                <w:sz w:val="20"/>
                <w:szCs w:val="20"/>
                <w:lang w:eastAsia="en-GB"/>
              </w:rPr>
            </w:pPr>
            <w:r w:rsidRPr="009448E0">
              <w:rPr>
                <w:i/>
                <w:iCs/>
                <w:color w:val="5B9BD5" w:themeColor="accent1"/>
                <w:lang w:eastAsia="en-GB"/>
              </w:rPr>
              <w:t>All-cause mortality</w:t>
            </w:r>
          </w:p>
        </w:tc>
      </w:tr>
      <w:tr w:rsidR="00FF227B" w:rsidRPr="009448E0" w:rsidTr="00890252">
        <w:trPr>
          <w:cnfStyle w:val="000000100000"/>
          <w:trHeight w:val="2877"/>
        </w:trPr>
        <w:tc>
          <w:tcPr>
            <w:cnfStyle w:val="001000000000"/>
            <w:tcW w:w="0" w:type="auto"/>
            <w:hideMark/>
          </w:tcPr>
          <w:p w:rsidR="00FF227B" w:rsidRPr="009448E0" w:rsidRDefault="00FF227B" w:rsidP="00890252">
            <w:pPr>
              <w:spacing w:line="240" w:lineRule="auto"/>
              <w:rPr>
                <w:rFonts w:eastAsia="Times New Roman" w:cs="Arial"/>
                <w:color w:val="000000"/>
                <w:sz w:val="18"/>
                <w:szCs w:val="18"/>
                <w:lang w:eastAsia="en-GB"/>
              </w:rPr>
            </w:pPr>
            <w:r w:rsidRPr="009448E0">
              <w:rPr>
                <w:sz w:val="18"/>
                <w:szCs w:val="18"/>
              </w:rPr>
              <w:t>Chau et al (2013)</w:t>
            </w:r>
            <w:r>
              <w:rPr>
                <w:noProof/>
                <w:sz w:val="18"/>
                <w:szCs w:val="18"/>
              </w:rPr>
              <w:t>(40)</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Nord-</w:t>
            </w:r>
            <w:proofErr w:type="spellStart"/>
            <w:r w:rsidRPr="009448E0">
              <w:rPr>
                <w:rFonts w:eastAsia="Times New Roman" w:cs="Arial"/>
                <w:color w:val="000000"/>
                <w:sz w:val="18"/>
                <w:szCs w:val="18"/>
                <w:lang w:eastAsia="en-GB"/>
              </w:rPr>
              <w:t>Trøndelag</w:t>
            </w:r>
            <w:proofErr w:type="spellEnd"/>
            <w:r w:rsidRPr="009448E0">
              <w:rPr>
                <w:rFonts w:eastAsia="Times New Roman" w:cs="Arial"/>
                <w:color w:val="000000"/>
                <w:sz w:val="18"/>
                <w:szCs w:val="18"/>
                <w:lang w:eastAsia="en-GB"/>
              </w:rPr>
              <w:t xml:space="preserve"> county residents aged at least 20 years old </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No exclusions: adjusted for history of cardio-metabolic disease.</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1</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Norwegian Causes of Death Registry, cause of death using ICD</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 xml:space="preserve">‘About how many hours do you sit during an average day? (include work hours and leisure time) ’. Similar to IPAQ which has shown acceptable reliability and validity. Daily time spent watching TV, videos or DVD was assessed with the </w:t>
            </w:r>
            <w:proofErr w:type="gramStart"/>
            <w:r w:rsidRPr="009448E0">
              <w:rPr>
                <w:rFonts w:eastAsia="Times New Roman" w:cs="Arial"/>
                <w:color w:val="000000"/>
                <w:sz w:val="18"/>
                <w:szCs w:val="18"/>
                <w:lang w:eastAsia="en-GB"/>
              </w:rPr>
              <w:t>categories:</w:t>
            </w:r>
            <w:proofErr w:type="gramEnd"/>
            <w:r w:rsidRPr="009448E0">
              <w:rPr>
                <w:rFonts w:eastAsia="Times New Roman" w:cs="Arial"/>
                <w:color w:val="000000"/>
                <w:sz w:val="18"/>
                <w:szCs w:val="18"/>
                <w:lang w:eastAsia="en-GB"/>
              </w:rPr>
              <w:t xml:space="preserve">&lt;1, 1–3, 4–6, &gt;6 h/day. Participants rated their occupational sitting/activity using 4 categories ‘work that mostly involves sitting’; ‘work that requires much walking’; ‘work that requires much walking and lifting’; and ‘heavy physical labour’. This type of categorical occupational sitting/activity measure has been commonly used in other prospective cohort studies. </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‘Do you have at least 30 min of physical activity daily at work or in your leisure time?’ (</w:t>
            </w:r>
            <w:proofErr w:type="gramStart"/>
            <w:r w:rsidRPr="009448E0">
              <w:rPr>
                <w:rFonts w:eastAsia="Times New Roman" w:cs="Arial"/>
                <w:color w:val="000000"/>
                <w:sz w:val="18"/>
                <w:szCs w:val="18"/>
                <w:lang w:eastAsia="en-GB"/>
              </w:rPr>
              <w:t>yes/</w:t>
            </w:r>
            <w:proofErr w:type="gramEnd"/>
            <w:r w:rsidRPr="009448E0">
              <w:rPr>
                <w:rFonts w:eastAsia="Times New Roman" w:cs="Arial"/>
                <w:color w:val="000000"/>
                <w:sz w:val="18"/>
                <w:szCs w:val="18"/>
                <w:lang w:eastAsia="en-GB"/>
              </w:rPr>
              <w:t>no).</w:t>
            </w:r>
          </w:p>
        </w:tc>
      </w:tr>
      <w:tr w:rsidR="00FF227B" w:rsidRPr="009448E0" w:rsidTr="00890252">
        <w:trPr>
          <w:trHeight w:val="1575"/>
        </w:trPr>
        <w:tc>
          <w:tcPr>
            <w:cnfStyle w:val="001000000000"/>
            <w:tcW w:w="0" w:type="auto"/>
            <w:hideMark/>
          </w:tcPr>
          <w:p w:rsidR="00FF227B" w:rsidRPr="009448E0" w:rsidRDefault="00FF227B" w:rsidP="00890252">
            <w:pPr>
              <w:spacing w:line="240" w:lineRule="auto"/>
              <w:rPr>
                <w:rFonts w:eastAsia="Times New Roman" w:cs="Arial"/>
                <w:color w:val="000000"/>
                <w:sz w:val="18"/>
                <w:szCs w:val="18"/>
                <w:lang w:eastAsia="en-GB"/>
              </w:rPr>
            </w:pPr>
            <w:r w:rsidRPr="009448E0">
              <w:rPr>
                <w:sz w:val="18"/>
                <w:szCs w:val="18"/>
              </w:rPr>
              <w:t>Kim et al (2013)</w:t>
            </w:r>
            <w:r>
              <w:rPr>
                <w:noProof/>
                <w:sz w:val="18"/>
                <w:szCs w:val="18"/>
              </w:rPr>
              <w:t>(45)</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Drivers' license files in both Hawaii and California. An additional source in Hawaii was the voters' registration file. An additional source of African-Americans in California was the Health Care Financing Administration (HCFA)</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Excluded a history of cancer, heart attack or stroke.  Excluded those who died within the first year. Adjusted for history of hypertension and/or diabetes</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1</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Death certification linkage and national death index, USA.</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Baseline questionnaire (http://www.crch.org/multiethniccohort/</w:t>
            </w:r>
            <w:r w:rsidRPr="009448E0">
              <w:rPr>
                <w:rFonts w:eastAsia="Times New Roman" w:cs="Arial"/>
                <w:color w:val="000000"/>
                <w:sz w:val="18"/>
                <w:szCs w:val="18"/>
                <w:lang w:eastAsia="en-GB"/>
              </w:rPr>
              <w:br/>
              <w:t>index.htm), sitting activities included: ‘sitting in a car or bus’, ‘sitting at work’, ‘sitting at meals’, ‘sitting watching television’ and ‘other leisure sitting activities e.g. reading’. Each sitting activity was asked in seven categories.</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Asked about many different activities and categories into 8 levels of exposure. Light PA estimated by subtracting other activities from 24hours. PA activity (METs/week for moderate activity, vigorous work and strenuous sports.  In a validation study, correlation with double label water was "reasonable".</w:t>
            </w:r>
          </w:p>
        </w:tc>
      </w:tr>
      <w:tr w:rsidR="00FF227B" w:rsidRPr="009448E0" w:rsidTr="00890252">
        <w:trPr>
          <w:cnfStyle w:val="000000100000"/>
          <w:trHeight w:val="5850"/>
        </w:trPr>
        <w:tc>
          <w:tcPr>
            <w:cnfStyle w:val="001000000000"/>
            <w:tcW w:w="0" w:type="auto"/>
            <w:hideMark/>
          </w:tcPr>
          <w:p w:rsidR="00FF227B" w:rsidRPr="009448E0" w:rsidRDefault="00FF227B" w:rsidP="00890252">
            <w:pPr>
              <w:spacing w:line="240" w:lineRule="auto"/>
              <w:rPr>
                <w:rFonts w:eastAsia="Times New Roman" w:cs="Arial"/>
                <w:color w:val="000000"/>
                <w:sz w:val="18"/>
                <w:szCs w:val="18"/>
                <w:lang w:eastAsia="en-GB"/>
              </w:rPr>
            </w:pPr>
            <w:proofErr w:type="spellStart"/>
            <w:r w:rsidRPr="009448E0">
              <w:rPr>
                <w:sz w:val="18"/>
                <w:szCs w:val="18"/>
              </w:rPr>
              <w:lastRenderedPageBreak/>
              <w:t>Pulsford</w:t>
            </w:r>
            <w:proofErr w:type="spellEnd"/>
            <w:r w:rsidRPr="009448E0">
              <w:rPr>
                <w:sz w:val="18"/>
                <w:szCs w:val="18"/>
              </w:rPr>
              <w:t xml:space="preserve"> et al (2015)</w:t>
            </w:r>
            <w:r>
              <w:rPr>
                <w:noProof/>
                <w:sz w:val="18"/>
                <w:szCs w:val="18"/>
              </w:rPr>
              <w:t>(66)</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The Whitehall II study is a longitudinal study of London based employees of the British Civil Service. At the study’s inception in 1985, all civil servants (aged 35–55) from clerical and office support, middle-ranking executive and senior administrative grades were invited to participate and 73% consented. Sitting asked for the first time in 1997-99 so this represents baseline.</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No exclusion, adjusted for physical functioning (SF-36 physical functioning score) to assesses the extent to which participants’ health limits their ability to perform physical activities, ranging in intensity from vigorous (sporting and volitional exercise activities) to light (day-to-day tasks) using the responses ‘a lot’, ‘a little’ and ‘not at all’. Responses were scored, summed and transformed to scale from 0 (limited a lot in performing all types of physical activities) to 100 (able to perform all types of physical activity without limitation). This scale has been demonstrated to have high internal consistency.  Also excluded those who died before 2001 and 2003/4 in sensitivity analysis.</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3</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Mortality was established through the national mortality register kept by the National Health Service (NHS) Central Registry.</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Participants reported on average how many hours per week they spent: sitting at work including driving or commuting, and sitting at home, e.g., watching TV, sewing, working at a desk, by selecting from eight response categories (none, 1 h, 2–5, 6–10, 11–20, 21–30, 31–40, &gt;40 h). For sitting at home, participants were given an open-text response to specify two sitting behaviours and then select a time category for each. Using the midpoint of these time categories (‘more than 40 h’ was represented as exactly 40 h), five different sitting indicators were computed: (</w:t>
            </w:r>
            <w:proofErr w:type="spellStart"/>
            <w:r w:rsidRPr="009448E0">
              <w:rPr>
                <w:rFonts w:eastAsia="Times New Roman" w:cs="Arial"/>
                <w:color w:val="000000"/>
                <w:sz w:val="18"/>
                <w:szCs w:val="18"/>
                <w:lang w:eastAsia="en-GB"/>
              </w:rPr>
              <w:t>i</w:t>
            </w:r>
            <w:proofErr w:type="spellEnd"/>
            <w:r w:rsidRPr="009448E0">
              <w:rPr>
                <w:rFonts w:eastAsia="Times New Roman" w:cs="Arial"/>
                <w:color w:val="000000"/>
                <w:sz w:val="18"/>
                <w:szCs w:val="18"/>
                <w:lang w:eastAsia="en-GB"/>
              </w:rPr>
              <w:t xml:space="preserve">) work sitting (including commuting); (ii) TV viewing time; (iii) non-TV leisure time sitting; (iv) total leisure time sitting (the sum of ii and iii above); and (v) total sitting time (sum of </w:t>
            </w:r>
            <w:proofErr w:type="spellStart"/>
            <w:r w:rsidRPr="009448E0">
              <w:rPr>
                <w:rFonts w:eastAsia="Times New Roman" w:cs="Arial"/>
                <w:color w:val="000000"/>
                <w:sz w:val="18"/>
                <w:szCs w:val="18"/>
                <w:lang w:eastAsia="en-GB"/>
              </w:rPr>
              <w:t>i</w:t>
            </w:r>
            <w:proofErr w:type="spellEnd"/>
            <w:r w:rsidRPr="009448E0">
              <w:rPr>
                <w:rFonts w:eastAsia="Times New Roman" w:cs="Arial"/>
                <w:color w:val="000000"/>
                <w:sz w:val="18"/>
                <w:szCs w:val="18"/>
                <w:lang w:eastAsia="en-GB"/>
              </w:rPr>
              <w:t>–iii above). Although there is no objective criterion measure of context-specific sitting, the questionnaire items used to construct the sitting exposures have demonstrated concurrent validity with past-week recalls (Pearson’s r=0.44), activity diaries (Pearson’s r=0.41)27 and have also been used in a number of previous studies where associations between sitting time and health outcomes have been observed.</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Physical activity covariates included daily walking time (min/day) and weekly MVPA (h/week). Physical activity (weekly MVPA) was assessed using a modified version of the Minnesota leisure-time physical activity questionnaire which assesses both occupational and leisure-time activities, and which has been validated previously. Twenty items (including five open-text responses) assessed time spent engaged in walking, sports and games, gardening, housework and do-it-yourself building/maintenance projects, in hours over the previous 4-week period. Each activity was subsequently assigned an energy expenditure value in METs (where 1 MET is equal to energy expenditure at rest) using a compendium of activity energy expenditures. Moderate intensity activities were those eliciting an energy expenditure of 3–5.9 METs and vigorous intensity activities ≥6 METs. Additionally daily walking time (mins/day) was included as a separate covariate.</w:t>
            </w:r>
          </w:p>
        </w:tc>
      </w:tr>
      <w:tr w:rsidR="00FF227B" w:rsidRPr="009448E0" w:rsidTr="00890252">
        <w:trPr>
          <w:trHeight w:val="5850"/>
        </w:trPr>
        <w:tc>
          <w:tcPr>
            <w:cnfStyle w:val="001000000000"/>
            <w:tcW w:w="0" w:type="auto"/>
            <w:hideMark/>
          </w:tcPr>
          <w:p w:rsidR="00FF227B" w:rsidRPr="009448E0" w:rsidRDefault="00FF227B" w:rsidP="00890252">
            <w:pPr>
              <w:spacing w:line="240" w:lineRule="auto"/>
              <w:rPr>
                <w:rFonts w:eastAsia="Times New Roman" w:cs="Arial"/>
                <w:color w:val="000000"/>
                <w:sz w:val="18"/>
                <w:szCs w:val="18"/>
                <w:lang w:eastAsia="en-GB"/>
              </w:rPr>
            </w:pPr>
            <w:proofErr w:type="spellStart"/>
            <w:r w:rsidRPr="009448E0">
              <w:rPr>
                <w:sz w:val="18"/>
                <w:szCs w:val="18"/>
              </w:rPr>
              <w:lastRenderedPageBreak/>
              <w:t>Ensrud</w:t>
            </w:r>
            <w:proofErr w:type="spellEnd"/>
            <w:r w:rsidRPr="009448E0">
              <w:rPr>
                <w:sz w:val="18"/>
                <w:szCs w:val="18"/>
              </w:rPr>
              <w:t xml:space="preserve"> et al (2014)</w:t>
            </w:r>
            <w:r>
              <w:rPr>
                <w:noProof/>
                <w:sz w:val="18"/>
                <w:szCs w:val="18"/>
              </w:rPr>
              <w:t>(42)</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 xml:space="preserve">From 2000 to 2002, 5,994 men aged 65 and older were recruited from population-based listings in six regions of the United States for the baseline visit of </w:t>
            </w:r>
            <w:proofErr w:type="spellStart"/>
            <w:r w:rsidRPr="009448E0">
              <w:rPr>
                <w:rFonts w:eastAsia="Times New Roman" w:cs="Arial"/>
                <w:color w:val="000000"/>
                <w:sz w:val="18"/>
                <w:szCs w:val="18"/>
                <w:lang w:eastAsia="en-GB"/>
              </w:rPr>
              <w:t>MrOS</w:t>
            </w:r>
            <w:proofErr w:type="spellEnd"/>
            <w:r w:rsidRPr="009448E0">
              <w:rPr>
                <w:rFonts w:eastAsia="Times New Roman" w:cs="Arial"/>
                <w:color w:val="000000"/>
                <w:sz w:val="18"/>
                <w:szCs w:val="18"/>
                <w:lang w:eastAsia="en-GB"/>
              </w:rPr>
              <w:t>, surviving participants were invited to participate in a third study visit.</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 xml:space="preserve">Excluded men with a history of bilateral hip replacement and men unable to walk without the assistance of another person. Adjusted for comorbidity burden, depressive symptoms, cogitative function, </w:t>
            </w:r>
            <w:proofErr w:type="gramStart"/>
            <w:r w:rsidRPr="009448E0">
              <w:rPr>
                <w:rFonts w:eastAsia="Times New Roman" w:cs="Arial"/>
                <w:color w:val="000000"/>
                <w:sz w:val="18"/>
                <w:szCs w:val="18"/>
                <w:lang w:eastAsia="en-GB"/>
              </w:rPr>
              <w:t>number</w:t>
            </w:r>
            <w:proofErr w:type="gramEnd"/>
            <w:r w:rsidRPr="009448E0">
              <w:rPr>
                <w:rFonts w:eastAsia="Times New Roman" w:cs="Arial"/>
                <w:color w:val="000000"/>
                <w:sz w:val="18"/>
                <w:szCs w:val="18"/>
                <w:lang w:eastAsia="en-GB"/>
              </w:rPr>
              <w:t xml:space="preserve"> of instrumental activities of daily living impairments.</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2</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 xml:space="preserve">Patients contacted and deaths confirmed with certificates, </w:t>
            </w:r>
            <w:proofErr w:type="gramStart"/>
            <w:r w:rsidRPr="009448E0">
              <w:rPr>
                <w:rFonts w:eastAsia="Times New Roman" w:cs="Arial"/>
                <w:color w:val="000000"/>
                <w:sz w:val="18"/>
                <w:szCs w:val="18"/>
                <w:lang w:eastAsia="en-GB"/>
              </w:rPr>
              <w:t>cause</w:t>
            </w:r>
            <w:proofErr w:type="gramEnd"/>
            <w:r w:rsidRPr="009448E0">
              <w:rPr>
                <w:rFonts w:eastAsia="Times New Roman" w:cs="Arial"/>
                <w:color w:val="000000"/>
                <w:sz w:val="18"/>
                <w:szCs w:val="18"/>
                <w:lang w:eastAsia="en-GB"/>
              </w:rPr>
              <w:t xml:space="preserve"> assessed using ICD.</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 xml:space="preserve">Data were sampled in 1-minute epochs over 24-hour periods from a biaxial accelerometer. These data were used in proprietary algorithms (Interview Professional 5.1 software; </w:t>
            </w:r>
            <w:proofErr w:type="spellStart"/>
            <w:r w:rsidRPr="009448E0">
              <w:rPr>
                <w:rFonts w:eastAsia="Times New Roman" w:cs="Arial"/>
                <w:color w:val="000000"/>
                <w:sz w:val="18"/>
                <w:szCs w:val="18"/>
                <w:lang w:eastAsia="en-GB"/>
              </w:rPr>
              <w:t>BodyMedia</w:t>
            </w:r>
            <w:proofErr w:type="spellEnd"/>
            <w:r w:rsidRPr="009448E0">
              <w:rPr>
                <w:rFonts w:eastAsia="Times New Roman" w:cs="Arial"/>
                <w:color w:val="000000"/>
                <w:sz w:val="18"/>
                <w:szCs w:val="18"/>
                <w:lang w:eastAsia="en-GB"/>
              </w:rPr>
              <w:t>, Inc.) along with participant characteristics (age, height, weight, handedness, and smoking status) to estimate time (minutes/24 hours) spent sleeping and time (minutes/24 hours) awake spent in sedentary behaviour (metabolic equivalent (MET) level ≤1.50). A validation study comparing the activity monitor with the criterion method of doubly labelled water showed excellent levels of agreement for total energy expenditure in older adults.  Participants were required to have at least five 24- hour periods of data and wear the activity monitor at least 90% of the time to be considered as having valid data; this time period was selected to ensure that the activity monitor recorded time spent in daily activity that was representative of the participant’s usual life. All activity level measures used in the analyses reflected mean daily experience to obtain a representative characterization of usual activity pattern and were averaged over all days to limit variability in the measures.</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Physical Activity Scale for the Elderly (PASE).</w:t>
            </w:r>
          </w:p>
        </w:tc>
      </w:tr>
      <w:tr w:rsidR="00FF227B" w:rsidRPr="009448E0" w:rsidTr="00890252">
        <w:trPr>
          <w:cnfStyle w:val="000000100000"/>
          <w:trHeight w:val="2925"/>
        </w:trPr>
        <w:tc>
          <w:tcPr>
            <w:cnfStyle w:val="001000000000"/>
            <w:tcW w:w="0" w:type="auto"/>
            <w:hideMark/>
          </w:tcPr>
          <w:p w:rsidR="00FF227B" w:rsidRPr="009448E0" w:rsidRDefault="00FF227B" w:rsidP="00890252">
            <w:pPr>
              <w:spacing w:line="240" w:lineRule="auto"/>
              <w:rPr>
                <w:rFonts w:eastAsia="Times New Roman" w:cs="Arial"/>
                <w:color w:val="000000"/>
                <w:sz w:val="18"/>
                <w:szCs w:val="18"/>
                <w:lang w:eastAsia="en-GB"/>
              </w:rPr>
            </w:pPr>
            <w:r w:rsidRPr="009448E0">
              <w:rPr>
                <w:sz w:val="18"/>
                <w:szCs w:val="18"/>
              </w:rPr>
              <w:t>Fox et al (2015)</w:t>
            </w:r>
            <w:r>
              <w:rPr>
                <w:noProof/>
                <w:sz w:val="18"/>
                <w:szCs w:val="18"/>
              </w:rPr>
              <w:t>(51)</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Recruited from 12 GP surgeries and living in suburban and urban sectors of a large</w:t>
            </w:r>
            <w:r w:rsidRPr="009448E0">
              <w:rPr>
                <w:rFonts w:eastAsia="Times New Roman" w:cs="Arial"/>
                <w:color w:val="000000"/>
                <w:sz w:val="18"/>
                <w:szCs w:val="18"/>
                <w:lang w:eastAsia="en-GB"/>
              </w:rPr>
              <w:br/>
              <w:t>city in south west England, stratified by low, medium or high Index of Multiple Deprivation (IMD) and low or high access to local amenities. Aged 70+</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Screening by a GP for (</w:t>
            </w:r>
            <w:proofErr w:type="spellStart"/>
            <w:r w:rsidRPr="009448E0">
              <w:rPr>
                <w:rFonts w:eastAsia="Times New Roman" w:cs="Arial"/>
                <w:color w:val="000000"/>
                <w:sz w:val="18"/>
                <w:szCs w:val="18"/>
                <w:lang w:eastAsia="en-GB"/>
              </w:rPr>
              <w:t>i</w:t>
            </w:r>
            <w:proofErr w:type="spellEnd"/>
            <w:r w:rsidRPr="009448E0">
              <w:rPr>
                <w:rFonts w:eastAsia="Times New Roman" w:cs="Arial"/>
                <w:color w:val="000000"/>
                <w:sz w:val="18"/>
                <w:szCs w:val="18"/>
                <w:lang w:eastAsia="en-GB"/>
              </w:rPr>
              <w:t>) recent bereavement, (ii) terminal illness, (iii) debilitating mental illness, (iv) inability to complete a questionnaire and (v) any other illness preventing participation.  Also adjusted for self reported chronic illness and lower limb function.</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2</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QOF, patient records</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 xml:space="preserve">Physical activity was assessed by 7-day </w:t>
            </w:r>
            <w:proofErr w:type="spellStart"/>
            <w:r w:rsidRPr="009448E0">
              <w:rPr>
                <w:rFonts w:eastAsia="Times New Roman" w:cs="Arial"/>
                <w:color w:val="000000"/>
                <w:sz w:val="18"/>
                <w:szCs w:val="18"/>
                <w:lang w:eastAsia="en-GB"/>
              </w:rPr>
              <w:t>accelerometry</w:t>
            </w:r>
            <w:proofErr w:type="spellEnd"/>
            <w:r w:rsidRPr="009448E0">
              <w:rPr>
                <w:rFonts w:eastAsia="Times New Roman" w:cs="Arial"/>
                <w:color w:val="000000"/>
                <w:sz w:val="18"/>
                <w:szCs w:val="18"/>
                <w:lang w:eastAsia="en-GB"/>
              </w:rPr>
              <w:t xml:space="preserve"> using </w:t>
            </w:r>
            <w:proofErr w:type="spellStart"/>
            <w:r w:rsidRPr="009448E0">
              <w:rPr>
                <w:rFonts w:eastAsia="Times New Roman" w:cs="Arial"/>
                <w:color w:val="000000"/>
                <w:sz w:val="18"/>
                <w:szCs w:val="18"/>
                <w:lang w:eastAsia="en-GB"/>
              </w:rPr>
              <w:t>Actigraph</w:t>
            </w:r>
            <w:proofErr w:type="spellEnd"/>
            <w:r w:rsidRPr="009448E0">
              <w:rPr>
                <w:rFonts w:eastAsia="Times New Roman" w:cs="Arial"/>
                <w:color w:val="000000"/>
                <w:sz w:val="18"/>
                <w:szCs w:val="18"/>
                <w:lang w:eastAsia="en-GB"/>
              </w:rPr>
              <w:t xml:space="preserve"> GT1Ms programmed to record in 10-s epochs, to produce both count and pedometer data. Data were reduced using MAH/ UFFE Analyser v. 1.9.0.3 (MRC Epidemiology Unit) set to ignore runs of 100 or more zeros, representing time when the monitor was not worn. Inclusion required at least 10 h of monitoring on at least 5 days. Daily means for registered wear time per day, total minutes of activity MVPA (&gt;1,951 CPM), number of steps (STEPS) and minutes of sedentary time (0–99 CPM) were calculated.</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non</w:t>
            </w:r>
            <w:r w:rsidR="00911EBD">
              <w:rPr>
                <w:rFonts w:eastAsia="Times New Roman" w:cs="Arial"/>
                <w:color w:val="000000"/>
                <w:sz w:val="18"/>
                <w:szCs w:val="18"/>
                <w:lang w:eastAsia="en-GB"/>
              </w:rPr>
              <w:t>e</w:t>
            </w:r>
          </w:p>
        </w:tc>
      </w:tr>
      <w:tr w:rsidR="00FF227B" w:rsidRPr="009448E0" w:rsidTr="00890252">
        <w:trPr>
          <w:trHeight w:val="900"/>
        </w:trPr>
        <w:tc>
          <w:tcPr>
            <w:cnfStyle w:val="001000000000"/>
            <w:tcW w:w="0" w:type="auto"/>
            <w:hideMark/>
          </w:tcPr>
          <w:p w:rsidR="00FF227B" w:rsidRPr="009448E0" w:rsidRDefault="00FF227B" w:rsidP="00890252">
            <w:pPr>
              <w:spacing w:line="240" w:lineRule="auto"/>
              <w:rPr>
                <w:rFonts w:eastAsia="Times New Roman" w:cs="Arial"/>
                <w:color w:val="000000"/>
                <w:sz w:val="18"/>
                <w:szCs w:val="18"/>
                <w:lang w:eastAsia="en-GB"/>
              </w:rPr>
            </w:pPr>
            <w:r w:rsidRPr="009448E0">
              <w:rPr>
                <w:sz w:val="18"/>
                <w:szCs w:val="18"/>
              </w:rPr>
              <w:t>Inoue et al (2008)</w:t>
            </w:r>
            <w:r>
              <w:rPr>
                <w:noProof/>
                <w:sz w:val="18"/>
                <w:szCs w:val="18"/>
              </w:rPr>
              <w:t>(55)</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All registered Japanese inhabitants in 11 areas age 40-59 (or 69 )</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Excluded those with cancer, stroke, MI due to potential to reduce PA. Adjusted for history of diabetes (Y/N)</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2</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 xml:space="preserve">Residence status, including survival was confirmed through the residential registry. Cause of </w:t>
            </w:r>
            <w:r w:rsidRPr="009448E0">
              <w:rPr>
                <w:rFonts w:eastAsia="Times New Roman" w:cs="Arial"/>
                <w:color w:val="000000"/>
                <w:sz w:val="18"/>
                <w:szCs w:val="18"/>
                <w:lang w:eastAsia="en-GB"/>
              </w:rPr>
              <w:lastRenderedPageBreak/>
              <w:t>death from death certificate.</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lastRenderedPageBreak/>
              <w:t>Average time spent per day in sedentary activity (3 categories).</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 xml:space="preserve">Categories of time spent per day in three types of physical activity (heavy physical/strenuous exercise, standing/walking, and leisure-time sports or physical </w:t>
            </w:r>
            <w:r w:rsidRPr="009448E0">
              <w:rPr>
                <w:rFonts w:eastAsia="Times New Roman" w:cs="Arial"/>
                <w:color w:val="000000"/>
                <w:sz w:val="18"/>
                <w:szCs w:val="18"/>
                <w:lang w:eastAsia="en-GB"/>
              </w:rPr>
              <w:lastRenderedPageBreak/>
              <w:t>exercise.</w:t>
            </w:r>
          </w:p>
        </w:tc>
      </w:tr>
      <w:tr w:rsidR="00FF227B" w:rsidRPr="009448E0" w:rsidTr="00890252">
        <w:trPr>
          <w:cnfStyle w:val="000000100000"/>
          <w:trHeight w:val="2475"/>
        </w:trPr>
        <w:tc>
          <w:tcPr>
            <w:cnfStyle w:val="001000000000"/>
            <w:tcW w:w="0" w:type="auto"/>
            <w:hideMark/>
          </w:tcPr>
          <w:p w:rsidR="00FF227B" w:rsidRPr="009448E0" w:rsidRDefault="00FF227B" w:rsidP="00890252">
            <w:pPr>
              <w:spacing w:line="240" w:lineRule="auto"/>
              <w:rPr>
                <w:rFonts w:eastAsia="Times New Roman" w:cs="Arial"/>
                <w:color w:val="000000"/>
                <w:sz w:val="18"/>
                <w:szCs w:val="18"/>
                <w:lang w:eastAsia="en-GB"/>
              </w:rPr>
            </w:pPr>
            <w:proofErr w:type="spellStart"/>
            <w:r w:rsidRPr="009448E0">
              <w:rPr>
                <w:sz w:val="18"/>
                <w:szCs w:val="18"/>
              </w:rPr>
              <w:lastRenderedPageBreak/>
              <w:t>Katzmarzyk</w:t>
            </w:r>
            <w:proofErr w:type="spellEnd"/>
            <w:r w:rsidRPr="009448E0">
              <w:rPr>
                <w:sz w:val="18"/>
                <w:szCs w:val="18"/>
              </w:rPr>
              <w:t xml:space="preserve"> et al (2009)</w:t>
            </w:r>
            <w:r>
              <w:rPr>
                <w:noProof/>
                <w:sz w:val="18"/>
                <w:szCs w:val="18"/>
              </w:rPr>
              <w:t>(56)</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Representative sample of Canada population excluding some groups e.g. armed forces and institutionalised persons</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 xml:space="preserve">Physical Activity Readiness Questionnaire (PAR-Q) was included as a covariate (pass/fail/missing). </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1</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Canadian mortality database linkage.</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Baseline questionnaire at household visit. The amount of time participants spent sitting during work, school, and housework during the course of most days of the week as either 1) almost none of the time, 2) approximately one fourth of the time, 3) approximately half of the time, 4) approximately three fourths of the time, 5) almost all of the time.</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 xml:space="preserve">Questions on participation in 20 leisure time activities were used to calculate </w:t>
            </w:r>
            <w:proofErr w:type="spellStart"/>
            <w:r w:rsidRPr="009448E0">
              <w:rPr>
                <w:rFonts w:eastAsia="Times New Roman" w:cs="Arial"/>
                <w:color w:val="000000"/>
                <w:sz w:val="18"/>
                <w:szCs w:val="18"/>
                <w:lang w:eastAsia="en-GB"/>
              </w:rPr>
              <w:t>METh</w:t>
            </w:r>
            <w:proofErr w:type="spellEnd"/>
            <w:r w:rsidRPr="009448E0">
              <w:rPr>
                <w:rFonts w:eastAsia="Times New Roman" w:cs="Arial"/>
                <w:color w:val="000000"/>
                <w:sz w:val="18"/>
                <w:szCs w:val="18"/>
                <w:lang w:eastAsia="en-GB"/>
              </w:rPr>
              <w:t>/week continuous variable (logged) and Physical Activity Readiness Questionnaire (PAR-Q) was included as a covariate (pass/fail/missing). The PAR-Q asks several questions regarding heart trouble, chest pain, high blood pressure, dizzy spells, joint problems, and other problems that may prevent participants from participating in physical activities. A positive response to any question results in a failure of the PAR-Q</w:t>
            </w:r>
          </w:p>
        </w:tc>
      </w:tr>
      <w:tr w:rsidR="00FF227B" w:rsidRPr="009448E0" w:rsidTr="00890252">
        <w:trPr>
          <w:trHeight w:val="5625"/>
        </w:trPr>
        <w:tc>
          <w:tcPr>
            <w:cnfStyle w:val="001000000000"/>
            <w:tcW w:w="0" w:type="auto"/>
            <w:hideMark/>
          </w:tcPr>
          <w:p w:rsidR="00FF227B" w:rsidRPr="009448E0" w:rsidRDefault="00FF227B" w:rsidP="00890252">
            <w:pPr>
              <w:spacing w:line="240" w:lineRule="auto"/>
              <w:rPr>
                <w:rFonts w:eastAsia="Times New Roman" w:cs="Arial"/>
                <w:color w:val="000000"/>
                <w:sz w:val="18"/>
                <w:szCs w:val="18"/>
                <w:lang w:eastAsia="en-GB"/>
              </w:rPr>
            </w:pPr>
            <w:r w:rsidRPr="009448E0">
              <w:rPr>
                <w:sz w:val="18"/>
                <w:szCs w:val="18"/>
              </w:rPr>
              <w:lastRenderedPageBreak/>
              <w:t>Matthews et al (2014)</w:t>
            </w:r>
            <w:r>
              <w:rPr>
                <w:noProof/>
                <w:sz w:val="18"/>
                <w:szCs w:val="18"/>
              </w:rPr>
              <w:t>(60)</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 xml:space="preserve">From 2002 to 2009, nearly 85,000 adults were enrolled in the cohort, most of whom (86%) enrolled at 1 of 71 participating community health </w:t>
            </w:r>
            <w:proofErr w:type="spellStart"/>
            <w:r w:rsidRPr="009448E0">
              <w:rPr>
                <w:rFonts w:eastAsia="Times New Roman" w:cs="Arial"/>
                <w:color w:val="000000"/>
                <w:sz w:val="18"/>
                <w:szCs w:val="18"/>
                <w:lang w:eastAsia="en-GB"/>
              </w:rPr>
              <w:t>centers</w:t>
            </w:r>
            <w:proofErr w:type="spellEnd"/>
            <w:r w:rsidRPr="009448E0">
              <w:rPr>
                <w:rFonts w:eastAsia="Times New Roman" w:cs="Arial"/>
                <w:color w:val="000000"/>
                <w:sz w:val="18"/>
                <w:szCs w:val="18"/>
                <w:lang w:eastAsia="en-GB"/>
              </w:rPr>
              <w:t xml:space="preserve"> that provide basic health services mainly to low-income and uninsured persons. Centres were in urban and rural areas in 12 states in south eastern United States (Florida, Alabama, Mississippi, Louisiana, Arkansas, Tennessee, Georgia, South Carolina, North Carolina, Virginia, West Virginia, and Kentucky). An additional 14% of the cohort enrolled from 2004 to 2006 by responding to a mailed questionnaire sent to randomly selected residents of the same 12 states. The study was designed so that approximately two thirds of participants were black. Participants eligible for </w:t>
            </w:r>
            <w:proofErr w:type="spellStart"/>
            <w:r w:rsidRPr="009448E0">
              <w:rPr>
                <w:rFonts w:eastAsia="Times New Roman" w:cs="Arial"/>
                <w:color w:val="000000"/>
                <w:sz w:val="18"/>
                <w:szCs w:val="18"/>
                <w:lang w:eastAsia="en-GB"/>
              </w:rPr>
              <w:t>enrollment</w:t>
            </w:r>
            <w:proofErr w:type="spellEnd"/>
            <w:r w:rsidRPr="009448E0">
              <w:rPr>
                <w:rFonts w:eastAsia="Times New Roman" w:cs="Arial"/>
                <w:color w:val="000000"/>
                <w:sz w:val="18"/>
                <w:szCs w:val="18"/>
                <w:lang w:eastAsia="en-GB"/>
              </w:rPr>
              <w:t xml:space="preserve"> in the overall cohort were 40–79 years of age, spoke English, and had not been treated for cancer in the 12 months before </w:t>
            </w:r>
            <w:proofErr w:type="spellStart"/>
            <w:r w:rsidRPr="009448E0">
              <w:rPr>
                <w:rFonts w:eastAsia="Times New Roman" w:cs="Arial"/>
                <w:color w:val="000000"/>
                <w:sz w:val="18"/>
                <w:szCs w:val="18"/>
                <w:lang w:eastAsia="en-GB"/>
              </w:rPr>
              <w:t>enrollment</w:t>
            </w:r>
            <w:proofErr w:type="spellEnd"/>
            <w:r w:rsidRPr="009448E0">
              <w:rPr>
                <w:rFonts w:eastAsia="Times New Roman" w:cs="Arial"/>
                <w:color w:val="000000"/>
                <w:sz w:val="18"/>
                <w:szCs w:val="18"/>
                <w:lang w:eastAsia="en-GB"/>
              </w:rPr>
              <w:t>.</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Excluded persons who reported heart disease (previous heart attack or bypass surgery; n = 5,535), cancers other than non-melanoma skin cancer (n = 5,099), stroke (n = 5,150), Parkinson’s disease (n = 130), lupus (n = 674), and multiple sclerosis (n = 255) at enrolment. Adjusted for diabetes (Y/N).</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3</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Social Security Administration and the National Death Index through December 31, 2011. Information on specific causes of death was ascertained via linkage to the National Death Index</w:t>
            </w:r>
          </w:p>
        </w:tc>
        <w:tc>
          <w:tcPr>
            <w:tcW w:w="0" w:type="auto"/>
            <w:hideMark/>
          </w:tcPr>
          <w:p w:rsidR="00FF227B" w:rsidRPr="009448E0" w:rsidRDefault="00FF227B" w:rsidP="00890252">
            <w:pPr>
              <w:spacing w:line="240" w:lineRule="auto"/>
              <w:cnfStyle w:val="000000000000"/>
              <w:rPr>
                <w:rFonts w:eastAsia="Times New Roman" w:cs="Arial"/>
                <w:color w:val="231F20"/>
                <w:sz w:val="18"/>
                <w:szCs w:val="18"/>
                <w:lang w:eastAsia="en-GB"/>
              </w:rPr>
            </w:pPr>
            <w:r w:rsidRPr="009448E0">
              <w:rPr>
                <w:rFonts w:eastAsia="Times New Roman" w:cs="Arial"/>
                <w:color w:val="231F20"/>
                <w:sz w:val="18"/>
                <w:szCs w:val="18"/>
                <w:lang w:eastAsia="en-GB"/>
              </w:rPr>
              <w:t>Questions about sedentary behaviours asked about the amount of time per day typically spent sitting in a car or bus; sitting at work; sitting to view television or movies; sitting using a computer at home (e.g., checking email, using the Internet, playing games); and doing other activities that involve sitting (e.g., eating meals, talking on the phone, reading, playing cards, or sewing). For all questions, participants provided open-ended duration responses (hours and minutes). We evaluated the reliability and validity of the SCCS physical activity questionnaire in 118 randomly selected SCCS participants and found the validity of the instrument to be comparable for blacks and whites</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 xml:space="preserve">Time typically spent performing light, moderate, and strenuous (vigorous) activities at home and at work, as well as time spent moderately and vigorously exercising/participating in sports. Time spent doing work and home activities was assessed separately for week and weekend days, and exercise and sports participation was assessed for a typical week. Overall PA level was estimated as the sum of home and work activity and exercise and sports participation. In addition to leisure-time activity and activities done at home and work, time spent walking slowly (moving around, walking at work, walking a dog, doing light exercise) and walking quickly (to go places, for exercise, climbing stairs) was also assessed and evaluated separately. Duration reports of active behaviours were converted to estimates of PA energy expenditure </w:t>
            </w:r>
            <w:proofErr w:type="spellStart"/>
            <w:r w:rsidRPr="009448E0">
              <w:rPr>
                <w:rFonts w:eastAsia="Times New Roman" w:cs="Arial"/>
                <w:color w:val="000000"/>
                <w:sz w:val="18"/>
                <w:szCs w:val="18"/>
                <w:lang w:eastAsia="en-GB"/>
              </w:rPr>
              <w:t>METh</w:t>
            </w:r>
            <w:proofErr w:type="spellEnd"/>
            <w:r w:rsidRPr="009448E0">
              <w:rPr>
                <w:rFonts w:eastAsia="Times New Roman" w:cs="Arial"/>
                <w:color w:val="000000"/>
                <w:sz w:val="18"/>
                <w:szCs w:val="18"/>
                <w:lang w:eastAsia="en-GB"/>
              </w:rPr>
              <w:t>/day using common MET values for the specific activities assessed. Reliability and validity of the Southern Community Cohort Study PA questionnaire was evaluated in 118 randomly selected SCCS participants and found the validity of the instrument to be comparable for blacks and whites</w:t>
            </w:r>
          </w:p>
        </w:tc>
      </w:tr>
      <w:tr w:rsidR="00FF227B" w:rsidRPr="009448E0" w:rsidTr="00890252">
        <w:trPr>
          <w:cnfStyle w:val="000000100000"/>
          <w:trHeight w:val="3150"/>
        </w:trPr>
        <w:tc>
          <w:tcPr>
            <w:cnfStyle w:val="001000000000"/>
            <w:tcW w:w="0" w:type="auto"/>
            <w:hideMark/>
          </w:tcPr>
          <w:p w:rsidR="00FF227B" w:rsidRPr="009448E0" w:rsidRDefault="00FF227B" w:rsidP="00890252">
            <w:pPr>
              <w:spacing w:line="240" w:lineRule="auto"/>
              <w:rPr>
                <w:rFonts w:eastAsia="Times New Roman" w:cs="Arial"/>
                <w:color w:val="000000"/>
                <w:sz w:val="18"/>
                <w:szCs w:val="18"/>
                <w:lang w:eastAsia="en-GB"/>
              </w:rPr>
            </w:pPr>
            <w:r w:rsidRPr="009448E0">
              <w:rPr>
                <w:sz w:val="18"/>
                <w:szCs w:val="18"/>
              </w:rPr>
              <w:lastRenderedPageBreak/>
              <w:t>Matthews et al (2015)</w:t>
            </w:r>
            <w:r>
              <w:rPr>
                <w:noProof/>
                <w:sz w:val="18"/>
                <w:szCs w:val="18"/>
              </w:rPr>
              <w:t>(62)</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3.5 million questionnaires to current members of the AARP (formally the American Association of Retired Persons), aged 50-71 years, and who resided in one of six US states or in two metropolitan areas who replied to a questionnaire.</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Those with major diseases including cancer other than BCC, MI, coronary bypass, stroke, emphysema, renal dis, degenerative neurological condition. Adjusted for self reported overall health</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3</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Vital status was determined through linkage with the Social Security Administration</w:t>
            </w:r>
            <w:r w:rsidRPr="009448E0">
              <w:rPr>
                <w:rFonts w:eastAsia="Times New Roman" w:cs="Arial"/>
                <w:color w:val="000000"/>
                <w:sz w:val="18"/>
                <w:szCs w:val="18"/>
                <w:lang w:eastAsia="en-GB"/>
              </w:rPr>
              <w:br/>
              <w:t>Death Master File, and the National Death Index</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“During a typical 24-hour period over the past 12 months, how much time did you spend watching television or videos? (None, 1, 1–2, 3–4, 5–6, 7–8, or 9+ h/d).” To assess overall sitting, participants were asked, “During a typical 24-hour period over the past 12 months, how much time did you spend sitting? (3, 3–4, 5–6, 7–8, or 9+ h/d).”</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The physical activity questionnaire asked how much time per week was spent in 16 activities during the past 12 months. Activities were classified as exercise and sports (8 questions) and as non-exercise activity (8 questions), including household chores (5 questions), lawn and garden (2 questions), and daily walking activities (1 question). Activity duration (hrs/d) was calculated as the sum of all exercise, non-exercise, and all activities (i.e., Overall physical activity), this was used as 5 category variable in the analysis. The exercise items have been validated against physical activity diaries, r=0.62 and 0.65 (3, 34).</w:t>
            </w:r>
          </w:p>
        </w:tc>
      </w:tr>
      <w:tr w:rsidR="00FF227B" w:rsidRPr="009448E0" w:rsidTr="00890252">
        <w:trPr>
          <w:trHeight w:val="2250"/>
        </w:trPr>
        <w:tc>
          <w:tcPr>
            <w:cnfStyle w:val="001000000000"/>
            <w:tcW w:w="0" w:type="auto"/>
            <w:hideMark/>
          </w:tcPr>
          <w:p w:rsidR="00FF227B" w:rsidRPr="009448E0" w:rsidRDefault="00FF227B" w:rsidP="00890252">
            <w:pPr>
              <w:spacing w:line="240" w:lineRule="auto"/>
              <w:rPr>
                <w:rFonts w:eastAsia="Times New Roman" w:cs="Arial"/>
                <w:color w:val="000000"/>
                <w:sz w:val="18"/>
                <w:szCs w:val="18"/>
                <w:lang w:eastAsia="en-GB"/>
              </w:rPr>
            </w:pPr>
            <w:proofErr w:type="spellStart"/>
            <w:r w:rsidRPr="009448E0">
              <w:rPr>
                <w:sz w:val="18"/>
                <w:szCs w:val="18"/>
              </w:rPr>
              <w:t>Pavey</w:t>
            </w:r>
            <w:proofErr w:type="spellEnd"/>
            <w:r w:rsidRPr="009448E0">
              <w:rPr>
                <w:sz w:val="18"/>
                <w:szCs w:val="18"/>
              </w:rPr>
              <w:t xml:space="preserve"> et al (2015)</w:t>
            </w:r>
            <w:r>
              <w:rPr>
                <w:noProof/>
                <w:sz w:val="18"/>
                <w:szCs w:val="18"/>
              </w:rPr>
              <w:t>(63)</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Women were randomly selected from the Medicare database, which covers all citizens and permanent residents of Australia.  This analysis focused on the 1921-1926 cohort of the ALSW and were therefore women aged 70-75 at baseline (in 1996).</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 xml:space="preserve">Too frail to fill in questionnaire and withdrawals. </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2</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Australian National Death Index</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 xml:space="preserve">How many hours EACH DAY do you typically spend sitting down while doing things like visiting friends, driving, reading, watching television, or working at a desk or computer on (a) a usual week-day and (b) a usual weekend-day”. Similar to that used in IPAQ which has been shown to have good reliability and moderate criterion validity against accelerometers (&lt;100 counts/min).Sitting-time data were cleaned using protocols developed by van </w:t>
            </w:r>
            <w:proofErr w:type="spellStart"/>
            <w:r w:rsidRPr="009448E0">
              <w:rPr>
                <w:rFonts w:eastAsia="Times New Roman" w:cs="Arial"/>
                <w:color w:val="000000"/>
                <w:sz w:val="18"/>
                <w:szCs w:val="18"/>
                <w:lang w:eastAsia="en-GB"/>
              </w:rPr>
              <w:t>Uffelen</w:t>
            </w:r>
            <w:proofErr w:type="spellEnd"/>
            <w:r w:rsidRPr="009448E0">
              <w:rPr>
                <w:rFonts w:eastAsia="Times New Roman" w:cs="Arial"/>
                <w:color w:val="000000"/>
                <w:sz w:val="18"/>
                <w:szCs w:val="18"/>
                <w:lang w:eastAsia="en-GB"/>
              </w:rPr>
              <w:t xml:space="preserve"> et al.</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PA scores were calculated from questions about time spent in walking, moderate and vigorous activity. (Score=</w:t>
            </w:r>
            <w:proofErr w:type="spellStart"/>
            <w:r w:rsidRPr="009448E0">
              <w:rPr>
                <w:rFonts w:eastAsia="Times New Roman" w:cs="Arial"/>
                <w:color w:val="000000"/>
                <w:sz w:val="18"/>
                <w:szCs w:val="18"/>
                <w:lang w:eastAsia="en-GB"/>
              </w:rPr>
              <w:t>walking+moderate</w:t>
            </w:r>
            <w:proofErr w:type="spellEnd"/>
            <w:r w:rsidRPr="009448E0">
              <w:rPr>
                <w:rFonts w:eastAsia="Times New Roman" w:cs="Arial"/>
                <w:color w:val="000000"/>
                <w:sz w:val="18"/>
                <w:szCs w:val="18"/>
                <w:lang w:eastAsia="en-GB"/>
              </w:rPr>
              <w:t xml:space="preserve"> min/ </w:t>
            </w:r>
            <w:proofErr w:type="spellStart"/>
            <w:r w:rsidRPr="009448E0">
              <w:rPr>
                <w:rFonts w:eastAsia="Times New Roman" w:cs="Arial"/>
                <w:color w:val="000000"/>
                <w:sz w:val="18"/>
                <w:szCs w:val="18"/>
                <w:lang w:eastAsia="en-GB"/>
              </w:rPr>
              <w:t>week×3</w:t>
            </w:r>
            <w:proofErr w:type="spellEnd"/>
            <w:r w:rsidRPr="009448E0">
              <w:rPr>
                <w:rFonts w:eastAsia="Times New Roman" w:cs="Arial"/>
                <w:color w:val="000000"/>
                <w:sz w:val="18"/>
                <w:szCs w:val="18"/>
                <w:lang w:eastAsia="en-GB"/>
              </w:rPr>
              <w:t xml:space="preserve"> MET)</w:t>
            </w:r>
            <w:proofErr w:type="gramStart"/>
            <w:r w:rsidRPr="009448E0">
              <w:rPr>
                <w:rFonts w:eastAsia="Times New Roman" w:cs="Arial"/>
                <w:color w:val="000000"/>
                <w:sz w:val="18"/>
                <w:szCs w:val="18"/>
                <w:lang w:eastAsia="en-GB"/>
              </w:rPr>
              <w:t>+(</w:t>
            </w:r>
            <w:proofErr w:type="gramEnd"/>
            <w:r w:rsidRPr="009448E0">
              <w:rPr>
                <w:rFonts w:eastAsia="Times New Roman" w:cs="Arial"/>
                <w:color w:val="000000"/>
                <w:sz w:val="18"/>
                <w:szCs w:val="18"/>
                <w:lang w:eastAsia="en-GB"/>
              </w:rPr>
              <w:t xml:space="preserve">vigorous min/week×6 MET), with scores categorised as: not meeting (&lt;450 </w:t>
            </w:r>
            <w:proofErr w:type="spellStart"/>
            <w:r w:rsidRPr="009448E0">
              <w:rPr>
                <w:rFonts w:eastAsia="Times New Roman" w:cs="Arial"/>
                <w:color w:val="000000"/>
                <w:sz w:val="18"/>
                <w:szCs w:val="18"/>
                <w:lang w:eastAsia="en-GB"/>
              </w:rPr>
              <w:t>MET×min</w:t>
            </w:r>
            <w:proofErr w:type="spellEnd"/>
            <w:r w:rsidRPr="009448E0">
              <w:rPr>
                <w:rFonts w:eastAsia="Times New Roman" w:cs="Arial"/>
                <w:color w:val="000000"/>
                <w:sz w:val="18"/>
                <w:szCs w:val="18"/>
                <w:lang w:eastAsia="en-GB"/>
              </w:rPr>
              <w:t xml:space="preserve">/week) or meeting PA guidelines (≥450 </w:t>
            </w:r>
            <w:proofErr w:type="spellStart"/>
            <w:r w:rsidRPr="009448E0">
              <w:rPr>
                <w:rFonts w:eastAsia="Times New Roman" w:cs="Arial"/>
                <w:color w:val="000000"/>
                <w:sz w:val="18"/>
                <w:szCs w:val="18"/>
                <w:lang w:eastAsia="en-GB"/>
              </w:rPr>
              <w:t>MET×min</w:t>
            </w:r>
            <w:proofErr w:type="spellEnd"/>
            <w:r w:rsidRPr="009448E0">
              <w:rPr>
                <w:rFonts w:eastAsia="Times New Roman" w:cs="Arial"/>
                <w:color w:val="000000"/>
                <w:sz w:val="18"/>
                <w:szCs w:val="18"/>
                <w:lang w:eastAsia="en-GB"/>
              </w:rPr>
              <w:t>/week). The PA measure has been shown to have acceptable measurement characteristics.</w:t>
            </w:r>
          </w:p>
        </w:tc>
      </w:tr>
      <w:tr w:rsidR="00FF227B" w:rsidRPr="009448E0" w:rsidTr="00890252">
        <w:trPr>
          <w:cnfStyle w:val="000000100000"/>
          <w:trHeight w:val="1413"/>
        </w:trPr>
        <w:tc>
          <w:tcPr>
            <w:cnfStyle w:val="001000000000"/>
            <w:tcW w:w="0" w:type="auto"/>
          </w:tcPr>
          <w:p w:rsidR="00FF227B" w:rsidRPr="009448E0" w:rsidRDefault="00FF227B" w:rsidP="00890252">
            <w:pPr>
              <w:spacing w:line="240" w:lineRule="auto"/>
              <w:rPr>
                <w:rFonts w:eastAsia="Times New Roman" w:cs="Arial"/>
                <w:color w:val="000000"/>
                <w:sz w:val="18"/>
                <w:szCs w:val="18"/>
                <w:lang w:eastAsia="en-GB"/>
              </w:rPr>
            </w:pPr>
            <w:r w:rsidRPr="009448E0">
              <w:rPr>
                <w:sz w:val="18"/>
                <w:szCs w:val="18"/>
              </w:rPr>
              <w:t>Petersen et al (2014)</w:t>
            </w:r>
            <w:r>
              <w:rPr>
                <w:noProof/>
                <w:sz w:val="18"/>
                <w:szCs w:val="18"/>
              </w:rPr>
              <w:t>(64)</w:t>
            </w:r>
          </w:p>
        </w:tc>
        <w:tc>
          <w:tcPr>
            <w:tcW w:w="0" w:type="auto"/>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DANHES was conducted in 13 municipalities, in each all citizens &gt;18 were invited to participate (response rate 14% 76,484/538,163)</w:t>
            </w:r>
          </w:p>
        </w:tc>
        <w:tc>
          <w:tcPr>
            <w:tcW w:w="0" w:type="auto"/>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Pre-existing CHD baseline, self-report or using patient register.  Also excluded those who rated their general health as very poor (lowest of 5 categories at baseline).</w:t>
            </w:r>
          </w:p>
        </w:tc>
        <w:tc>
          <w:tcPr>
            <w:tcW w:w="0" w:type="auto"/>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1</w:t>
            </w:r>
          </w:p>
        </w:tc>
        <w:tc>
          <w:tcPr>
            <w:tcW w:w="0" w:type="auto"/>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Danish Civil Registration System (deaths). Danish National Patient Register using ICD.</w:t>
            </w:r>
          </w:p>
        </w:tc>
        <w:tc>
          <w:tcPr>
            <w:tcW w:w="0" w:type="auto"/>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 xml:space="preserve">Long IPAQ Danish.  "During the last 7 days how much time did you usually spend sitting during work and leisure time on a) a weekday? b) </w:t>
            </w:r>
            <w:proofErr w:type="gramStart"/>
            <w:r w:rsidRPr="009448E0">
              <w:rPr>
                <w:rFonts w:eastAsia="Times New Roman" w:cs="Arial"/>
                <w:color w:val="000000"/>
                <w:sz w:val="18"/>
                <w:szCs w:val="18"/>
                <w:lang w:eastAsia="en-GB"/>
              </w:rPr>
              <w:t>a</w:t>
            </w:r>
            <w:proofErr w:type="gramEnd"/>
            <w:r w:rsidRPr="009448E0">
              <w:rPr>
                <w:rFonts w:eastAsia="Times New Roman" w:cs="Arial"/>
                <w:color w:val="000000"/>
                <w:sz w:val="18"/>
                <w:szCs w:val="18"/>
                <w:lang w:eastAsia="en-GB"/>
              </w:rPr>
              <w:t xml:space="preserve"> weekend day? How much time was spent travelling by car?  The sum was converted into hours/day.</w:t>
            </w:r>
          </w:p>
        </w:tc>
        <w:tc>
          <w:tcPr>
            <w:tcW w:w="0" w:type="auto"/>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 xml:space="preserve">LTPA dichotomised into active and inactive with modified version of </w:t>
            </w:r>
            <w:proofErr w:type="spellStart"/>
            <w:r w:rsidRPr="009448E0">
              <w:rPr>
                <w:rFonts w:eastAsia="Times New Roman" w:cs="Arial"/>
                <w:color w:val="000000"/>
                <w:sz w:val="18"/>
                <w:szCs w:val="18"/>
                <w:lang w:eastAsia="en-GB"/>
              </w:rPr>
              <w:t>Saltin</w:t>
            </w:r>
            <w:proofErr w:type="spellEnd"/>
            <w:r w:rsidRPr="009448E0">
              <w:rPr>
                <w:rFonts w:eastAsia="Times New Roman" w:cs="Arial"/>
                <w:color w:val="000000"/>
                <w:sz w:val="18"/>
                <w:szCs w:val="18"/>
                <w:lang w:eastAsia="en-GB"/>
              </w:rPr>
              <w:t xml:space="preserve"> and </w:t>
            </w:r>
            <w:proofErr w:type="spellStart"/>
            <w:r w:rsidRPr="009448E0">
              <w:rPr>
                <w:rFonts w:eastAsia="Times New Roman" w:cs="Arial"/>
                <w:color w:val="000000"/>
                <w:sz w:val="18"/>
                <w:szCs w:val="18"/>
                <w:lang w:eastAsia="en-GB"/>
              </w:rPr>
              <w:t>Grimby</w:t>
            </w:r>
            <w:proofErr w:type="spellEnd"/>
            <w:r w:rsidRPr="009448E0">
              <w:rPr>
                <w:rFonts w:eastAsia="Times New Roman" w:cs="Arial"/>
                <w:color w:val="000000"/>
                <w:sz w:val="18"/>
                <w:szCs w:val="18"/>
                <w:lang w:eastAsia="en-GB"/>
              </w:rPr>
              <w:t xml:space="preserve"> instrument.  Additionally, IPAQ was used to measure LTPA and total PA, total time spent in each domain was used to calculate MET values (31 items in 4 domains: work, transport, house work, gardening and leisure time).</w:t>
            </w:r>
          </w:p>
        </w:tc>
      </w:tr>
      <w:tr w:rsidR="00FF227B" w:rsidRPr="009448E0" w:rsidTr="00890252">
        <w:trPr>
          <w:trHeight w:val="2700"/>
        </w:trPr>
        <w:tc>
          <w:tcPr>
            <w:cnfStyle w:val="001000000000"/>
            <w:tcW w:w="0" w:type="auto"/>
            <w:hideMark/>
          </w:tcPr>
          <w:p w:rsidR="00FF227B" w:rsidRPr="009448E0" w:rsidRDefault="00FF227B" w:rsidP="00890252">
            <w:pPr>
              <w:spacing w:line="240" w:lineRule="auto"/>
              <w:rPr>
                <w:rFonts w:eastAsia="Times New Roman" w:cs="Arial"/>
                <w:color w:val="000000"/>
                <w:sz w:val="18"/>
                <w:szCs w:val="18"/>
                <w:lang w:eastAsia="en-GB"/>
              </w:rPr>
            </w:pPr>
            <w:proofErr w:type="spellStart"/>
            <w:r w:rsidRPr="009448E0">
              <w:rPr>
                <w:sz w:val="18"/>
                <w:szCs w:val="18"/>
              </w:rPr>
              <w:lastRenderedPageBreak/>
              <w:t>Schmid</w:t>
            </w:r>
            <w:proofErr w:type="spellEnd"/>
            <w:r w:rsidRPr="009448E0">
              <w:rPr>
                <w:sz w:val="18"/>
                <w:szCs w:val="18"/>
              </w:rPr>
              <w:t xml:space="preserve"> et al (2015)</w:t>
            </w:r>
            <w:r>
              <w:rPr>
                <w:noProof/>
                <w:sz w:val="18"/>
                <w:szCs w:val="18"/>
              </w:rPr>
              <w:t>(67)</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This study used data from the 2003–2004 NHANES survey, a nationally representative of the US civilian non-institutionalise population. Survey has a stratified, multistage design.</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Adjusted for history of diabetes, CVD (CHD, congestive heart failure, stroke), cancer.  Sensitivity analysis for those who died in first year of follow up and those with history of chronic diseases and mobility limitations</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1</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Linkage to national death index.</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 xml:space="preserve">Physical activity was assessed using the uniaxial </w:t>
            </w:r>
            <w:proofErr w:type="spellStart"/>
            <w:r w:rsidRPr="009448E0">
              <w:rPr>
                <w:rFonts w:eastAsia="Times New Roman" w:cs="Arial"/>
                <w:color w:val="000000"/>
                <w:sz w:val="18"/>
                <w:szCs w:val="18"/>
                <w:lang w:eastAsia="en-GB"/>
              </w:rPr>
              <w:t>ActiGraph</w:t>
            </w:r>
            <w:proofErr w:type="spellEnd"/>
            <w:r w:rsidRPr="009448E0">
              <w:rPr>
                <w:rFonts w:eastAsia="Times New Roman" w:cs="Arial"/>
                <w:color w:val="000000"/>
                <w:sz w:val="18"/>
                <w:szCs w:val="18"/>
                <w:lang w:eastAsia="en-GB"/>
              </w:rPr>
              <w:t xml:space="preserve"> AM-7164 accelerometer (</w:t>
            </w:r>
            <w:proofErr w:type="spellStart"/>
            <w:r w:rsidRPr="009448E0">
              <w:rPr>
                <w:rFonts w:eastAsia="Times New Roman" w:cs="Arial"/>
                <w:color w:val="000000"/>
                <w:sz w:val="18"/>
                <w:szCs w:val="18"/>
                <w:lang w:eastAsia="en-GB"/>
              </w:rPr>
              <w:t>ActiGraph</w:t>
            </w:r>
            <w:proofErr w:type="spellEnd"/>
            <w:r w:rsidRPr="009448E0">
              <w:rPr>
                <w:rFonts w:eastAsia="Times New Roman" w:cs="Arial"/>
                <w:color w:val="000000"/>
                <w:sz w:val="18"/>
                <w:szCs w:val="18"/>
                <w:lang w:eastAsia="en-GB"/>
              </w:rPr>
              <w:t xml:space="preserve">, Ft. Walton Beach, FL). </w:t>
            </w:r>
            <w:proofErr w:type="gramStart"/>
            <w:r w:rsidRPr="009448E0">
              <w:rPr>
                <w:rFonts w:eastAsia="Times New Roman" w:cs="Arial"/>
                <w:color w:val="000000"/>
                <w:sz w:val="18"/>
                <w:szCs w:val="18"/>
                <w:lang w:eastAsia="en-GB"/>
              </w:rPr>
              <w:t>for</w:t>
            </w:r>
            <w:proofErr w:type="gramEnd"/>
            <w:r w:rsidRPr="009448E0">
              <w:rPr>
                <w:rFonts w:eastAsia="Times New Roman" w:cs="Arial"/>
                <w:color w:val="000000"/>
                <w:sz w:val="18"/>
                <w:szCs w:val="18"/>
                <w:lang w:eastAsia="en-GB"/>
              </w:rPr>
              <w:t xml:space="preserve"> up to seven consecutive days. Non-wear time was defined as an interval of at least 60 consecutive minutes of zero counts, allowing for intervals of 1–2 minutes of relatively low counts (i.e., 1–100 counts) [24–27]. To define sedentary time and moderate to vigorous physical activity, we used cut-points from published calibration studies. Specifically, sedentary time was defined as less than 100 counts per minute.</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Objective MVPA - defined at 2020 cpm which represents the weighted average cut point for moderate to vigorous physical activity from published calibration studies</w:t>
            </w:r>
          </w:p>
        </w:tc>
      </w:tr>
      <w:tr w:rsidR="00FF227B" w:rsidRPr="009448E0" w:rsidTr="00890252">
        <w:trPr>
          <w:cnfStyle w:val="000000100000"/>
          <w:trHeight w:val="2700"/>
        </w:trPr>
        <w:tc>
          <w:tcPr>
            <w:cnfStyle w:val="001000000000"/>
            <w:tcW w:w="0" w:type="auto"/>
            <w:hideMark/>
          </w:tcPr>
          <w:p w:rsidR="00FF227B" w:rsidRPr="009448E0" w:rsidRDefault="00FF227B" w:rsidP="00890252">
            <w:pPr>
              <w:spacing w:line="240" w:lineRule="auto"/>
              <w:rPr>
                <w:rFonts w:eastAsia="Times New Roman" w:cs="Arial"/>
                <w:color w:val="000000"/>
                <w:sz w:val="18"/>
                <w:szCs w:val="18"/>
                <w:lang w:eastAsia="en-GB"/>
              </w:rPr>
            </w:pPr>
            <w:r w:rsidRPr="009448E0">
              <w:rPr>
                <w:sz w:val="18"/>
                <w:szCs w:val="18"/>
              </w:rPr>
              <w:t>Seguin et al (2014)</w:t>
            </w:r>
            <w:r>
              <w:rPr>
                <w:noProof/>
                <w:sz w:val="18"/>
                <w:szCs w:val="18"/>
              </w:rPr>
              <w:t>(68)</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Postmenopausal women aged between 50 and 79 years at clinical centres across the US, through several recruitment activities (e.g., mass mailings, community presentations) and included 93,676 racially and ethnically diverse postmenopausal women aged 50–79 years at baseline.</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Adjusted for physical function assessed using self report 10 item Rand-36</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2</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Mailed questionnaire confirmed by national death index</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During a usual day and night, about how many hours do you spend sitting? Be sure to include the time you spend sitting at work, sitting at the table eating, driving or riding in a car or bus, and sitting up watching TV or talking. During a usual day and night, about how many hours do you spend sleeping or lying down with your feet up? Be sure to include the time you spend sleeping or trying to sleep at night, resting or napping, and lying down watching TV. Sleeping time was then subtracted for total sitting time. Demonstrated test-re-test reliability in a subsample.</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Respondents were asked to classify the duration, frequency, and intensity of walking and other recreational activities. MVPA was measured using the WHI physical activity questionnaire, which has acceptable validity and reliability.</w:t>
            </w:r>
          </w:p>
        </w:tc>
      </w:tr>
      <w:tr w:rsidR="00FF227B" w:rsidRPr="009448E0" w:rsidTr="00890252">
        <w:trPr>
          <w:trHeight w:val="1125"/>
        </w:trPr>
        <w:tc>
          <w:tcPr>
            <w:cnfStyle w:val="001000000000"/>
            <w:tcW w:w="0" w:type="auto"/>
            <w:hideMark/>
          </w:tcPr>
          <w:p w:rsidR="00FF227B" w:rsidRPr="009448E0" w:rsidRDefault="00FF227B" w:rsidP="00890252">
            <w:pPr>
              <w:spacing w:line="240" w:lineRule="auto"/>
              <w:rPr>
                <w:rFonts w:eastAsia="Times New Roman" w:cs="Arial"/>
                <w:color w:val="000000"/>
                <w:sz w:val="18"/>
                <w:szCs w:val="18"/>
                <w:lang w:eastAsia="en-GB"/>
              </w:rPr>
            </w:pPr>
            <w:r w:rsidRPr="009448E0">
              <w:rPr>
                <w:sz w:val="18"/>
                <w:szCs w:val="18"/>
              </w:rPr>
              <w:t xml:space="preserve">van der </w:t>
            </w:r>
            <w:proofErr w:type="spellStart"/>
            <w:r w:rsidRPr="009448E0">
              <w:rPr>
                <w:sz w:val="18"/>
                <w:szCs w:val="18"/>
              </w:rPr>
              <w:t>Ploeg</w:t>
            </w:r>
            <w:proofErr w:type="spellEnd"/>
            <w:r w:rsidRPr="009448E0">
              <w:rPr>
                <w:sz w:val="18"/>
                <w:szCs w:val="18"/>
              </w:rPr>
              <w:t xml:space="preserve"> et al (2012)</w:t>
            </w:r>
            <w:r>
              <w:rPr>
                <w:noProof/>
                <w:sz w:val="18"/>
                <w:szCs w:val="18"/>
              </w:rPr>
              <w:t>(71)</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Individual aged over 45 years sampled from the general population of NSW Australia, Medicare database which includes all citizens and permanent residents.</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Adjustments for self-rated health and receiving help with daily tasks for long term illness or disability.</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2</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New South Wales Registry of Births, Deaths, and Marriages data linkage</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About how many hours in each 24-hour day do you usually spend sitting?” similar to IPAQ which has shown acceptable reliability and validity</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Total physical activity was assessed with the Active Australia Survey, which measures walking and other moderate- and vigorous-intensity physical activity and has acceptable reliability and validity (4 categories used)</w:t>
            </w:r>
          </w:p>
        </w:tc>
      </w:tr>
      <w:tr w:rsidR="00FF227B" w:rsidRPr="009448E0" w:rsidTr="00890252">
        <w:trPr>
          <w:cnfStyle w:val="000000100000"/>
          <w:trHeight w:val="1350"/>
        </w:trPr>
        <w:tc>
          <w:tcPr>
            <w:cnfStyle w:val="001000000000"/>
            <w:tcW w:w="0" w:type="auto"/>
            <w:hideMark/>
          </w:tcPr>
          <w:p w:rsidR="00FF227B" w:rsidRPr="009448E0" w:rsidRDefault="00FF227B" w:rsidP="00890252">
            <w:pPr>
              <w:spacing w:line="240" w:lineRule="auto"/>
              <w:rPr>
                <w:rFonts w:eastAsia="Times New Roman" w:cs="Arial"/>
                <w:color w:val="000000"/>
                <w:sz w:val="18"/>
                <w:szCs w:val="18"/>
                <w:lang w:eastAsia="en-GB"/>
              </w:rPr>
            </w:pPr>
            <w:proofErr w:type="spellStart"/>
            <w:r w:rsidRPr="009448E0">
              <w:rPr>
                <w:sz w:val="18"/>
                <w:szCs w:val="18"/>
              </w:rPr>
              <w:t>Basterra-Gortari</w:t>
            </w:r>
            <w:proofErr w:type="spellEnd"/>
            <w:r w:rsidRPr="009448E0">
              <w:rPr>
                <w:sz w:val="18"/>
                <w:szCs w:val="18"/>
              </w:rPr>
              <w:t xml:space="preserve"> et al (2014)</w:t>
            </w:r>
            <w:r>
              <w:rPr>
                <w:noProof/>
                <w:sz w:val="18"/>
                <w:szCs w:val="18"/>
              </w:rPr>
              <w:t>(39)</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Permanently open recruitment, allowing continuous growth for an ever-increasing sample. Graduate status is necessary, recruited through collaborations with alumni and professional associations throughout the country. 20% of invitees agreed to participate</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Excluded those with: CVD, diabetes of cancer at baseline.</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3</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Next of kin notification and National Death Index.</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 xml:space="preserve">Baseline questionnaire includes time watching TV, using a computer and driving in 12 categories from never to &gt;9hours/day. Measured separately for weekdays and weekends. Validated against objective (accelerometer) measurement. </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 xml:space="preserve">Total </w:t>
            </w:r>
            <w:proofErr w:type="spellStart"/>
            <w:r w:rsidRPr="009448E0">
              <w:rPr>
                <w:rFonts w:eastAsia="Times New Roman" w:cs="Arial"/>
                <w:color w:val="000000"/>
                <w:sz w:val="18"/>
                <w:szCs w:val="18"/>
                <w:lang w:eastAsia="en-GB"/>
              </w:rPr>
              <w:t>METh</w:t>
            </w:r>
            <w:proofErr w:type="spellEnd"/>
            <w:r w:rsidRPr="009448E0">
              <w:rPr>
                <w:rFonts w:eastAsia="Times New Roman" w:cs="Arial"/>
                <w:color w:val="000000"/>
                <w:sz w:val="18"/>
                <w:szCs w:val="18"/>
                <w:lang w:eastAsia="en-GB"/>
              </w:rPr>
              <w:t>/week (Quartiles) based on baseline 17-item questionnaire. Time spent in each activity multiplied by its energy expenditure in METs, then summed. Validated using tri axial accelerometer in a sub-sample.</w:t>
            </w:r>
          </w:p>
        </w:tc>
      </w:tr>
      <w:tr w:rsidR="00FF227B" w:rsidRPr="009448E0" w:rsidTr="00890252">
        <w:trPr>
          <w:trHeight w:val="1350"/>
        </w:trPr>
        <w:tc>
          <w:tcPr>
            <w:cnfStyle w:val="001000000000"/>
            <w:tcW w:w="0" w:type="auto"/>
            <w:hideMark/>
          </w:tcPr>
          <w:p w:rsidR="00FF227B" w:rsidRPr="009448E0" w:rsidRDefault="00FF227B" w:rsidP="00890252">
            <w:pPr>
              <w:spacing w:line="240" w:lineRule="auto"/>
              <w:rPr>
                <w:rFonts w:eastAsia="Times New Roman" w:cs="Arial"/>
                <w:color w:val="000000"/>
                <w:sz w:val="18"/>
                <w:szCs w:val="18"/>
                <w:lang w:eastAsia="en-GB"/>
              </w:rPr>
            </w:pPr>
            <w:r w:rsidRPr="009448E0">
              <w:rPr>
                <w:sz w:val="18"/>
                <w:szCs w:val="18"/>
              </w:rPr>
              <w:lastRenderedPageBreak/>
              <w:t>Dunstan et al (2010)</w:t>
            </w:r>
            <w:r>
              <w:rPr>
                <w:noProof/>
                <w:sz w:val="18"/>
                <w:szCs w:val="18"/>
              </w:rPr>
              <w:t>(49)</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 xml:space="preserve">All eligible adults were recruited within 42 randomly selected urban and nonurban areas based on Census Collector Districts, 6 in each of the Australian states and in the Northern Territory of Australia. </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 xml:space="preserve">Excluded those with history of </w:t>
            </w:r>
            <w:proofErr w:type="gramStart"/>
            <w:r w:rsidRPr="009448E0">
              <w:rPr>
                <w:rFonts w:eastAsia="Times New Roman" w:cs="Arial"/>
                <w:color w:val="000000"/>
                <w:sz w:val="18"/>
                <w:szCs w:val="18"/>
                <w:lang w:eastAsia="en-GB"/>
              </w:rPr>
              <w:t>CVD(</w:t>
            </w:r>
            <w:proofErr w:type="gramEnd"/>
            <w:r w:rsidRPr="009448E0">
              <w:rPr>
                <w:rFonts w:eastAsia="Times New Roman" w:cs="Arial"/>
                <w:color w:val="000000"/>
                <w:sz w:val="18"/>
                <w:szCs w:val="18"/>
                <w:lang w:eastAsia="en-GB"/>
              </w:rPr>
              <w:t>CHD or stroke) and those who were pregnant. Adjusted for hypertension, plasma cholesterol, serum triglycerides and glucose tolerance.</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1</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 xml:space="preserve">National Death Index using ICD. </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Total time spent watching television or videos in the previous 7 days. Validated survey and reliable measure. Three categories used.</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Exercise time was measured by the Active Australia questionnaire, which asks respondents about their participation in predominantly leisure-time exercise. "This measure has been shown to provide a reliable and valid estimate of exercise among adults".</w:t>
            </w:r>
          </w:p>
        </w:tc>
      </w:tr>
      <w:tr w:rsidR="00FF227B" w:rsidRPr="009448E0" w:rsidTr="00890252">
        <w:trPr>
          <w:cnfStyle w:val="000000100000"/>
          <w:trHeight w:val="1680"/>
        </w:trPr>
        <w:tc>
          <w:tcPr>
            <w:cnfStyle w:val="001000000000"/>
            <w:tcW w:w="1090" w:type="dxa"/>
            <w:hideMark/>
          </w:tcPr>
          <w:p w:rsidR="00FF227B" w:rsidRPr="009448E0" w:rsidRDefault="00FF227B" w:rsidP="00890252">
            <w:pPr>
              <w:spacing w:line="240" w:lineRule="auto"/>
              <w:rPr>
                <w:rFonts w:eastAsia="Times New Roman" w:cs="Times New Roman"/>
                <w:color w:val="000000"/>
                <w:sz w:val="18"/>
                <w:szCs w:val="18"/>
                <w:lang w:eastAsia="en-GB"/>
              </w:rPr>
            </w:pPr>
            <w:proofErr w:type="spellStart"/>
            <w:r w:rsidRPr="009448E0">
              <w:rPr>
                <w:sz w:val="18"/>
                <w:szCs w:val="18"/>
              </w:rPr>
              <w:t>Keadle</w:t>
            </w:r>
            <w:proofErr w:type="spellEnd"/>
            <w:r w:rsidRPr="009448E0">
              <w:rPr>
                <w:sz w:val="18"/>
                <w:szCs w:val="18"/>
              </w:rPr>
              <w:t xml:space="preserve"> et al</w:t>
            </w:r>
            <w:r w:rsidRPr="009448E0">
              <w:rPr>
                <w:rFonts w:ascii="Arial" w:eastAsia="Times New Roman" w:hAnsi="Arial" w:cs="Arial"/>
                <w:color w:val="000000"/>
                <w:sz w:val="18"/>
                <w:szCs w:val="18"/>
                <w:lang w:eastAsia="en-GB"/>
              </w:rPr>
              <w:t xml:space="preserve"> (2015)</w:t>
            </w:r>
            <w:r>
              <w:rPr>
                <w:rFonts w:ascii="Arial" w:eastAsia="Times New Roman" w:hAnsi="Arial" w:cs="Arial"/>
                <w:noProof/>
                <w:color w:val="000000"/>
                <w:sz w:val="18"/>
                <w:szCs w:val="18"/>
                <w:lang w:eastAsia="en-GB"/>
              </w:rPr>
              <w:t>(57)</w:t>
            </w:r>
          </w:p>
        </w:tc>
        <w:tc>
          <w:tcPr>
            <w:tcW w:w="2111" w:type="dxa"/>
            <w:hideMark/>
          </w:tcPr>
          <w:p w:rsidR="00FF227B" w:rsidRPr="009448E0" w:rsidRDefault="00FF227B" w:rsidP="00890252">
            <w:pPr>
              <w:spacing w:line="240" w:lineRule="auto"/>
              <w:cnfStyle w:val="000000100000"/>
              <w:rPr>
                <w:rFonts w:eastAsia="Times New Roman" w:cs="Times New Roman"/>
                <w:color w:val="000000"/>
                <w:sz w:val="18"/>
                <w:szCs w:val="18"/>
                <w:lang w:eastAsia="en-GB"/>
              </w:rPr>
            </w:pPr>
            <w:r w:rsidRPr="009448E0">
              <w:rPr>
                <w:rFonts w:eastAsia="Times New Roman" w:cs="Times New Roman"/>
                <w:color w:val="000000"/>
                <w:sz w:val="18"/>
                <w:szCs w:val="18"/>
                <w:lang w:eastAsia="en-GB"/>
              </w:rPr>
              <w:t>3.5 million questionnaires to current members of the AARP (formally the American Association of Retired Persons), aged 50-71 years, and who resided in one of six US states or in two metropolitan areas who replied to a questionnaire.</w:t>
            </w:r>
          </w:p>
        </w:tc>
        <w:tc>
          <w:tcPr>
            <w:tcW w:w="2265" w:type="dxa"/>
            <w:hideMark/>
          </w:tcPr>
          <w:p w:rsidR="00FF227B" w:rsidRPr="009448E0" w:rsidRDefault="00FF227B" w:rsidP="00890252">
            <w:pPr>
              <w:spacing w:line="240" w:lineRule="auto"/>
              <w:cnfStyle w:val="000000100000"/>
              <w:rPr>
                <w:rFonts w:eastAsia="Times New Roman" w:cs="Times New Roman"/>
                <w:color w:val="000000"/>
                <w:sz w:val="18"/>
                <w:szCs w:val="18"/>
                <w:lang w:eastAsia="en-GB"/>
              </w:rPr>
            </w:pPr>
            <w:r w:rsidRPr="009448E0">
              <w:rPr>
                <w:rFonts w:eastAsia="Times New Roman" w:cs="Times New Roman"/>
                <w:color w:val="000000"/>
                <w:sz w:val="18"/>
                <w:szCs w:val="18"/>
                <w:lang w:eastAsia="en-GB"/>
              </w:rPr>
              <w:t>Excluded if had a history of cancer, heart disease, stroke, or emphysema. Additionally adjusted for health status.</w:t>
            </w:r>
          </w:p>
        </w:tc>
        <w:tc>
          <w:tcPr>
            <w:tcW w:w="1773" w:type="dxa"/>
            <w:hideMark/>
          </w:tcPr>
          <w:p w:rsidR="00FF227B" w:rsidRPr="009448E0" w:rsidRDefault="00FF227B" w:rsidP="00890252">
            <w:pPr>
              <w:spacing w:line="240" w:lineRule="auto"/>
              <w:cnfStyle w:val="000000100000"/>
              <w:rPr>
                <w:rFonts w:eastAsia="Times New Roman" w:cs="Times New Roman"/>
                <w:bCs/>
                <w:color w:val="000000"/>
                <w:sz w:val="18"/>
                <w:szCs w:val="18"/>
                <w:lang w:eastAsia="en-GB"/>
              </w:rPr>
            </w:pPr>
            <w:r w:rsidRPr="009448E0">
              <w:rPr>
                <w:rFonts w:eastAsia="Times New Roman" w:cs="Times New Roman"/>
                <w:bCs/>
                <w:color w:val="000000"/>
                <w:sz w:val="18"/>
                <w:szCs w:val="18"/>
                <w:lang w:eastAsia="en-GB"/>
              </w:rPr>
              <w:t>3</w:t>
            </w:r>
          </w:p>
        </w:tc>
        <w:tc>
          <w:tcPr>
            <w:tcW w:w="1811" w:type="dxa"/>
            <w:hideMark/>
          </w:tcPr>
          <w:p w:rsidR="00FF227B" w:rsidRPr="009448E0" w:rsidRDefault="00FF227B" w:rsidP="00890252">
            <w:pPr>
              <w:spacing w:line="240" w:lineRule="auto"/>
              <w:cnfStyle w:val="000000100000"/>
              <w:rPr>
                <w:rFonts w:eastAsia="Times New Roman" w:cs="Times New Roman"/>
                <w:color w:val="000000"/>
                <w:sz w:val="18"/>
                <w:szCs w:val="18"/>
                <w:lang w:eastAsia="en-GB"/>
              </w:rPr>
            </w:pPr>
            <w:r w:rsidRPr="009448E0">
              <w:rPr>
                <w:rFonts w:eastAsia="Times New Roman" w:cs="Times New Roman"/>
                <w:color w:val="000000"/>
                <w:sz w:val="18"/>
                <w:szCs w:val="18"/>
                <w:lang w:eastAsia="en-GB"/>
              </w:rPr>
              <w:t>Vital status ascertainment was performed by annual linkage of the cohort to the Social Security Administration Death Master File. Verification of vital status and cause of death were obtained by searches of the National Death Index (NDI) Plus and was available for &gt;95% of the cohort.</w:t>
            </w:r>
          </w:p>
        </w:tc>
        <w:tc>
          <w:tcPr>
            <w:tcW w:w="3831" w:type="dxa"/>
            <w:hideMark/>
          </w:tcPr>
          <w:p w:rsidR="00FF227B" w:rsidRPr="009448E0" w:rsidRDefault="00FF227B" w:rsidP="00890252">
            <w:pPr>
              <w:spacing w:line="240" w:lineRule="auto"/>
              <w:cnfStyle w:val="000000100000"/>
              <w:rPr>
                <w:rFonts w:eastAsia="Times New Roman" w:cs="Times New Roman"/>
                <w:color w:val="000000"/>
                <w:sz w:val="18"/>
                <w:szCs w:val="18"/>
                <w:lang w:eastAsia="en-GB"/>
              </w:rPr>
            </w:pPr>
            <w:r w:rsidRPr="009448E0">
              <w:rPr>
                <w:rFonts w:eastAsia="Times New Roman" w:cs="Times New Roman"/>
                <w:color w:val="000000"/>
                <w:sz w:val="18"/>
                <w:szCs w:val="18"/>
                <w:lang w:eastAsia="en-GB"/>
              </w:rPr>
              <w:t>During a typical 24-hour period over the past 12 months, how much time did you spend watching television or videos?'</w:t>
            </w:r>
          </w:p>
        </w:tc>
        <w:tc>
          <w:tcPr>
            <w:tcW w:w="2733" w:type="dxa"/>
            <w:hideMark/>
          </w:tcPr>
          <w:p w:rsidR="00FF227B" w:rsidRPr="009448E0" w:rsidRDefault="00FF227B" w:rsidP="00890252">
            <w:pPr>
              <w:spacing w:line="240" w:lineRule="auto"/>
              <w:cnfStyle w:val="000000100000"/>
              <w:rPr>
                <w:rFonts w:eastAsia="Times New Roman" w:cs="Times New Roman"/>
                <w:color w:val="000000"/>
                <w:sz w:val="18"/>
                <w:szCs w:val="18"/>
                <w:lang w:eastAsia="en-GB"/>
              </w:rPr>
            </w:pPr>
            <w:r w:rsidRPr="009448E0">
              <w:rPr>
                <w:rFonts w:eastAsia="Times New Roman" w:cs="Times New Roman"/>
                <w:color w:val="000000"/>
                <w:sz w:val="18"/>
                <w:szCs w:val="18"/>
                <w:lang w:eastAsia="en-GB"/>
              </w:rPr>
              <w:t>During a typical month in the last 12 months how often did you participant in physical activity at work or at home, including exercise, sports, and activities such as carrying heavy loads? (never or rarely, 1, 1–3, 4–7, &gt;7 h/wk)</w:t>
            </w:r>
          </w:p>
        </w:tc>
      </w:tr>
      <w:tr w:rsidR="00FF227B" w:rsidRPr="009448E0" w:rsidTr="00890252">
        <w:trPr>
          <w:trHeight w:val="2250"/>
        </w:trPr>
        <w:tc>
          <w:tcPr>
            <w:cnfStyle w:val="001000000000"/>
            <w:tcW w:w="0" w:type="auto"/>
            <w:hideMark/>
          </w:tcPr>
          <w:p w:rsidR="00FF227B" w:rsidRPr="009448E0" w:rsidRDefault="00FF227B" w:rsidP="00890252">
            <w:pPr>
              <w:spacing w:line="240" w:lineRule="auto"/>
              <w:rPr>
                <w:rFonts w:eastAsia="Times New Roman" w:cs="Arial"/>
                <w:color w:val="000000"/>
                <w:sz w:val="18"/>
                <w:szCs w:val="18"/>
                <w:lang w:eastAsia="en-GB"/>
              </w:rPr>
            </w:pPr>
            <w:r w:rsidRPr="009448E0">
              <w:rPr>
                <w:sz w:val="18"/>
                <w:szCs w:val="18"/>
              </w:rPr>
              <w:t>Matthews et al (2012)</w:t>
            </w:r>
            <w:r>
              <w:rPr>
                <w:noProof/>
                <w:sz w:val="18"/>
                <w:szCs w:val="18"/>
              </w:rPr>
              <w:t>(61)</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AARP (over 50s membership group) members aged 50–71 y living in California, Florida, Louisiana, New Jersey, North Carolina, Pennsylvania, Atlanta, or Detroit responded to a questionnaire</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Excluded those with colon or breast cancer, prior heart disease, cancers other than BCC, stroke, emphysema, rated their health state poor, those who were not filling in their own questionnaire.</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3</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Vital status was determined through linkage with the Social Security Administration Death Master File, and determinations of vital status and causes of death were made by using the National Death Index</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“During a typical 24-hour period over the past 12 months, how much time did you spend watching television or videos? (None, 1, 1–2, 3–4, 5–6, 7–8, or 9+ h/d).” To assess overall sitting, participants were asked, “During a typical 24-hour period over the past 12 months, how much time did you spend sitting? (3, 3–4, 5–6, 7–8, or 9+ h/d).”Not evaluated but questions similar to those that have been noted to have acceptable validity.</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Leisure time MVPA levels was assessed by asking the average time spent each week in activities of at least moderate intensity in the past 10 years (4 categories). Not evaluated but questions similar to those that have been noted to have acceptable validity.</w:t>
            </w:r>
          </w:p>
        </w:tc>
      </w:tr>
      <w:tr w:rsidR="00FF227B" w:rsidRPr="009448E0" w:rsidTr="00890252">
        <w:trPr>
          <w:cnfStyle w:val="000000100000"/>
          <w:trHeight w:val="675"/>
        </w:trPr>
        <w:tc>
          <w:tcPr>
            <w:cnfStyle w:val="001000000000"/>
            <w:tcW w:w="0" w:type="auto"/>
            <w:hideMark/>
          </w:tcPr>
          <w:p w:rsidR="00FF227B" w:rsidRPr="009448E0" w:rsidRDefault="00FF227B" w:rsidP="00890252">
            <w:pPr>
              <w:spacing w:line="240" w:lineRule="auto"/>
              <w:rPr>
                <w:rFonts w:eastAsia="Times New Roman" w:cs="Arial"/>
                <w:color w:val="000000"/>
                <w:sz w:val="18"/>
                <w:szCs w:val="18"/>
                <w:lang w:eastAsia="en-GB"/>
              </w:rPr>
            </w:pPr>
            <w:proofErr w:type="spellStart"/>
            <w:r w:rsidRPr="009448E0">
              <w:rPr>
                <w:sz w:val="18"/>
                <w:szCs w:val="18"/>
              </w:rPr>
              <w:t>Muennig</w:t>
            </w:r>
            <w:proofErr w:type="spellEnd"/>
            <w:r w:rsidRPr="009448E0">
              <w:rPr>
                <w:sz w:val="18"/>
                <w:szCs w:val="18"/>
              </w:rPr>
              <w:t xml:space="preserve"> et al (2013)</w:t>
            </w:r>
            <w:r>
              <w:rPr>
                <w:noProof/>
                <w:sz w:val="18"/>
                <w:szCs w:val="18"/>
              </w:rPr>
              <w:t>(46)</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A representative sample of the non-institutionalized, U.S., adult population.</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Only subject who reported being healthy when surveyed were included.</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1</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National death index linkage.</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“On the average day, about how many hours do you personally watch television?” with answers between 0 and 24 hours being valid.</w:t>
            </w:r>
          </w:p>
        </w:tc>
        <w:tc>
          <w:tcPr>
            <w:tcW w:w="0" w:type="auto"/>
            <w:hideMark/>
          </w:tcPr>
          <w:p w:rsidR="00FF227B" w:rsidRPr="009448E0" w:rsidRDefault="00911EBD" w:rsidP="00890252">
            <w:pPr>
              <w:spacing w:line="240" w:lineRule="auto"/>
              <w:cnfStyle w:val="000000100000"/>
              <w:rPr>
                <w:rFonts w:eastAsia="Times New Roman" w:cs="Arial"/>
                <w:color w:val="000000"/>
                <w:sz w:val="18"/>
                <w:szCs w:val="18"/>
                <w:lang w:eastAsia="en-GB"/>
              </w:rPr>
            </w:pPr>
            <w:r>
              <w:rPr>
                <w:rFonts w:eastAsia="Times New Roman" w:cs="Arial"/>
                <w:color w:val="000000"/>
                <w:sz w:val="18"/>
                <w:szCs w:val="18"/>
                <w:lang w:eastAsia="en-GB"/>
              </w:rPr>
              <w:t>none</w:t>
            </w:r>
          </w:p>
        </w:tc>
      </w:tr>
      <w:tr w:rsidR="00FF227B" w:rsidRPr="009448E0" w:rsidTr="00890252">
        <w:trPr>
          <w:trHeight w:val="450"/>
        </w:trPr>
        <w:tc>
          <w:tcPr>
            <w:cnfStyle w:val="001000000000"/>
            <w:tcW w:w="0" w:type="auto"/>
            <w:hideMark/>
          </w:tcPr>
          <w:p w:rsidR="00FF227B" w:rsidRPr="009448E0" w:rsidRDefault="00FF227B" w:rsidP="00890252">
            <w:pPr>
              <w:spacing w:line="240" w:lineRule="auto"/>
              <w:rPr>
                <w:rFonts w:eastAsia="Times New Roman" w:cs="Arial"/>
                <w:color w:val="000000"/>
                <w:sz w:val="18"/>
                <w:szCs w:val="18"/>
                <w:lang w:eastAsia="en-GB"/>
              </w:rPr>
            </w:pPr>
            <w:r w:rsidRPr="009448E0">
              <w:rPr>
                <w:sz w:val="18"/>
                <w:szCs w:val="18"/>
              </w:rPr>
              <w:t>Suzuki et al (2007)</w:t>
            </w:r>
            <w:r>
              <w:rPr>
                <w:noProof/>
                <w:sz w:val="18"/>
                <w:szCs w:val="18"/>
              </w:rPr>
              <w:t>(70)</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Those who attended screening and who replied to questionnaire</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3</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Cancer registration system</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Hours of TV watching/day</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Sports participation(h/week), and time of walking (h/week)</w:t>
            </w:r>
          </w:p>
        </w:tc>
      </w:tr>
      <w:tr w:rsidR="00FF227B" w:rsidRPr="009448E0" w:rsidTr="00890252">
        <w:trPr>
          <w:cnfStyle w:val="000000100000"/>
          <w:trHeight w:val="2475"/>
        </w:trPr>
        <w:tc>
          <w:tcPr>
            <w:cnfStyle w:val="001000000000"/>
            <w:tcW w:w="0" w:type="auto"/>
            <w:hideMark/>
          </w:tcPr>
          <w:p w:rsidR="00FF227B" w:rsidRPr="009448E0" w:rsidRDefault="00FF227B" w:rsidP="00890252">
            <w:pPr>
              <w:spacing w:line="240" w:lineRule="auto"/>
              <w:rPr>
                <w:rFonts w:eastAsia="Times New Roman" w:cs="Arial"/>
                <w:color w:val="000000"/>
                <w:sz w:val="18"/>
                <w:szCs w:val="18"/>
                <w:lang w:eastAsia="en-GB"/>
              </w:rPr>
            </w:pPr>
            <w:r w:rsidRPr="009448E0">
              <w:rPr>
                <w:sz w:val="18"/>
                <w:szCs w:val="18"/>
              </w:rPr>
              <w:lastRenderedPageBreak/>
              <w:t>Wijndaele et al (2011)</w:t>
            </w:r>
            <w:r>
              <w:rPr>
                <w:noProof/>
                <w:sz w:val="18"/>
                <w:szCs w:val="18"/>
              </w:rPr>
              <w:t>(48)</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 xml:space="preserve">Between 1993 and 1997, a cohort of 25 633 residents of Norfolk (UK), in the age range of 45–79  years and recruited via participating general practitioners, agreed to participate. </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Self reported history of stroke, MI, other vascular disease and or cancer were excluded. Adjustment for history of diabetes, family history of CVD and family history of cancer.</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2</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Office of National Statistics and death certificates.</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EPAQ2 - Time spent watching television and video (hours/week) was calculated based on responses to four questions about watching before and after six pm at week- and weekend-days. The EPAQ2 scored high for repeatability, both in terms of television viewing time and PAEE. It is valid for ranking individuals, as shown by comparison against minute-by-minute heart rate monitoring and maximal aerobic capacity (VO2max). In the current study, television viewing time was expressed in hours/day.</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Participants completed the EPAQ2, providing information on their physical (in</w:t>
            </w:r>
            <w:proofErr w:type="gramStart"/>
            <w:r w:rsidRPr="009448E0">
              <w:rPr>
                <w:rFonts w:eastAsia="Times New Roman" w:cs="Arial"/>
                <w:color w:val="000000"/>
                <w:sz w:val="18"/>
                <w:szCs w:val="18"/>
                <w:lang w:eastAsia="en-GB"/>
              </w:rPr>
              <w:t>)activity</w:t>
            </w:r>
            <w:proofErr w:type="gramEnd"/>
            <w:r w:rsidRPr="009448E0">
              <w:rPr>
                <w:rFonts w:eastAsia="Times New Roman" w:cs="Arial"/>
                <w:color w:val="000000"/>
                <w:sz w:val="18"/>
                <w:szCs w:val="18"/>
                <w:lang w:eastAsia="en-GB"/>
              </w:rPr>
              <w:t xml:space="preserve"> in a disaggregated way (in and around the home, to work, at work and during leisure time), using the past year as a reference frame. Total PAEE (</w:t>
            </w:r>
            <w:proofErr w:type="spellStart"/>
            <w:r w:rsidRPr="009448E0">
              <w:rPr>
                <w:rFonts w:eastAsia="Times New Roman" w:cs="Arial"/>
                <w:color w:val="000000"/>
                <w:sz w:val="18"/>
                <w:szCs w:val="18"/>
                <w:lang w:eastAsia="en-GB"/>
              </w:rPr>
              <w:t>METh</w:t>
            </w:r>
            <w:proofErr w:type="spellEnd"/>
            <w:r w:rsidRPr="009448E0">
              <w:rPr>
                <w:rFonts w:eastAsia="Times New Roman" w:cs="Arial"/>
                <w:color w:val="000000"/>
                <w:sz w:val="18"/>
                <w:szCs w:val="18"/>
                <w:lang w:eastAsia="en-GB"/>
              </w:rPr>
              <w:t>/week) was calculated by summing energy expenditure of the different (mutually exclusive) domains. Repeatability has been shown to be high and validity in ranking individuals has been demonstrated.</w:t>
            </w:r>
          </w:p>
        </w:tc>
      </w:tr>
      <w:tr w:rsidR="00FF227B" w:rsidRPr="009448E0" w:rsidTr="00890252">
        <w:trPr>
          <w:trHeight w:val="300"/>
        </w:trPr>
        <w:tc>
          <w:tcPr>
            <w:cnfStyle w:val="001000000000"/>
            <w:tcW w:w="0" w:type="auto"/>
            <w:gridSpan w:val="7"/>
            <w:hideMark/>
          </w:tcPr>
          <w:p w:rsidR="00FF227B" w:rsidRPr="009448E0" w:rsidRDefault="00FF227B" w:rsidP="00890252">
            <w:pPr>
              <w:pBdr>
                <w:top w:val="single" w:sz="4" w:space="10" w:color="5B9BD5" w:themeColor="accent1"/>
                <w:bottom w:val="single" w:sz="4" w:space="10" w:color="5B9BD5" w:themeColor="accent1"/>
              </w:pBdr>
              <w:spacing w:before="360" w:after="360" w:line="240" w:lineRule="auto"/>
              <w:ind w:left="864" w:right="864"/>
              <w:jc w:val="center"/>
              <w:rPr>
                <w:rFonts w:ascii="Times New Roman" w:hAnsi="Times New Roman" w:cs="Times New Roman"/>
                <w:i/>
                <w:iCs/>
                <w:color w:val="5B9BD5" w:themeColor="accent1"/>
                <w:sz w:val="20"/>
                <w:szCs w:val="20"/>
                <w:lang w:eastAsia="en-GB"/>
              </w:rPr>
            </w:pPr>
            <w:r w:rsidRPr="009448E0">
              <w:rPr>
                <w:i/>
                <w:iCs/>
                <w:color w:val="5B9BD5" w:themeColor="accent1"/>
              </w:rPr>
              <w:t>CVD mortality</w:t>
            </w:r>
          </w:p>
        </w:tc>
      </w:tr>
      <w:tr w:rsidR="00FF227B" w:rsidRPr="009448E0" w:rsidTr="00890252">
        <w:trPr>
          <w:cnfStyle w:val="000000100000"/>
          <w:trHeight w:val="1575"/>
        </w:trPr>
        <w:tc>
          <w:tcPr>
            <w:cnfStyle w:val="001000000000"/>
            <w:tcW w:w="0" w:type="auto"/>
            <w:hideMark/>
          </w:tcPr>
          <w:p w:rsidR="00FF227B" w:rsidRPr="009448E0" w:rsidRDefault="00FF227B" w:rsidP="00890252">
            <w:pPr>
              <w:spacing w:line="240" w:lineRule="auto"/>
              <w:rPr>
                <w:rFonts w:eastAsia="Times New Roman" w:cs="Arial"/>
                <w:color w:val="000000"/>
                <w:sz w:val="18"/>
                <w:szCs w:val="18"/>
                <w:lang w:eastAsia="en-GB"/>
              </w:rPr>
            </w:pPr>
            <w:r w:rsidRPr="009448E0">
              <w:rPr>
                <w:sz w:val="18"/>
                <w:szCs w:val="18"/>
              </w:rPr>
              <w:t>Kim et al (2013)</w:t>
            </w:r>
            <w:r>
              <w:rPr>
                <w:noProof/>
                <w:sz w:val="18"/>
                <w:szCs w:val="18"/>
              </w:rPr>
              <w:t>(45)</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Drivers' license files in both Hawaii and California. An additional source in Hawaii was the voters' registration file. An additional source of African-Americans in California was the Health Care Financing Administration (HCFA)</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Excluded a history of cancer, heart attack or stroke.  Excluded those who died within the first year. Adjusted for history of hypertension and/or diabetes</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1</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Death certification linkage and national death index, USA.</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Baseline questionnaire (http://www.crch.org/multiethniccohort/</w:t>
            </w:r>
            <w:r w:rsidRPr="009448E0">
              <w:rPr>
                <w:rFonts w:eastAsia="Times New Roman" w:cs="Arial"/>
                <w:color w:val="000000"/>
                <w:sz w:val="18"/>
                <w:szCs w:val="18"/>
                <w:lang w:eastAsia="en-GB"/>
              </w:rPr>
              <w:br/>
              <w:t>index.htm), sitting activities included: ‘sitting in a car or bus’, ‘sitting at work’, ‘sitting at meals’, ‘sitting watching television’ and ‘other leisure sitting activities e.g. reading’. Each sitting activity was asked in seven categories.</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Asked about many different activities and categories into 8 levels of exposure. Light PA estimated by subtracting other activities from 24hours. PA activity (METs/week for moderate activity, vigorous work and strenuous sports.  In a validation study, correlation with double label water was "reasonable".</w:t>
            </w:r>
          </w:p>
        </w:tc>
      </w:tr>
      <w:tr w:rsidR="00FF227B" w:rsidRPr="009448E0" w:rsidTr="00890252">
        <w:trPr>
          <w:trHeight w:val="5850"/>
        </w:trPr>
        <w:tc>
          <w:tcPr>
            <w:cnfStyle w:val="001000000000"/>
            <w:tcW w:w="0" w:type="auto"/>
            <w:hideMark/>
          </w:tcPr>
          <w:p w:rsidR="00FF227B" w:rsidRPr="009448E0" w:rsidRDefault="00FF227B" w:rsidP="00890252">
            <w:pPr>
              <w:spacing w:line="240" w:lineRule="auto"/>
              <w:rPr>
                <w:rFonts w:eastAsia="Times New Roman" w:cs="Arial"/>
                <w:color w:val="000000"/>
                <w:sz w:val="18"/>
                <w:szCs w:val="18"/>
                <w:lang w:eastAsia="en-GB"/>
              </w:rPr>
            </w:pPr>
            <w:proofErr w:type="spellStart"/>
            <w:r w:rsidRPr="009448E0">
              <w:rPr>
                <w:sz w:val="18"/>
                <w:szCs w:val="18"/>
              </w:rPr>
              <w:lastRenderedPageBreak/>
              <w:t>Ensrud</w:t>
            </w:r>
            <w:proofErr w:type="spellEnd"/>
            <w:r w:rsidRPr="009448E0">
              <w:rPr>
                <w:sz w:val="18"/>
                <w:szCs w:val="18"/>
              </w:rPr>
              <w:t xml:space="preserve"> et al (2014)</w:t>
            </w:r>
            <w:r>
              <w:rPr>
                <w:noProof/>
                <w:sz w:val="18"/>
                <w:szCs w:val="18"/>
              </w:rPr>
              <w:t>(42)</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 xml:space="preserve">From 2000 to 2002, 5,994 men aged 65 and older were recruited from population-based listings in six regions of the United States for the baseline visit of </w:t>
            </w:r>
            <w:proofErr w:type="spellStart"/>
            <w:r w:rsidRPr="009448E0">
              <w:rPr>
                <w:rFonts w:eastAsia="Times New Roman" w:cs="Arial"/>
                <w:color w:val="000000"/>
                <w:sz w:val="18"/>
                <w:szCs w:val="18"/>
                <w:lang w:eastAsia="en-GB"/>
              </w:rPr>
              <w:t>MrOS</w:t>
            </w:r>
            <w:proofErr w:type="spellEnd"/>
            <w:r w:rsidRPr="009448E0">
              <w:rPr>
                <w:rFonts w:eastAsia="Times New Roman" w:cs="Arial"/>
                <w:color w:val="000000"/>
                <w:sz w:val="18"/>
                <w:szCs w:val="18"/>
                <w:lang w:eastAsia="en-GB"/>
              </w:rPr>
              <w:t>, surviving participants were invited to participate in a third study visit.</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 xml:space="preserve">Excluded men with a history of bilateral hip replacement and men unable to walk without the assistance of another person. Adjusted for comorbidity burden, depressive symptoms, cogitative function, </w:t>
            </w:r>
            <w:proofErr w:type="gramStart"/>
            <w:r w:rsidRPr="009448E0">
              <w:rPr>
                <w:rFonts w:eastAsia="Times New Roman" w:cs="Arial"/>
                <w:color w:val="000000"/>
                <w:sz w:val="18"/>
                <w:szCs w:val="18"/>
                <w:lang w:eastAsia="en-GB"/>
              </w:rPr>
              <w:t>number</w:t>
            </w:r>
            <w:proofErr w:type="gramEnd"/>
            <w:r w:rsidRPr="009448E0">
              <w:rPr>
                <w:rFonts w:eastAsia="Times New Roman" w:cs="Arial"/>
                <w:color w:val="000000"/>
                <w:sz w:val="18"/>
                <w:szCs w:val="18"/>
                <w:lang w:eastAsia="en-GB"/>
              </w:rPr>
              <w:t xml:space="preserve"> of instrumental activities of daily living impairments.</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2</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 xml:space="preserve">Patients contacted and deaths confirmed with certificates, </w:t>
            </w:r>
            <w:proofErr w:type="gramStart"/>
            <w:r w:rsidRPr="009448E0">
              <w:rPr>
                <w:rFonts w:eastAsia="Times New Roman" w:cs="Arial"/>
                <w:color w:val="000000"/>
                <w:sz w:val="18"/>
                <w:szCs w:val="18"/>
                <w:lang w:eastAsia="en-GB"/>
              </w:rPr>
              <w:t>cause</w:t>
            </w:r>
            <w:proofErr w:type="gramEnd"/>
            <w:r w:rsidRPr="009448E0">
              <w:rPr>
                <w:rFonts w:eastAsia="Times New Roman" w:cs="Arial"/>
                <w:color w:val="000000"/>
                <w:sz w:val="18"/>
                <w:szCs w:val="18"/>
                <w:lang w:eastAsia="en-GB"/>
              </w:rPr>
              <w:t xml:space="preserve"> assessed using ICD.</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 xml:space="preserve">Data were sampled in 1-minute epochs over 24-hour periods from a biaxial accelerometer. These data were used in proprietary algorithms (Interview Professional 5.1 software; </w:t>
            </w:r>
            <w:proofErr w:type="spellStart"/>
            <w:r w:rsidRPr="009448E0">
              <w:rPr>
                <w:rFonts w:eastAsia="Times New Roman" w:cs="Arial"/>
                <w:color w:val="000000"/>
                <w:sz w:val="18"/>
                <w:szCs w:val="18"/>
                <w:lang w:eastAsia="en-GB"/>
              </w:rPr>
              <w:t>BodyMedia</w:t>
            </w:r>
            <w:proofErr w:type="spellEnd"/>
            <w:r w:rsidRPr="009448E0">
              <w:rPr>
                <w:rFonts w:eastAsia="Times New Roman" w:cs="Arial"/>
                <w:color w:val="000000"/>
                <w:sz w:val="18"/>
                <w:szCs w:val="18"/>
                <w:lang w:eastAsia="en-GB"/>
              </w:rPr>
              <w:t>, Inc.) along with participant characteristics (age, height, weight, handedness, and smoking status) to estimate time (minutes/24 hours) spent sleeping and time (minutes/24 hours) awake spent in sedentary behaviour (metabolic equivalent (MET) level ≤1.50). A validation study comparing the activity monitor with the criterion method of doubly labelled water showed excellent levels of agreement for total energy expenditure in older adults.  Participants were required to have at least five 24- hour periods of data and wear the activity monitor at least 90% of the time to be considered as having valid data; this time period was selected to ensure that the activity monitor recorded time spent in daily activity that was representative of the participant’s usual life. All activity level measures used in the analyses reflected mean daily experience to obtain a representative characterization of usual activity pattern and were averaged over all days to limit variability in the measures.</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Physical Activity Scale for the Elderly (PASE).</w:t>
            </w:r>
          </w:p>
        </w:tc>
      </w:tr>
      <w:tr w:rsidR="00FF227B" w:rsidRPr="009448E0" w:rsidTr="00890252">
        <w:trPr>
          <w:cnfStyle w:val="000000100000"/>
          <w:trHeight w:val="2475"/>
        </w:trPr>
        <w:tc>
          <w:tcPr>
            <w:cnfStyle w:val="001000000000"/>
            <w:tcW w:w="0" w:type="auto"/>
            <w:hideMark/>
          </w:tcPr>
          <w:p w:rsidR="00FF227B" w:rsidRPr="009448E0" w:rsidRDefault="00FF227B" w:rsidP="00890252">
            <w:pPr>
              <w:spacing w:line="240" w:lineRule="auto"/>
              <w:rPr>
                <w:rFonts w:eastAsia="Times New Roman" w:cs="Arial"/>
                <w:color w:val="000000"/>
                <w:sz w:val="18"/>
                <w:szCs w:val="18"/>
                <w:lang w:eastAsia="en-GB"/>
              </w:rPr>
            </w:pPr>
            <w:proofErr w:type="spellStart"/>
            <w:r w:rsidRPr="009448E0">
              <w:rPr>
                <w:sz w:val="18"/>
                <w:szCs w:val="18"/>
              </w:rPr>
              <w:t>Katzmarzyk</w:t>
            </w:r>
            <w:proofErr w:type="spellEnd"/>
            <w:r w:rsidRPr="009448E0">
              <w:rPr>
                <w:sz w:val="18"/>
                <w:szCs w:val="18"/>
              </w:rPr>
              <w:t xml:space="preserve"> et al (2009)</w:t>
            </w:r>
            <w:r>
              <w:rPr>
                <w:noProof/>
                <w:sz w:val="18"/>
                <w:szCs w:val="18"/>
              </w:rPr>
              <w:t>(56)</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Representative sample of Canada population excluding some groups e.g. armed forces and institutionalised persons</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 xml:space="preserve">Physical Activity Readiness Questionnaire (PAR-Q) was included as a covariate (pass/fail/missing). </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1</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Canadian mortality database linkage.</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Baseline questionnaire at household visit. The amount of time participants spent sitting during work, school, and housework during the course of most days of the week as either 1) almost none of the time, 2) approximately one fourth of the time, 3) approximately half of the time, 4) approximately three fourths of the time, 5) almost all of the time.</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 xml:space="preserve">Questions on participation in 20 leisure time activities were used to calculate </w:t>
            </w:r>
            <w:proofErr w:type="spellStart"/>
            <w:r w:rsidRPr="009448E0">
              <w:rPr>
                <w:rFonts w:eastAsia="Times New Roman" w:cs="Arial"/>
                <w:color w:val="000000"/>
                <w:sz w:val="18"/>
                <w:szCs w:val="18"/>
                <w:lang w:eastAsia="en-GB"/>
              </w:rPr>
              <w:t>METh</w:t>
            </w:r>
            <w:proofErr w:type="spellEnd"/>
            <w:r w:rsidRPr="009448E0">
              <w:rPr>
                <w:rFonts w:eastAsia="Times New Roman" w:cs="Arial"/>
                <w:color w:val="000000"/>
                <w:sz w:val="18"/>
                <w:szCs w:val="18"/>
                <w:lang w:eastAsia="en-GB"/>
              </w:rPr>
              <w:t>/week continuous variable (logged) and Physical Activity Readiness Questionnaire (PAR-Q) was included as a covariate (pass/fail/missing). The PAR-Q asks several questions regarding heart trouble, chest pain, high blood pressure, dizzy spells, joint problems, and other problems that may prevent participants from participating in physical activities. A positive response to any question results in a failure of the PAR-Q</w:t>
            </w:r>
          </w:p>
        </w:tc>
      </w:tr>
      <w:tr w:rsidR="00FF227B" w:rsidRPr="009448E0" w:rsidTr="00890252">
        <w:trPr>
          <w:trHeight w:val="1838"/>
        </w:trPr>
        <w:tc>
          <w:tcPr>
            <w:cnfStyle w:val="001000000000"/>
            <w:tcW w:w="0" w:type="auto"/>
            <w:hideMark/>
          </w:tcPr>
          <w:p w:rsidR="00FF227B" w:rsidRPr="009448E0" w:rsidRDefault="00FF227B" w:rsidP="00890252">
            <w:pPr>
              <w:spacing w:line="240" w:lineRule="auto"/>
              <w:rPr>
                <w:rFonts w:eastAsia="Times New Roman" w:cs="Arial"/>
                <w:color w:val="000000"/>
                <w:sz w:val="18"/>
                <w:szCs w:val="18"/>
                <w:lang w:eastAsia="en-GB"/>
              </w:rPr>
            </w:pPr>
            <w:r w:rsidRPr="009448E0">
              <w:rPr>
                <w:sz w:val="18"/>
                <w:szCs w:val="18"/>
              </w:rPr>
              <w:lastRenderedPageBreak/>
              <w:t>Matthews et al (2014)</w:t>
            </w:r>
            <w:r>
              <w:rPr>
                <w:noProof/>
                <w:sz w:val="18"/>
                <w:szCs w:val="18"/>
              </w:rPr>
              <w:t>(60)</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 xml:space="preserve">From 2002 to 2009, nearly 85,000 adults were enrolled in the cohort, most of whom (86%) enrolled at 1 of 71 participating community health </w:t>
            </w:r>
            <w:proofErr w:type="spellStart"/>
            <w:r w:rsidRPr="009448E0">
              <w:rPr>
                <w:rFonts w:eastAsia="Times New Roman" w:cs="Arial"/>
                <w:color w:val="000000"/>
                <w:sz w:val="18"/>
                <w:szCs w:val="18"/>
                <w:lang w:eastAsia="en-GB"/>
              </w:rPr>
              <w:t>centers</w:t>
            </w:r>
            <w:proofErr w:type="spellEnd"/>
            <w:r w:rsidRPr="009448E0">
              <w:rPr>
                <w:rFonts w:eastAsia="Times New Roman" w:cs="Arial"/>
                <w:color w:val="000000"/>
                <w:sz w:val="18"/>
                <w:szCs w:val="18"/>
                <w:lang w:eastAsia="en-GB"/>
              </w:rPr>
              <w:t xml:space="preserve"> that provide basic health services mainly to low-income and uninsured persons. Centres were in urban and rural areas in 12 states in south eastern United States (Florida, Alabama, Mississippi, Louisiana, Arkansas, Tennessee, Georgia, South Carolina, North Carolina, Virginia, West Virginia, and Kentucky). An additional 14% of the cohort enrolled from 2004 to 2006 by responding to a mailed questionnaire sent to randomly selected residents of the same 12 states. The study was designed so that approximately two thirds of participants were black. Participants eligible for </w:t>
            </w:r>
            <w:proofErr w:type="spellStart"/>
            <w:r w:rsidRPr="009448E0">
              <w:rPr>
                <w:rFonts w:eastAsia="Times New Roman" w:cs="Arial"/>
                <w:color w:val="000000"/>
                <w:sz w:val="18"/>
                <w:szCs w:val="18"/>
                <w:lang w:eastAsia="en-GB"/>
              </w:rPr>
              <w:t>enrollment</w:t>
            </w:r>
            <w:proofErr w:type="spellEnd"/>
            <w:r w:rsidRPr="009448E0">
              <w:rPr>
                <w:rFonts w:eastAsia="Times New Roman" w:cs="Arial"/>
                <w:color w:val="000000"/>
                <w:sz w:val="18"/>
                <w:szCs w:val="18"/>
                <w:lang w:eastAsia="en-GB"/>
              </w:rPr>
              <w:t xml:space="preserve"> in the overall cohort were 40–79 years of age, spoke English, and had not been treated for cancer in the 12 months before </w:t>
            </w:r>
            <w:proofErr w:type="spellStart"/>
            <w:r w:rsidRPr="009448E0">
              <w:rPr>
                <w:rFonts w:eastAsia="Times New Roman" w:cs="Arial"/>
                <w:color w:val="000000"/>
                <w:sz w:val="18"/>
                <w:szCs w:val="18"/>
                <w:lang w:eastAsia="en-GB"/>
              </w:rPr>
              <w:t>enrollment</w:t>
            </w:r>
            <w:proofErr w:type="spellEnd"/>
            <w:r w:rsidRPr="009448E0">
              <w:rPr>
                <w:rFonts w:eastAsia="Times New Roman" w:cs="Arial"/>
                <w:color w:val="000000"/>
                <w:sz w:val="18"/>
                <w:szCs w:val="18"/>
                <w:lang w:eastAsia="en-GB"/>
              </w:rPr>
              <w:t>.</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Excluded persons who reported heart disease (previous heart attack or bypass surgery; n = 5,535), cancers other than non-melanoma skin cancer (n = 5,099), stroke (n = 5,150), Parkinson’s disease (n = 130), lupus (n = 674), and multiple sclerosis (n = 255) at enrolment. Adjusted for diabetes (Y/N).</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3</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Social Security Administration and the National Death Index through December 31, 2011. Information on specific causes of death was ascertained via linkage to the National Death Index</w:t>
            </w:r>
          </w:p>
        </w:tc>
        <w:tc>
          <w:tcPr>
            <w:tcW w:w="0" w:type="auto"/>
            <w:hideMark/>
          </w:tcPr>
          <w:p w:rsidR="00FF227B" w:rsidRPr="009448E0" w:rsidRDefault="00FF227B" w:rsidP="00890252">
            <w:pPr>
              <w:spacing w:line="240" w:lineRule="auto"/>
              <w:cnfStyle w:val="000000000000"/>
              <w:rPr>
                <w:rFonts w:eastAsia="Times New Roman" w:cs="Arial"/>
                <w:color w:val="231F20"/>
                <w:sz w:val="18"/>
                <w:szCs w:val="18"/>
                <w:lang w:eastAsia="en-GB"/>
              </w:rPr>
            </w:pPr>
            <w:r w:rsidRPr="009448E0">
              <w:rPr>
                <w:rFonts w:eastAsia="Times New Roman" w:cs="Arial"/>
                <w:color w:val="231F20"/>
                <w:sz w:val="18"/>
                <w:szCs w:val="18"/>
                <w:lang w:eastAsia="en-GB"/>
              </w:rPr>
              <w:t>Questions about sedentary behaviours asked about the amount of time per day typically spent sitting in a car or bus; sitting at work; sitting to view television or movies; sitting using a computer at home (e.g., checking email, using the Internet, playing games); and doing other activities that involve sitting (e.g., eating meals, talking on the phone, reading, playing cards, or sewing). For all questions, participants provided open-ended duration responses (hours and minutes). We evaluated the reliability and validity of the SCCS physical activity questionnaire in 118 randomly selected SCCS participants and found the validity of the instrument to be comparable for blacks and whites</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 xml:space="preserve">Time typically spent performing light, moderate, and strenuous (vigorous) activities at home and at work, as well as time spent moderately and vigorously exercising/participating in sports. Time spent doing work and home activities was assessed separately for week and weekend days, and exercise and sports participation was assessed for a typical week. Overall PA level was estimated as the sum of home and work activity and exercise and sports participation. In addition to leisure-time activity and activities done at home and work, time spent walking slowly (moving around, walking at work, walking a dog, doing light exercise) and walking quickly (to go places, for exercise, climbing stairs) was also assessed and evaluated separately. Duration reports of active behaviours were converted to estimates of PA energy expenditure </w:t>
            </w:r>
            <w:proofErr w:type="spellStart"/>
            <w:r w:rsidRPr="009448E0">
              <w:rPr>
                <w:rFonts w:eastAsia="Times New Roman" w:cs="Arial"/>
                <w:color w:val="000000"/>
                <w:sz w:val="18"/>
                <w:szCs w:val="18"/>
                <w:lang w:eastAsia="en-GB"/>
              </w:rPr>
              <w:t>METh</w:t>
            </w:r>
            <w:proofErr w:type="spellEnd"/>
            <w:r w:rsidRPr="009448E0">
              <w:rPr>
                <w:rFonts w:eastAsia="Times New Roman" w:cs="Arial"/>
                <w:color w:val="000000"/>
                <w:sz w:val="18"/>
                <w:szCs w:val="18"/>
                <w:lang w:eastAsia="en-GB"/>
              </w:rPr>
              <w:t>/day using common MET values for the specific activities assessed. Reliability and validity of the Southern Community Cohort Study PA questionnaire was evaluated in 118 randomly selected SCCS participants and found the validity of the instrument to be comparable for blacks and whites</w:t>
            </w:r>
          </w:p>
        </w:tc>
      </w:tr>
      <w:tr w:rsidR="00FF227B" w:rsidRPr="009448E0" w:rsidTr="00890252">
        <w:trPr>
          <w:cnfStyle w:val="000000100000"/>
          <w:trHeight w:val="75"/>
        </w:trPr>
        <w:tc>
          <w:tcPr>
            <w:cnfStyle w:val="001000000000"/>
            <w:tcW w:w="0" w:type="auto"/>
            <w:hideMark/>
          </w:tcPr>
          <w:p w:rsidR="00FF227B" w:rsidRPr="009448E0" w:rsidRDefault="00FF227B" w:rsidP="00890252">
            <w:pPr>
              <w:spacing w:line="240" w:lineRule="auto"/>
              <w:rPr>
                <w:rFonts w:eastAsia="Times New Roman" w:cs="Arial"/>
                <w:color w:val="000000"/>
                <w:sz w:val="18"/>
                <w:szCs w:val="18"/>
                <w:lang w:eastAsia="en-GB"/>
              </w:rPr>
            </w:pPr>
            <w:r w:rsidRPr="009448E0">
              <w:rPr>
                <w:sz w:val="18"/>
                <w:szCs w:val="18"/>
              </w:rPr>
              <w:t>Matthews et al (2015)</w:t>
            </w:r>
            <w:r>
              <w:rPr>
                <w:noProof/>
                <w:sz w:val="18"/>
                <w:szCs w:val="18"/>
              </w:rPr>
              <w:t>(62)</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 xml:space="preserve">3.5 million questionnaires to current members of the AARP (formally the American Association of Retired Persons), aged </w:t>
            </w:r>
            <w:r w:rsidRPr="009448E0">
              <w:rPr>
                <w:rFonts w:eastAsia="Times New Roman" w:cs="Arial"/>
                <w:color w:val="000000"/>
                <w:sz w:val="18"/>
                <w:szCs w:val="18"/>
                <w:lang w:eastAsia="en-GB"/>
              </w:rPr>
              <w:lastRenderedPageBreak/>
              <w:t>50-71 years, and who resided in one of six US states or in two metropolitan areas who replied to a questionnaire.</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lastRenderedPageBreak/>
              <w:t xml:space="preserve">Those with major diseases including cancer other than BCC, MI, coronary bypass, stroke, emphysema, renal dis, degenerative neurological condition. </w:t>
            </w:r>
            <w:r w:rsidRPr="009448E0">
              <w:rPr>
                <w:rFonts w:eastAsia="Times New Roman" w:cs="Arial"/>
                <w:color w:val="000000"/>
                <w:sz w:val="18"/>
                <w:szCs w:val="18"/>
                <w:lang w:eastAsia="en-GB"/>
              </w:rPr>
              <w:lastRenderedPageBreak/>
              <w:t>Adjusted for self reported overall health</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lastRenderedPageBreak/>
              <w:t>3</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Vital status was determined through linkage with the Social Security Administration</w:t>
            </w:r>
            <w:r w:rsidRPr="009448E0">
              <w:rPr>
                <w:rFonts w:eastAsia="Times New Roman" w:cs="Arial"/>
                <w:color w:val="000000"/>
                <w:sz w:val="18"/>
                <w:szCs w:val="18"/>
                <w:lang w:eastAsia="en-GB"/>
              </w:rPr>
              <w:br/>
              <w:t xml:space="preserve">Death Master File, </w:t>
            </w:r>
            <w:r w:rsidRPr="009448E0">
              <w:rPr>
                <w:rFonts w:eastAsia="Times New Roman" w:cs="Arial"/>
                <w:color w:val="000000"/>
                <w:sz w:val="18"/>
                <w:szCs w:val="18"/>
                <w:lang w:eastAsia="en-GB"/>
              </w:rPr>
              <w:lastRenderedPageBreak/>
              <w:t>and the National Death Index</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lastRenderedPageBreak/>
              <w:t xml:space="preserve">“During a typical 24-hour period over the past 12 months, how much time did you spend watching television or videos? (None, 1, 1–2, 3–4, 5–6, 7–8, or 9+ h/d).” To assess overall sitting, participants were asked, “During a typical 24-hour period over the past 12 months, how much </w:t>
            </w:r>
            <w:r w:rsidRPr="009448E0">
              <w:rPr>
                <w:rFonts w:eastAsia="Times New Roman" w:cs="Arial"/>
                <w:color w:val="000000"/>
                <w:sz w:val="18"/>
                <w:szCs w:val="18"/>
                <w:lang w:eastAsia="en-GB"/>
              </w:rPr>
              <w:lastRenderedPageBreak/>
              <w:t>time did you spend sitting? (3, 3–4, 5–6, 7–8, or 9+ h/d).”</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lastRenderedPageBreak/>
              <w:t>The physical activity questionnaire asked how much time per week was spent in 16 activities during the past 12 months. Activities were classified as exercise and sports (8 questions) and as non-</w:t>
            </w:r>
            <w:r w:rsidRPr="009448E0">
              <w:rPr>
                <w:rFonts w:eastAsia="Times New Roman" w:cs="Arial"/>
                <w:color w:val="000000"/>
                <w:sz w:val="18"/>
                <w:szCs w:val="18"/>
                <w:lang w:eastAsia="en-GB"/>
              </w:rPr>
              <w:lastRenderedPageBreak/>
              <w:t>exercise activity (8 questions), including household chores (5 questions), lawn and garden (2 questions), and daily walking activities (1 question). Activity duration (hrs/d) was calculated as the sum of all exercise, non-exercise, and all activities (i.e., Overall physical activity), this was used as 5 category variable in the analysis. The exercise items have been validated against physical activity diaries, r=0.62 and 0.65 (3, 34).</w:t>
            </w:r>
          </w:p>
        </w:tc>
      </w:tr>
      <w:tr w:rsidR="00FF227B" w:rsidRPr="009448E0" w:rsidTr="00890252">
        <w:trPr>
          <w:trHeight w:val="2700"/>
        </w:trPr>
        <w:tc>
          <w:tcPr>
            <w:cnfStyle w:val="001000000000"/>
            <w:tcW w:w="0" w:type="auto"/>
            <w:hideMark/>
          </w:tcPr>
          <w:p w:rsidR="00FF227B" w:rsidRPr="009448E0" w:rsidRDefault="00FF227B" w:rsidP="00890252">
            <w:pPr>
              <w:spacing w:line="240" w:lineRule="auto"/>
              <w:rPr>
                <w:rFonts w:eastAsia="Times New Roman" w:cs="Arial"/>
                <w:color w:val="000000"/>
                <w:sz w:val="18"/>
                <w:szCs w:val="18"/>
                <w:lang w:eastAsia="en-GB"/>
              </w:rPr>
            </w:pPr>
            <w:r w:rsidRPr="009448E0">
              <w:rPr>
                <w:sz w:val="18"/>
                <w:szCs w:val="18"/>
              </w:rPr>
              <w:lastRenderedPageBreak/>
              <w:t>Seguin et al (2014)</w:t>
            </w:r>
            <w:r>
              <w:rPr>
                <w:noProof/>
                <w:sz w:val="18"/>
                <w:szCs w:val="18"/>
              </w:rPr>
              <w:t>(68)</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Postmenopausal women aged between 50 and 79 years at clinical centres across the US, through several recruitment activities (e.g., mass mailings, community presentations) and included 93,676 racially and ethnically diverse postmenopausal women aged 50–79 years at baseline.</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Adjusted for physical function assessed using self report 10 item Rand-36</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2</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Mailed questionnaire confirmed by national death index</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During a usual day and night, about how many hours do you spend sitting? Be sure to include the time you spend sitting at work, sitting at the table eating, driving or riding in a car or bus, and sitting up watching TV or talking. During a usual day and night, about how many hours do you spend sleeping or lying down with your feet up? Be sure to include the time you spend sleeping or trying to sleep at night, resting or napping, and lying down watching TV. Sleeping time was then subtracted for total sitting time. Demonstrated test-re-test reliability in a subsample.</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Respondents were asked to classify the duration, frequency, and intensity of walking and other recreational activities. MVPA was measured using the WHI physical activity questionnaire, which has acceptable validity and reliability.</w:t>
            </w:r>
          </w:p>
        </w:tc>
      </w:tr>
      <w:tr w:rsidR="00FF227B" w:rsidRPr="009448E0" w:rsidTr="00890252">
        <w:trPr>
          <w:cnfStyle w:val="000000100000"/>
          <w:trHeight w:val="1350"/>
        </w:trPr>
        <w:tc>
          <w:tcPr>
            <w:cnfStyle w:val="001000000000"/>
            <w:tcW w:w="0" w:type="auto"/>
            <w:hideMark/>
          </w:tcPr>
          <w:p w:rsidR="00FF227B" w:rsidRPr="009448E0" w:rsidRDefault="00FF227B" w:rsidP="00890252">
            <w:pPr>
              <w:spacing w:line="240" w:lineRule="auto"/>
              <w:rPr>
                <w:rFonts w:eastAsia="Times New Roman" w:cs="Arial"/>
                <w:color w:val="000000"/>
                <w:sz w:val="18"/>
                <w:szCs w:val="18"/>
                <w:lang w:eastAsia="en-GB"/>
              </w:rPr>
            </w:pPr>
            <w:r w:rsidRPr="009448E0">
              <w:rPr>
                <w:sz w:val="18"/>
                <w:szCs w:val="18"/>
              </w:rPr>
              <w:t>Dunstan et al (2010)</w:t>
            </w:r>
            <w:r>
              <w:rPr>
                <w:noProof/>
                <w:sz w:val="18"/>
                <w:szCs w:val="18"/>
              </w:rPr>
              <w:t>(49)</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 xml:space="preserve">All eligible adults were recruited within 42 randomly selected urban and nonurban areas based on Census Collector Districts, 6 in each of the Australian states and in the Northern Territory of Australia. </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 xml:space="preserve">Excluded those with history of </w:t>
            </w:r>
            <w:proofErr w:type="gramStart"/>
            <w:r w:rsidRPr="009448E0">
              <w:rPr>
                <w:rFonts w:eastAsia="Times New Roman" w:cs="Arial"/>
                <w:color w:val="000000"/>
                <w:sz w:val="18"/>
                <w:szCs w:val="18"/>
                <w:lang w:eastAsia="en-GB"/>
              </w:rPr>
              <w:t>CVD(</w:t>
            </w:r>
            <w:proofErr w:type="gramEnd"/>
            <w:r w:rsidRPr="009448E0">
              <w:rPr>
                <w:rFonts w:eastAsia="Times New Roman" w:cs="Arial"/>
                <w:color w:val="000000"/>
                <w:sz w:val="18"/>
                <w:szCs w:val="18"/>
                <w:lang w:eastAsia="en-GB"/>
              </w:rPr>
              <w:t>CHD or stroke) and those who were pregnant. Adjusted for hypertension, plasma cholesterol, serum triglycerides and glucose tolerance.</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1</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 xml:space="preserve">National Death Index using ICD. </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Total time spent watching television or videos in the previous 7 days. Validated survey and reliable measure. Three categories used.</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Exercise time was measured by the Active Australia questionnaire, which asks respondents about their participation in predominantly leisure-time exercise. "This measure has been shown to provide a reliable and valid estimate of exercise among adults".</w:t>
            </w:r>
          </w:p>
        </w:tc>
      </w:tr>
      <w:tr w:rsidR="00FF227B" w:rsidRPr="009448E0" w:rsidTr="00890252">
        <w:trPr>
          <w:trHeight w:val="2250"/>
        </w:trPr>
        <w:tc>
          <w:tcPr>
            <w:cnfStyle w:val="001000000000"/>
            <w:tcW w:w="0" w:type="auto"/>
          </w:tcPr>
          <w:p w:rsidR="00FF227B" w:rsidRPr="009448E0" w:rsidRDefault="00FF227B" w:rsidP="00890252">
            <w:pPr>
              <w:spacing w:line="240" w:lineRule="auto"/>
              <w:rPr>
                <w:rFonts w:eastAsia="Times New Roman" w:cs="Arial"/>
                <w:color w:val="000000"/>
                <w:sz w:val="18"/>
                <w:szCs w:val="18"/>
                <w:lang w:eastAsia="en-GB"/>
              </w:rPr>
            </w:pPr>
            <w:proofErr w:type="spellStart"/>
            <w:r w:rsidRPr="009448E0">
              <w:rPr>
                <w:rFonts w:ascii="Calibri" w:eastAsia="Times New Roman" w:hAnsi="Calibri" w:cs="Times New Roman"/>
                <w:color w:val="000000"/>
                <w:sz w:val="18"/>
                <w:szCs w:val="18"/>
                <w:lang w:eastAsia="en-GB"/>
              </w:rPr>
              <w:lastRenderedPageBreak/>
              <w:t>Ikehara</w:t>
            </w:r>
            <w:proofErr w:type="spellEnd"/>
            <w:r w:rsidRPr="009448E0">
              <w:rPr>
                <w:rFonts w:ascii="Calibri" w:eastAsia="Times New Roman" w:hAnsi="Calibri" w:cs="Times New Roman"/>
                <w:color w:val="000000"/>
                <w:sz w:val="18"/>
                <w:szCs w:val="18"/>
                <w:lang w:eastAsia="en-GB"/>
              </w:rPr>
              <w:t xml:space="preserve"> et al (2015)</w:t>
            </w:r>
            <w:r>
              <w:rPr>
                <w:rFonts w:ascii="Calibri" w:eastAsia="Times New Roman" w:hAnsi="Calibri" w:cs="Times New Roman"/>
                <w:noProof/>
                <w:color w:val="000000"/>
                <w:sz w:val="18"/>
                <w:szCs w:val="18"/>
                <w:lang w:eastAsia="en-GB"/>
              </w:rPr>
              <w:t>(54)</w:t>
            </w:r>
          </w:p>
        </w:tc>
        <w:tc>
          <w:tcPr>
            <w:tcW w:w="0" w:type="auto"/>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ascii="Calibri" w:eastAsia="Times New Roman" w:hAnsi="Calibri" w:cs="Times New Roman"/>
                <w:color w:val="000000"/>
                <w:sz w:val="18"/>
                <w:szCs w:val="18"/>
                <w:lang w:eastAsia="en-GB"/>
              </w:rPr>
              <w:t xml:space="preserve">All non-institutionalized residents from 45 area throughout Japan aged 40–79 years in communities were invited to participate in the survey. The participation rate was between 86% and 91%. In most regions, informed consent was obtained individually and directly from members of the cohort, while in several areas, informed consent was obtained at the community level after the purpose of the study and confidentiality of the data had been explained to community leaders and mayors. Most of the participants were people who had received a municipal health </w:t>
            </w:r>
            <w:proofErr w:type="spellStart"/>
            <w:r w:rsidRPr="009448E0">
              <w:rPr>
                <w:rFonts w:ascii="Calibri" w:eastAsia="Times New Roman" w:hAnsi="Calibri" w:cs="Times New Roman"/>
                <w:color w:val="000000"/>
                <w:sz w:val="18"/>
                <w:szCs w:val="18"/>
                <w:lang w:eastAsia="en-GB"/>
              </w:rPr>
              <w:t>checkup</w:t>
            </w:r>
            <w:proofErr w:type="spellEnd"/>
            <w:r w:rsidRPr="009448E0">
              <w:rPr>
                <w:rFonts w:ascii="Calibri" w:eastAsia="Times New Roman" w:hAnsi="Calibri" w:cs="Times New Roman"/>
                <w:color w:val="000000"/>
                <w:sz w:val="18"/>
                <w:szCs w:val="18"/>
                <w:lang w:eastAsia="en-GB"/>
              </w:rPr>
              <w:t>.</w:t>
            </w:r>
          </w:p>
        </w:tc>
        <w:tc>
          <w:tcPr>
            <w:tcW w:w="0" w:type="auto"/>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ascii="Calibri" w:eastAsia="Times New Roman" w:hAnsi="Calibri" w:cs="Times New Roman"/>
                <w:color w:val="000000"/>
                <w:sz w:val="18"/>
                <w:szCs w:val="18"/>
                <w:lang w:eastAsia="en-GB"/>
              </w:rPr>
              <w:t>Of the 110,585 cohort participants, 5,850 subjects (2,574 men; 3,276 women) who reported a history of CVD and cancer were excluded.  In addition adjustment was made for perceived stress and depressive symptoms.</w:t>
            </w:r>
          </w:p>
        </w:tc>
        <w:tc>
          <w:tcPr>
            <w:tcW w:w="0" w:type="auto"/>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ascii="Calibri" w:eastAsia="Times New Roman" w:hAnsi="Calibri" w:cs="Times New Roman"/>
                <w:color w:val="000000"/>
                <w:sz w:val="18"/>
                <w:szCs w:val="18"/>
                <w:lang w:eastAsia="en-GB"/>
              </w:rPr>
              <w:t>1</w:t>
            </w:r>
          </w:p>
        </w:tc>
        <w:tc>
          <w:tcPr>
            <w:tcW w:w="0" w:type="auto"/>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ascii="Calibri" w:eastAsia="Times New Roman" w:hAnsi="Calibri" w:cs="Times New Roman"/>
                <w:color w:val="000000"/>
                <w:sz w:val="18"/>
                <w:szCs w:val="18"/>
                <w:lang w:eastAsia="en-GB"/>
              </w:rPr>
              <w:t>Systematic review of death certificates in the participating communities. Coded using ICD-10. Subjects who moved out of survey areas were censored.</w:t>
            </w:r>
          </w:p>
        </w:tc>
        <w:tc>
          <w:tcPr>
            <w:tcW w:w="0" w:type="auto"/>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ascii="Calibri" w:eastAsia="Times New Roman" w:hAnsi="Calibri" w:cs="Times New Roman"/>
                <w:color w:val="000000"/>
                <w:sz w:val="18"/>
                <w:szCs w:val="18"/>
                <w:lang w:eastAsia="en-GB"/>
              </w:rPr>
              <w:t>Baseline questionnaire: ‘On average how many hours do you watch TV?’ The participants reported their time spent viewing TV a day: ‘approximately h/day.’ TV viewing time was then classified into 6 categories: &lt;2 h, 2 h, 3 h, 4 h, 5 h and ≥6 h/day.</w:t>
            </w:r>
          </w:p>
        </w:tc>
        <w:tc>
          <w:tcPr>
            <w:tcW w:w="0" w:type="auto"/>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ascii="Calibri" w:eastAsia="Times New Roman" w:hAnsi="Calibri" w:cs="Times New Roman"/>
                <w:color w:val="000000"/>
                <w:sz w:val="18"/>
                <w:szCs w:val="18"/>
                <w:lang w:eastAsia="en-GB"/>
              </w:rPr>
              <w:t>Baseline questionnaire question about hours of sport per week. Also a separate variable of amount of walking.</w:t>
            </w:r>
          </w:p>
        </w:tc>
      </w:tr>
      <w:tr w:rsidR="00FF227B" w:rsidRPr="009448E0" w:rsidTr="00890252">
        <w:trPr>
          <w:cnfStyle w:val="000000100000"/>
          <w:trHeight w:val="2250"/>
        </w:trPr>
        <w:tc>
          <w:tcPr>
            <w:cnfStyle w:val="001000000000"/>
            <w:tcW w:w="0" w:type="auto"/>
            <w:hideMark/>
          </w:tcPr>
          <w:p w:rsidR="00FF227B" w:rsidRPr="009448E0" w:rsidRDefault="00FF227B" w:rsidP="00890252">
            <w:pPr>
              <w:spacing w:line="240" w:lineRule="auto"/>
              <w:rPr>
                <w:rFonts w:eastAsia="Times New Roman" w:cs="Arial"/>
                <w:color w:val="000000"/>
                <w:sz w:val="18"/>
                <w:szCs w:val="18"/>
                <w:lang w:eastAsia="en-GB"/>
              </w:rPr>
            </w:pPr>
            <w:r w:rsidRPr="009448E0">
              <w:rPr>
                <w:sz w:val="18"/>
                <w:szCs w:val="18"/>
              </w:rPr>
              <w:t>Matthews et al (2012)</w:t>
            </w:r>
            <w:r>
              <w:rPr>
                <w:noProof/>
                <w:sz w:val="18"/>
                <w:szCs w:val="18"/>
              </w:rPr>
              <w:t>(61)</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AARP (over 50s membership group) members aged 50–71 y living in California, Florida, Louisiana, New Jersey, North Carolina, Pennsylvania, Atlanta, or Detroit responded to a questionnaire</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Excluded those with colon or breast cancer, prior heart disease, cancers other than BCC, stroke, emphysema, rated their health state poor, those who were not filling in their own questionnaire.</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3</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Vital status was determined through linkage with the Social Security Administration Death Master File, and determinations of vital status and causes of death were made by using the National Death Index</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“During a typical 24-hour period over the past 12 months, how much time did you spend watching television or videos? (None, 1, 1–2, 3–4, 5–6, 7–8, or 9+ h/d).” To assess overall sitting, participants were asked, “During a typical 24-hour period over the past 12 months, how much time did you spend sitting? (3, 3–4, 5–6, 7–8, or 9+ h/d).”Not evaluated but questions similar to those that have been noted to have acceptable validity.</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Leisure time MVPA levels was assessed by asking the average time spent each week in activities of at least moderate intensity in the past 10 years (4 categories). Not evaluated but questions similar to those that have been noted to have acceptable validity.</w:t>
            </w:r>
          </w:p>
        </w:tc>
      </w:tr>
      <w:tr w:rsidR="00FF227B" w:rsidRPr="009448E0" w:rsidTr="00890252">
        <w:trPr>
          <w:trHeight w:val="2250"/>
        </w:trPr>
        <w:tc>
          <w:tcPr>
            <w:cnfStyle w:val="001000000000"/>
            <w:tcW w:w="0" w:type="auto"/>
            <w:hideMark/>
          </w:tcPr>
          <w:p w:rsidR="00FF227B" w:rsidRPr="009448E0" w:rsidRDefault="00FF227B" w:rsidP="00890252">
            <w:pPr>
              <w:spacing w:line="240" w:lineRule="auto"/>
              <w:rPr>
                <w:rFonts w:eastAsia="Times New Roman" w:cs="Arial"/>
                <w:color w:val="000000"/>
                <w:sz w:val="18"/>
                <w:szCs w:val="18"/>
                <w:lang w:eastAsia="en-GB"/>
              </w:rPr>
            </w:pPr>
            <w:r w:rsidRPr="009448E0">
              <w:rPr>
                <w:sz w:val="18"/>
                <w:szCs w:val="18"/>
              </w:rPr>
              <w:lastRenderedPageBreak/>
              <w:t>Warren et al (2010)</w:t>
            </w:r>
            <w:r>
              <w:rPr>
                <w:noProof/>
                <w:sz w:val="18"/>
                <w:szCs w:val="18"/>
              </w:rPr>
              <w:t>(47)</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 xml:space="preserve">Healthy male adults. Participants were self-referred or employer referred to the clinic for various services such as preventive medical examinations and health, nutrition, and exercise counselling. </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Excluded with history of MI, stroke or cancer. Adjustment for family history of CVD, hypertension, diabetes and hypercholesterolemia.</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3</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National death index augmented with death certificates.</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Average time h/week viewing TV at baseline.</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Physically inactive or active was assessed by questions asking the participant to rate their physical activity level (including both leisure and work activities) as compared with others of the same age and sex. Those who answered ‘‘extremely inactive,’’ ‘‘inactive,’’ or ‘‘somewhat inactive’’ were classified as physically inactive, whereas others who reported ‘‘about average,’’ ‘‘somewhat active,’’ ‘‘active,’’ or ‘‘extremely active’’ were classified physically active.</w:t>
            </w:r>
          </w:p>
        </w:tc>
      </w:tr>
      <w:tr w:rsidR="00FF227B" w:rsidRPr="009448E0" w:rsidTr="00890252">
        <w:trPr>
          <w:cnfStyle w:val="000000100000"/>
          <w:trHeight w:val="2475"/>
        </w:trPr>
        <w:tc>
          <w:tcPr>
            <w:cnfStyle w:val="001000000000"/>
            <w:tcW w:w="0" w:type="auto"/>
            <w:hideMark/>
          </w:tcPr>
          <w:p w:rsidR="00FF227B" w:rsidRPr="009448E0" w:rsidRDefault="00FF227B" w:rsidP="00890252">
            <w:pPr>
              <w:spacing w:line="240" w:lineRule="auto"/>
              <w:rPr>
                <w:rFonts w:eastAsia="Times New Roman" w:cs="Arial"/>
                <w:color w:val="000000"/>
                <w:sz w:val="18"/>
                <w:szCs w:val="18"/>
                <w:lang w:eastAsia="en-GB"/>
              </w:rPr>
            </w:pPr>
            <w:r w:rsidRPr="009448E0">
              <w:rPr>
                <w:sz w:val="18"/>
                <w:szCs w:val="18"/>
              </w:rPr>
              <w:t>Wijndaele et al (2011)</w:t>
            </w:r>
            <w:r>
              <w:rPr>
                <w:noProof/>
                <w:sz w:val="18"/>
                <w:szCs w:val="18"/>
              </w:rPr>
              <w:t>(48)</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 xml:space="preserve">Between 1993 and 1997, a cohort of 25 633 residents of Norfolk (UK), in the age range of 45–79  years and recruited via participating general practitioners, agreed to participate. </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Self reported history of stroke, MI, other vascular disease and or cancer were excluded. Adjustment for history of diabetes, family history of CVD and family history of cancer.</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2</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Office of National Statistics and death certificates.</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EPAQ2 - Time spent watching television and video (hours/week) was calculated based on responses to four questions about watching before and after six pm at week- and weekend-days. The EPAQ2 scored high for repeatability, both in terms of television viewing time and PAEE. It is valid for ranking individuals, as shown by comparison against minute-by-minute heart rate monitoring and maximal aerobic capacity (VO2max). In the current study, television viewing time was expressed in hours/day.</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Participants completed the EPAQ2, providing information on their physical (in</w:t>
            </w:r>
            <w:proofErr w:type="gramStart"/>
            <w:r w:rsidRPr="009448E0">
              <w:rPr>
                <w:rFonts w:eastAsia="Times New Roman" w:cs="Arial"/>
                <w:color w:val="000000"/>
                <w:sz w:val="18"/>
                <w:szCs w:val="18"/>
                <w:lang w:eastAsia="en-GB"/>
              </w:rPr>
              <w:t>)activity</w:t>
            </w:r>
            <w:proofErr w:type="gramEnd"/>
            <w:r w:rsidRPr="009448E0">
              <w:rPr>
                <w:rFonts w:eastAsia="Times New Roman" w:cs="Arial"/>
                <w:color w:val="000000"/>
                <w:sz w:val="18"/>
                <w:szCs w:val="18"/>
                <w:lang w:eastAsia="en-GB"/>
              </w:rPr>
              <w:t xml:space="preserve"> in a disaggregated way (in and around the home, to work, at work and during leisure time), using the past year as a reference frame. Total PAEE (</w:t>
            </w:r>
            <w:proofErr w:type="spellStart"/>
            <w:r w:rsidRPr="009448E0">
              <w:rPr>
                <w:rFonts w:eastAsia="Times New Roman" w:cs="Arial"/>
                <w:color w:val="000000"/>
                <w:sz w:val="18"/>
                <w:szCs w:val="18"/>
                <w:lang w:eastAsia="en-GB"/>
              </w:rPr>
              <w:t>METh</w:t>
            </w:r>
            <w:proofErr w:type="spellEnd"/>
            <w:r w:rsidRPr="009448E0">
              <w:rPr>
                <w:rFonts w:eastAsia="Times New Roman" w:cs="Arial"/>
                <w:color w:val="000000"/>
                <w:sz w:val="18"/>
                <w:szCs w:val="18"/>
                <w:lang w:eastAsia="en-GB"/>
              </w:rPr>
              <w:t>/week) was calculated by summing energy expenditure of the different (mutually exclusive) domains. Repeatability has been shown to be high and validity in ranking individuals has been demonstrated.</w:t>
            </w:r>
          </w:p>
        </w:tc>
      </w:tr>
      <w:tr w:rsidR="00FF227B" w:rsidRPr="009448E0" w:rsidTr="00890252">
        <w:trPr>
          <w:trHeight w:val="225"/>
        </w:trPr>
        <w:tc>
          <w:tcPr>
            <w:cnfStyle w:val="001000000000"/>
            <w:tcW w:w="0" w:type="auto"/>
            <w:gridSpan w:val="7"/>
            <w:hideMark/>
          </w:tcPr>
          <w:p w:rsidR="00FF227B" w:rsidRPr="009448E0" w:rsidRDefault="00FF227B" w:rsidP="00890252">
            <w:pPr>
              <w:spacing w:before="360" w:after="360" w:line="240" w:lineRule="auto"/>
              <w:ind w:left="864" w:right="864"/>
              <w:jc w:val="center"/>
              <w:rPr>
                <w:rFonts w:ascii="Times New Roman" w:eastAsia="Times New Roman" w:hAnsi="Times New Roman" w:cs="Times New Roman"/>
                <w:i/>
                <w:iCs/>
                <w:color w:val="5B9BD5" w:themeColor="accent1"/>
                <w:sz w:val="20"/>
                <w:szCs w:val="20"/>
                <w:lang w:eastAsia="en-GB"/>
              </w:rPr>
            </w:pPr>
            <w:r w:rsidRPr="009448E0">
              <w:rPr>
                <w:i/>
                <w:iCs/>
                <w:color w:val="5B9BD5" w:themeColor="accent1"/>
              </w:rPr>
              <w:t>Cancer Mortality</w:t>
            </w:r>
          </w:p>
        </w:tc>
      </w:tr>
      <w:tr w:rsidR="00FF227B" w:rsidRPr="009448E0" w:rsidTr="00890252">
        <w:trPr>
          <w:cnfStyle w:val="000000100000"/>
          <w:trHeight w:val="1575"/>
        </w:trPr>
        <w:tc>
          <w:tcPr>
            <w:cnfStyle w:val="001000000000"/>
            <w:tcW w:w="0" w:type="auto"/>
            <w:hideMark/>
          </w:tcPr>
          <w:p w:rsidR="00FF227B" w:rsidRPr="009448E0" w:rsidRDefault="00FF227B" w:rsidP="00890252">
            <w:pPr>
              <w:spacing w:line="240" w:lineRule="auto"/>
              <w:rPr>
                <w:rFonts w:eastAsia="Times New Roman" w:cs="Arial"/>
                <w:color w:val="000000"/>
                <w:sz w:val="18"/>
                <w:szCs w:val="18"/>
                <w:lang w:eastAsia="en-GB"/>
              </w:rPr>
            </w:pPr>
            <w:r w:rsidRPr="009448E0">
              <w:rPr>
                <w:sz w:val="18"/>
                <w:szCs w:val="18"/>
              </w:rPr>
              <w:t>Kim et al (2013)</w:t>
            </w:r>
            <w:r>
              <w:rPr>
                <w:noProof/>
                <w:sz w:val="18"/>
                <w:szCs w:val="18"/>
              </w:rPr>
              <w:t>(45)</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Drivers' license files in both Hawaii and California. An additional source in Hawaii was the voters' registration file. An additional source of African-Americans in California was the Health Care Financing Administration (HCFA)</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Excluded a history of cancer, heart attack or stroke.  Excluded those who died within the first year. Adjusted for history of hypertension and/or diabetes</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1</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Death certification linkage and national death index, USA.</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Baseline questionnaire (http://www.crch.org/multiethniccohort/</w:t>
            </w:r>
            <w:r w:rsidRPr="009448E0">
              <w:rPr>
                <w:rFonts w:eastAsia="Times New Roman" w:cs="Arial"/>
                <w:color w:val="000000"/>
                <w:sz w:val="18"/>
                <w:szCs w:val="18"/>
                <w:lang w:eastAsia="en-GB"/>
              </w:rPr>
              <w:br/>
              <w:t>index.htm), sitting activities included: ‘sitting in a car or bus’, ‘sitting at work’, ‘sitting at meals’, ‘sitting watching television’ and ‘other leisure sitting activities e.g. reading’. Each sitting activity was asked in seven categories.</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Asked about many different activities and categories into 8 levels of exposure. Light PA estimated by subtracting other activities from 24hours. PA activity (METs/week for moderate activity, vigorous work and strenuous sports.  In a validation study, correlation with double label water was "reasonable".</w:t>
            </w:r>
          </w:p>
        </w:tc>
      </w:tr>
      <w:tr w:rsidR="00FF227B" w:rsidRPr="009448E0" w:rsidTr="00890252">
        <w:trPr>
          <w:trHeight w:val="5850"/>
        </w:trPr>
        <w:tc>
          <w:tcPr>
            <w:cnfStyle w:val="001000000000"/>
            <w:tcW w:w="0" w:type="auto"/>
            <w:hideMark/>
          </w:tcPr>
          <w:p w:rsidR="00FF227B" w:rsidRPr="009448E0" w:rsidRDefault="00FF227B" w:rsidP="00890252">
            <w:pPr>
              <w:spacing w:line="240" w:lineRule="auto"/>
              <w:rPr>
                <w:rFonts w:eastAsia="Times New Roman" w:cs="Arial"/>
                <w:color w:val="000000"/>
                <w:sz w:val="18"/>
                <w:szCs w:val="18"/>
                <w:lang w:eastAsia="en-GB"/>
              </w:rPr>
            </w:pPr>
            <w:proofErr w:type="spellStart"/>
            <w:r w:rsidRPr="009448E0">
              <w:rPr>
                <w:sz w:val="18"/>
                <w:szCs w:val="18"/>
              </w:rPr>
              <w:lastRenderedPageBreak/>
              <w:t>Ensrud</w:t>
            </w:r>
            <w:proofErr w:type="spellEnd"/>
            <w:r w:rsidRPr="009448E0">
              <w:rPr>
                <w:sz w:val="18"/>
                <w:szCs w:val="18"/>
              </w:rPr>
              <w:t xml:space="preserve"> et al (2014)</w:t>
            </w:r>
            <w:r>
              <w:rPr>
                <w:noProof/>
                <w:sz w:val="18"/>
                <w:szCs w:val="18"/>
              </w:rPr>
              <w:t>(42)</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 xml:space="preserve">From 2000 to 2002, 5,994 men aged 65 and older were recruited from population-based listings in six regions of the United States for the baseline visit of </w:t>
            </w:r>
            <w:proofErr w:type="spellStart"/>
            <w:r w:rsidRPr="009448E0">
              <w:rPr>
                <w:rFonts w:eastAsia="Times New Roman" w:cs="Arial"/>
                <w:color w:val="000000"/>
                <w:sz w:val="18"/>
                <w:szCs w:val="18"/>
                <w:lang w:eastAsia="en-GB"/>
              </w:rPr>
              <w:t>MrOS</w:t>
            </w:r>
            <w:proofErr w:type="spellEnd"/>
            <w:r w:rsidRPr="009448E0">
              <w:rPr>
                <w:rFonts w:eastAsia="Times New Roman" w:cs="Arial"/>
                <w:color w:val="000000"/>
                <w:sz w:val="18"/>
                <w:szCs w:val="18"/>
                <w:lang w:eastAsia="en-GB"/>
              </w:rPr>
              <w:t>, surviving participants were invited to participate in a third study visit.</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 xml:space="preserve">Excluded men with a history of bilateral hip replacement and men unable to walk without the assistance of another person. Adjusted for comorbidity burden, depressive symptoms, cogitative function, </w:t>
            </w:r>
            <w:proofErr w:type="gramStart"/>
            <w:r w:rsidRPr="009448E0">
              <w:rPr>
                <w:rFonts w:eastAsia="Times New Roman" w:cs="Arial"/>
                <w:color w:val="000000"/>
                <w:sz w:val="18"/>
                <w:szCs w:val="18"/>
                <w:lang w:eastAsia="en-GB"/>
              </w:rPr>
              <w:t>number</w:t>
            </w:r>
            <w:proofErr w:type="gramEnd"/>
            <w:r w:rsidRPr="009448E0">
              <w:rPr>
                <w:rFonts w:eastAsia="Times New Roman" w:cs="Arial"/>
                <w:color w:val="000000"/>
                <w:sz w:val="18"/>
                <w:szCs w:val="18"/>
                <w:lang w:eastAsia="en-GB"/>
              </w:rPr>
              <w:t xml:space="preserve"> of instrumental activities of daily living impairments.</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2</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 xml:space="preserve">Patients contacted and deaths confirmed with certificates, </w:t>
            </w:r>
            <w:proofErr w:type="gramStart"/>
            <w:r w:rsidRPr="009448E0">
              <w:rPr>
                <w:rFonts w:eastAsia="Times New Roman" w:cs="Arial"/>
                <w:color w:val="000000"/>
                <w:sz w:val="18"/>
                <w:szCs w:val="18"/>
                <w:lang w:eastAsia="en-GB"/>
              </w:rPr>
              <w:t>cause</w:t>
            </w:r>
            <w:proofErr w:type="gramEnd"/>
            <w:r w:rsidRPr="009448E0">
              <w:rPr>
                <w:rFonts w:eastAsia="Times New Roman" w:cs="Arial"/>
                <w:color w:val="000000"/>
                <w:sz w:val="18"/>
                <w:szCs w:val="18"/>
                <w:lang w:eastAsia="en-GB"/>
              </w:rPr>
              <w:t xml:space="preserve"> assessed using ICD.</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 xml:space="preserve">Data were sampled in 1-minute epochs over 24-hour periods from a biaxial accelerometer. These data were used in proprietary algorithms (Interview Professional 5.1 software; </w:t>
            </w:r>
            <w:proofErr w:type="spellStart"/>
            <w:r w:rsidRPr="009448E0">
              <w:rPr>
                <w:rFonts w:eastAsia="Times New Roman" w:cs="Arial"/>
                <w:color w:val="000000"/>
                <w:sz w:val="18"/>
                <w:szCs w:val="18"/>
                <w:lang w:eastAsia="en-GB"/>
              </w:rPr>
              <w:t>BodyMedia</w:t>
            </w:r>
            <w:proofErr w:type="spellEnd"/>
            <w:r w:rsidRPr="009448E0">
              <w:rPr>
                <w:rFonts w:eastAsia="Times New Roman" w:cs="Arial"/>
                <w:color w:val="000000"/>
                <w:sz w:val="18"/>
                <w:szCs w:val="18"/>
                <w:lang w:eastAsia="en-GB"/>
              </w:rPr>
              <w:t>, Inc.) along with participant characteristics (age, height, weight, handedness, and smoking status) to estimate time (minutes/24 hours) spent sleeping and time (minutes/24 hours) awake spent in sedentary behaviour (metabolic equivalent (MET) level ≤1.50). A validation study comparing the activity monitor with the criterion method of doubly labelled water showed excellent levels of agreement for total energy expenditure in older adults.  Participants were required to have at least five 24- hour periods of data and wear the activity monitor at least 90% of the time to be considered as having valid data; this time period was selected to ensure that the activity monitor recorded time spent in daily activity that was representative of the participant’s usual life. All activity level measures used in the analyses reflected mean daily experience to obtain a representative characterization of usual activity pattern and were averaged over all days to limit variability in the measures.</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Physical Activity Scale for the Elderly (PASE).</w:t>
            </w:r>
          </w:p>
        </w:tc>
      </w:tr>
      <w:tr w:rsidR="00FF227B" w:rsidRPr="009448E0" w:rsidTr="00890252">
        <w:trPr>
          <w:cnfStyle w:val="000000100000"/>
          <w:trHeight w:val="2475"/>
        </w:trPr>
        <w:tc>
          <w:tcPr>
            <w:cnfStyle w:val="001000000000"/>
            <w:tcW w:w="0" w:type="auto"/>
            <w:hideMark/>
          </w:tcPr>
          <w:p w:rsidR="00FF227B" w:rsidRPr="009448E0" w:rsidRDefault="00FF227B" w:rsidP="00890252">
            <w:pPr>
              <w:spacing w:line="240" w:lineRule="auto"/>
              <w:rPr>
                <w:rFonts w:eastAsia="Times New Roman" w:cs="Arial"/>
                <w:color w:val="000000"/>
                <w:sz w:val="18"/>
                <w:szCs w:val="18"/>
                <w:lang w:eastAsia="en-GB"/>
              </w:rPr>
            </w:pPr>
            <w:proofErr w:type="spellStart"/>
            <w:r w:rsidRPr="009448E0">
              <w:rPr>
                <w:sz w:val="18"/>
                <w:szCs w:val="18"/>
              </w:rPr>
              <w:t>Katzmarzyk</w:t>
            </w:r>
            <w:proofErr w:type="spellEnd"/>
            <w:r w:rsidRPr="009448E0">
              <w:rPr>
                <w:sz w:val="18"/>
                <w:szCs w:val="18"/>
              </w:rPr>
              <w:t xml:space="preserve"> et al (2009)</w:t>
            </w:r>
            <w:r>
              <w:rPr>
                <w:noProof/>
                <w:sz w:val="18"/>
                <w:szCs w:val="18"/>
              </w:rPr>
              <w:t>(56)</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Representative sample of Canada population excluding some groups e.g. armed forces and institutionalised persons</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 xml:space="preserve">Physical Activity Readiness Questionnaire (PAR-Q) was included as a covariate (pass/fail/missing). </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1</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Canadian mortality database linkage.</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Baseline questionnaire at household visit. The amount of time participants spent sitting during work, school, and housework during the course of most days of the week as either 1) almost none of the time, 2) approximately one fourth of the time, 3) approximately half of the time, 4) approximately three fourths of the time, 5) almost all of the time.</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 xml:space="preserve">Questions on participation in 20 leisure time activities were used to calculate </w:t>
            </w:r>
            <w:proofErr w:type="spellStart"/>
            <w:r w:rsidRPr="009448E0">
              <w:rPr>
                <w:rFonts w:eastAsia="Times New Roman" w:cs="Arial"/>
                <w:color w:val="000000"/>
                <w:sz w:val="18"/>
                <w:szCs w:val="18"/>
                <w:lang w:eastAsia="en-GB"/>
              </w:rPr>
              <w:t>METh</w:t>
            </w:r>
            <w:proofErr w:type="spellEnd"/>
            <w:r w:rsidRPr="009448E0">
              <w:rPr>
                <w:rFonts w:eastAsia="Times New Roman" w:cs="Arial"/>
                <w:color w:val="000000"/>
                <w:sz w:val="18"/>
                <w:szCs w:val="18"/>
                <w:lang w:eastAsia="en-GB"/>
              </w:rPr>
              <w:t>/week continuous variable (logged) and Physical Activity Readiness Questionnaire (PAR-Q) was included as a covariate (pass/fail/missing). The PAR-Q asks several questions regarding heart trouble, chest pain, high blood pressure, dizzy spells, joint problems, and other problems that may prevent participants from participating in physical activities. A positive response to any question results in a failure of the PAR-Q</w:t>
            </w:r>
          </w:p>
        </w:tc>
      </w:tr>
      <w:tr w:rsidR="00FF227B" w:rsidRPr="009448E0" w:rsidTr="00890252">
        <w:trPr>
          <w:trHeight w:val="5625"/>
        </w:trPr>
        <w:tc>
          <w:tcPr>
            <w:cnfStyle w:val="001000000000"/>
            <w:tcW w:w="0" w:type="auto"/>
            <w:hideMark/>
          </w:tcPr>
          <w:p w:rsidR="00FF227B" w:rsidRPr="009448E0" w:rsidRDefault="00FF227B" w:rsidP="00890252">
            <w:pPr>
              <w:spacing w:line="240" w:lineRule="auto"/>
              <w:rPr>
                <w:rFonts w:eastAsia="Times New Roman" w:cs="Arial"/>
                <w:color w:val="000000"/>
                <w:sz w:val="18"/>
                <w:szCs w:val="18"/>
                <w:lang w:eastAsia="en-GB"/>
              </w:rPr>
            </w:pPr>
            <w:r w:rsidRPr="009448E0">
              <w:rPr>
                <w:sz w:val="18"/>
                <w:szCs w:val="18"/>
              </w:rPr>
              <w:lastRenderedPageBreak/>
              <w:t>Matthews et al (2014)</w:t>
            </w:r>
            <w:r>
              <w:rPr>
                <w:noProof/>
                <w:sz w:val="18"/>
                <w:szCs w:val="18"/>
              </w:rPr>
              <w:t>(60)</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 xml:space="preserve">From 2002 to 2009, nearly 85,000 adults were enrolled in the cohort, most of whom (86%) enrolled at 1 of 71 participating community health </w:t>
            </w:r>
            <w:proofErr w:type="spellStart"/>
            <w:r w:rsidRPr="009448E0">
              <w:rPr>
                <w:rFonts w:eastAsia="Times New Roman" w:cs="Arial"/>
                <w:color w:val="000000"/>
                <w:sz w:val="18"/>
                <w:szCs w:val="18"/>
                <w:lang w:eastAsia="en-GB"/>
              </w:rPr>
              <w:t>centers</w:t>
            </w:r>
            <w:proofErr w:type="spellEnd"/>
            <w:r w:rsidRPr="009448E0">
              <w:rPr>
                <w:rFonts w:eastAsia="Times New Roman" w:cs="Arial"/>
                <w:color w:val="000000"/>
                <w:sz w:val="18"/>
                <w:szCs w:val="18"/>
                <w:lang w:eastAsia="en-GB"/>
              </w:rPr>
              <w:t xml:space="preserve"> that provide basic health services mainly to low-income and uninsured persons. Centres were in urban and rural areas in 12 states in south eastern United States (Florida, Alabama, Mississippi, Louisiana, Arkansas, Tennessee, Georgia, South Carolina, North Carolina, Virginia, West Virginia, and Kentucky). An additional 14% of the cohort enrolled from 2004 to 2006 by responding to a mailed questionnaire sent to randomly selected residents of the same 12 states. The study was designed so that approximately two thirds of participants were black. Participants eligible for </w:t>
            </w:r>
            <w:proofErr w:type="spellStart"/>
            <w:r w:rsidRPr="009448E0">
              <w:rPr>
                <w:rFonts w:eastAsia="Times New Roman" w:cs="Arial"/>
                <w:color w:val="000000"/>
                <w:sz w:val="18"/>
                <w:szCs w:val="18"/>
                <w:lang w:eastAsia="en-GB"/>
              </w:rPr>
              <w:t>enrollment</w:t>
            </w:r>
            <w:proofErr w:type="spellEnd"/>
            <w:r w:rsidRPr="009448E0">
              <w:rPr>
                <w:rFonts w:eastAsia="Times New Roman" w:cs="Arial"/>
                <w:color w:val="000000"/>
                <w:sz w:val="18"/>
                <w:szCs w:val="18"/>
                <w:lang w:eastAsia="en-GB"/>
              </w:rPr>
              <w:t xml:space="preserve"> in the overall cohort were 40–79 years of age, spoke English, and had not been treated for cancer in the 12 months before </w:t>
            </w:r>
            <w:proofErr w:type="spellStart"/>
            <w:r w:rsidRPr="009448E0">
              <w:rPr>
                <w:rFonts w:eastAsia="Times New Roman" w:cs="Arial"/>
                <w:color w:val="000000"/>
                <w:sz w:val="18"/>
                <w:szCs w:val="18"/>
                <w:lang w:eastAsia="en-GB"/>
              </w:rPr>
              <w:t>enrollment</w:t>
            </w:r>
            <w:proofErr w:type="spellEnd"/>
            <w:r w:rsidRPr="009448E0">
              <w:rPr>
                <w:rFonts w:eastAsia="Times New Roman" w:cs="Arial"/>
                <w:color w:val="000000"/>
                <w:sz w:val="18"/>
                <w:szCs w:val="18"/>
                <w:lang w:eastAsia="en-GB"/>
              </w:rPr>
              <w:t>.</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Excluded persons who reported heart disease (previous heart attack or bypass surgery; n = 5,535), cancers other than non-melanoma skin cancer (n = 5,099), stroke (n = 5,150), Parkinson’s disease (n = 130), lupus (n = 674), and multiple sclerosis (n = 255) at enrolment. Adjusted for diabetes (Y/N).</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3</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Social Security Administration and the National Death Index through December 31, 2011. Information on specific causes of death was ascertained via linkage to the National Death Index</w:t>
            </w:r>
          </w:p>
        </w:tc>
        <w:tc>
          <w:tcPr>
            <w:tcW w:w="0" w:type="auto"/>
            <w:hideMark/>
          </w:tcPr>
          <w:p w:rsidR="00FF227B" w:rsidRPr="009448E0" w:rsidRDefault="00FF227B" w:rsidP="00890252">
            <w:pPr>
              <w:spacing w:line="240" w:lineRule="auto"/>
              <w:cnfStyle w:val="000000000000"/>
              <w:rPr>
                <w:rFonts w:eastAsia="Times New Roman" w:cs="Arial"/>
                <w:color w:val="231F20"/>
                <w:sz w:val="18"/>
                <w:szCs w:val="18"/>
                <w:lang w:eastAsia="en-GB"/>
              </w:rPr>
            </w:pPr>
            <w:r w:rsidRPr="009448E0">
              <w:rPr>
                <w:rFonts w:eastAsia="Times New Roman" w:cs="Arial"/>
                <w:color w:val="231F20"/>
                <w:sz w:val="18"/>
                <w:szCs w:val="18"/>
                <w:lang w:eastAsia="en-GB"/>
              </w:rPr>
              <w:t>Questions about sedentary behaviours asked about the amount of time per day typically spent sitting in a car or bus; sitting at work; sitting to view television or movies; sitting using a computer at home (e.g., checking email, using the Internet, playing games); and doing other activities that involve sitting (e.g., eating meals, talking on the phone, reading, playing cards, or sewing). For all questions, participants provided open-ended duration responses (hours and minutes). We evaluated the reliability and validity of the SCCS physical activity questionnaire in 118 randomly selected SCCS participants and found the validity of the instrument to be comparable for blacks and whites</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 xml:space="preserve">Time typically spent performing light, moderate, and strenuous (vigorous) activities at home and at work, as well as time spent moderately and vigorously exercising/participating in sports. Time spent doing work and home activities was assessed separately for week and weekend days, and exercise and sports participation was assessed for a typical week. Overall PA level was estimated as the sum of home and work activity and exercise and sports participation. In addition to leisure-time activity and activities done at home and work, time spent walking slowly (moving around, walking at work, walking a dog, doing light exercise) and walking quickly (to go places, for exercise, climbing stairs) was also assessed and evaluated separately. Duration reports of active behaviours were converted to estimates of PA energy expenditure </w:t>
            </w:r>
            <w:proofErr w:type="spellStart"/>
            <w:r w:rsidRPr="009448E0">
              <w:rPr>
                <w:rFonts w:eastAsia="Times New Roman" w:cs="Arial"/>
                <w:color w:val="000000"/>
                <w:sz w:val="18"/>
                <w:szCs w:val="18"/>
                <w:lang w:eastAsia="en-GB"/>
              </w:rPr>
              <w:t>METh</w:t>
            </w:r>
            <w:proofErr w:type="spellEnd"/>
            <w:r w:rsidRPr="009448E0">
              <w:rPr>
                <w:rFonts w:eastAsia="Times New Roman" w:cs="Arial"/>
                <w:color w:val="000000"/>
                <w:sz w:val="18"/>
                <w:szCs w:val="18"/>
                <w:lang w:eastAsia="en-GB"/>
              </w:rPr>
              <w:t>/day using common MET values for the specific activities assessed. Reliability and validity of the Southern Community Cohort Study PA questionnaire was evaluated in 118 randomly selected SCCS participants and found the validity of the instrument to be comparable for blacks and whites</w:t>
            </w:r>
          </w:p>
        </w:tc>
      </w:tr>
      <w:tr w:rsidR="00FF227B" w:rsidRPr="009448E0" w:rsidTr="00890252">
        <w:trPr>
          <w:cnfStyle w:val="000000100000"/>
          <w:trHeight w:val="3150"/>
        </w:trPr>
        <w:tc>
          <w:tcPr>
            <w:cnfStyle w:val="001000000000"/>
            <w:tcW w:w="0" w:type="auto"/>
            <w:hideMark/>
          </w:tcPr>
          <w:p w:rsidR="00FF227B" w:rsidRPr="009448E0" w:rsidRDefault="00FF227B" w:rsidP="00890252">
            <w:pPr>
              <w:spacing w:line="240" w:lineRule="auto"/>
              <w:rPr>
                <w:rFonts w:eastAsia="Times New Roman" w:cs="Arial"/>
                <w:color w:val="000000"/>
                <w:sz w:val="18"/>
                <w:szCs w:val="18"/>
                <w:lang w:eastAsia="en-GB"/>
              </w:rPr>
            </w:pPr>
            <w:r w:rsidRPr="009448E0">
              <w:rPr>
                <w:sz w:val="18"/>
                <w:szCs w:val="18"/>
              </w:rPr>
              <w:lastRenderedPageBreak/>
              <w:t>Matthews et al (2015)</w:t>
            </w:r>
            <w:r>
              <w:rPr>
                <w:noProof/>
                <w:sz w:val="18"/>
                <w:szCs w:val="18"/>
              </w:rPr>
              <w:t>(62)</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3.5 million questionnaires to current members of the AARP (formally the American Association of Retired Persons), aged 50-71 years, and who resided in one of six US states or in two metropolitan areas who replied to a questionnaire.</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Those with major diseases including cancer other than BCC, MI, coronary bypass, stroke, emphysema, renal dis, degenerative neurological condition. Adjusted for self-reported overall health</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3</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Vital status was determined through linkage with the Social Security Administration Death Master File, and the National Death Index</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“During a typical 24-hour period over the past 12 months, how much time did you spend watching television or videos? (None, 1, 1–2, 3–4, 5–6, 7–8, or 9+ h/d).” To assess overall sitting, participants were asked, “During a typical 24-hour period over the past 12 months, how much time did you spend sitting? (3, 3–4, 5–6, 7–8, or 9+ h/d).”</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The physical activity questionnaire asked how much time per week was spent in 16 activities during the past 12 months. Activities were classified as exercise and sports (8 questions) and as non-exercise activity (8 questions), including household chores (5 questions), lawn and garden (2 questions), and daily walking activities (1 question). Activity duration (hrs/d) was calculated as the sum of all exercise, non-exercise, and all activities (i.e., Overall physical activity), this was used as 5 category variable in the analysis. The exercise items have been validated against physical activity diaries, r=0.62 and 0.65 (3, 34).</w:t>
            </w:r>
          </w:p>
        </w:tc>
      </w:tr>
      <w:tr w:rsidR="00FF227B" w:rsidRPr="009448E0" w:rsidTr="00890252">
        <w:trPr>
          <w:trHeight w:val="2700"/>
        </w:trPr>
        <w:tc>
          <w:tcPr>
            <w:cnfStyle w:val="001000000000"/>
            <w:tcW w:w="0" w:type="auto"/>
            <w:hideMark/>
          </w:tcPr>
          <w:p w:rsidR="00FF227B" w:rsidRPr="009448E0" w:rsidRDefault="00FF227B" w:rsidP="00890252">
            <w:pPr>
              <w:spacing w:line="240" w:lineRule="auto"/>
              <w:rPr>
                <w:rFonts w:eastAsia="Times New Roman" w:cs="Arial"/>
                <w:color w:val="000000"/>
                <w:sz w:val="18"/>
                <w:szCs w:val="18"/>
                <w:lang w:eastAsia="en-GB"/>
              </w:rPr>
            </w:pPr>
            <w:r w:rsidRPr="009448E0">
              <w:rPr>
                <w:sz w:val="18"/>
                <w:szCs w:val="18"/>
              </w:rPr>
              <w:t>Seguin et al (2014)</w:t>
            </w:r>
            <w:r>
              <w:rPr>
                <w:noProof/>
                <w:sz w:val="18"/>
                <w:szCs w:val="18"/>
              </w:rPr>
              <w:t>(68)</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Postmenopausal women aged between 50 and 79 years at clinical centres across the US, through several recruitment activities (e.g., mass mailings, community presentations) and included 93,676 racially and ethnically diverse postmenopausal women aged 50–79 years at baseline.</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Adjusted for physical function assessed using self report 10 item Rand-36</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2</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Mailed questionnaire confirmed by national death index</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During a usual day and night, about how many hours do you spend sitting? Be sure to include the time you spend sitting at work, sitting at the table eating, driving or riding in a car or bus, and sitting up watching TV or talking. During a usual day and night, about how many hours do you spend sleeping or lying down with your feet up? Be sure to include the time you spend sleeping or trying to sleep at night, resting or napping, and lying down watching TV. Sleeping time was then subtracted for total sitting time. Demonstrated test-re-test reliability in a subsample.</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Respondents were asked to classify the duration, frequency, and intensity of walking and other recreational activities. MVPA was measured using the WHI physical activity questionnaire, which has acceptable validity and reliability.</w:t>
            </w:r>
          </w:p>
        </w:tc>
      </w:tr>
      <w:tr w:rsidR="00FF227B" w:rsidRPr="009448E0" w:rsidTr="00890252">
        <w:trPr>
          <w:cnfStyle w:val="000000100000"/>
          <w:trHeight w:val="1350"/>
        </w:trPr>
        <w:tc>
          <w:tcPr>
            <w:cnfStyle w:val="001000000000"/>
            <w:tcW w:w="0" w:type="auto"/>
            <w:hideMark/>
          </w:tcPr>
          <w:p w:rsidR="00FF227B" w:rsidRPr="009448E0" w:rsidRDefault="00FF227B" w:rsidP="00890252">
            <w:pPr>
              <w:spacing w:line="240" w:lineRule="auto"/>
              <w:rPr>
                <w:rFonts w:eastAsia="Times New Roman" w:cs="Arial"/>
                <w:color w:val="000000"/>
                <w:sz w:val="18"/>
                <w:szCs w:val="18"/>
                <w:lang w:eastAsia="en-GB"/>
              </w:rPr>
            </w:pPr>
            <w:r w:rsidRPr="009448E0">
              <w:rPr>
                <w:sz w:val="18"/>
                <w:szCs w:val="18"/>
              </w:rPr>
              <w:t>Dunstan et al (2010)</w:t>
            </w:r>
            <w:r>
              <w:rPr>
                <w:noProof/>
                <w:sz w:val="18"/>
                <w:szCs w:val="18"/>
              </w:rPr>
              <w:t>(49)</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 xml:space="preserve">All eligible adults were recruited within 42 randomly selected urban and nonurban areas based on Census Collector Districts, 6 in each of the Australian states and in the Northern Territory of Australia. </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 xml:space="preserve">Excluded those with history of </w:t>
            </w:r>
            <w:proofErr w:type="gramStart"/>
            <w:r w:rsidRPr="009448E0">
              <w:rPr>
                <w:rFonts w:eastAsia="Times New Roman" w:cs="Arial"/>
                <w:color w:val="000000"/>
                <w:sz w:val="18"/>
                <w:szCs w:val="18"/>
                <w:lang w:eastAsia="en-GB"/>
              </w:rPr>
              <w:t>CVD(</w:t>
            </w:r>
            <w:proofErr w:type="gramEnd"/>
            <w:r w:rsidRPr="009448E0">
              <w:rPr>
                <w:rFonts w:eastAsia="Times New Roman" w:cs="Arial"/>
                <w:color w:val="000000"/>
                <w:sz w:val="18"/>
                <w:szCs w:val="18"/>
                <w:lang w:eastAsia="en-GB"/>
              </w:rPr>
              <w:t>CHD or stroke) and those who were pregnant. Adjusted for hypertension, plasma cholesterol, serum triglycerides and glucose tolerance.</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1</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 xml:space="preserve">National Death Index using ICD. </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Total time spent watching television or videos in the previous 7 days. Validated survey and reliable measure. Three categories used.</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Exercise time was measured by the Active Australia questionnaire, which asks respondents about their participation in predominantly leisure-time exercise. "This measure has been shown to provide a reliable and valid estimate of exercise among adults".</w:t>
            </w:r>
          </w:p>
        </w:tc>
      </w:tr>
      <w:tr w:rsidR="00FF227B" w:rsidRPr="009448E0" w:rsidTr="00890252">
        <w:trPr>
          <w:trHeight w:val="1680"/>
        </w:trPr>
        <w:tc>
          <w:tcPr>
            <w:cnfStyle w:val="001000000000"/>
            <w:tcW w:w="1090" w:type="dxa"/>
            <w:hideMark/>
          </w:tcPr>
          <w:p w:rsidR="00FF227B" w:rsidRPr="009448E0" w:rsidRDefault="00FF227B" w:rsidP="00890252">
            <w:pPr>
              <w:spacing w:line="240" w:lineRule="auto"/>
              <w:rPr>
                <w:rFonts w:eastAsia="Times New Roman" w:cs="Times New Roman"/>
                <w:color w:val="000000"/>
                <w:sz w:val="18"/>
                <w:szCs w:val="18"/>
                <w:lang w:eastAsia="en-GB"/>
              </w:rPr>
            </w:pPr>
            <w:proofErr w:type="spellStart"/>
            <w:r w:rsidRPr="009448E0">
              <w:rPr>
                <w:sz w:val="18"/>
                <w:szCs w:val="18"/>
              </w:rPr>
              <w:lastRenderedPageBreak/>
              <w:t>Keadle</w:t>
            </w:r>
            <w:proofErr w:type="spellEnd"/>
            <w:r w:rsidRPr="009448E0">
              <w:rPr>
                <w:sz w:val="18"/>
                <w:szCs w:val="18"/>
              </w:rPr>
              <w:t xml:space="preserve"> et al (2015)</w:t>
            </w:r>
            <w:r>
              <w:rPr>
                <w:noProof/>
                <w:sz w:val="18"/>
                <w:szCs w:val="18"/>
              </w:rPr>
              <w:t>(57)</w:t>
            </w:r>
          </w:p>
        </w:tc>
        <w:tc>
          <w:tcPr>
            <w:tcW w:w="2111" w:type="dxa"/>
            <w:hideMark/>
          </w:tcPr>
          <w:p w:rsidR="00FF227B" w:rsidRPr="009448E0" w:rsidRDefault="00FF227B" w:rsidP="00890252">
            <w:pPr>
              <w:spacing w:line="240" w:lineRule="auto"/>
              <w:cnfStyle w:val="000000000000"/>
              <w:rPr>
                <w:rFonts w:eastAsia="Times New Roman" w:cs="Times New Roman"/>
                <w:color w:val="000000"/>
                <w:sz w:val="18"/>
                <w:szCs w:val="18"/>
                <w:lang w:eastAsia="en-GB"/>
              </w:rPr>
            </w:pPr>
            <w:r w:rsidRPr="009448E0">
              <w:rPr>
                <w:rFonts w:eastAsia="Times New Roman" w:cs="Times New Roman"/>
                <w:color w:val="000000"/>
                <w:sz w:val="18"/>
                <w:szCs w:val="18"/>
                <w:lang w:eastAsia="en-GB"/>
              </w:rPr>
              <w:t>3.5 million questionnaires to current members of the AARP (formally the American Association of Retired Persons), aged 50-71 years, and who resided in one of six US states or in two metropolitan areas who replied to a questionnaire.</w:t>
            </w:r>
          </w:p>
        </w:tc>
        <w:tc>
          <w:tcPr>
            <w:tcW w:w="2265" w:type="dxa"/>
            <w:hideMark/>
          </w:tcPr>
          <w:p w:rsidR="00FF227B" w:rsidRPr="009448E0" w:rsidRDefault="00FF227B" w:rsidP="00890252">
            <w:pPr>
              <w:spacing w:line="240" w:lineRule="auto"/>
              <w:cnfStyle w:val="000000000000"/>
              <w:rPr>
                <w:rFonts w:eastAsia="Times New Roman" w:cs="Times New Roman"/>
                <w:color w:val="000000"/>
                <w:sz w:val="18"/>
                <w:szCs w:val="18"/>
                <w:lang w:eastAsia="en-GB"/>
              </w:rPr>
            </w:pPr>
            <w:r w:rsidRPr="009448E0">
              <w:rPr>
                <w:rFonts w:eastAsia="Times New Roman" w:cs="Times New Roman"/>
                <w:color w:val="000000"/>
                <w:sz w:val="18"/>
                <w:szCs w:val="18"/>
                <w:lang w:eastAsia="en-GB"/>
              </w:rPr>
              <w:t>Excluded if had a history of cancer, heart disease, stroke, or emphysema. Additionally adjusted for health status.</w:t>
            </w:r>
          </w:p>
        </w:tc>
        <w:tc>
          <w:tcPr>
            <w:tcW w:w="1773" w:type="dxa"/>
            <w:hideMark/>
          </w:tcPr>
          <w:p w:rsidR="00FF227B" w:rsidRPr="009448E0" w:rsidRDefault="00FF227B" w:rsidP="00890252">
            <w:pPr>
              <w:spacing w:line="240" w:lineRule="auto"/>
              <w:cnfStyle w:val="000000000000"/>
              <w:rPr>
                <w:rFonts w:eastAsia="Times New Roman" w:cs="Times New Roman"/>
                <w:bCs/>
                <w:color w:val="000000"/>
                <w:sz w:val="18"/>
                <w:szCs w:val="18"/>
                <w:lang w:eastAsia="en-GB"/>
              </w:rPr>
            </w:pPr>
            <w:r w:rsidRPr="009448E0">
              <w:rPr>
                <w:rFonts w:eastAsia="Times New Roman" w:cs="Times New Roman"/>
                <w:bCs/>
                <w:color w:val="000000"/>
                <w:sz w:val="18"/>
                <w:szCs w:val="18"/>
                <w:lang w:eastAsia="en-GB"/>
              </w:rPr>
              <w:t>3</w:t>
            </w:r>
          </w:p>
        </w:tc>
        <w:tc>
          <w:tcPr>
            <w:tcW w:w="1811" w:type="dxa"/>
            <w:hideMark/>
          </w:tcPr>
          <w:p w:rsidR="00FF227B" w:rsidRPr="009448E0" w:rsidRDefault="00FF227B" w:rsidP="00890252">
            <w:pPr>
              <w:spacing w:line="240" w:lineRule="auto"/>
              <w:cnfStyle w:val="000000000000"/>
              <w:rPr>
                <w:rFonts w:eastAsia="Times New Roman" w:cs="Times New Roman"/>
                <w:color w:val="000000"/>
                <w:sz w:val="18"/>
                <w:szCs w:val="18"/>
                <w:lang w:eastAsia="en-GB"/>
              </w:rPr>
            </w:pPr>
            <w:r w:rsidRPr="009448E0">
              <w:rPr>
                <w:rFonts w:eastAsia="Times New Roman" w:cs="Times New Roman"/>
                <w:color w:val="000000"/>
                <w:sz w:val="18"/>
                <w:szCs w:val="18"/>
                <w:lang w:eastAsia="en-GB"/>
              </w:rPr>
              <w:t>Vital status ascertainment was performed by annual linkage of the cohort to the Social Security Administration Death Master File. Verification of vital status and cause of death were obtained by searches of the National Death Index (NDI) Plus and was available for &gt;95% of the cohort.</w:t>
            </w:r>
          </w:p>
        </w:tc>
        <w:tc>
          <w:tcPr>
            <w:tcW w:w="3831" w:type="dxa"/>
            <w:hideMark/>
          </w:tcPr>
          <w:p w:rsidR="00FF227B" w:rsidRPr="009448E0" w:rsidRDefault="00FF227B" w:rsidP="00890252">
            <w:pPr>
              <w:spacing w:line="240" w:lineRule="auto"/>
              <w:cnfStyle w:val="000000000000"/>
              <w:rPr>
                <w:rFonts w:eastAsia="Times New Roman" w:cs="Times New Roman"/>
                <w:color w:val="000000"/>
                <w:sz w:val="18"/>
                <w:szCs w:val="18"/>
                <w:lang w:eastAsia="en-GB"/>
              </w:rPr>
            </w:pPr>
            <w:r w:rsidRPr="009448E0">
              <w:rPr>
                <w:rFonts w:eastAsia="Times New Roman" w:cs="Times New Roman"/>
                <w:color w:val="000000"/>
                <w:sz w:val="18"/>
                <w:szCs w:val="18"/>
                <w:lang w:eastAsia="en-GB"/>
              </w:rPr>
              <w:t>During a typical 24-hour period over the past 12 months, how much time did you spend watching television or videos?'</w:t>
            </w:r>
          </w:p>
        </w:tc>
        <w:tc>
          <w:tcPr>
            <w:tcW w:w="2733" w:type="dxa"/>
            <w:hideMark/>
          </w:tcPr>
          <w:p w:rsidR="00FF227B" w:rsidRPr="009448E0" w:rsidRDefault="00FF227B" w:rsidP="00890252">
            <w:pPr>
              <w:spacing w:line="240" w:lineRule="auto"/>
              <w:cnfStyle w:val="000000000000"/>
              <w:rPr>
                <w:rFonts w:eastAsia="Times New Roman" w:cs="Times New Roman"/>
                <w:color w:val="000000"/>
                <w:sz w:val="18"/>
                <w:szCs w:val="18"/>
                <w:lang w:eastAsia="en-GB"/>
              </w:rPr>
            </w:pPr>
            <w:r w:rsidRPr="009448E0">
              <w:rPr>
                <w:rFonts w:eastAsia="Times New Roman" w:cs="Times New Roman"/>
                <w:color w:val="000000"/>
                <w:sz w:val="18"/>
                <w:szCs w:val="18"/>
                <w:lang w:eastAsia="en-GB"/>
              </w:rPr>
              <w:t xml:space="preserve">During a typical month in the last 12 months how often did you </w:t>
            </w:r>
            <w:proofErr w:type="spellStart"/>
            <w:r w:rsidRPr="009448E0">
              <w:rPr>
                <w:rFonts w:eastAsia="Times New Roman" w:cs="Times New Roman"/>
                <w:color w:val="000000"/>
                <w:sz w:val="18"/>
                <w:szCs w:val="18"/>
                <w:lang w:eastAsia="en-GB"/>
              </w:rPr>
              <w:t>particpant</w:t>
            </w:r>
            <w:proofErr w:type="spellEnd"/>
            <w:r w:rsidRPr="009448E0">
              <w:rPr>
                <w:rFonts w:eastAsia="Times New Roman" w:cs="Times New Roman"/>
                <w:color w:val="000000"/>
                <w:sz w:val="18"/>
                <w:szCs w:val="18"/>
                <w:lang w:eastAsia="en-GB"/>
              </w:rPr>
              <w:t xml:space="preserve"> in physical activity at work or at home, including exercise, sports, and activities such as carrying heavy loads? (never or rarely, 1, 1–3, 4–7, &gt;7 h/wk)</w:t>
            </w:r>
          </w:p>
        </w:tc>
      </w:tr>
      <w:tr w:rsidR="00FF227B" w:rsidRPr="009448E0" w:rsidTr="00890252">
        <w:trPr>
          <w:cnfStyle w:val="000000100000"/>
          <w:trHeight w:val="2250"/>
        </w:trPr>
        <w:tc>
          <w:tcPr>
            <w:cnfStyle w:val="001000000000"/>
            <w:tcW w:w="0" w:type="auto"/>
            <w:hideMark/>
          </w:tcPr>
          <w:p w:rsidR="00FF227B" w:rsidRPr="009448E0" w:rsidRDefault="00FF227B" w:rsidP="00890252">
            <w:pPr>
              <w:spacing w:line="240" w:lineRule="auto"/>
              <w:rPr>
                <w:rFonts w:eastAsia="Times New Roman" w:cs="Arial"/>
                <w:color w:val="000000"/>
                <w:sz w:val="18"/>
                <w:szCs w:val="18"/>
                <w:lang w:eastAsia="en-GB"/>
              </w:rPr>
            </w:pPr>
            <w:r w:rsidRPr="009448E0">
              <w:rPr>
                <w:sz w:val="18"/>
                <w:szCs w:val="18"/>
              </w:rPr>
              <w:t>Matthews et al (2012)</w:t>
            </w:r>
            <w:r>
              <w:rPr>
                <w:noProof/>
                <w:sz w:val="18"/>
                <w:szCs w:val="18"/>
              </w:rPr>
              <w:t>(61)</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AARP (over 50s membership group) members aged 50–71 y living in California, Florida, Louisiana, New Jersey, North Carolina, Pennsylvania, Atlanta, or Detroit responded to a questionnaire</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Excluded those with colon or breast cancer, prior heart disease, cancers other than BCC, stroke, emphysema, rated their health state poor, those who were not filling in their own questionnaire.</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3</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Vital status was determined through linkage with the Social Security Administration Death Master File, and determinations of vital status and causes of death were made by using the National Death Index</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“During a typical 24-hour period over the past 12 months, how much time did you spend watching television or videos? (None, 1, 1–2, 3–4, 5–6, 7–8, or 9+ h/d).” To assess overall sitting, participants were asked, “During a typical 24-hour period over the past 12 months, how much time did you spend sitting? (3, 3–4, 5–6, 7–8, or 9+ h/d).”Not evaluated but questions similar to those that have been noted to have acceptable validity.</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Leisure time MVPA levels was assessed by asking the average time spent each week in activities of at least moderate intensity in the past 10 years (4 categories). Not evaluated but questions similar to those that have been noted to have acceptable validity.</w:t>
            </w:r>
          </w:p>
        </w:tc>
      </w:tr>
      <w:tr w:rsidR="00FF227B" w:rsidRPr="009448E0" w:rsidTr="00890252">
        <w:trPr>
          <w:trHeight w:val="450"/>
        </w:trPr>
        <w:tc>
          <w:tcPr>
            <w:cnfStyle w:val="001000000000"/>
            <w:tcW w:w="0" w:type="auto"/>
            <w:hideMark/>
          </w:tcPr>
          <w:p w:rsidR="00FF227B" w:rsidRPr="009448E0" w:rsidRDefault="00FF227B" w:rsidP="00890252">
            <w:pPr>
              <w:spacing w:line="240" w:lineRule="auto"/>
              <w:rPr>
                <w:rFonts w:eastAsia="Times New Roman" w:cs="Arial"/>
                <w:color w:val="000000"/>
                <w:sz w:val="18"/>
                <w:szCs w:val="18"/>
                <w:lang w:eastAsia="en-GB"/>
              </w:rPr>
            </w:pPr>
            <w:r w:rsidRPr="009448E0">
              <w:rPr>
                <w:sz w:val="18"/>
                <w:szCs w:val="18"/>
              </w:rPr>
              <w:t>Suzuki et al (2007)</w:t>
            </w:r>
            <w:r>
              <w:rPr>
                <w:noProof/>
                <w:sz w:val="18"/>
                <w:szCs w:val="18"/>
              </w:rPr>
              <w:t>(70)</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Those who attended screening and who replied to questionnaire</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3</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Cancer registration system</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Hours of TV watching/day</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Sports participation(h/week), and time of walking (h/week)</w:t>
            </w:r>
          </w:p>
        </w:tc>
      </w:tr>
      <w:tr w:rsidR="00FF227B" w:rsidRPr="009448E0" w:rsidTr="00890252">
        <w:trPr>
          <w:cnfStyle w:val="000000100000"/>
          <w:trHeight w:val="2475"/>
        </w:trPr>
        <w:tc>
          <w:tcPr>
            <w:cnfStyle w:val="001000000000"/>
            <w:tcW w:w="0" w:type="auto"/>
            <w:hideMark/>
          </w:tcPr>
          <w:p w:rsidR="00FF227B" w:rsidRPr="009448E0" w:rsidRDefault="00FF227B" w:rsidP="00890252">
            <w:pPr>
              <w:spacing w:line="240" w:lineRule="auto"/>
              <w:rPr>
                <w:rFonts w:eastAsia="Times New Roman" w:cs="Arial"/>
                <w:color w:val="000000"/>
                <w:sz w:val="18"/>
                <w:szCs w:val="18"/>
                <w:lang w:eastAsia="en-GB"/>
              </w:rPr>
            </w:pPr>
            <w:r w:rsidRPr="009448E0">
              <w:rPr>
                <w:sz w:val="18"/>
                <w:szCs w:val="18"/>
              </w:rPr>
              <w:t>Wijndaele et al (2011)</w:t>
            </w:r>
            <w:r>
              <w:rPr>
                <w:noProof/>
                <w:sz w:val="18"/>
                <w:szCs w:val="18"/>
              </w:rPr>
              <w:t>(48)</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 xml:space="preserve">Between 1993 and 1997, a cohort of 25 633 residents of Norfolk (UK), in the age range of 45–79  years and recruited via participating general practitioners, agreed to participate. </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Self reported history of stroke, MI, other vascular disease and or cancer were excluded. Adjustment for history of diabetes, family history of CVD and family history of cancer.</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2</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Office of National Statistics and death certificates.</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EPAQ2 - Time spent watching television and video (hours/week) was calculated based on responses to four questions about watching before and after six pm at week- and weekend-days. The EPAQ2 scored high for repeatability, both in terms of television viewing time and PAEE. It is valid for ranking individuals, as shown by comparison against minute-by-minute heart rate monitoring and maximal aerobic capacity (VO2max). In the current study, television viewing time was expressed in hours/day.</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Participants completed the EPAQ2, providing information on their physical (in</w:t>
            </w:r>
            <w:proofErr w:type="gramStart"/>
            <w:r w:rsidRPr="009448E0">
              <w:rPr>
                <w:rFonts w:eastAsia="Times New Roman" w:cs="Arial"/>
                <w:color w:val="000000"/>
                <w:sz w:val="18"/>
                <w:szCs w:val="18"/>
                <w:lang w:eastAsia="en-GB"/>
              </w:rPr>
              <w:t>)activity</w:t>
            </w:r>
            <w:proofErr w:type="gramEnd"/>
            <w:r w:rsidRPr="009448E0">
              <w:rPr>
                <w:rFonts w:eastAsia="Times New Roman" w:cs="Arial"/>
                <w:color w:val="000000"/>
                <w:sz w:val="18"/>
                <w:szCs w:val="18"/>
                <w:lang w:eastAsia="en-GB"/>
              </w:rPr>
              <w:t xml:space="preserve"> in a disaggregated way (in and around the home, to work, at work and during leisure time), using the past year as a reference frame. Total PAEE (</w:t>
            </w:r>
            <w:proofErr w:type="spellStart"/>
            <w:r w:rsidRPr="009448E0">
              <w:rPr>
                <w:rFonts w:eastAsia="Times New Roman" w:cs="Arial"/>
                <w:color w:val="000000"/>
                <w:sz w:val="18"/>
                <w:szCs w:val="18"/>
                <w:lang w:eastAsia="en-GB"/>
              </w:rPr>
              <w:t>METh</w:t>
            </w:r>
            <w:proofErr w:type="spellEnd"/>
            <w:r w:rsidRPr="009448E0">
              <w:rPr>
                <w:rFonts w:eastAsia="Times New Roman" w:cs="Arial"/>
                <w:color w:val="000000"/>
                <w:sz w:val="18"/>
                <w:szCs w:val="18"/>
                <w:lang w:eastAsia="en-GB"/>
              </w:rPr>
              <w:t>/week) was calculated by summing energy expenditure of the different (mutually exclusive) domains. Repeatability has been shown to be high and validity in ranking individuals has been demonstrated.</w:t>
            </w:r>
          </w:p>
        </w:tc>
      </w:tr>
      <w:tr w:rsidR="00FF227B" w:rsidRPr="009448E0" w:rsidTr="00890252">
        <w:trPr>
          <w:trHeight w:val="450"/>
        </w:trPr>
        <w:tc>
          <w:tcPr>
            <w:cnfStyle w:val="001000000000"/>
            <w:tcW w:w="0" w:type="auto"/>
            <w:gridSpan w:val="7"/>
            <w:hideMark/>
          </w:tcPr>
          <w:p w:rsidR="00FF227B" w:rsidRPr="009448E0" w:rsidRDefault="00FF227B" w:rsidP="00890252">
            <w:pPr>
              <w:pBdr>
                <w:top w:val="single" w:sz="4" w:space="10" w:color="5B9BD5" w:themeColor="accent1"/>
                <w:bottom w:val="single" w:sz="4" w:space="10" w:color="5B9BD5" w:themeColor="accent1"/>
              </w:pBdr>
              <w:spacing w:before="360" w:after="360" w:line="240" w:lineRule="auto"/>
              <w:ind w:left="864" w:right="864"/>
              <w:jc w:val="center"/>
              <w:rPr>
                <w:rFonts w:ascii="Times New Roman" w:hAnsi="Times New Roman" w:cs="Times New Roman"/>
                <w:i/>
                <w:iCs/>
                <w:color w:val="5B9BD5" w:themeColor="accent1"/>
                <w:sz w:val="20"/>
                <w:szCs w:val="20"/>
                <w:lang w:eastAsia="en-GB"/>
              </w:rPr>
            </w:pPr>
            <w:r w:rsidRPr="009448E0">
              <w:rPr>
                <w:i/>
                <w:iCs/>
                <w:color w:val="5B9BD5" w:themeColor="accent1"/>
              </w:rPr>
              <w:lastRenderedPageBreak/>
              <w:t>Incident Type 2 diabetes</w:t>
            </w:r>
          </w:p>
        </w:tc>
      </w:tr>
      <w:tr w:rsidR="00FF227B" w:rsidRPr="009448E0" w:rsidTr="00890252">
        <w:trPr>
          <w:cnfStyle w:val="000000100000"/>
          <w:trHeight w:val="2640"/>
        </w:trPr>
        <w:tc>
          <w:tcPr>
            <w:cnfStyle w:val="001000000000"/>
            <w:tcW w:w="1090" w:type="dxa"/>
            <w:hideMark/>
          </w:tcPr>
          <w:p w:rsidR="00FF227B" w:rsidRPr="009448E0" w:rsidRDefault="00FF227B" w:rsidP="00890252">
            <w:pPr>
              <w:spacing w:line="240" w:lineRule="auto"/>
              <w:rPr>
                <w:rFonts w:eastAsia="Times New Roman" w:cs="Times New Roman"/>
                <w:color w:val="000000"/>
                <w:sz w:val="18"/>
                <w:szCs w:val="18"/>
                <w:lang w:eastAsia="en-GB"/>
              </w:rPr>
            </w:pPr>
            <w:r w:rsidRPr="009448E0">
              <w:rPr>
                <w:sz w:val="18"/>
                <w:szCs w:val="18"/>
              </w:rPr>
              <w:t>Ding et al (2015)</w:t>
            </w:r>
            <w:r>
              <w:rPr>
                <w:noProof/>
                <w:sz w:val="18"/>
                <w:szCs w:val="18"/>
              </w:rPr>
              <w:t>(41)</w:t>
            </w:r>
          </w:p>
        </w:tc>
        <w:tc>
          <w:tcPr>
            <w:tcW w:w="2111" w:type="dxa"/>
            <w:hideMark/>
          </w:tcPr>
          <w:p w:rsidR="00FF227B" w:rsidRPr="009448E0" w:rsidRDefault="00FF227B" w:rsidP="00890252">
            <w:pPr>
              <w:spacing w:line="240" w:lineRule="auto"/>
              <w:cnfStyle w:val="000000100000"/>
              <w:rPr>
                <w:rFonts w:eastAsia="Times New Roman" w:cs="Times New Roman"/>
                <w:color w:val="000000"/>
                <w:sz w:val="18"/>
                <w:szCs w:val="18"/>
                <w:lang w:eastAsia="en-GB"/>
              </w:rPr>
            </w:pPr>
            <w:r w:rsidRPr="009448E0">
              <w:rPr>
                <w:rFonts w:eastAsia="Times New Roman" w:cs="Times New Roman"/>
                <w:color w:val="000000"/>
                <w:sz w:val="18"/>
                <w:szCs w:val="18"/>
                <w:lang w:eastAsia="en-GB"/>
              </w:rPr>
              <w:t>Participants were randomly sampled from the Medicare Australia (national health insurance) database, which included information on all Australian citizens and permanent residents, and some temporary residents and refugees who were residents of NSW</w:t>
            </w:r>
          </w:p>
        </w:tc>
        <w:tc>
          <w:tcPr>
            <w:tcW w:w="2265" w:type="dxa"/>
            <w:hideMark/>
          </w:tcPr>
          <w:p w:rsidR="00FF227B" w:rsidRPr="009448E0" w:rsidRDefault="00FF227B" w:rsidP="00890252">
            <w:pPr>
              <w:spacing w:line="240" w:lineRule="auto"/>
              <w:cnfStyle w:val="000000100000"/>
              <w:rPr>
                <w:rFonts w:eastAsia="Times New Roman" w:cs="Times New Roman"/>
                <w:color w:val="000000"/>
                <w:sz w:val="18"/>
                <w:szCs w:val="18"/>
                <w:lang w:eastAsia="en-GB"/>
              </w:rPr>
            </w:pPr>
            <w:r w:rsidRPr="009448E0">
              <w:rPr>
                <w:rFonts w:eastAsia="Times New Roman" w:cs="Times New Roman"/>
                <w:color w:val="000000"/>
                <w:sz w:val="18"/>
                <w:szCs w:val="18"/>
                <w:lang w:eastAsia="en-GB"/>
              </w:rPr>
              <w:t>Participants with diabetes were excluded. Additional adjustment was made for CVD, hypertension, high cholesterol, family history of T2DM.</w:t>
            </w:r>
          </w:p>
        </w:tc>
        <w:tc>
          <w:tcPr>
            <w:tcW w:w="1773" w:type="dxa"/>
            <w:hideMark/>
          </w:tcPr>
          <w:p w:rsidR="00FF227B" w:rsidRPr="009448E0" w:rsidRDefault="00FF227B" w:rsidP="00890252">
            <w:pPr>
              <w:spacing w:line="240" w:lineRule="auto"/>
              <w:cnfStyle w:val="000000100000"/>
              <w:rPr>
                <w:rFonts w:eastAsia="Times New Roman" w:cs="Times New Roman"/>
                <w:color w:val="000000"/>
                <w:sz w:val="18"/>
                <w:szCs w:val="18"/>
                <w:lang w:eastAsia="en-GB"/>
              </w:rPr>
            </w:pPr>
            <w:r w:rsidRPr="009448E0">
              <w:rPr>
                <w:rFonts w:eastAsia="Times New Roman" w:cs="Times New Roman"/>
                <w:color w:val="000000"/>
                <w:sz w:val="18"/>
                <w:szCs w:val="18"/>
                <w:lang w:eastAsia="en-GB"/>
              </w:rPr>
              <w:t>1</w:t>
            </w:r>
          </w:p>
        </w:tc>
        <w:tc>
          <w:tcPr>
            <w:tcW w:w="1811" w:type="dxa"/>
            <w:hideMark/>
          </w:tcPr>
          <w:p w:rsidR="00FF227B" w:rsidRPr="009448E0" w:rsidRDefault="00FF227B" w:rsidP="00890252">
            <w:pPr>
              <w:spacing w:line="240" w:lineRule="auto"/>
              <w:cnfStyle w:val="000000100000"/>
              <w:rPr>
                <w:rFonts w:eastAsia="Times New Roman" w:cs="Times New Roman"/>
                <w:color w:val="000000"/>
                <w:sz w:val="18"/>
                <w:szCs w:val="18"/>
                <w:lang w:eastAsia="en-GB"/>
              </w:rPr>
            </w:pPr>
            <w:r w:rsidRPr="009448E0">
              <w:rPr>
                <w:rFonts w:eastAsia="Times New Roman" w:cs="Times New Roman"/>
                <w:color w:val="000000"/>
                <w:sz w:val="18"/>
                <w:szCs w:val="18"/>
                <w:lang w:eastAsia="en-GB"/>
              </w:rPr>
              <w:t>Respondents were asked whether they had ever been told by a doctor that they had diabetes and, if so, their age or year of diagnosis. A previous study from the same cohort validated the self-report of diabetes against linked administrative data on hospitalization, medical services, and pharmaceuticals and found that reported diagnosis of diabetes in the 45 and Up study had high sensitivity and specificity</w:t>
            </w:r>
          </w:p>
        </w:tc>
        <w:tc>
          <w:tcPr>
            <w:tcW w:w="3831" w:type="dxa"/>
            <w:hideMark/>
          </w:tcPr>
          <w:p w:rsidR="00FF227B" w:rsidRPr="009448E0" w:rsidRDefault="00FF227B" w:rsidP="00890252">
            <w:pPr>
              <w:spacing w:line="240" w:lineRule="auto"/>
              <w:cnfStyle w:val="000000100000"/>
              <w:rPr>
                <w:rFonts w:eastAsia="Times New Roman" w:cs="Times New Roman"/>
                <w:color w:val="000000"/>
                <w:sz w:val="18"/>
                <w:szCs w:val="18"/>
                <w:lang w:eastAsia="en-GB"/>
              </w:rPr>
            </w:pPr>
            <w:r w:rsidRPr="009448E0">
              <w:rPr>
                <w:rFonts w:eastAsia="Times New Roman" w:cs="Times New Roman"/>
                <w:color w:val="000000"/>
                <w:sz w:val="18"/>
                <w:szCs w:val="18"/>
                <w:lang w:eastAsia="en-GB"/>
              </w:rPr>
              <w:t>Daily sitting and sleeping time were measured using separate single-item questions about the total number of hours spent sitting/sleeping in the last 24 h.</w:t>
            </w:r>
          </w:p>
        </w:tc>
        <w:tc>
          <w:tcPr>
            <w:tcW w:w="2733" w:type="dxa"/>
            <w:hideMark/>
          </w:tcPr>
          <w:p w:rsidR="00FF227B" w:rsidRPr="009448E0" w:rsidRDefault="00FF227B" w:rsidP="00890252">
            <w:pPr>
              <w:spacing w:line="240" w:lineRule="auto"/>
              <w:cnfStyle w:val="000000100000"/>
              <w:rPr>
                <w:rFonts w:eastAsia="Times New Roman" w:cs="Times New Roman"/>
                <w:color w:val="000000"/>
                <w:sz w:val="18"/>
                <w:szCs w:val="18"/>
                <w:lang w:eastAsia="en-GB"/>
              </w:rPr>
            </w:pPr>
            <w:r w:rsidRPr="009448E0">
              <w:rPr>
                <w:rFonts w:eastAsia="Times New Roman" w:cs="Times New Roman"/>
                <w:color w:val="000000"/>
                <w:sz w:val="18"/>
                <w:szCs w:val="18"/>
                <w:lang w:eastAsia="en-GB"/>
              </w:rPr>
              <w:t>Physical activity was assessed using the validated Active Australia Survey and the total physical activity volume was calculated as the sum of time spent in walking, moderate-intensity physical activity, and vigorous- intensity physical activity (weighted by a factor of two) in the past week. Total weekly physical activity time was categorized using cut-off points of 150 and 300 min to reflect the current physical activity guidelines for Australia.</w:t>
            </w:r>
          </w:p>
        </w:tc>
      </w:tr>
      <w:tr w:rsidR="00FF227B" w:rsidRPr="009448E0" w:rsidTr="00890252">
        <w:trPr>
          <w:trHeight w:val="1271"/>
        </w:trPr>
        <w:tc>
          <w:tcPr>
            <w:cnfStyle w:val="001000000000"/>
            <w:tcW w:w="1090" w:type="dxa"/>
            <w:hideMark/>
          </w:tcPr>
          <w:p w:rsidR="00FF227B" w:rsidRPr="009448E0" w:rsidRDefault="00FF227B" w:rsidP="00890252">
            <w:pPr>
              <w:spacing w:line="240" w:lineRule="auto"/>
              <w:rPr>
                <w:rFonts w:eastAsia="Times New Roman" w:cs="Times New Roman"/>
                <w:color w:val="000000"/>
                <w:sz w:val="18"/>
                <w:szCs w:val="18"/>
                <w:lang w:eastAsia="en-GB"/>
              </w:rPr>
            </w:pPr>
            <w:r w:rsidRPr="009448E0">
              <w:rPr>
                <w:sz w:val="18"/>
                <w:szCs w:val="18"/>
              </w:rPr>
              <w:t>Gibbs et at (2015)</w:t>
            </w:r>
            <w:r>
              <w:rPr>
                <w:noProof/>
                <w:sz w:val="18"/>
                <w:szCs w:val="18"/>
              </w:rPr>
              <w:t>(43)</w:t>
            </w:r>
          </w:p>
        </w:tc>
        <w:tc>
          <w:tcPr>
            <w:tcW w:w="2111" w:type="dxa"/>
            <w:hideMark/>
          </w:tcPr>
          <w:p w:rsidR="00FF227B" w:rsidRPr="009448E0" w:rsidRDefault="00FF227B" w:rsidP="00890252">
            <w:pPr>
              <w:spacing w:line="240" w:lineRule="auto"/>
              <w:cnfStyle w:val="000000000000"/>
              <w:rPr>
                <w:rFonts w:eastAsia="Times New Roman" w:cs="Times New Roman"/>
                <w:color w:val="000000"/>
                <w:sz w:val="18"/>
                <w:szCs w:val="18"/>
                <w:lang w:eastAsia="en-GB"/>
              </w:rPr>
            </w:pPr>
            <w:r w:rsidRPr="009448E0">
              <w:rPr>
                <w:rFonts w:eastAsia="Times New Roman" w:cs="Times New Roman"/>
                <w:color w:val="000000"/>
                <w:sz w:val="18"/>
                <w:szCs w:val="18"/>
                <w:lang w:eastAsia="en-GB"/>
              </w:rPr>
              <w:t xml:space="preserve">Aimed to get as representative sample as possible of underlying populations of black and white adults aged 18-30 stratified on a number of variables. Recruited by telephone. The sample for the current report includes participants enrolled in the CARDIA year 20 Fitness </w:t>
            </w:r>
            <w:proofErr w:type="spellStart"/>
            <w:r w:rsidRPr="009448E0">
              <w:rPr>
                <w:rFonts w:eastAsia="Times New Roman" w:cs="Times New Roman"/>
                <w:color w:val="000000"/>
                <w:sz w:val="18"/>
                <w:szCs w:val="18"/>
                <w:lang w:eastAsia="en-GB"/>
              </w:rPr>
              <w:t>substudy</w:t>
            </w:r>
            <w:proofErr w:type="spellEnd"/>
            <w:r w:rsidRPr="009448E0">
              <w:rPr>
                <w:rFonts w:eastAsia="Times New Roman" w:cs="Times New Roman"/>
                <w:color w:val="000000"/>
                <w:sz w:val="18"/>
                <w:szCs w:val="18"/>
                <w:lang w:eastAsia="en-GB"/>
              </w:rPr>
              <w:t xml:space="preserve"> and who had &gt;4 days with &gt;10 h of </w:t>
            </w:r>
            <w:proofErr w:type="spellStart"/>
            <w:r w:rsidRPr="009448E0">
              <w:rPr>
                <w:rFonts w:eastAsia="Times New Roman" w:cs="Times New Roman"/>
                <w:color w:val="000000"/>
                <w:sz w:val="18"/>
                <w:szCs w:val="18"/>
                <w:lang w:eastAsia="en-GB"/>
              </w:rPr>
              <w:t>accelerometry</w:t>
            </w:r>
            <w:proofErr w:type="spellEnd"/>
            <w:r w:rsidRPr="009448E0">
              <w:rPr>
                <w:rFonts w:eastAsia="Times New Roman" w:cs="Times New Roman"/>
                <w:color w:val="000000"/>
                <w:sz w:val="18"/>
                <w:szCs w:val="18"/>
                <w:lang w:eastAsia="en-GB"/>
              </w:rPr>
              <w:t xml:space="preserve"> data.</w:t>
            </w:r>
          </w:p>
        </w:tc>
        <w:tc>
          <w:tcPr>
            <w:tcW w:w="2265" w:type="dxa"/>
            <w:hideMark/>
          </w:tcPr>
          <w:p w:rsidR="00FF227B" w:rsidRPr="009448E0" w:rsidRDefault="00FF227B" w:rsidP="00890252">
            <w:pPr>
              <w:spacing w:line="240" w:lineRule="auto"/>
              <w:cnfStyle w:val="000000000000"/>
              <w:rPr>
                <w:rFonts w:eastAsia="Times New Roman" w:cs="Times New Roman"/>
                <w:color w:val="000000"/>
                <w:sz w:val="18"/>
                <w:szCs w:val="18"/>
                <w:lang w:eastAsia="en-GB"/>
              </w:rPr>
            </w:pPr>
            <w:r w:rsidRPr="009448E0">
              <w:rPr>
                <w:rFonts w:eastAsia="Times New Roman" w:cs="Times New Roman"/>
                <w:color w:val="000000"/>
                <w:sz w:val="18"/>
                <w:szCs w:val="18"/>
                <w:lang w:eastAsia="en-GB"/>
              </w:rPr>
              <w:t>Those with baseline diabetes were excluded from this analysis.</w:t>
            </w:r>
          </w:p>
        </w:tc>
        <w:tc>
          <w:tcPr>
            <w:tcW w:w="1773" w:type="dxa"/>
            <w:hideMark/>
          </w:tcPr>
          <w:p w:rsidR="00FF227B" w:rsidRPr="009448E0" w:rsidRDefault="00FF227B" w:rsidP="00890252">
            <w:pPr>
              <w:spacing w:line="240" w:lineRule="auto"/>
              <w:cnfStyle w:val="000000000000"/>
              <w:rPr>
                <w:rFonts w:eastAsia="Times New Roman" w:cs="Times New Roman"/>
                <w:color w:val="000000"/>
                <w:sz w:val="18"/>
                <w:szCs w:val="18"/>
                <w:lang w:eastAsia="en-GB"/>
              </w:rPr>
            </w:pPr>
            <w:r w:rsidRPr="009448E0">
              <w:rPr>
                <w:rFonts w:eastAsia="Times New Roman" w:cs="Times New Roman"/>
                <w:color w:val="000000"/>
                <w:sz w:val="18"/>
                <w:szCs w:val="18"/>
                <w:lang w:eastAsia="en-GB"/>
              </w:rPr>
              <w:t>1</w:t>
            </w:r>
          </w:p>
        </w:tc>
        <w:tc>
          <w:tcPr>
            <w:tcW w:w="1811" w:type="dxa"/>
            <w:hideMark/>
          </w:tcPr>
          <w:p w:rsidR="00FF227B" w:rsidRPr="009448E0" w:rsidRDefault="00FF227B" w:rsidP="00890252">
            <w:pPr>
              <w:spacing w:line="240" w:lineRule="auto"/>
              <w:cnfStyle w:val="000000000000"/>
              <w:rPr>
                <w:rFonts w:eastAsia="Times New Roman" w:cs="Times New Roman"/>
                <w:color w:val="000000"/>
                <w:sz w:val="18"/>
                <w:szCs w:val="18"/>
                <w:lang w:eastAsia="en-GB"/>
              </w:rPr>
            </w:pPr>
            <w:r w:rsidRPr="009448E0">
              <w:rPr>
                <w:rFonts w:eastAsia="Times New Roman" w:cs="Times New Roman"/>
                <w:color w:val="000000"/>
                <w:sz w:val="18"/>
                <w:szCs w:val="18"/>
                <w:lang w:eastAsia="en-GB"/>
              </w:rPr>
              <w:t>Diabetes was defined as either self-reported use of diabetes medications, HbA1c ≥6.5% (≥47.5 mmol/mol), fasting glucose ≥126 mg/</w:t>
            </w:r>
            <w:proofErr w:type="spellStart"/>
            <w:r w:rsidRPr="009448E0">
              <w:rPr>
                <w:rFonts w:eastAsia="Times New Roman" w:cs="Times New Roman"/>
                <w:color w:val="000000"/>
                <w:sz w:val="18"/>
                <w:szCs w:val="18"/>
                <w:lang w:eastAsia="en-GB"/>
              </w:rPr>
              <w:t>dL</w:t>
            </w:r>
            <w:proofErr w:type="spellEnd"/>
            <w:r w:rsidRPr="009448E0">
              <w:rPr>
                <w:rFonts w:eastAsia="Times New Roman" w:cs="Times New Roman"/>
                <w:color w:val="000000"/>
                <w:sz w:val="18"/>
                <w:szCs w:val="18"/>
                <w:lang w:eastAsia="en-GB"/>
              </w:rPr>
              <w:t>, or 2-h glucose ≥200 mg/</w:t>
            </w:r>
            <w:proofErr w:type="spellStart"/>
            <w:r w:rsidRPr="009448E0">
              <w:rPr>
                <w:rFonts w:eastAsia="Times New Roman" w:cs="Times New Roman"/>
                <w:color w:val="000000"/>
                <w:sz w:val="18"/>
                <w:szCs w:val="18"/>
                <w:lang w:eastAsia="en-GB"/>
              </w:rPr>
              <w:t>dL</w:t>
            </w:r>
            <w:proofErr w:type="spellEnd"/>
            <w:r w:rsidRPr="009448E0">
              <w:rPr>
                <w:rFonts w:eastAsia="Times New Roman" w:cs="Times New Roman"/>
                <w:color w:val="000000"/>
                <w:sz w:val="18"/>
                <w:szCs w:val="18"/>
                <w:lang w:eastAsia="en-GB"/>
              </w:rPr>
              <w:t xml:space="preserve">. Although we did not have information on type of diabetes, only n = 9 and n = 11 cases of diabetes were present at the </w:t>
            </w:r>
            <w:r w:rsidRPr="009448E0">
              <w:rPr>
                <w:rFonts w:eastAsia="Times New Roman" w:cs="Times New Roman"/>
                <w:color w:val="000000"/>
                <w:sz w:val="18"/>
                <w:szCs w:val="18"/>
                <w:lang w:eastAsia="en-GB"/>
              </w:rPr>
              <w:lastRenderedPageBreak/>
              <w:t>CARDIA exams occurring when subjects were 18–30 and 23–35 years old, suggesting few (≈5% of total cases) might have had type 1 diabetes.</w:t>
            </w:r>
          </w:p>
        </w:tc>
        <w:tc>
          <w:tcPr>
            <w:tcW w:w="3831" w:type="dxa"/>
            <w:hideMark/>
          </w:tcPr>
          <w:p w:rsidR="00FF227B" w:rsidRPr="009448E0" w:rsidRDefault="00FF227B" w:rsidP="00890252">
            <w:pPr>
              <w:spacing w:line="240" w:lineRule="auto"/>
              <w:cnfStyle w:val="000000000000"/>
              <w:rPr>
                <w:rFonts w:eastAsia="Times New Roman" w:cs="Times New Roman"/>
                <w:color w:val="000000"/>
                <w:sz w:val="18"/>
                <w:szCs w:val="18"/>
                <w:lang w:eastAsia="en-GB"/>
              </w:rPr>
            </w:pPr>
            <w:r w:rsidRPr="009448E0">
              <w:rPr>
                <w:rFonts w:eastAsia="Times New Roman" w:cs="Times New Roman"/>
                <w:color w:val="000000"/>
                <w:sz w:val="18"/>
                <w:szCs w:val="18"/>
                <w:lang w:eastAsia="en-GB"/>
              </w:rPr>
              <w:lastRenderedPageBreak/>
              <w:t>NHANES cut points were used to classify total duration of sedentary behaviour (0–99 cpm).</w:t>
            </w:r>
          </w:p>
        </w:tc>
        <w:tc>
          <w:tcPr>
            <w:tcW w:w="2733" w:type="dxa"/>
            <w:hideMark/>
          </w:tcPr>
          <w:p w:rsidR="00FF227B" w:rsidRPr="009448E0" w:rsidRDefault="00FF227B" w:rsidP="00890252">
            <w:pPr>
              <w:spacing w:line="240" w:lineRule="auto"/>
              <w:cnfStyle w:val="000000000000"/>
              <w:rPr>
                <w:rFonts w:eastAsia="Times New Roman" w:cs="Times New Roman"/>
                <w:color w:val="000000"/>
                <w:sz w:val="18"/>
                <w:szCs w:val="18"/>
                <w:lang w:eastAsia="en-GB"/>
              </w:rPr>
            </w:pPr>
            <w:r w:rsidRPr="009448E0">
              <w:rPr>
                <w:rFonts w:eastAsia="Times New Roman" w:cs="Times New Roman"/>
                <w:color w:val="000000"/>
                <w:sz w:val="18"/>
                <w:szCs w:val="18"/>
                <w:lang w:eastAsia="en-GB"/>
              </w:rPr>
              <w:t>National Health and Nutrition Examination Survey (NHANES) cut points were used to classify total duration of MVPA (≥2,020 cpm).</w:t>
            </w:r>
          </w:p>
        </w:tc>
      </w:tr>
      <w:tr w:rsidR="00FF227B" w:rsidRPr="009448E0" w:rsidTr="00890252">
        <w:trPr>
          <w:cnfStyle w:val="000000100000"/>
          <w:trHeight w:val="137"/>
        </w:trPr>
        <w:tc>
          <w:tcPr>
            <w:cnfStyle w:val="001000000000"/>
            <w:tcW w:w="1090" w:type="dxa"/>
            <w:hideMark/>
          </w:tcPr>
          <w:p w:rsidR="00FF227B" w:rsidRPr="009448E0" w:rsidRDefault="00FF227B" w:rsidP="00890252">
            <w:pPr>
              <w:spacing w:line="240" w:lineRule="auto"/>
              <w:rPr>
                <w:rFonts w:eastAsia="Times New Roman" w:cs="Times New Roman"/>
                <w:color w:val="000000"/>
                <w:sz w:val="18"/>
                <w:szCs w:val="18"/>
                <w:lang w:eastAsia="en-GB"/>
              </w:rPr>
            </w:pPr>
            <w:proofErr w:type="spellStart"/>
            <w:r w:rsidRPr="009448E0">
              <w:rPr>
                <w:sz w:val="18"/>
                <w:szCs w:val="18"/>
              </w:rPr>
              <w:lastRenderedPageBreak/>
              <w:t>Manini</w:t>
            </w:r>
            <w:proofErr w:type="spellEnd"/>
            <w:r w:rsidRPr="009448E0">
              <w:rPr>
                <w:sz w:val="18"/>
                <w:szCs w:val="18"/>
              </w:rPr>
              <w:t xml:space="preserve"> et al (2014)</w:t>
            </w:r>
            <w:r>
              <w:rPr>
                <w:noProof/>
                <w:sz w:val="18"/>
                <w:szCs w:val="18"/>
              </w:rPr>
              <w:t>(59)</w:t>
            </w:r>
          </w:p>
        </w:tc>
        <w:tc>
          <w:tcPr>
            <w:tcW w:w="2111" w:type="dxa"/>
            <w:hideMark/>
          </w:tcPr>
          <w:p w:rsidR="00FF227B" w:rsidRPr="009448E0" w:rsidRDefault="00FF227B" w:rsidP="00890252">
            <w:pPr>
              <w:spacing w:line="240" w:lineRule="auto"/>
              <w:cnfStyle w:val="000000100000"/>
              <w:rPr>
                <w:rFonts w:eastAsia="Times New Roman" w:cs="Times New Roman"/>
                <w:color w:val="000000"/>
                <w:sz w:val="18"/>
                <w:szCs w:val="18"/>
                <w:lang w:eastAsia="en-GB"/>
              </w:rPr>
            </w:pPr>
            <w:r w:rsidRPr="009448E0">
              <w:rPr>
                <w:rFonts w:eastAsia="Times New Roman" w:cs="Times New Roman"/>
                <w:color w:val="000000"/>
                <w:sz w:val="18"/>
                <w:szCs w:val="18"/>
                <w:lang w:eastAsia="en-GB"/>
              </w:rPr>
              <w:t>Postmenopausal women aged between 50 and 79 years at clinical centres across the US, through several recruitment activities (e.g., mass mailings, community presentations) and included 93,676 racially and ethnically diverse postmenopausal women aged 50–79 years at baseline.</w:t>
            </w:r>
          </w:p>
        </w:tc>
        <w:tc>
          <w:tcPr>
            <w:tcW w:w="2265" w:type="dxa"/>
            <w:hideMark/>
          </w:tcPr>
          <w:p w:rsidR="00FF227B" w:rsidRPr="009448E0" w:rsidRDefault="00FF227B" w:rsidP="00890252">
            <w:pPr>
              <w:spacing w:line="240" w:lineRule="auto"/>
              <w:cnfStyle w:val="000000100000"/>
              <w:rPr>
                <w:rFonts w:eastAsia="Times New Roman" w:cs="Times New Roman"/>
                <w:color w:val="000000"/>
                <w:sz w:val="18"/>
                <w:szCs w:val="18"/>
                <w:lang w:eastAsia="en-GB"/>
              </w:rPr>
            </w:pPr>
            <w:r w:rsidRPr="009448E0">
              <w:rPr>
                <w:rFonts w:eastAsia="Times New Roman" w:cs="Times New Roman"/>
                <w:color w:val="000000"/>
                <w:sz w:val="18"/>
                <w:szCs w:val="18"/>
                <w:lang w:eastAsia="en-GB"/>
              </w:rPr>
              <w:t>Any medical condition associated with predicted survival of less than 3 years, alcoholism, mental illness, or dementia.</w:t>
            </w:r>
          </w:p>
        </w:tc>
        <w:tc>
          <w:tcPr>
            <w:tcW w:w="1773" w:type="dxa"/>
            <w:hideMark/>
          </w:tcPr>
          <w:p w:rsidR="00FF227B" w:rsidRPr="009448E0" w:rsidRDefault="00FF227B" w:rsidP="00890252">
            <w:pPr>
              <w:spacing w:line="240" w:lineRule="auto"/>
              <w:cnfStyle w:val="000000100000"/>
              <w:rPr>
                <w:rFonts w:eastAsia="Times New Roman" w:cs="Times New Roman"/>
                <w:color w:val="000000"/>
                <w:sz w:val="18"/>
                <w:szCs w:val="18"/>
                <w:lang w:eastAsia="en-GB"/>
              </w:rPr>
            </w:pPr>
            <w:r w:rsidRPr="009448E0">
              <w:rPr>
                <w:rFonts w:eastAsia="Times New Roman" w:cs="Times New Roman"/>
                <w:color w:val="000000"/>
                <w:sz w:val="18"/>
                <w:szCs w:val="18"/>
                <w:lang w:eastAsia="en-GB"/>
              </w:rPr>
              <w:t>2</w:t>
            </w:r>
          </w:p>
        </w:tc>
        <w:tc>
          <w:tcPr>
            <w:tcW w:w="1811" w:type="dxa"/>
            <w:hideMark/>
          </w:tcPr>
          <w:p w:rsidR="00FF227B" w:rsidRPr="009448E0" w:rsidRDefault="00FF227B" w:rsidP="00890252">
            <w:pPr>
              <w:spacing w:line="240" w:lineRule="auto"/>
              <w:cnfStyle w:val="000000100000"/>
              <w:rPr>
                <w:rFonts w:eastAsia="Times New Roman" w:cs="Times New Roman"/>
                <w:color w:val="000000"/>
                <w:sz w:val="18"/>
                <w:szCs w:val="18"/>
                <w:lang w:eastAsia="en-GB"/>
              </w:rPr>
            </w:pPr>
            <w:r w:rsidRPr="009448E0">
              <w:rPr>
                <w:rFonts w:eastAsia="Times New Roman" w:cs="Times New Roman"/>
                <w:color w:val="000000"/>
                <w:sz w:val="18"/>
                <w:szCs w:val="18"/>
                <w:lang w:eastAsia="en-GB"/>
              </w:rPr>
              <w:t>Incident-treated diabetes was ascertained and defined as the self-report of a new physician diagnosis of diabetes treated with oral pills or insulin. Unfortunately, information about diabetes without treatment for pills or insulin (i.e., with lifestyle intervention) was not ascertained at follow-up evaluations. Self-reported incident treated diabetes was found to be concordant with medication inventory in 72% of women in the WHI OS study, while &gt; 99% of those women not reporting diabetes had no evidence of antidiabetic medications or insulin in their medication inventory.</w:t>
            </w:r>
          </w:p>
        </w:tc>
        <w:tc>
          <w:tcPr>
            <w:tcW w:w="3831" w:type="dxa"/>
            <w:hideMark/>
          </w:tcPr>
          <w:p w:rsidR="00FF227B" w:rsidRPr="009448E0" w:rsidRDefault="00FF227B" w:rsidP="00890252">
            <w:pPr>
              <w:spacing w:line="240" w:lineRule="auto"/>
              <w:cnfStyle w:val="000000100000"/>
              <w:rPr>
                <w:rFonts w:eastAsia="Times New Roman" w:cs="Times New Roman"/>
                <w:color w:val="000000"/>
                <w:sz w:val="18"/>
                <w:szCs w:val="18"/>
                <w:lang w:eastAsia="en-GB"/>
              </w:rPr>
            </w:pPr>
            <w:r w:rsidRPr="009448E0">
              <w:rPr>
                <w:rFonts w:eastAsia="Times New Roman" w:cs="Times New Roman"/>
                <w:color w:val="000000"/>
                <w:sz w:val="18"/>
                <w:szCs w:val="18"/>
                <w:lang w:eastAsia="en-GB"/>
              </w:rPr>
              <w:t>Amount of daily sitting time was measured by asking, “During a usual day and night, about how many hours do you spend sitting? Be sure to include the time you spend sitting at work, sitting at the table eating, driving or riding in a car or bus, and sitting up watching TV or talking.” Eight categories were available for women to choose: &lt;4, 4–5, 6–7, 8–9, 10–11, 12–13, 14–15, and &gt;16 hours. These categories were collapsed to four (&lt;7, 8–11, 12–15, and 16 or more hours) categories</w:t>
            </w:r>
          </w:p>
        </w:tc>
        <w:tc>
          <w:tcPr>
            <w:tcW w:w="2733" w:type="dxa"/>
            <w:hideMark/>
          </w:tcPr>
          <w:p w:rsidR="00FF227B" w:rsidRPr="009448E0" w:rsidRDefault="00FF227B" w:rsidP="00890252">
            <w:pPr>
              <w:spacing w:line="240" w:lineRule="auto"/>
              <w:cnfStyle w:val="000000100000"/>
              <w:rPr>
                <w:rFonts w:eastAsia="Times New Roman" w:cs="Times New Roman"/>
                <w:color w:val="000000"/>
                <w:sz w:val="18"/>
                <w:szCs w:val="18"/>
                <w:lang w:eastAsia="en-GB"/>
              </w:rPr>
            </w:pPr>
            <w:r w:rsidRPr="009448E0">
              <w:rPr>
                <w:rFonts w:eastAsia="Times New Roman" w:cs="Times New Roman"/>
                <w:color w:val="000000"/>
                <w:sz w:val="18"/>
                <w:szCs w:val="18"/>
                <w:lang w:eastAsia="en-GB"/>
              </w:rPr>
              <w:t>MVPA was determined by using a detailed questionnaire on the frequency and duration of walking and other types of activity. Walking was assessed by a series of questions about the frequency of walks outside the home for &gt; 10 minutes without stopping. The average duration of each walk and the usual walking pace was recorded. Vigorous exercise was defined as that in which “you work up a sweat and your heart beats fast,” and examples included aerobics, aerobic dancing, jogging, tennis, and swimming laps. Moderate exercise was defined as that which was “not exhausting,” and examples included biking outdoors, using an exercise machine (such as a stationary bicycle or a treadmill), calisthenics, easy swimming, and popular or folk dancing. Total weekly physical activity energy expenditure was calculated as the summed product of frequency, duration, and intensity for reported activities. The duration, in minutes per week performing MVPA, was categorized into three levels: none (0 minutes), 1–149 minutes per week and &lt;150 min/week.</w:t>
            </w:r>
          </w:p>
        </w:tc>
      </w:tr>
      <w:tr w:rsidR="00FF227B" w:rsidRPr="009448E0" w:rsidTr="00890252">
        <w:trPr>
          <w:trHeight w:val="3840"/>
        </w:trPr>
        <w:tc>
          <w:tcPr>
            <w:cnfStyle w:val="001000000000"/>
            <w:tcW w:w="1090" w:type="dxa"/>
            <w:hideMark/>
          </w:tcPr>
          <w:p w:rsidR="00FF227B" w:rsidRPr="009448E0" w:rsidRDefault="00FF227B" w:rsidP="00890252">
            <w:pPr>
              <w:spacing w:line="240" w:lineRule="auto"/>
              <w:rPr>
                <w:rFonts w:eastAsia="Times New Roman" w:cs="Times New Roman"/>
                <w:color w:val="000000"/>
                <w:sz w:val="18"/>
                <w:szCs w:val="18"/>
                <w:lang w:eastAsia="en-GB"/>
              </w:rPr>
            </w:pPr>
            <w:r w:rsidRPr="009448E0">
              <w:rPr>
                <w:sz w:val="18"/>
                <w:szCs w:val="18"/>
              </w:rPr>
              <w:lastRenderedPageBreak/>
              <w:t>Petersen et al (2016)</w:t>
            </w:r>
            <w:r>
              <w:rPr>
                <w:noProof/>
                <w:sz w:val="18"/>
                <w:szCs w:val="18"/>
              </w:rPr>
              <w:t>(65)</w:t>
            </w:r>
          </w:p>
        </w:tc>
        <w:tc>
          <w:tcPr>
            <w:tcW w:w="2111" w:type="dxa"/>
            <w:hideMark/>
          </w:tcPr>
          <w:p w:rsidR="00FF227B" w:rsidRPr="009448E0" w:rsidRDefault="00FF227B" w:rsidP="00890252">
            <w:pPr>
              <w:spacing w:line="240" w:lineRule="auto"/>
              <w:cnfStyle w:val="000000000000"/>
              <w:rPr>
                <w:rFonts w:eastAsia="Times New Roman" w:cs="Times New Roman"/>
                <w:color w:val="000000"/>
                <w:sz w:val="18"/>
                <w:szCs w:val="18"/>
                <w:lang w:eastAsia="en-GB"/>
              </w:rPr>
            </w:pPr>
            <w:r w:rsidRPr="009448E0">
              <w:rPr>
                <w:rFonts w:eastAsia="Times New Roman" w:cs="Times New Roman"/>
                <w:color w:val="000000"/>
                <w:sz w:val="18"/>
                <w:szCs w:val="18"/>
                <w:lang w:eastAsia="en-GB"/>
              </w:rPr>
              <w:t>In 13 municipalities, all citizens aged 18 years or more were invited to participate by letter. No reminders were sent. The study was conducted over a period of 1 month in each municipality. A total of 538 163 persons were invited, and 76 478 persons participated (response rate: 14%).</w:t>
            </w:r>
          </w:p>
        </w:tc>
        <w:tc>
          <w:tcPr>
            <w:tcW w:w="2265" w:type="dxa"/>
            <w:hideMark/>
          </w:tcPr>
          <w:p w:rsidR="00FF227B" w:rsidRPr="009448E0" w:rsidRDefault="00FF227B" w:rsidP="00890252">
            <w:pPr>
              <w:spacing w:line="240" w:lineRule="auto"/>
              <w:cnfStyle w:val="000000000000"/>
              <w:rPr>
                <w:rFonts w:eastAsia="Times New Roman" w:cs="Times New Roman"/>
                <w:color w:val="000000"/>
                <w:sz w:val="18"/>
                <w:szCs w:val="18"/>
                <w:lang w:eastAsia="en-GB"/>
              </w:rPr>
            </w:pPr>
            <w:r w:rsidRPr="009448E0">
              <w:rPr>
                <w:rFonts w:eastAsia="Times New Roman" w:cs="Times New Roman"/>
                <w:color w:val="000000"/>
                <w:sz w:val="18"/>
                <w:szCs w:val="18"/>
                <w:lang w:eastAsia="en-GB"/>
              </w:rPr>
              <w:t>Previous diabetes, patients with poor self-reported health were excluded from this analysis. Adjustment was made for hypertension and previous CVD.</w:t>
            </w:r>
          </w:p>
        </w:tc>
        <w:tc>
          <w:tcPr>
            <w:tcW w:w="1773" w:type="dxa"/>
            <w:hideMark/>
          </w:tcPr>
          <w:p w:rsidR="00FF227B" w:rsidRPr="009448E0" w:rsidRDefault="00FF227B" w:rsidP="00890252">
            <w:pPr>
              <w:spacing w:line="240" w:lineRule="auto"/>
              <w:cnfStyle w:val="000000000000"/>
              <w:rPr>
                <w:rFonts w:eastAsia="Times New Roman" w:cs="Times New Roman"/>
                <w:color w:val="000000"/>
                <w:sz w:val="18"/>
                <w:szCs w:val="18"/>
                <w:lang w:eastAsia="en-GB"/>
              </w:rPr>
            </w:pPr>
            <w:r w:rsidRPr="009448E0">
              <w:rPr>
                <w:rFonts w:eastAsia="Times New Roman" w:cs="Times New Roman"/>
                <w:color w:val="000000"/>
                <w:sz w:val="18"/>
                <w:szCs w:val="18"/>
                <w:lang w:eastAsia="en-GB"/>
              </w:rPr>
              <w:t>1</w:t>
            </w:r>
          </w:p>
        </w:tc>
        <w:tc>
          <w:tcPr>
            <w:tcW w:w="1811" w:type="dxa"/>
            <w:hideMark/>
          </w:tcPr>
          <w:p w:rsidR="00FF227B" w:rsidRPr="009448E0" w:rsidRDefault="00FF227B" w:rsidP="00890252">
            <w:pPr>
              <w:spacing w:line="240" w:lineRule="auto"/>
              <w:cnfStyle w:val="000000000000"/>
              <w:rPr>
                <w:rFonts w:eastAsia="Times New Roman" w:cs="Times New Roman"/>
                <w:color w:val="000000"/>
                <w:sz w:val="18"/>
                <w:szCs w:val="18"/>
                <w:lang w:eastAsia="en-GB"/>
              </w:rPr>
            </w:pPr>
            <w:r w:rsidRPr="009448E0">
              <w:rPr>
                <w:rFonts w:eastAsia="Times New Roman" w:cs="Times New Roman"/>
                <w:color w:val="000000"/>
                <w:sz w:val="18"/>
                <w:szCs w:val="18"/>
                <w:lang w:eastAsia="en-GB"/>
              </w:rPr>
              <w:t>Diabetes was defined if one of the following criteria was fulfilled: hospitalisation with a diagnosis of diabetes (ICD 8: 249 or 250, ICD-10: DE10–14, DH 36.0 or DO24 (excluding D=24.4)); registration of chiropody (coded for diabetes) in the National Health Insurance Service Registry; frequent measurements of blood glucose either at least five times within 365 days, or at least two annual measurements of glucose during a 5-year period (registered in the National Health Insurance Service Registry); or prescription of insulin or oral antidiabetic medication at least twice (from the Register of Medicinal Product Statistics)</w:t>
            </w:r>
          </w:p>
        </w:tc>
        <w:tc>
          <w:tcPr>
            <w:tcW w:w="3831" w:type="dxa"/>
            <w:hideMark/>
          </w:tcPr>
          <w:p w:rsidR="00FF227B" w:rsidRPr="009448E0" w:rsidRDefault="00FF227B" w:rsidP="00890252">
            <w:pPr>
              <w:spacing w:line="240" w:lineRule="auto"/>
              <w:cnfStyle w:val="000000000000"/>
              <w:rPr>
                <w:rFonts w:eastAsia="Times New Roman" w:cs="Times New Roman"/>
                <w:color w:val="000000"/>
                <w:sz w:val="18"/>
                <w:szCs w:val="18"/>
                <w:lang w:eastAsia="en-GB"/>
              </w:rPr>
            </w:pPr>
            <w:r w:rsidRPr="009448E0">
              <w:rPr>
                <w:rFonts w:eastAsia="Times New Roman" w:cs="Times New Roman"/>
                <w:color w:val="000000"/>
                <w:sz w:val="18"/>
                <w:szCs w:val="18"/>
                <w:lang w:eastAsia="en-GB"/>
              </w:rPr>
              <w:t xml:space="preserve">During the past 7 days, how much time did you usually spend sitting during work and leisure time on: (1) a weekday? </w:t>
            </w:r>
            <w:proofErr w:type="gramStart"/>
            <w:r w:rsidRPr="009448E0">
              <w:rPr>
                <w:rFonts w:eastAsia="Times New Roman" w:cs="Times New Roman"/>
                <w:color w:val="000000"/>
                <w:sz w:val="18"/>
                <w:szCs w:val="18"/>
                <w:lang w:eastAsia="en-GB"/>
              </w:rPr>
              <w:t>and</w:t>
            </w:r>
            <w:proofErr w:type="gramEnd"/>
            <w:r w:rsidRPr="009448E0">
              <w:rPr>
                <w:rFonts w:eastAsia="Times New Roman" w:cs="Times New Roman"/>
                <w:color w:val="000000"/>
                <w:sz w:val="18"/>
                <w:szCs w:val="18"/>
                <w:lang w:eastAsia="en-GB"/>
              </w:rPr>
              <w:t xml:space="preserve"> (2) a weekend day?'</w:t>
            </w:r>
          </w:p>
        </w:tc>
        <w:tc>
          <w:tcPr>
            <w:tcW w:w="2733" w:type="dxa"/>
            <w:hideMark/>
          </w:tcPr>
          <w:p w:rsidR="00FF227B" w:rsidRPr="009448E0" w:rsidRDefault="00FF227B" w:rsidP="00890252">
            <w:pPr>
              <w:spacing w:line="240" w:lineRule="auto"/>
              <w:cnfStyle w:val="000000000000"/>
              <w:rPr>
                <w:rFonts w:eastAsia="Times New Roman" w:cs="Times New Roman"/>
                <w:color w:val="000000"/>
                <w:sz w:val="18"/>
                <w:szCs w:val="18"/>
                <w:lang w:eastAsia="en-GB"/>
              </w:rPr>
            </w:pPr>
            <w:r w:rsidRPr="009448E0">
              <w:rPr>
                <w:rFonts w:eastAsia="Times New Roman" w:cs="Times New Roman"/>
                <w:color w:val="000000"/>
                <w:sz w:val="18"/>
                <w:szCs w:val="18"/>
                <w:lang w:eastAsia="en-GB"/>
              </w:rPr>
              <w:t>In all four domains, work, transport, housework/gardening and leisure time, participants were asked to indicate the amount of time spent on physical activity during the previous 7 days in relation to frequency (days/week), duration (in h and min) and level of intensity (walking, moderate and vigorous). Time spent in MVPAs in leisure time and for transportation was categorised into four categories: &lt;30, 30 to &lt;150, 150 to &lt;300 and 300+ min/week. In addition to MVPA, time spent in walking activities was estimated but this was not used as a covariate in the sedentary analysis.</w:t>
            </w:r>
          </w:p>
        </w:tc>
      </w:tr>
      <w:tr w:rsidR="00FF227B" w:rsidRPr="009448E0" w:rsidTr="00890252">
        <w:trPr>
          <w:cnfStyle w:val="000000100000"/>
          <w:trHeight w:val="3360"/>
        </w:trPr>
        <w:tc>
          <w:tcPr>
            <w:cnfStyle w:val="001000000000"/>
            <w:tcW w:w="1090" w:type="dxa"/>
            <w:hideMark/>
          </w:tcPr>
          <w:p w:rsidR="00FF227B" w:rsidRPr="009448E0" w:rsidRDefault="00FF227B" w:rsidP="00890252">
            <w:pPr>
              <w:spacing w:line="240" w:lineRule="auto"/>
              <w:rPr>
                <w:rFonts w:eastAsia="Times New Roman" w:cs="Times New Roman"/>
                <w:color w:val="000000"/>
                <w:sz w:val="18"/>
                <w:szCs w:val="18"/>
                <w:lang w:eastAsia="en-GB"/>
              </w:rPr>
            </w:pPr>
            <w:proofErr w:type="spellStart"/>
            <w:r w:rsidRPr="009448E0">
              <w:rPr>
                <w:sz w:val="18"/>
                <w:szCs w:val="18"/>
              </w:rPr>
              <w:lastRenderedPageBreak/>
              <w:t>Anjana</w:t>
            </w:r>
            <w:proofErr w:type="spellEnd"/>
            <w:r w:rsidRPr="009448E0">
              <w:rPr>
                <w:sz w:val="18"/>
                <w:szCs w:val="18"/>
              </w:rPr>
              <w:t xml:space="preserve"> et al (2015)</w:t>
            </w:r>
            <w:r>
              <w:rPr>
                <w:noProof/>
                <w:sz w:val="18"/>
                <w:szCs w:val="18"/>
              </w:rPr>
              <w:t>(38)</w:t>
            </w:r>
          </w:p>
        </w:tc>
        <w:tc>
          <w:tcPr>
            <w:tcW w:w="2111" w:type="dxa"/>
            <w:hideMark/>
          </w:tcPr>
          <w:p w:rsidR="00FF227B" w:rsidRPr="009448E0" w:rsidRDefault="00FF227B" w:rsidP="00890252">
            <w:pPr>
              <w:spacing w:line="240" w:lineRule="auto"/>
              <w:cnfStyle w:val="000000100000"/>
              <w:rPr>
                <w:rFonts w:eastAsia="Times New Roman" w:cs="Times New Roman"/>
                <w:color w:val="000000"/>
                <w:sz w:val="18"/>
                <w:szCs w:val="18"/>
                <w:lang w:eastAsia="en-GB"/>
              </w:rPr>
            </w:pPr>
            <w:r w:rsidRPr="009448E0">
              <w:rPr>
                <w:rFonts w:eastAsia="Times New Roman" w:cs="Times New Roman"/>
                <w:color w:val="000000"/>
                <w:sz w:val="18"/>
                <w:szCs w:val="18"/>
                <w:lang w:eastAsia="en-GB"/>
              </w:rPr>
              <w:t>Individuals of both genders aged 20 years and above, representative of Chennai. A total of 26,000 adults were recruited from 46 Corporation wards using the systematic sampling technique.</w:t>
            </w:r>
          </w:p>
        </w:tc>
        <w:tc>
          <w:tcPr>
            <w:tcW w:w="2265" w:type="dxa"/>
            <w:hideMark/>
          </w:tcPr>
          <w:p w:rsidR="00FF227B" w:rsidRPr="009448E0" w:rsidRDefault="00FF227B" w:rsidP="00890252">
            <w:pPr>
              <w:spacing w:line="240" w:lineRule="auto"/>
              <w:cnfStyle w:val="000000100000"/>
              <w:rPr>
                <w:rFonts w:eastAsia="Times New Roman" w:cs="Times New Roman"/>
                <w:color w:val="000000"/>
                <w:sz w:val="18"/>
                <w:szCs w:val="18"/>
                <w:lang w:eastAsia="en-GB"/>
              </w:rPr>
            </w:pPr>
            <w:r w:rsidRPr="009448E0">
              <w:rPr>
                <w:rFonts w:eastAsia="Times New Roman" w:cs="Times New Roman"/>
                <w:color w:val="000000"/>
                <w:sz w:val="18"/>
                <w:szCs w:val="18"/>
                <w:lang w:eastAsia="en-GB"/>
              </w:rPr>
              <w:t>Those with diabetes at baseline were excluded. Adjusted for family history of diabetes.</w:t>
            </w:r>
          </w:p>
        </w:tc>
        <w:tc>
          <w:tcPr>
            <w:tcW w:w="1773" w:type="dxa"/>
            <w:hideMark/>
          </w:tcPr>
          <w:p w:rsidR="00FF227B" w:rsidRPr="009448E0" w:rsidRDefault="00FF227B" w:rsidP="00890252">
            <w:pPr>
              <w:spacing w:line="240" w:lineRule="auto"/>
              <w:cnfStyle w:val="000000100000"/>
              <w:rPr>
                <w:rFonts w:eastAsia="Times New Roman" w:cs="Times New Roman"/>
                <w:color w:val="000000"/>
                <w:sz w:val="18"/>
                <w:szCs w:val="18"/>
                <w:lang w:eastAsia="en-GB"/>
              </w:rPr>
            </w:pPr>
            <w:r w:rsidRPr="009448E0">
              <w:rPr>
                <w:rFonts w:eastAsia="Times New Roman" w:cs="Times New Roman"/>
                <w:color w:val="000000"/>
                <w:sz w:val="18"/>
                <w:szCs w:val="18"/>
                <w:lang w:eastAsia="en-GB"/>
              </w:rPr>
              <w:t>1</w:t>
            </w:r>
          </w:p>
        </w:tc>
        <w:tc>
          <w:tcPr>
            <w:tcW w:w="1811" w:type="dxa"/>
            <w:hideMark/>
          </w:tcPr>
          <w:p w:rsidR="00FF227B" w:rsidRPr="009448E0" w:rsidRDefault="00FF227B" w:rsidP="00890252">
            <w:pPr>
              <w:spacing w:line="240" w:lineRule="auto"/>
              <w:cnfStyle w:val="000000100000"/>
              <w:rPr>
                <w:rFonts w:eastAsia="Times New Roman" w:cs="Times New Roman"/>
                <w:color w:val="000000"/>
                <w:sz w:val="18"/>
                <w:szCs w:val="18"/>
                <w:lang w:eastAsia="en-GB"/>
              </w:rPr>
            </w:pPr>
            <w:r w:rsidRPr="009448E0">
              <w:rPr>
                <w:rFonts w:eastAsia="Times New Roman" w:cs="Times New Roman"/>
                <w:color w:val="000000"/>
                <w:sz w:val="18"/>
                <w:szCs w:val="18"/>
                <w:lang w:eastAsia="en-GB"/>
              </w:rPr>
              <w:t>History of diabetes during the follow-up period was obtained through self-report and checked against medical records for validity. At the follow-up visit, a venous blood sample was drawn in the fasting state and 2 h after oral administration of 75 g of glucose to ascertain the diabetes status of all individuals who did not report a history of development of diabetes in the interim. Diabetes was diagnosed if the venous plasma glucose 2 h after oral glucose load was 11.1 mmol/l (≥200 mg/dl) and/or the fasting plasma glucose levels were 7.0 mmol/l (≥126 mg/dl)</w:t>
            </w:r>
          </w:p>
        </w:tc>
        <w:tc>
          <w:tcPr>
            <w:tcW w:w="3831" w:type="dxa"/>
            <w:hideMark/>
          </w:tcPr>
          <w:p w:rsidR="00FF227B" w:rsidRPr="009448E0" w:rsidRDefault="00FF227B" w:rsidP="00890252">
            <w:pPr>
              <w:spacing w:line="240" w:lineRule="auto"/>
              <w:cnfStyle w:val="000000100000"/>
              <w:rPr>
                <w:rFonts w:eastAsia="Times New Roman" w:cs="Times New Roman"/>
                <w:color w:val="000000"/>
                <w:sz w:val="18"/>
                <w:szCs w:val="18"/>
                <w:lang w:eastAsia="en-GB"/>
              </w:rPr>
            </w:pPr>
            <w:r w:rsidRPr="009448E0">
              <w:rPr>
                <w:rFonts w:eastAsia="Times New Roman" w:cs="Times New Roman"/>
                <w:color w:val="000000"/>
                <w:sz w:val="18"/>
                <w:szCs w:val="18"/>
                <w:lang w:eastAsia="en-GB"/>
              </w:rPr>
              <w:t>Questionnaire ascertained TV viewing was represented in quartiles of hours/day</w:t>
            </w:r>
          </w:p>
        </w:tc>
        <w:tc>
          <w:tcPr>
            <w:tcW w:w="2733" w:type="dxa"/>
            <w:hideMark/>
          </w:tcPr>
          <w:p w:rsidR="00FF227B" w:rsidRPr="009448E0" w:rsidRDefault="00FF227B" w:rsidP="00890252">
            <w:pPr>
              <w:spacing w:line="240" w:lineRule="auto"/>
              <w:cnfStyle w:val="000000100000"/>
              <w:rPr>
                <w:rFonts w:eastAsia="Times New Roman" w:cs="Times New Roman"/>
                <w:color w:val="000000"/>
                <w:sz w:val="18"/>
                <w:szCs w:val="18"/>
                <w:lang w:eastAsia="en-GB"/>
              </w:rPr>
            </w:pPr>
            <w:r w:rsidRPr="009448E0">
              <w:rPr>
                <w:rFonts w:eastAsia="Times New Roman" w:cs="Times New Roman"/>
                <w:color w:val="000000"/>
                <w:sz w:val="18"/>
                <w:szCs w:val="18"/>
                <w:lang w:eastAsia="en-GB"/>
              </w:rPr>
              <w:t>The questions on physical activity were used to assess frequency, intensity and duration of various activities in the work, transport and recreational domains. Physical activity was dichotomously coded as active (moderate or vigorous intensity physical activity achieving at least 600 metabolic equivalent [MET]–minutes per week) or inactive (not meeting the above criteria)</w:t>
            </w:r>
          </w:p>
        </w:tc>
      </w:tr>
      <w:tr w:rsidR="00FF227B" w:rsidRPr="009448E0" w:rsidTr="00890252">
        <w:trPr>
          <w:trHeight w:val="1125"/>
        </w:trPr>
        <w:tc>
          <w:tcPr>
            <w:cnfStyle w:val="001000000000"/>
            <w:tcW w:w="0" w:type="auto"/>
            <w:hideMark/>
          </w:tcPr>
          <w:p w:rsidR="00FF227B" w:rsidRPr="009448E0" w:rsidRDefault="00FF227B" w:rsidP="00890252">
            <w:pPr>
              <w:spacing w:line="240" w:lineRule="auto"/>
              <w:rPr>
                <w:rFonts w:eastAsia="Times New Roman" w:cs="Arial"/>
                <w:color w:val="000000"/>
                <w:sz w:val="18"/>
                <w:szCs w:val="18"/>
                <w:lang w:eastAsia="en-GB"/>
              </w:rPr>
            </w:pPr>
            <w:r w:rsidRPr="009448E0">
              <w:rPr>
                <w:sz w:val="18"/>
                <w:szCs w:val="18"/>
              </w:rPr>
              <w:t>Ford et al (2010)</w:t>
            </w:r>
            <w:r>
              <w:rPr>
                <w:noProof/>
                <w:sz w:val="18"/>
                <w:szCs w:val="18"/>
              </w:rPr>
              <w:t>(50)</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Men aged 40–65 years and women aged 35–65 years in the general public of Potsdam were the target of recruitment and joined the study between 1994 and 1998.</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Diabetes at baseline</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2</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Potential cases identified with self-report, confirmed with diagnosis physician.</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Question administered at baseline: ‘‘On average, how many h ⁄ day did you watch television during the last 12 months?’’</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Physical activity h/week plus physical strain at work. The physical activity questions, which were developed for the EPIC study, included questions about bicycling, sports activities, and gardening.</w:t>
            </w:r>
          </w:p>
        </w:tc>
      </w:tr>
      <w:tr w:rsidR="00FF227B" w:rsidRPr="009448E0" w:rsidTr="00890252">
        <w:trPr>
          <w:cnfStyle w:val="000000100000"/>
          <w:trHeight w:val="1800"/>
        </w:trPr>
        <w:tc>
          <w:tcPr>
            <w:cnfStyle w:val="001000000000"/>
            <w:tcW w:w="0" w:type="auto"/>
            <w:hideMark/>
          </w:tcPr>
          <w:p w:rsidR="00FF227B" w:rsidRPr="009448E0" w:rsidRDefault="00FF227B" w:rsidP="00890252">
            <w:pPr>
              <w:spacing w:line="240" w:lineRule="auto"/>
              <w:rPr>
                <w:rFonts w:eastAsia="Times New Roman" w:cs="Arial"/>
                <w:color w:val="000000"/>
                <w:sz w:val="18"/>
                <w:szCs w:val="18"/>
                <w:lang w:eastAsia="en-GB"/>
              </w:rPr>
            </w:pPr>
            <w:r w:rsidRPr="009448E0">
              <w:rPr>
                <w:sz w:val="18"/>
                <w:szCs w:val="18"/>
              </w:rPr>
              <w:lastRenderedPageBreak/>
              <w:t>Hu et al (2001)</w:t>
            </w:r>
            <w:r>
              <w:rPr>
                <w:noProof/>
                <w:sz w:val="18"/>
                <w:szCs w:val="18"/>
              </w:rPr>
              <w:t>(52)</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Male health professionals (dentists, optometrists, pharmacists, podiatrists, osteopaths and veterinarians, aged 40-75.</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Excluded were those with previous diagnosis of CVD, Cancer or diabetes at baseline - CVD and cancer due to their effect on PA levels.</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3</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A case of diabetes was confirmed by questionnaire. If the answer to any of the following was affirmative: 1) 1 or more classic symptom (excessive thirst, polyuria etc) plus fasting glucose &gt;7.8mmol/l, 2) at least 2 elevated plasma glucose conc. 3</w:t>
            </w:r>
            <w:proofErr w:type="gramStart"/>
            <w:r w:rsidRPr="009448E0">
              <w:rPr>
                <w:rFonts w:eastAsia="Times New Roman" w:cs="Arial"/>
                <w:color w:val="000000"/>
                <w:sz w:val="18"/>
                <w:szCs w:val="18"/>
                <w:lang w:eastAsia="en-GB"/>
              </w:rPr>
              <w:t>)treatment</w:t>
            </w:r>
            <w:proofErr w:type="gramEnd"/>
            <w:r w:rsidRPr="009448E0">
              <w:rPr>
                <w:rFonts w:eastAsia="Times New Roman" w:cs="Arial"/>
                <w:color w:val="000000"/>
                <w:sz w:val="18"/>
                <w:szCs w:val="18"/>
                <w:lang w:eastAsia="en-GB"/>
              </w:rPr>
              <w:t xml:space="preserve"> with hypoglycaemic meds.</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1988 reported average weekly time spent watching TV inc. video-tapes, the analysis used 5 response categories</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 xml:space="preserve">Quintiles. Assessed ev 2 yrs using mailed questionnaire asking about: walking, jogging, running, cycling, calisthenics or rowing machine, swimming, squash or </w:t>
            </w:r>
            <w:proofErr w:type="spellStart"/>
            <w:r w:rsidRPr="009448E0">
              <w:rPr>
                <w:rFonts w:eastAsia="Times New Roman" w:cs="Arial"/>
                <w:color w:val="000000"/>
                <w:sz w:val="18"/>
                <w:szCs w:val="18"/>
                <w:lang w:eastAsia="en-GB"/>
              </w:rPr>
              <w:t>racketball</w:t>
            </w:r>
            <w:proofErr w:type="spellEnd"/>
            <w:r w:rsidRPr="009448E0">
              <w:rPr>
                <w:rFonts w:eastAsia="Times New Roman" w:cs="Arial"/>
                <w:color w:val="000000"/>
                <w:sz w:val="18"/>
                <w:szCs w:val="18"/>
                <w:lang w:eastAsia="en-GB"/>
              </w:rPr>
              <w:t xml:space="preserve"> and tennis, they were also asked about walking pace.  From this information MET/hrs was calculated. The measure has been validated using a subsample of this cohort and elsewhere.</w:t>
            </w:r>
          </w:p>
        </w:tc>
      </w:tr>
      <w:tr w:rsidR="00FF227B" w:rsidRPr="009448E0" w:rsidTr="00890252">
        <w:trPr>
          <w:trHeight w:val="1800"/>
        </w:trPr>
        <w:tc>
          <w:tcPr>
            <w:cnfStyle w:val="001000000000"/>
            <w:tcW w:w="0" w:type="auto"/>
            <w:hideMark/>
          </w:tcPr>
          <w:p w:rsidR="00FF227B" w:rsidRPr="009448E0" w:rsidRDefault="00FF227B" w:rsidP="00890252">
            <w:pPr>
              <w:spacing w:line="240" w:lineRule="auto"/>
              <w:rPr>
                <w:rFonts w:eastAsia="Times New Roman" w:cs="Arial"/>
                <w:color w:val="000000"/>
                <w:sz w:val="18"/>
                <w:szCs w:val="18"/>
                <w:lang w:eastAsia="en-GB"/>
              </w:rPr>
            </w:pPr>
            <w:r w:rsidRPr="009448E0">
              <w:rPr>
                <w:sz w:val="18"/>
                <w:szCs w:val="18"/>
              </w:rPr>
              <w:t>Hu et al (2003)</w:t>
            </w:r>
            <w:r>
              <w:rPr>
                <w:noProof/>
                <w:sz w:val="18"/>
                <w:szCs w:val="18"/>
              </w:rPr>
              <w:t>(53)</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Female registered nurses aged 30-55 residing in 11 US states mailed questionnaires</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Excluded were those with previously diagnosed with CVD, cancer, diabetes in 1992</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3</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A case of diabetes was confirmed by questionnaire. If the answer to any of the following was affirmative: 1) 1 or more classic symptom (excessive thirst, polyuria etc) plus fasting glucose &gt;7.8mmol/l, 2) at least 2 elevated plasma glucose conc. 3</w:t>
            </w:r>
            <w:proofErr w:type="gramStart"/>
            <w:r w:rsidRPr="009448E0">
              <w:rPr>
                <w:rFonts w:eastAsia="Times New Roman" w:cs="Arial"/>
                <w:color w:val="000000"/>
                <w:sz w:val="18"/>
                <w:szCs w:val="18"/>
                <w:lang w:eastAsia="en-GB"/>
              </w:rPr>
              <w:t>)treatment</w:t>
            </w:r>
            <w:proofErr w:type="gramEnd"/>
            <w:r w:rsidRPr="009448E0">
              <w:rPr>
                <w:rFonts w:eastAsia="Times New Roman" w:cs="Arial"/>
                <w:color w:val="000000"/>
                <w:sz w:val="18"/>
                <w:szCs w:val="18"/>
                <w:lang w:eastAsia="en-GB"/>
              </w:rPr>
              <w:t xml:space="preserve"> with hypoglycaemic meds.</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 xml:space="preserve">1992 questionnaire asked average time spent sitting at home watching TV or </w:t>
            </w:r>
            <w:proofErr w:type="spellStart"/>
            <w:r w:rsidRPr="009448E0">
              <w:rPr>
                <w:rFonts w:eastAsia="Times New Roman" w:cs="Arial"/>
                <w:color w:val="000000"/>
                <w:sz w:val="18"/>
                <w:szCs w:val="18"/>
                <w:lang w:eastAsia="en-GB"/>
              </w:rPr>
              <w:t>vcr</w:t>
            </w:r>
            <w:proofErr w:type="spellEnd"/>
            <w:r w:rsidRPr="009448E0">
              <w:rPr>
                <w:rFonts w:eastAsia="Times New Roman" w:cs="Arial"/>
                <w:color w:val="000000"/>
                <w:sz w:val="18"/>
                <w:szCs w:val="18"/>
                <w:lang w:eastAsia="en-GB"/>
              </w:rPr>
              <w:t>, sitting at work or away from home or while driving and other sitting at home e.g. reading, mealtimes, at desk. % response categories used.</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 xml:space="preserve">Quintiles. Assessed ev 2 yrs using mailed questionnaire asking about: walking, jogging, running, cycling, calisthenics or rowing machine, swimming, squash or </w:t>
            </w:r>
            <w:proofErr w:type="spellStart"/>
            <w:r w:rsidRPr="009448E0">
              <w:rPr>
                <w:rFonts w:eastAsia="Times New Roman" w:cs="Arial"/>
                <w:color w:val="000000"/>
                <w:sz w:val="18"/>
                <w:szCs w:val="18"/>
                <w:lang w:eastAsia="en-GB"/>
              </w:rPr>
              <w:t>racketball</w:t>
            </w:r>
            <w:proofErr w:type="spellEnd"/>
            <w:r w:rsidRPr="009448E0">
              <w:rPr>
                <w:rFonts w:eastAsia="Times New Roman" w:cs="Arial"/>
                <w:color w:val="000000"/>
                <w:sz w:val="18"/>
                <w:szCs w:val="18"/>
                <w:lang w:eastAsia="en-GB"/>
              </w:rPr>
              <w:t xml:space="preserve"> and tennis, they were also asked about walking pace.  From this information MET/hrs was calculated. The measure has been validated using a subsample of this cohort and elsewhere.</w:t>
            </w:r>
          </w:p>
        </w:tc>
      </w:tr>
      <w:tr w:rsidR="00FF227B" w:rsidRPr="009448E0" w:rsidTr="00890252">
        <w:trPr>
          <w:cnfStyle w:val="000000100000"/>
          <w:trHeight w:val="3360"/>
        </w:trPr>
        <w:tc>
          <w:tcPr>
            <w:cnfStyle w:val="001000000000"/>
            <w:tcW w:w="1090" w:type="dxa"/>
            <w:hideMark/>
          </w:tcPr>
          <w:p w:rsidR="00FF227B" w:rsidRPr="009448E0" w:rsidRDefault="00FF227B" w:rsidP="00890252">
            <w:pPr>
              <w:spacing w:line="240" w:lineRule="auto"/>
              <w:rPr>
                <w:rFonts w:eastAsia="Times New Roman" w:cs="Times New Roman"/>
                <w:color w:val="000000"/>
                <w:sz w:val="18"/>
                <w:szCs w:val="18"/>
                <w:lang w:eastAsia="en-GB"/>
              </w:rPr>
            </w:pPr>
            <w:r w:rsidRPr="009448E0">
              <w:rPr>
                <w:sz w:val="18"/>
                <w:szCs w:val="18"/>
              </w:rPr>
              <w:lastRenderedPageBreak/>
              <w:t>Joseph et al (2016)</w:t>
            </w:r>
            <w:r>
              <w:rPr>
                <w:noProof/>
                <w:sz w:val="18"/>
                <w:szCs w:val="18"/>
              </w:rPr>
              <w:t>(44)</w:t>
            </w:r>
          </w:p>
        </w:tc>
        <w:tc>
          <w:tcPr>
            <w:tcW w:w="2111" w:type="dxa"/>
            <w:hideMark/>
          </w:tcPr>
          <w:p w:rsidR="00FF227B" w:rsidRPr="009448E0" w:rsidRDefault="00FF227B" w:rsidP="00890252">
            <w:pPr>
              <w:spacing w:line="240" w:lineRule="auto"/>
              <w:cnfStyle w:val="000000100000"/>
              <w:rPr>
                <w:rFonts w:eastAsia="Times New Roman" w:cs="Times New Roman"/>
                <w:color w:val="000000"/>
                <w:sz w:val="18"/>
                <w:szCs w:val="18"/>
                <w:lang w:eastAsia="en-GB"/>
              </w:rPr>
            </w:pPr>
            <w:r w:rsidRPr="009448E0">
              <w:rPr>
                <w:rFonts w:eastAsia="Times New Roman" w:cs="Times New Roman"/>
                <w:color w:val="000000"/>
                <w:sz w:val="18"/>
                <w:szCs w:val="18"/>
                <w:lang w:eastAsia="en-GB"/>
              </w:rPr>
              <w:t>A multistage, stratified random selection of households at 6 selected regions. Men and women, in equal numbers, who are aged 45–84 years and free of clinical CVD at baseline, including four racial/ethnic groups from six US communities. Approximately 38 percent of the cohort will be White, 28 percent will be African-American, 23 percent will be Hispanic, and 11 percent will be Asian, predominantly of Chinese descent.</w:t>
            </w:r>
          </w:p>
        </w:tc>
        <w:tc>
          <w:tcPr>
            <w:tcW w:w="2265" w:type="dxa"/>
            <w:hideMark/>
          </w:tcPr>
          <w:p w:rsidR="00FF227B" w:rsidRPr="009448E0" w:rsidRDefault="00FF227B" w:rsidP="00890252">
            <w:pPr>
              <w:spacing w:line="240" w:lineRule="auto"/>
              <w:cnfStyle w:val="000000100000"/>
              <w:rPr>
                <w:rFonts w:eastAsia="Times New Roman" w:cs="Times New Roman"/>
                <w:color w:val="000000"/>
                <w:sz w:val="18"/>
                <w:szCs w:val="18"/>
                <w:lang w:eastAsia="en-GB"/>
              </w:rPr>
            </w:pPr>
            <w:r w:rsidRPr="009448E0">
              <w:rPr>
                <w:rFonts w:eastAsia="Times New Roman" w:cs="Times New Roman"/>
                <w:color w:val="000000"/>
                <w:sz w:val="18"/>
                <w:szCs w:val="18"/>
                <w:lang w:eastAsia="en-GB"/>
              </w:rPr>
              <w:t>Free of CVD at baseline. Additionally adjusted for systolic blood pressure, and current hypertension medication usage.</w:t>
            </w:r>
          </w:p>
        </w:tc>
        <w:tc>
          <w:tcPr>
            <w:tcW w:w="1773" w:type="dxa"/>
            <w:hideMark/>
          </w:tcPr>
          <w:p w:rsidR="00FF227B" w:rsidRPr="009448E0" w:rsidRDefault="00FF227B" w:rsidP="00890252">
            <w:pPr>
              <w:spacing w:line="240" w:lineRule="auto"/>
              <w:cnfStyle w:val="000000100000"/>
              <w:rPr>
                <w:rFonts w:eastAsia="Times New Roman" w:cs="Times New Roman"/>
                <w:color w:val="000000"/>
                <w:sz w:val="18"/>
                <w:szCs w:val="18"/>
                <w:lang w:eastAsia="en-GB"/>
              </w:rPr>
            </w:pPr>
            <w:r w:rsidRPr="009448E0">
              <w:rPr>
                <w:rFonts w:eastAsia="Times New Roman" w:cs="Times New Roman"/>
                <w:color w:val="000000"/>
                <w:sz w:val="18"/>
                <w:szCs w:val="18"/>
                <w:lang w:eastAsia="en-GB"/>
              </w:rPr>
              <w:t>1</w:t>
            </w:r>
          </w:p>
        </w:tc>
        <w:tc>
          <w:tcPr>
            <w:tcW w:w="1811" w:type="dxa"/>
            <w:hideMark/>
          </w:tcPr>
          <w:p w:rsidR="00FF227B" w:rsidRPr="009448E0" w:rsidRDefault="00FF227B" w:rsidP="00890252">
            <w:pPr>
              <w:spacing w:line="240" w:lineRule="auto"/>
              <w:cnfStyle w:val="000000100000"/>
              <w:rPr>
                <w:rFonts w:eastAsia="Times New Roman" w:cs="Times New Roman"/>
                <w:color w:val="000000"/>
                <w:sz w:val="18"/>
                <w:szCs w:val="18"/>
                <w:lang w:eastAsia="en-GB"/>
              </w:rPr>
            </w:pPr>
            <w:r w:rsidRPr="009448E0">
              <w:rPr>
                <w:rFonts w:eastAsia="Times New Roman" w:cs="Times New Roman"/>
                <w:color w:val="000000"/>
                <w:sz w:val="18"/>
                <w:szCs w:val="18"/>
                <w:lang w:eastAsia="en-GB"/>
              </w:rPr>
              <w:t xml:space="preserve">Persons newly using </w:t>
            </w:r>
            <w:proofErr w:type="spellStart"/>
            <w:r w:rsidRPr="009448E0">
              <w:rPr>
                <w:rFonts w:eastAsia="Times New Roman" w:cs="Times New Roman"/>
                <w:color w:val="000000"/>
                <w:sz w:val="18"/>
                <w:szCs w:val="18"/>
                <w:lang w:eastAsia="en-GB"/>
              </w:rPr>
              <w:t>hypoglycemic</w:t>
            </w:r>
            <w:proofErr w:type="spellEnd"/>
            <w:r w:rsidRPr="009448E0">
              <w:rPr>
                <w:rFonts w:eastAsia="Times New Roman" w:cs="Times New Roman"/>
                <w:color w:val="000000"/>
                <w:sz w:val="18"/>
                <w:szCs w:val="18"/>
                <w:lang w:eastAsia="en-GB"/>
              </w:rPr>
              <w:t xml:space="preserve"> medication (per the medication inventory) or having fasting glucose ≥7 mmol/L (126 mg/</w:t>
            </w:r>
            <w:proofErr w:type="spellStart"/>
            <w:r w:rsidRPr="009448E0">
              <w:rPr>
                <w:rFonts w:eastAsia="Times New Roman" w:cs="Times New Roman"/>
                <w:color w:val="000000"/>
                <w:sz w:val="18"/>
                <w:szCs w:val="18"/>
                <w:lang w:eastAsia="en-GB"/>
              </w:rPr>
              <w:t>dL</w:t>
            </w:r>
            <w:proofErr w:type="spellEnd"/>
            <w:r w:rsidRPr="009448E0">
              <w:rPr>
                <w:rFonts w:eastAsia="Times New Roman" w:cs="Times New Roman"/>
                <w:color w:val="000000"/>
                <w:sz w:val="18"/>
                <w:szCs w:val="18"/>
                <w:lang w:eastAsia="en-GB"/>
              </w:rPr>
              <w:t>) at one of four subsequent examinations (the last follow-up visit occurring in 2010–2012) were considered to have incident type 2 diabetes.</w:t>
            </w:r>
          </w:p>
        </w:tc>
        <w:tc>
          <w:tcPr>
            <w:tcW w:w="3831" w:type="dxa"/>
            <w:hideMark/>
          </w:tcPr>
          <w:p w:rsidR="00FF227B" w:rsidRPr="009448E0" w:rsidRDefault="00FF227B" w:rsidP="00890252">
            <w:pPr>
              <w:spacing w:line="240" w:lineRule="auto"/>
              <w:cnfStyle w:val="000000100000"/>
              <w:rPr>
                <w:rFonts w:eastAsia="Times New Roman" w:cs="Times New Roman"/>
                <w:color w:val="000000"/>
                <w:sz w:val="18"/>
                <w:szCs w:val="18"/>
                <w:lang w:eastAsia="en-GB"/>
              </w:rPr>
            </w:pPr>
            <w:r w:rsidRPr="009448E0">
              <w:rPr>
                <w:rFonts w:eastAsia="Times New Roman" w:cs="Times New Roman"/>
                <w:color w:val="000000"/>
                <w:sz w:val="18"/>
                <w:szCs w:val="18"/>
                <w:lang w:eastAsia="en-GB"/>
              </w:rPr>
              <w:t>TV watching (hours/day) 0-2, 2.01-4, 4.01-6, &gt;6.</w:t>
            </w:r>
          </w:p>
        </w:tc>
        <w:tc>
          <w:tcPr>
            <w:tcW w:w="2733" w:type="dxa"/>
            <w:hideMark/>
          </w:tcPr>
          <w:p w:rsidR="00FF227B" w:rsidRPr="009448E0" w:rsidRDefault="00FF227B" w:rsidP="00890252">
            <w:pPr>
              <w:spacing w:line="240" w:lineRule="auto"/>
              <w:cnfStyle w:val="000000100000"/>
              <w:rPr>
                <w:rFonts w:eastAsia="Times New Roman" w:cs="Times New Roman"/>
                <w:color w:val="000000"/>
                <w:sz w:val="18"/>
                <w:szCs w:val="18"/>
                <w:lang w:eastAsia="en-GB"/>
              </w:rPr>
            </w:pPr>
            <w:r w:rsidRPr="009448E0">
              <w:rPr>
                <w:rFonts w:eastAsia="Times New Roman" w:cs="Times New Roman"/>
                <w:color w:val="000000"/>
                <w:sz w:val="18"/>
                <w:szCs w:val="18"/>
                <w:lang w:eastAsia="en-GB"/>
              </w:rPr>
              <w:t>The MESA Typical Week Physical Activity Survey (TWPAS), adapted from the Cross-Cultural Activity Participation Study, was designed to identify the time and frequency spent in various PAs during a typical week in the past month.13 The MESA TWPAS had the following summary measures: total minutes/week and total metabolic equivalents of task (MET)-hours/week at three intensity levels (light, moderate, vigorous). The survey also inquired about the typical pace at which participants walked in five categories ranging from very slow to brisk.</w:t>
            </w:r>
          </w:p>
        </w:tc>
      </w:tr>
      <w:tr w:rsidR="00FF227B" w:rsidRPr="009448E0" w:rsidTr="00890252">
        <w:trPr>
          <w:trHeight w:val="1800"/>
        </w:trPr>
        <w:tc>
          <w:tcPr>
            <w:cnfStyle w:val="001000000000"/>
            <w:tcW w:w="0" w:type="auto"/>
            <w:hideMark/>
          </w:tcPr>
          <w:p w:rsidR="00FF227B" w:rsidRPr="009448E0" w:rsidRDefault="00FF227B" w:rsidP="00890252">
            <w:pPr>
              <w:spacing w:line="240" w:lineRule="auto"/>
              <w:rPr>
                <w:rFonts w:eastAsia="Times New Roman" w:cs="Arial"/>
                <w:color w:val="000000"/>
                <w:sz w:val="18"/>
                <w:szCs w:val="18"/>
                <w:lang w:eastAsia="en-GB"/>
              </w:rPr>
            </w:pPr>
            <w:r w:rsidRPr="009448E0">
              <w:rPr>
                <w:sz w:val="18"/>
                <w:szCs w:val="18"/>
              </w:rPr>
              <w:t>Krishnan et al (2009)</w:t>
            </w:r>
            <w:r>
              <w:rPr>
                <w:noProof/>
                <w:sz w:val="18"/>
                <w:szCs w:val="18"/>
              </w:rPr>
              <w:t>(58)</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Mailed to readers of Essence magazine and several professional organisations, and friends and relatives of early responders. Aged 21-69 years.</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Excluded those with a history of diabetes, gestational diabetes, reported stroke, MI or cancer.  Also excluded those who were pregnant. Adjusted for family history of diabetes.</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3</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Questionnaire asking about new diagnoses.  Subsample to validate indicated 96% accuracy.</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The number of hours per day spent watching television was also assessed in each questionnaire with 5 possible response categories</w:t>
            </w:r>
          </w:p>
        </w:tc>
        <w:tc>
          <w:tcPr>
            <w:tcW w:w="0" w:type="auto"/>
            <w:hideMark/>
          </w:tcPr>
          <w:p w:rsidR="00FF227B" w:rsidRPr="009448E0" w:rsidRDefault="00FF227B" w:rsidP="00890252">
            <w:pPr>
              <w:spacing w:line="240" w:lineRule="auto"/>
              <w:cnfStyle w:val="000000000000"/>
              <w:rPr>
                <w:rFonts w:eastAsia="Times New Roman" w:cs="Arial"/>
                <w:color w:val="000000"/>
                <w:sz w:val="18"/>
                <w:szCs w:val="18"/>
                <w:lang w:eastAsia="en-GB"/>
              </w:rPr>
            </w:pPr>
            <w:r w:rsidRPr="009448E0">
              <w:rPr>
                <w:rFonts w:eastAsia="Times New Roman" w:cs="Arial"/>
                <w:color w:val="000000"/>
                <w:sz w:val="18"/>
                <w:szCs w:val="18"/>
                <w:lang w:eastAsia="en-GB"/>
              </w:rPr>
              <w:t xml:space="preserve">Hours/week in vigorous activity (e.g. running, swimming), walking for exercise and walking to and from work in time categories. Pace of walking was asked some measure combining pace and amount of walking.  Cumulative average vigorous PA and walking were calculated using as many </w:t>
            </w:r>
            <w:proofErr w:type="gramStart"/>
            <w:r w:rsidRPr="009448E0">
              <w:rPr>
                <w:rFonts w:eastAsia="Times New Roman" w:cs="Arial"/>
                <w:color w:val="000000"/>
                <w:sz w:val="18"/>
                <w:szCs w:val="18"/>
                <w:lang w:eastAsia="en-GB"/>
              </w:rPr>
              <w:t>years</w:t>
            </w:r>
            <w:proofErr w:type="gramEnd"/>
            <w:r w:rsidRPr="009448E0">
              <w:rPr>
                <w:rFonts w:eastAsia="Times New Roman" w:cs="Arial"/>
                <w:color w:val="000000"/>
                <w:sz w:val="18"/>
                <w:szCs w:val="18"/>
                <w:lang w:eastAsia="en-GB"/>
              </w:rPr>
              <w:t xml:space="preserve"> data as were available.</w:t>
            </w:r>
          </w:p>
        </w:tc>
      </w:tr>
      <w:tr w:rsidR="00FF227B" w:rsidRPr="009448E0" w:rsidTr="00890252">
        <w:trPr>
          <w:cnfStyle w:val="000000100000"/>
          <w:trHeight w:val="563"/>
        </w:trPr>
        <w:tc>
          <w:tcPr>
            <w:cnfStyle w:val="001000000000"/>
            <w:tcW w:w="0" w:type="auto"/>
            <w:hideMark/>
          </w:tcPr>
          <w:p w:rsidR="00FF227B" w:rsidRPr="009448E0" w:rsidRDefault="00FF227B" w:rsidP="00890252">
            <w:pPr>
              <w:spacing w:line="240" w:lineRule="auto"/>
              <w:rPr>
                <w:rFonts w:eastAsia="Times New Roman" w:cs="Arial"/>
                <w:color w:val="000000"/>
                <w:sz w:val="18"/>
                <w:szCs w:val="18"/>
                <w:lang w:eastAsia="en-GB"/>
              </w:rPr>
            </w:pPr>
            <w:r w:rsidRPr="009448E0">
              <w:rPr>
                <w:sz w:val="18"/>
                <w:szCs w:val="18"/>
              </w:rPr>
              <w:t>Smith et al (2014)</w:t>
            </w:r>
            <w:r>
              <w:rPr>
                <w:noProof/>
                <w:sz w:val="18"/>
                <w:szCs w:val="18"/>
              </w:rPr>
              <w:t>(69)</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Representative sample of population living in households, born on or before Feb 1952, UK</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Previous diabetes. Adjustment for depressive symptoms, long standing illness, disability.</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2</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Self reported physician diagnoses diabetes, which has been previous validated in ELSA</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 xml:space="preserve">How many hours of television do you watch on an ordinary day or evening, that is, Monday to Friday’ and ‘How many hours of television do you normally watch in total over the weekend, that is, Saturday and Sunday’. </w:t>
            </w:r>
          </w:p>
        </w:tc>
        <w:tc>
          <w:tcPr>
            <w:tcW w:w="0" w:type="auto"/>
            <w:hideMark/>
          </w:tcPr>
          <w:p w:rsidR="00FF227B" w:rsidRPr="009448E0" w:rsidRDefault="00FF227B" w:rsidP="00890252">
            <w:pPr>
              <w:spacing w:line="240" w:lineRule="auto"/>
              <w:cnfStyle w:val="000000100000"/>
              <w:rPr>
                <w:rFonts w:eastAsia="Times New Roman" w:cs="Arial"/>
                <w:color w:val="000000"/>
                <w:sz w:val="18"/>
                <w:szCs w:val="18"/>
                <w:lang w:eastAsia="en-GB"/>
              </w:rPr>
            </w:pPr>
            <w:r w:rsidRPr="009448E0">
              <w:rPr>
                <w:rFonts w:eastAsia="Times New Roman" w:cs="Arial"/>
                <w:color w:val="000000"/>
                <w:sz w:val="18"/>
                <w:szCs w:val="18"/>
                <w:lang w:eastAsia="en-GB"/>
              </w:rPr>
              <w:t xml:space="preserve">Participants were asked how often they took part in vigorous, moderate- and low-intensity physical activity, using prompt cards to help them interpret different physical activity intensities. Response options were: more than once a week, once a week, one to three times a month and hardly ever/never. Physical activity was further categorized into three categories: inactive; moderate activity at least once a week; and vigorous activity </w:t>
            </w:r>
            <w:r w:rsidRPr="009448E0">
              <w:rPr>
                <w:rFonts w:eastAsia="Times New Roman" w:cs="Arial"/>
                <w:color w:val="000000"/>
                <w:sz w:val="18"/>
                <w:szCs w:val="18"/>
                <w:lang w:eastAsia="en-GB"/>
              </w:rPr>
              <w:lastRenderedPageBreak/>
              <w:t>at least once a week. The physical activity and television viewing measures have been shown to have excellent convergent validity in grading a plethora of psychosocial, physical and biochemical risk factors.</w:t>
            </w:r>
          </w:p>
        </w:tc>
      </w:tr>
      <w:tr w:rsidR="00FF227B" w:rsidRPr="009448E0" w:rsidTr="00890252">
        <w:trPr>
          <w:trHeight w:val="405"/>
        </w:trPr>
        <w:tc>
          <w:tcPr>
            <w:cnfStyle w:val="001000000000"/>
            <w:tcW w:w="0" w:type="auto"/>
            <w:gridSpan w:val="7"/>
            <w:hideMark/>
          </w:tcPr>
          <w:p w:rsidR="00FF227B" w:rsidRPr="009448E0" w:rsidRDefault="00FF227B" w:rsidP="00890252">
            <w:pPr>
              <w:spacing w:line="240" w:lineRule="auto"/>
              <w:rPr>
                <w:rFonts w:ascii="Times New Roman" w:eastAsia="Times New Roman" w:hAnsi="Times New Roman" w:cs="Times New Roman"/>
                <w:sz w:val="20"/>
                <w:szCs w:val="20"/>
                <w:lang w:eastAsia="en-GB"/>
              </w:rPr>
            </w:pPr>
            <w:r w:rsidRPr="009448E0">
              <w:rPr>
                <w:rFonts w:ascii="Arial" w:eastAsia="Times New Roman" w:hAnsi="Arial" w:cs="Arial"/>
                <w:color w:val="000000"/>
                <w:sz w:val="16"/>
                <w:szCs w:val="16"/>
                <w:lang w:eastAsia="en-GB"/>
              </w:rPr>
              <w:lastRenderedPageBreak/>
              <w:t>*1: Reasonably representative sample of the general population 2</w:t>
            </w:r>
            <w:proofErr w:type="gramStart"/>
            <w:r w:rsidRPr="009448E0">
              <w:rPr>
                <w:rFonts w:ascii="Arial" w:eastAsia="Times New Roman" w:hAnsi="Arial" w:cs="Arial"/>
                <w:color w:val="000000"/>
                <w:sz w:val="16"/>
                <w:szCs w:val="16"/>
                <w:lang w:eastAsia="en-GB"/>
              </w:rPr>
              <w:t>:Taken</w:t>
            </w:r>
            <w:proofErr w:type="gramEnd"/>
            <w:r w:rsidRPr="009448E0">
              <w:rPr>
                <w:rFonts w:ascii="Arial" w:eastAsia="Times New Roman" w:hAnsi="Arial" w:cs="Arial"/>
                <w:color w:val="000000"/>
                <w:sz w:val="16"/>
                <w:szCs w:val="16"/>
                <w:lang w:eastAsia="en-GB"/>
              </w:rPr>
              <w:t xml:space="preserve"> from the general population but likely to be significantly bias e.g. older people. 3: Sampled from an unrepresentative group e.g. Nurses</w:t>
            </w:r>
          </w:p>
        </w:tc>
      </w:tr>
    </w:tbl>
    <w:p w:rsidR="00FF227B" w:rsidRPr="009448E0" w:rsidRDefault="00FF227B" w:rsidP="00890252">
      <w:pPr>
        <w:spacing w:line="259" w:lineRule="auto"/>
      </w:pPr>
    </w:p>
    <w:p w:rsidR="00FF227B" w:rsidRPr="009448E0" w:rsidRDefault="00FF227B" w:rsidP="00890252">
      <w:pPr>
        <w:spacing w:line="259" w:lineRule="auto"/>
        <w:sectPr w:rsidR="00FF227B" w:rsidRPr="009448E0" w:rsidSect="00890252">
          <w:pgSz w:w="16838" w:h="11906" w:orient="landscape"/>
          <w:pgMar w:top="720" w:right="720" w:bottom="720" w:left="720" w:header="708" w:footer="708" w:gutter="0"/>
          <w:cols w:space="708"/>
          <w:docGrid w:linePitch="360"/>
        </w:sectPr>
      </w:pPr>
    </w:p>
    <w:p w:rsidR="00FF227B" w:rsidRPr="009448E0" w:rsidRDefault="00FF227B" w:rsidP="00890252">
      <w:pPr>
        <w:keepNext/>
        <w:keepLines/>
        <w:spacing w:before="240" w:after="0" w:line="240" w:lineRule="auto"/>
        <w:outlineLvl w:val="0"/>
        <w:rPr>
          <w:rFonts w:eastAsia="Times New Roman" w:cstheme="majorBidi"/>
          <w:szCs w:val="32"/>
          <w:lang w:eastAsia="en-GB"/>
        </w:rPr>
      </w:pPr>
      <w:bookmarkStart w:id="6" w:name="_Toc486427062"/>
      <w:r>
        <w:rPr>
          <w:rFonts w:eastAsia="Times New Roman" w:cstheme="majorBidi"/>
          <w:szCs w:val="32"/>
          <w:lang w:eastAsia="en-GB"/>
        </w:rPr>
        <w:lastRenderedPageBreak/>
        <w:t>Appendix Figure</w:t>
      </w:r>
      <w:r w:rsidRPr="009448E0">
        <w:rPr>
          <w:rFonts w:eastAsia="Times New Roman" w:cstheme="majorBidi"/>
          <w:szCs w:val="32"/>
          <w:lang w:eastAsia="en-GB"/>
        </w:rPr>
        <w:t xml:space="preserve"> 3 – Non-linear associations between sedentary behaviours and health outcome without adjustment for physical activity</w:t>
      </w:r>
      <w:bookmarkEnd w:id="6"/>
    </w:p>
    <w:p w:rsidR="00FF227B" w:rsidRPr="009448E0" w:rsidRDefault="00FF227B" w:rsidP="00890252">
      <w:pPr>
        <w:spacing w:line="259" w:lineRule="auto"/>
      </w:pPr>
      <w:r w:rsidRPr="009448E0">
        <w:t>.</w:t>
      </w:r>
      <w:r w:rsidR="005F0D2A" w:rsidRPr="005F0D2A">
        <w:t xml:space="preserve"> </w:t>
      </w:r>
      <w:r w:rsidR="005F0D2A" w:rsidRPr="005F0D2A">
        <w:rPr>
          <w:noProof/>
          <w:lang w:val="en-IN" w:eastAsia="en-IN"/>
        </w:rPr>
        <w:drawing>
          <wp:inline distT="0" distB="0" distL="0" distR="0">
            <wp:extent cx="6485861" cy="789095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497560" cy="7905186"/>
                    </a:xfrm>
                    <a:prstGeom prst="rect">
                      <a:avLst/>
                    </a:prstGeom>
                    <a:noFill/>
                    <a:ln>
                      <a:noFill/>
                    </a:ln>
                  </pic:spPr>
                </pic:pic>
              </a:graphicData>
            </a:graphic>
          </wp:inline>
        </w:drawing>
      </w:r>
      <w:r w:rsidRPr="009448E0">
        <w:br w:type="page"/>
      </w:r>
    </w:p>
    <w:p w:rsidR="00FF227B" w:rsidRDefault="00FF227B" w:rsidP="00890252">
      <w:pPr>
        <w:keepNext/>
        <w:keepLines/>
        <w:spacing w:before="240" w:after="0" w:line="240" w:lineRule="auto"/>
        <w:outlineLvl w:val="0"/>
        <w:rPr>
          <w:rFonts w:eastAsia="Times New Roman" w:cstheme="majorBidi"/>
          <w:szCs w:val="32"/>
          <w:lang w:eastAsia="en-GB"/>
        </w:rPr>
      </w:pPr>
      <w:bookmarkStart w:id="7" w:name="_Toc486427063"/>
      <w:r>
        <w:rPr>
          <w:rFonts w:eastAsia="Times New Roman" w:cstheme="majorBidi"/>
          <w:szCs w:val="32"/>
          <w:lang w:eastAsia="en-GB"/>
        </w:rPr>
        <w:lastRenderedPageBreak/>
        <w:t>Appendix Figure</w:t>
      </w:r>
      <w:r w:rsidRPr="009448E0">
        <w:rPr>
          <w:rFonts w:eastAsia="Times New Roman" w:cstheme="majorBidi"/>
          <w:szCs w:val="32"/>
          <w:lang w:eastAsia="en-GB"/>
        </w:rPr>
        <w:t xml:space="preserve"> 4 – Non-linear associations between sedentary behaviours and health outcome with adjustment for physical activity</w:t>
      </w:r>
      <w:bookmarkEnd w:id="7"/>
    </w:p>
    <w:p w:rsidR="005F0D2A" w:rsidRPr="009448E0" w:rsidRDefault="005F0D2A" w:rsidP="005F0D2A">
      <w:pPr>
        <w:pStyle w:val="NoSpacing"/>
        <w:rPr>
          <w:lang w:eastAsia="en-GB"/>
        </w:rPr>
      </w:pPr>
      <w:r w:rsidRPr="005F0D2A">
        <w:rPr>
          <w:noProof/>
          <w:lang w:val="en-IN" w:eastAsia="en-IN"/>
        </w:rPr>
        <w:drawing>
          <wp:inline distT="0" distB="0" distL="0" distR="0">
            <wp:extent cx="6613451" cy="804618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40010" cy="8078496"/>
                    </a:xfrm>
                    <a:prstGeom prst="rect">
                      <a:avLst/>
                    </a:prstGeom>
                    <a:noFill/>
                    <a:ln>
                      <a:noFill/>
                    </a:ln>
                  </pic:spPr>
                </pic:pic>
              </a:graphicData>
            </a:graphic>
          </wp:inline>
        </w:drawing>
      </w:r>
    </w:p>
    <w:p w:rsidR="005F0D2A" w:rsidRDefault="005F0D2A" w:rsidP="00890252">
      <w:pPr>
        <w:spacing w:line="259" w:lineRule="auto"/>
      </w:pPr>
    </w:p>
    <w:p w:rsidR="005F0D2A" w:rsidRPr="009448E0" w:rsidRDefault="005F0D2A" w:rsidP="00890252">
      <w:pPr>
        <w:spacing w:line="259" w:lineRule="auto"/>
        <w:sectPr w:rsidR="005F0D2A" w:rsidRPr="009448E0" w:rsidSect="00890252">
          <w:pgSz w:w="11906" w:h="16838"/>
          <w:pgMar w:top="720" w:right="720" w:bottom="720" w:left="720" w:header="708" w:footer="708" w:gutter="0"/>
          <w:cols w:space="708"/>
          <w:docGrid w:linePitch="360"/>
        </w:sectPr>
      </w:pPr>
    </w:p>
    <w:p w:rsidR="00FF227B" w:rsidRPr="009448E0" w:rsidRDefault="00FF227B" w:rsidP="00890252">
      <w:pPr>
        <w:spacing w:line="259" w:lineRule="auto"/>
      </w:pPr>
    </w:p>
    <w:tbl>
      <w:tblPr>
        <w:tblW w:w="0" w:type="auto"/>
        <w:tblLook w:val="04A0"/>
      </w:tblPr>
      <w:tblGrid>
        <w:gridCol w:w="3576"/>
        <w:gridCol w:w="4862"/>
        <w:gridCol w:w="3222"/>
        <w:gridCol w:w="3248"/>
      </w:tblGrid>
      <w:tr w:rsidR="00FF227B" w:rsidRPr="009448E0" w:rsidTr="00890252">
        <w:trPr>
          <w:trHeight w:val="300"/>
        </w:trPr>
        <w:tc>
          <w:tcPr>
            <w:tcW w:w="0" w:type="auto"/>
            <w:gridSpan w:val="4"/>
            <w:tcBorders>
              <w:top w:val="nil"/>
              <w:left w:val="nil"/>
              <w:bottom w:val="single" w:sz="4" w:space="0" w:color="auto"/>
              <w:right w:val="nil"/>
            </w:tcBorders>
            <w:shd w:val="clear" w:color="auto" w:fill="auto"/>
            <w:noWrap/>
            <w:vAlign w:val="bottom"/>
          </w:tcPr>
          <w:p w:rsidR="00FF227B" w:rsidRPr="009448E0" w:rsidRDefault="00FF227B" w:rsidP="00890252">
            <w:pPr>
              <w:keepNext/>
              <w:keepLines/>
              <w:spacing w:before="240" w:after="0" w:line="240" w:lineRule="auto"/>
              <w:outlineLvl w:val="0"/>
              <w:rPr>
                <w:rFonts w:eastAsia="Times New Roman" w:cstheme="majorBidi"/>
                <w:szCs w:val="32"/>
                <w:lang w:eastAsia="en-GB"/>
              </w:rPr>
            </w:pPr>
            <w:bookmarkStart w:id="8" w:name="_Toc486427064"/>
            <w:r>
              <w:rPr>
                <w:rFonts w:eastAsia="Times New Roman" w:cstheme="majorBidi"/>
                <w:szCs w:val="32"/>
                <w:lang w:eastAsia="en-GB"/>
              </w:rPr>
              <w:t>Appendix Table</w:t>
            </w:r>
            <w:r w:rsidRPr="009448E0">
              <w:rPr>
                <w:rFonts w:eastAsia="Times New Roman" w:cstheme="majorBidi"/>
                <w:szCs w:val="32"/>
                <w:lang w:eastAsia="en-GB"/>
              </w:rPr>
              <w:t xml:space="preserve"> 5. Relative risks (95% CI) below and above the exposure level corresponding with a change in strength of association, for all-cause and CVD mortality</w:t>
            </w:r>
            <w:bookmarkEnd w:id="8"/>
            <w:r w:rsidRPr="009448E0">
              <w:rPr>
                <w:rFonts w:eastAsia="Times New Roman" w:cstheme="majorBidi"/>
                <w:szCs w:val="32"/>
                <w:lang w:eastAsia="en-GB"/>
              </w:rPr>
              <w:t xml:space="preserve"> </w:t>
            </w:r>
          </w:p>
        </w:tc>
      </w:tr>
      <w:tr w:rsidR="00FF227B" w:rsidRPr="009448E0" w:rsidTr="00890252">
        <w:trPr>
          <w:trHeight w:val="300"/>
        </w:trPr>
        <w:tc>
          <w:tcPr>
            <w:tcW w:w="0" w:type="auto"/>
            <w:tcBorders>
              <w:top w:val="single" w:sz="4" w:space="0" w:color="auto"/>
              <w:left w:val="nil"/>
              <w:bottom w:val="single" w:sz="4" w:space="0" w:color="auto"/>
              <w:right w:val="nil"/>
            </w:tcBorders>
            <w:shd w:val="clear" w:color="auto" w:fill="auto"/>
            <w:noWrap/>
            <w:vAlign w:val="bottom"/>
            <w:hideMark/>
          </w:tcPr>
          <w:p w:rsidR="00FF227B" w:rsidRPr="009448E0" w:rsidRDefault="00FF227B" w:rsidP="00890252">
            <w:pPr>
              <w:spacing w:after="0" w:line="259" w:lineRule="auto"/>
              <w:rPr>
                <w:b/>
              </w:rPr>
            </w:pPr>
          </w:p>
        </w:tc>
        <w:tc>
          <w:tcPr>
            <w:tcW w:w="0" w:type="auto"/>
            <w:tcBorders>
              <w:top w:val="single" w:sz="4" w:space="0" w:color="auto"/>
              <w:left w:val="nil"/>
              <w:bottom w:val="single" w:sz="4" w:space="0" w:color="auto"/>
              <w:right w:val="nil"/>
            </w:tcBorders>
            <w:shd w:val="clear" w:color="auto" w:fill="auto"/>
            <w:noWrap/>
            <w:vAlign w:val="bottom"/>
            <w:hideMark/>
          </w:tcPr>
          <w:p w:rsidR="00FF227B" w:rsidRPr="009448E0" w:rsidRDefault="00FF227B" w:rsidP="00890252">
            <w:pPr>
              <w:spacing w:after="0" w:line="259" w:lineRule="auto"/>
              <w:rPr>
                <w:b/>
              </w:rPr>
            </w:pPr>
          </w:p>
        </w:tc>
        <w:tc>
          <w:tcPr>
            <w:tcW w:w="0" w:type="auto"/>
            <w:tcBorders>
              <w:top w:val="single" w:sz="4" w:space="0" w:color="auto"/>
              <w:left w:val="nil"/>
              <w:bottom w:val="single" w:sz="4" w:space="0" w:color="auto"/>
              <w:right w:val="nil"/>
            </w:tcBorders>
            <w:shd w:val="clear" w:color="auto" w:fill="auto"/>
            <w:noWrap/>
            <w:vAlign w:val="bottom"/>
            <w:hideMark/>
          </w:tcPr>
          <w:p w:rsidR="00FF227B" w:rsidRPr="009448E0" w:rsidRDefault="00FF227B" w:rsidP="00890252">
            <w:pPr>
              <w:spacing w:after="0" w:line="259" w:lineRule="auto"/>
              <w:rPr>
                <w:b/>
              </w:rPr>
            </w:pPr>
            <w:r w:rsidRPr="009448E0">
              <w:rPr>
                <w:b/>
              </w:rPr>
              <w:t>Below Threshold</w:t>
            </w:r>
          </w:p>
        </w:tc>
        <w:tc>
          <w:tcPr>
            <w:tcW w:w="0" w:type="auto"/>
            <w:tcBorders>
              <w:top w:val="single" w:sz="4" w:space="0" w:color="auto"/>
              <w:left w:val="nil"/>
              <w:bottom w:val="single" w:sz="4" w:space="0" w:color="auto"/>
              <w:right w:val="nil"/>
            </w:tcBorders>
            <w:shd w:val="clear" w:color="auto" w:fill="auto"/>
            <w:noWrap/>
            <w:vAlign w:val="bottom"/>
            <w:hideMark/>
          </w:tcPr>
          <w:p w:rsidR="00FF227B" w:rsidRPr="009448E0" w:rsidRDefault="00FF227B" w:rsidP="00890252">
            <w:pPr>
              <w:spacing w:after="0" w:line="259" w:lineRule="auto"/>
              <w:rPr>
                <w:b/>
              </w:rPr>
            </w:pPr>
            <w:r w:rsidRPr="009448E0">
              <w:rPr>
                <w:b/>
              </w:rPr>
              <w:t>Above Threshold</w:t>
            </w:r>
          </w:p>
        </w:tc>
      </w:tr>
      <w:tr w:rsidR="00FF227B" w:rsidRPr="009448E0" w:rsidTr="00890252">
        <w:trPr>
          <w:trHeight w:val="300"/>
        </w:trPr>
        <w:tc>
          <w:tcPr>
            <w:tcW w:w="0" w:type="auto"/>
            <w:tcBorders>
              <w:top w:val="single" w:sz="4" w:space="0" w:color="auto"/>
              <w:left w:val="nil"/>
              <w:right w:val="nil"/>
            </w:tcBorders>
            <w:shd w:val="clear" w:color="auto" w:fill="auto"/>
            <w:noWrap/>
            <w:vAlign w:val="bottom"/>
            <w:hideMark/>
          </w:tcPr>
          <w:p w:rsidR="00FF227B" w:rsidRPr="009448E0" w:rsidRDefault="00FF227B" w:rsidP="00890252">
            <w:pPr>
              <w:spacing w:after="0" w:line="259" w:lineRule="auto"/>
              <w:rPr>
                <w:b/>
              </w:rPr>
            </w:pPr>
            <w:r w:rsidRPr="009448E0">
              <w:rPr>
                <w:b/>
              </w:rPr>
              <w:t>All-cause mortality</w:t>
            </w:r>
          </w:p>
        </w:tc>
        <w:tc>
          <w:tcPr>
            <w:tcW w:w="0" w:type="auto"/>
            <w:tcBorders>
              <w:top w:val="single" w:sz="4" w:space="0" w:color="auto"/>
              <w:left w:val="nil"/>
              <w:right w:val="nil"/>
            </w:tcBorders>
            <w:shd w:val="clear" w:color="auto" w:fill="auto"/>
            <w:noWrap/>
            <w:vAlign w:val="bottom"/>
            <w:hideMark/>
          </w:tcPr>
          <w:p w:rsidR="00FF227B" w:rsidRPr="009448E0" w:rsidRDefault="00FF227B" w:rsidP="00890252">
            <w:pPr>
              <w:spacing w:after="0" w:line="259" w:lineRule="auto"/>
              <w:rPr>
                <w:b/>
              </w:rPr>
            </w:pPr>
            <w:r w:rsidRPr="009448E0">
              <w:rPr>
                <w:b/>
              </w:rPr>
              <w:t>Total Sedentary behaviour</w:t>
            </w:r>
          </w:p>
        </w:tc>
        <w:tc>
          <w:tcPr>
            <w:tcW w:w="0" w:type="auto"/>
            <w:tcBorders>
              <w:top w:val="single" w:sz="4" w:space="0" w:color="auto"/>
              <w:left w:val="nil"/>
              <w:right w:val="nil"/>
            </w:tcBorders>
            <w:shd w:val="clear" w:color="auto" w:fill="auto"/>
            <w:noWrap/>
            <w:vAlign w:val="bottom"/>
            <w:hideMark/>
          </w:tcPr>
          <w:p w:rsidR="00FF227B" w:rsidRPr="009448E0" w:rsidRDefault="00FF227B" w:rsidP="00890252">
            <w:pPr>
              <w:spacing w:after="0" w:line="259" w:lineRule="auto"/>
              <w:rPr>
                <w:b/>
                <w:bCs/>
              </w:rPr>
            </w:pPr>
            <w:r w:rsidRPr="009448E0">
              <w:rPr>
                <w:b/>
                <w:bCs/>
              </w:rPr>
              <w:t>0-8hrs</w:t>
            </w:r>
          </w:p>
        </w:tc>
        <w:tc>
          <w:tcPr>
            <w:tcW w:w="0" w:type="auto"/>
            <w:tcBorders>
              <w:top w:val="single" w:sz="4" w:space="0" w:color="auto"/>
              <w:left w:val="nil"/>
              <w:right w:val="nil"/>
            </w:tcBorders>
            <w:shd w:val="clear" w:color="auto" w:fill="auto"/>
            <w:noWrap/>
            <w:vAlign w:val="bottom"/>
            <w:hideMark/>
          </w:tcPr>
          <w:p w:rsidR="00FF227B" w:rsidRPr="009448E0" w:rsidRDefault="00FF227B" w:rsidP="00890252">
            <w:pPr>
              <w:spacing w:after="0" w:line="259" w:lineRule="auto"/>
              <w:rPr>
                <w:b/>
                <w:bCs/>
              </w:rPr>
            </w:pPr>
            <w:r w:rsidRPr="009448E0">
              <w:rPr>
                <w:b/>
                <w:bCs/>
              </w:rPr>
              <w:t>&gt;8hrs</w:t>
            </w:r>
          </w:p>
        </w:tc>
      </w:tr>
      <w:tr w:rsidR="00FF227B" w:rsidRPr="009448E0" w:rsidTr="00890252">
        <w:trPr>
          <w:trHeight w:val="300"/>
        </w:trPr>
        <w:tc>
          <w:tcPr>
            <w:tcW w:w="0" w:type="auto"/>
            <w:tcBorders>
              <w:left w:val="nil"/>
              <w:bottom w:val="nil"/>
              <w:right w:val="nil"/>
            </w:tcBorders>
            <w:shd w:val="clear" w:color="auto" w:fill="auto"/>
            <w:noWrap/>
            <w:vAlign w:val="bottom"/>
            <w:hideMark/>
          </w:tcPr>
          <w:p w:rsidR="00FF227B" w:rsidRPr="009448E0" w:rsidRDefault="00FF227B" w:rsidP="00890252">
            <w:pPr>
              <w:spacing w:after="0" w:line="259" w:lineRule="auto"/>
              <w:rPr>
                <w:b/>
              </w:rPr>
            </w:pPr>
          </w:p>
        </w:tc>
        <w:tc>
          <w:tcPr>
            <w:tcW w:w="0" w:type="auto"/>
            <w:tcBorders>
              <w:left w:val="nil"/>
              <w:bottom w:val="nil"/>
              <w:right w:val="nil"/>
            </w:tcBorders>
            <w:shd w:val="clear" w:color="auto" w:fill="auto"/>
            <w:noWrap/>
            <w:vAlign w:val="bottom"/>
          </w:tcPr>
          <w:p w:rsidR="00FF227B" w:rsidRPr="009448E0" w:rsidRDefault="00FF227B" w:rsidP="00890252">
            <w:pPr>
              <w:spacing w:after="0" w:line="259" w:lineRule="auto"/>
              <w:rPr>
                <w:b/>
              </w:rPr>
            </w:pPr>
          </w:p>
        </w:tc>
        <w:tc>
          <w:tcPr>
            <w:tcW w:w="0" w:type="auto"/>
            <w:tcBorders>
              <w:left w:val="nil"/>
              <w:bottom w:val="nil"/>
              <w:right w:val="nil"/>
            </w:tcBorders>
            <w:shd w:val="clear" w:color="auto" w:fill="auto"/>
            <w:noWrap/>
            <w:vAlign w:val="bottom"/>
            <w:hideMark/>
          </w:tcPr>
          <w:p w:rsidR="00FF227B" w:rsidRPr="009448E0" w:rsidRDefault="00FF227B" w:rsidP="002B1780">
            <w:pPr>
              <w:spacing w:after="0" w:line="259" w:lineRule="auto"/>
            </w:pPr>
            <w:r w:rsidRPr="009448E0">
              <w:t>1.0</w:t>
            </w:r>
            <w:r w:rsidR="002B1780">
              <w:t>1</w:t>
            </w:r>
            <w:r w:rsidRPr="009448E0">
              <w:t xml:space="preserve"> (1.00-1.01)</w:t>
            </w:r>
          </w:p>
        </w:tc>
        <w:tc>
          <w:tcPr>
            <w:tcW w:w="0" w:type="auto"/>
            <w:tcBorders>
              <w:left w:val="nil"/>
              <w:bottom w:val="nil"/>
              <w:right w:val="nil"/>
            </w:tcBorders>
            <w:shd w:val="clear" w:color="auto" w:fill="auto"/>
            <w:noWrap/>
            <w:vAlign w:val="bottom"/>
            <w:hideMark/>
          </w:tcPr>
          <w:p w:rsidR="00FF227B" w:rsidRPr="009448E0" w:rsidRDefault="00FF227B" w:rsidP="00890252">
            <w:pPr>
              <w:spacing w:after="0" w:line="259" w:lineRule="auto"/>
            </w:pPr>
            <w:r w:rsidRPr="009448E0">
              <w:t>1.04 (1.03-1.05)</w:t>
            </w:r>
          </w:p>
        </w:tc>
      </w:tr>
      <w:tr w:rsidR="00FF227B" w:rsidRPr="009448E0" w:rsidTr="00890252">
        <w:trPr>
          <w:trHeight w:val="300"/>
        </w:trPr>
        <w:tc>
          <w:tcPr>
            <w:tcW w:w="0" w:type="auto"/>
            <w:tcBorders>
              <w:top w:val="nil"/>
              <w:left w:val="nil"/>
              <w:right w:val="nil"/>
            </w:tcBorders>
            <w:shd w:val="clear" w:color="auto" w:fill="auto"/>
            <w:noWrap/>
            <w:vAlign w:val="bottom"/>
            <w:hideMark/>
          </w:tcPr>
          <w:p w:rsidR="00FF227B" w:rsidRPr="009448E0" w:rsidRDefault="00FF227B" w:rsidP="00890252">
            <w:pPr>
              <w:spacing w:after="0" w:line="259" w:lineRule="auto"/>
              <w:rPr>
                <w:b/>
              </w:rPr>
            </w:pPr>
          </w:p>
        </w:tc>
        <w:tc>
          <w:tcPr>
            <w:tcW w:w="0" w:type="auto"/>
            <w:tcBorders>
              <w:top w:val="nil"/>
              <w:left w:val="nil"/>
              <w:right w:val="nil"/>
            </w:tcBorders>
            <w:shd w:val="clear" w:color="auto" w:fill="auto"/>
            <w:noWrap/>
            <w:vAlign w:val="bottom"/>
            <w:hideMark/>
          </w:tcPr>
          <w:p w:rsidR="00FF227B" w:rsidRPr="009448E0" w:rsidRDefault="00FF227B" w:rsidP="00890252">
            <w:pPr>
              <w:spacing w:after="0" w:line="259" w:lineRule="auto"/>
              <w:rPr>
                <w:b/>
              </w:rPr>
            </w:pPr>
            <w:r w:rsidRPr="009448E0">
              <w:rPr>
                <w:b/>
              </w:rPr>
              <w:t>TV viewing</w:t>
            </w:r>
          </w:p>
        </w:tc>
        <w:tc>
          <w:tcPr>
            <w:tcW w:w="0" w:type="auto"/>
            <w:tcBorders>
              <w:top w:val="nil"/>
              <w:left w:val="nil"/>
              <w:right w:val="nil"/>
            </w:tcBorders>
            <w:shd w:val="clear" w:color="auto" w:fill="auto"/>
            <w:noWrap/>
            <w:vAlign w:val="bottom"/>
            <w:hideMark/>
          </w:tcPr>
          <w:p w:rsidR="00FF227B" w:rsidRPr="009448E0" w:rsidRDefault="00FF227B" w:rsidP="00890252">
            <w:pPr>
              <w:spacing w:after="0" w:line="259" w:lineRule="auto"/>
              <w:rPr>
                <w:b/>
                <w:bCs/>
              </w:rPr>
            </w:pPr>
            <w:r w:rsidRPr="009448E0">
              <w:rPr>
                <w:b/>
                <w:bCs/>
              </w:rPr>
              <w:t>0-3.5hrs</w:t>
            </w:r>
          </w:p>
        </w:tc>
        <w:tc>
          <w:tcPr>
            <w:tcW w:w="0" w:type="auto"/>
            <w:tcBorders>
              <w:top w:val="nil"/>
              <w:left w:val="nil"/>
              <w:right w:val="nil"/>
            </w:tcBorders>
            <w:shd w:val="clear" w:color="auto" w:fill="auto"/>
            <w:noWrap/>
            <w:vAlign w:val="bottom"/>
            <w:hideMark/>
          </w:tcPr>
          <w:p w:rsidR="00FF227B" w:rsidRPr="009448E0" w:rsidRDefault="00FF227B" w:rsidP="00890252">
            <w:pPr>
              <w:spacing w:after="0" w:line="259" w:lineRule="auto"/>
              <w:rPr>
                <w:b/>
                <w:bCs/>
              </w:rPr>
            </w:pPr>
            <w:r w:rsidRPr="009448E0">
              <w:rPr>
                <w:b/>
                <w:bCs/>
              </w:rPr>
              <w:t>&gt;3.5hrs</w:t>
            </w:r>
          </w:p>
        </w:tc>
      </w:tr>
      <w:tr w:rsidR="00FF227B" w:rsidRPr="009448E0" w:rsidTr="00890252">
        <w:trPr>
          <w:trHeight w:val="300"/>
        </w:trPr>
        <w:tc>
          <w:tcPr>
            <w:tcW w:w="0" w:type="auto"/>
            <w:tcBorders>
              <w:bottom w:val="single" w:sz="4" w:space="0" w:color="auto"/>
              <w:right w:val="nil"/>
            </w:tcBorders>
            <w:shd w:val="clear" w:color="auto" w:fill="auto"/>
            <w:noWrap/>
            <w:vAlign w:val="bottom"/>
            <w:hideMark/>
          </w:tcPr>
          <w:p w:rsidR="00FF227B" w:rsidRPr="009448E0" w:rsidRDefault="00FF227B" w:rsidP="00890252">
            <w:pPr>
              <w:spacing w:after="0" w:line="259" w:lineRule="auto"/>
              <w:rPr>
                <w:b/>
                <w:bCs/>
              </w:rPr>
            </w:pPr>
          </w:p>
        </w:tc>
        <w:tc>
          <w:tcPr>
            <w:tcW w:w="0" w:type="auto"/>
            <w:tcBorders>
              <w:left w:val="nil"/>
              <w:bottom w:val="single" w:sz="4" w:space="0" w:color="auto"/>
              <w:right w:val="nil"/>
            </w:tcBorders>
            <w:shd w:val="clear" w:color="auto" w:fill="auto"/>
            <w:noWrap/>
            <w:vAlign w:val="bottom"/>
            <w:hideMark/>
          </w:tcPr>
          <w:p w:rsidR="00FF227B" w:rsidRPr="009448E0" w:rsidRDefault="00FF227B" w:rsidP="00890252">
            <w:pPr>
              <w:spacing w:after="0" w:line="259" w:lineRule="auto"/>
              <w:rPr>
                <w:b/>
              </w:rPr>
            </w:pPr>
          </w:p>
        </w:tc>
        <w:tc>
          <w:tcPr>
            <w:tcW w:w="0" w:type="auto"/>
            <w:tcBorders>
              <w:left w:val="nil"/>
              <w:bottom w:val="single" w:sz="4" w:space="0" w:color="auto"/>
              <w:right w:val="nil"/>
            </w:tcBorders>
            <w:shd w:val="clear" w:color="auto" w:fill="auto"/>
            <w:noWrap/>
            <w:vAlign w:val="bottom"/>
            <w:hideMark/>
          </w:tcPr>
          <w:p w:rsidR="00FF227B" w:rsidRPr="009448E0" w:rsidRDefault="00FF227B" w:rsidP="003B3E1C">
            <w:pPr>
              <w:spacing w:after="0" w:line="259" w:lineRule="auto"/>
            </w:pPr>
            <w:r w:rsidRPr="009448E0">
              <w:t>1.0</w:t>
            </w:r>
            <w:r w:rsidR="00C7798A">
              <w:t>3</w:t>
            </w:r>
            <w:r w:rsidRPr="009448E0">
              <w:t xml:space="preserve"> (1.01-1.04)</w:t>
            </w:r>
          </w:p>
        </w:tc>
        <w:tc>
          <w:tcPr>
            <w:tcW w:w="0" w:type="auto"/>
            <w:tcBorders>
              <w:left w:val="nil"/>
              <w:bottom w:val="single" w:sz="4" w:space="0" w:color="auto"/>
            </w:tcBorders>
            <w:shd w:val="clear" w:color="auto" w:fill="auto"/>
            <w:noWrap/>
            <w:vAlign w:val="bottom"/>
            <w:hideMark/>
          </w:tcPr>
          <w:p w:rsidR="00FF227B" w:rsidRPr="009448E0" w:rsidRDefault="00FF227B" w:rsidP="00C7798A">
            <w:pPr>
              <w:spacing w:after="0" w:line="259" w:lineRule="auto"/>
            </w:pPr>
            <w:r w:rsidRPr="009448E0">
              <w:t>1.06 (1.0</w:t>
            </w:r>
            <w:r w:rsidR="00C7798A">
              <w:t>5</w:t>
            </w:r>
            <w:r w:rsidRPr="009448E0">
              <w:t>-1.0</w:t>
            </w:r>
            <w:r w:rsidR="00C7798A">
              <w:t>8</w:t>
            </w:r>
            <w:r w:rsidRPr="009448E0">
              <w:t>)</w:t>
            </w:r>
          </w:p>
        </w:tc>
      </w:tr>
      <w:tr w:rsidR="00FF227B" w:rsidRPr="009448E0" w:rsidTr="00890252">
        <w:trPr>
          <w:trHeight w:val="300"/>
        </w:trPr>
        <w:tc>
          <w:tcPr>
            <w:tcW w:w="0" w:type="auto"/>
            <w:tcBorders>
              <w:top w:val="single" w:sz="4" w:space="0" w:color="auto"/>
              <w:right w:val="nil"/>
            </w:tcBorders>
            <w:shd w:val="clear" w:color="auto" w:fill="auto"/>
            <w:noWrap/>
            <w:vAlign w:val="bottom"/>
            <w:hideMark/>
          </w:tcPr>
          <w:p w:rsidR="00FF227B" w:rsidRPr="009448E0" w:rsidRDefault="00FF227B" w:rsidP="00890252">
            <w:pPr>
              <w:spacing w:after="0" w:line="259" w:lineRule="auto"/>
              <w:rPr>
                <w:b/>
              </w:rPr>
            </w:pPr>
            <w:r w:rsidRPr="009448E0">
              <w:rPr>
                <w:b/>
              </w:rPr>
              <w:t>CVD mortality</w:t>
            </w:r>
          </w:p>
        </w:tc>
        <w:tc>
          <w:tcPr>
            <w:tcW w:w="0" w:type="auto"/>
            <w:tcBorders>
              <w:top w:val="single" w:sz="4" w:space="0" w:color="auto"/>
              <w:left w:val="nil"/>
              <w:right w:val="nil"/>
            </w:tcBorders>
            <w:shd w:val="clear" w:color="auto" w:fill="auto"/>
            <w:noWrap/>
            <w:vAlign w:val="bottom"/>
            <w:hideMark/>
          </w:tcPr>
          <w:p w:rsidR="00FF227B" w:rsidRPr="009448E0" w:rsidRDefault="00FF227B" w:rsidP="00890252">
            <w:pPr>
              <w:spacing w:after="0" w:line="259" w:lineRule="auto"/>
              <w:rPr>
                <w:b/>
              </w:rPr>
            </w:pPr>
            <w:r w:rsidRPr="009448E0">
              <w:rPr>
                <w:b/>
              </w:rPr>
              <w:t>Total Sedentary behaviour</w:t>
            </w:r>
          </w:p>
        </w:tc>
        <w:tc>
          <w:tcPr>
            <w:tcW w:w="0" w:type="auto"/>
            <w:tcBorders>
              <w:top w:val="single" w:sz="4" w:space="0" w:color="auto"/>
              <w:left w:val="nil"/>
              <w:right w:val="nil"/>
            </w:tcBorders>
            <w:shd w:val="clear" w:color="auto" w:fill="auto"/>
            <w:noWrap/>
            <w:vAlign w:val="bottom"/>
            <w:hideMark/>
          </w:tcPr>
          <w:p w:rsidR="00FF227B" w:rsidRPr="009448E0" w:rsidRDefault="00FF227B" w:rsidP="00890252">
            <w:pPr>
              <w:spacing w:after="0" w:line="259" w:lineRule="auto"/>
              <w:rPr>
                <w:b/>
                <w:bCs/>
              </w:rPr>
            </w:pPr>
            <w:r w:rsidRPr="009448E0">
              <w:rPr>
                <w:b/>
                <w:bCs/>
              </w:rPr>
              <w:t>0-6hrs</w:t>
            </w:r>
          </w:p>
        </w:tc>
        <w:tc>
          <w:tcPr>
            <w:tcW w:w="0" w:type="auto"/>
            <w:tcBorders>
              <w:top w:val="single" w:sz="4" w:space="0" w:color="auto"/>
              <w:left w:val="nil"/>
            </w:tcBorders>
            <w:shd w:val="clear" w:color="auto" w:fill="auto"/>
            <w:noWrap/>
            <w:vAlign w:val="bottom"/>
            <w:hideMark/>
          </w:tcPr>
          <w:p w:rsidR="00FF227B" w:rsidRPr="009448E0" w:rsidRDefault="00FF227B" w:rsidP="00890252">
            <w:pPr>
              <w:spacing w:after="0" w:line="259" w:lineRule="auto"/>
              <w:rPr>
                <w:b/>
                <w:bCs/>
              </w:rPr>
            </w:pPr>
            <w:r w:rsidRPr="009448E0">
              <w:rPr>
                <w:b/>
                <w:bCs/>
              </w:rPr>
              <w:t>&gt;6hrs</w:t>
            </w:r>
          </w:p>
        </w:tc>
      </w:tr>
      <w:tr w:rsidR="00FF227B" w:rsidRPr="009448E0" w:rsidTr="00890252">
        <w:trPr>
          <w:trHeight w:val="300"/>
        </w:trPr>
        <w:tc>
          <w:tcPr>
            <w:tcW w:w="0" w:type="auto"/>
            <w:tcBorders>
              <w:left w:val="nil"/>
              <w:bottom w:val="nil"/>
              <w:right w:val="nil"/>
            </w:tcBorders>
            <w:shd w:val="clear" w:color="auto" w:fill="auto"/>
            <w:noWrap/>
            <w:vAlign w:val="bottom"/>
            <w:hideMark/>
          </w:tcPr>
          <w:p w:rsidR="00FF227B" w:rsidRPr="009448E0" w:rsidRDefault="00FF227B" w:rsidP="00890252">
            <w:pPr>
              <w:spacing w:after="0" w:line="259" w:lineRule="auto"/>
              <w:rPr>
                <w:b/>
              </w:rPr>
            </w:pPr>
          </w:p>
        </w:tc>
        <w:tc>
          <w:tcPr>
            <w:tcW w:w="0" w:type="auto"/>
            <w:tcBorders>
              <w:left w:val="nil"/>
              <w:bottom w:val="nil"/>
              <w:right w:val="nil"/>
            </w:tcBorders>
            <w:shd w:val="clear" w:color="auto" w:fill="auto"/>
            <w:noWrap/>
            <w:vAlign w:val="bottom"/>
            <w:hideMark/>
          </w:tcPr>
          <w:p w:rsidR="00FF227B" w:rsidRPr="009448E0" w:rsidRDefault="00FF227B" w:rsidP="00890252">
            <w:pPr>
              <w:spacing w:after="0" w:line="259" w:lineRule="auto"/>
              <w:rPr>
                <w:b/>
              </w:rPr>
            </w:pPr>
          </w:p>
        </w:tc>
        <w:tc>
          <w:tcPr>
            <w:tcW w:w="0" w:type="auto"/>
            <w:tcBorders>
              <w:left w:val="nil"/>
              <w:bottom w:val="nil"/>
              <w:right w:val="nil"/>
            </w:tcBorders>
            <w:shd w:val="clear" w:color="auto" w:fill="auto"/>
            <w:noWrap/>
            <w:vAlign w:val="bottom"/>
            <w:hideMark/>
          </w:tcPr>
          <w:p w:rsidR="00FF227B" w:rsidRPr="009448E0" w:rsidRDefault="00FF227B" w:rsidP="00C7798A">
            <w:pPr>
              <w:spacing w:after="0" w:line="259" w:lineRule="auto"/>
            </w:pPr>
            <w:r w:rsidRPr="009448E0">
              <w:t>1.0</w:t>
            </w:r>
            <w:r w:rsidR="00C7798A">
              <w:t>1</w:t>
            </w:r>
            <w:r w:rsidRPr="009448E0">
              <w:t xml:space="preserve"> (0.99-1.02)</w:t>
            </w:r>
          </w:p>
        </w:tc>
        <w:tc>
          <w:tcPr>
            <w:tcW w:w="0" w:type="auto"/>
            <w:tcBorders>
              <w:left w:val="nil"/>
              <w:bottom w:val="nil"/>
              <w:right w:val="nil"/>
            </w:tcBorders>
            <w:shd w:val="clear" w:color="auto" w:fill="auto"/>
            <w:noWrap/>
            <w:vAlign w:val="bottom"/>
            <w:hideMark/>
          </w:tcPr>
          <w:p w:rsidR="00FF227B" w:rsidRPr="009448E0" w:rsidRDefault="00FF227B" w:rsidP="00C7798A">
            <w:pPr>
              <w:spacing w:after="0" w:line="259" w:lineRule="auto"/>
            </w:pPr>
            <w:r w:rsidRPr="009448E0">
              <w:t>1.0</w:t>
            </w:r>
            <w:r w:rsidR="00C7798A">
              <w:t>4</w:t>
            </w:r>
            <w:r w:rsidRPr="009448E0">
              <w:t xml:space="preserve"> (1.03-1.04)</w:t>
            </w:r>
          </w:p>
        </w:tc>
      </w:tr>
      <w:tr w:rsidR="00FF227B" w:rsidRPr="009448E0" w:rsidTr="00890252">
        <w:trPr>
          <w:trHeight w:val="300"/>
        </w:trPr>
        <w:tc>
          <w:tcPr>
            <w:tcW w:w="0" w:type="auto"/>
            <w:tcBorders>
              <w:top w:val="nil"/>
              <w:left w:val="nil"/>
              <w:right w:val="nil"/>
            </w:tcBorders>
            <w:shd w:val="clear" w:color="auto" w:fill="auto"/>
            <w:noWrap/>
            <w:vAlign w:val="bottom"/>
            <w:hideMark/>
          </w:tcPr>
          <w:p w:rsidR="00FF227B" w:rsidRPr="009448E0" w:rsidRDefault="00FF227B" w:rsidP="00890252">
            <w:pPr>
              <w:spacing w:after="0" w:line="259" w:lineRule="auto"/>
              <w:rPr>
                <w:b/>
              </w:rPr>
            </w:pPr>
          </w:p>
        </w:tc>
        <w:tc>
          <w:tcPr>
            <w:tcW w:w="0" w:type="auto"/>
            <w:tcBorders>
              <w:top w:val="nil"/>
              <w:left w:val="nil"/>
              <w:right w:val="nil"/>
            </w:tcBorders>
            <w:shd w:val="clear" w:color="auto" w:fill="auto"/>
            <w:noWrap/>
            <w:vAlign w:val="bottom"/>
            <w:hideMark/>
          </w:tcPr>
          <w:p w:rsidR="00FF227B" w:rsidRPr="009448E0" w:rsidRDefault="00FF227B" w:rsidP="00890252">
            <w:pPr>
              <w:spacing w:after="0" w:line="259" w:lineRule="auto"/>
              <w:rPr>
                <w:b/>
              </w:rPr>
            </w:pPr>
            <w:r w:rsidRPr="009448E0">
              <w:rPr>
                <w:b/>
              </w:rPr>
              <w:t>TV viewing</w:t>
            </w:r>
          </w:p>
        </w:tc>
        <w:tc>
          <w:tcPr>
            <w:tcW w:w="0" w:type="auto"/>
            <w:tcBorders>
              <w:top w:val="nil"/>
              <w:left w:val="nil"/>
              <w:right w:val="nil"/>
            </w:tcBorders>
            <w:shd w:val="clear" w:color="auto" w:fill="auto"/>
            <w:noWrap/>
            <w:vAlign w:val="bottom"/>
            <w:hideMark/>
          </w:tcPr>
          <w:p w:rsidR="00FF227B" w:rsidRPr="009448E0" w:rsidRDefault="00FF227B" w:rsidP="00890252">
            <w:pPr>
              <w:spacing w:after="0" w:line="259" w:lineRule="auto"/>
              <w:rPr>
                <w:b/>
                <w:bCs/>
              </w:rPr>
            </w:pPr>
            <w:r w:rsidRPr="009448E0">
              <w:rPr>
                <w:b/>
                <w:bCs/>
              </w:rPr>
              <w:t>0-4hrs</w:t>
            </w:r>
          </w:p>
        </w:tc>
        <w:tc>
          <w:tcPr>
            <w:tcW w:w="0" w:type="auto"/>
            <w:tcBorders>
              <w:top w:val="nil"/>
              <w:left w:val="nil"/>
              <w:right w:val="nil"/>
            </w:tcBorders>
            <w:shd w:val="clear" w:color="auto" w:fill="auto"/>
            <w:noWrap/>
            <w:vAlign w:val="bottom"/>
            <w:hideMark/>
          </w:tcPr>
          <w:p w:rsidR="00FF227B" w:rsidRPr="009448E0" w:rsidRDefault="00FF227B" w:rsidP="00890252">
            <w:pPr>
              <w:spacing w:after="0" w:line="259" w:lineRule="auto"/>
              <w:rPr>
                <w:b/>
                <w:bCs/>
              </w:rPr>
            </w:pPr>
            <w:r w:rsidRPr="009448E0">
              <w:rPr>
                <w:b/>
                <w:bCs/>
              </w:rPr>
              <w:t>&gt;4hrs</w:t>
            </w:r>
          </w:p>
        </w:tc>
      </w:tr>
      <w:tr w:rsidR="00FF227B" w:rsidRPr="009448E0" w:rsidTr="00890252">
        <w:trPr>
          <w:trHeight w:val="300"/>
        </w:trPr>
        <w:tc>
          <w:tcPr>
            <w:tcW w:w="0" w:type="auto"/>
            <w:tcBorders>
              <w:top w:val="nil"/>
              <w:left w:val="nil"/>
              <w:bottom w:val="single" w:sz="4" w:space="0" w:color="auto"/>
              <w:right w:val="nil"/>
            </w:tcBorders>
            <w:shd w:val="clear" w:color="auto" w:fill="auto"/>
            <w:noWrap/>
            <w:vAlign w:val="bottom"/>
            <w:hideMark/>
          </w:tcPr>
          <w:p w:rsidR="00FF227B" w:rsidRPr="009448E0" w:rsidRDefault="00FF227B" w:rsidP="00890252">
            <w:pPr>
              <w:spacing w:after="0" w:line="259" w:lineRule="auto"/>
              <w:rPr>
                <w:b/>
                <w:bCs/>
              </w:rPr>
            </w:pPr>
          </w:p>
        </w:tc>
        <w:tc>
          <w:tcPr>
            <w:tcW w:w="0" w:type="auto"/>
            <w:tcBorders>
              <w:top w:val="nil"/>
              <w:left w:val="nil"/>
              <w:bottom w:val="single" w:sz="4" w:space="0" w:color="auto"/>
              <w:right w:val="nil"/>
            </w:tcBorders>
            <w:shd w:val="clear" w:color="auto" w:fill="auto"/>
            <w:noWrap/>
            <w:vAlign w:val="bottom"/>
          </w:tcPr>
          <w:p w:rsidR="00FF227B" w:rsidRPr="009448E0" w:rsidRDefault="00FF227B" w:rsidP="00890252">
            <w:pPr>
              <w:spacing w:after="0" w:line="259" w:lineRule="auto"/>
              <w:rPr>
                <w:b/>
              </w:rPr>
            </w:pPr>
          </w:p>
        </w:tc>
        <w:tc>
          <w:tcPr>
            <w:tcW w:w="0" w:type="auto"/>
            <w:tcBorders>
              <w:top w:val="nil"/>
              <w:left w:val="nil"/>
              <w:bottom w:val="single" w:sz="4" w:space="0" w:color="auto"/>
              <w:right w:val="nil"/>
            </w:tcBorders>
            <w:shd w:val="clear" w:color="auto" w:fill="auto"/>
            <w:noWrap/>
            <w:vAlign w:val="bottom"/>
            <w:hideMark/>
          </w:tcPr>
          <w:p w:rsidR="00FF227B" w:rsidRPr="009448E0" w:rsidRDefault="00FF227B" w:rsidP="00C7798A">
            <w:pPr>
              <w:spacing w:after="0" w:line="259" w:lineRule="auto"/>
            </w:pPr>
            <w:r w:rsidRPr="009448E0">
              <w:t>1.0</w:t>
            </w:r>
            <w:r w:rsidR="00C7798A">
              <w:t>2</w:t>
            </w:r>
            <w:r w:rsidRPr="009448E0">
              <w:t xml:space="preserve"> (0.99-1.04)</w:t>
            </w:r>
          </w:p>
        </w:tc>
        <w:tc>
          <w:tcPr>
            <w:tcW w:w="0" w:type="auto"/>
            <w:tcBorders>
              <w:top w:val="nil"/>
              <w:left w:val="nil"/>
              <w:bottom w:val="single" w:sz="4" w:space="0" w:color="auto"/>
              <w:right w:val="nil"/>
            </w:tcBorders>
            <w:shd w:val="clear" w:color="auto" w:fill="auto"/>
            <w:noWrap/>
            <w:vAlign w:val="bottom"/>
            <w:hideMark/>
          </w:tcPr>
          <w:p w:rsidR="00FF227B" w:rsidRPr="009448E0" w:rsidRDefault="00FF227B" w:rsidP="00C7798A">
            <w:pPr>
              <w:spacing w:after="0" w:line="259" w:lineRule="auto"/>
            </w:pPr>
            <w:r w:rsidRPr="009448E0">
              <w:t>1.08 (1.05-1.1</w:t>
            </w:r>
            <w:r w:rsidR="00C7798A">
              <w:t>2</w:t>
            </w:r>
            <w:r w:rsidRPr="009448E0">
              <w:t>)</w:t>
            </w:r>
          </w:p>
        </w:tc>
      </w:tr>
    </w:tbl>
    <w:p w:rsidR="00FF227B" w:rsidRPr="009448E0" w:rsidRDefault="00FF227B" w:rsidP="00890252">
      <w:pPr>
        <w:spacing w:line="259" w:lineRule="auto"/>
      </w:pPr>
      <w:r w:rsidRPr="009448E0">
        <w:br w:type="page"/>
      </w:r>
    </w:p>
    <w:p w:rsidR="00FF227B" w:rsidRPr="009448E0" w:rsidRDefault="00FF227B" w:rsidP="00890252">
      <w:pPr>
        <w:keepNext/>
        <w:keepLines/>
        <w:spacing w:before="240" w:after="0" w:line="240" w:lineRule="auto"/>
        <w:outlineLvl w:val="0"/>
        <w:rPr>
          <w:rFonts w:eastAsia="Times New Roman" w:cstheme="majorBidi"/>
          <w:szCs w:val="32"/>
          <w:lang w:eastAsia="en-GB"/>
        </w:rPr>
      </w:pPr>
      <w:bookmarkStart w:id="9" w:name="_Toc486427065"/>
      <w:r>
        <w:rPr>
          <w:rFonts w:eastAsia="Times New Roman" w:cstheme="majorBidi"/>
          <w:szCs w:val="32"/>
          <w:lang w:eastAsia="en-GB"/>
        </w:rPr>
        <w:lastRenderedPageBreak/>
        <w:t>Appendix Figure</w:t>
      </w:r>
      <w:r w:rsidRPr="009448E0">
        <w:rPr>
          <w:rFonts w:eastAsia="Times New Roman" w:cstheme="majorBidi"/>
          <w:szCs w:val="32"/>
          <w:lang w:eastAsia="en-GB"/>
        </w:rPr>
        <w:t xml:space="preserve"> 5 - Funnel Plots with pseudo 95% confidence limits and Egger’s test for fully adjusted analyses with at least 5 contributing studies</w:t>
      </w:r>
      <w:bookmarkEnd w:id="9"/>
    </w:p>
    <w:p w:rsidR="00C049FF" w:rsidRDefault="00FF227B" w:rsidP="00890252">
      <w:pPr>
        <w:spacing w:line="259" w:lineRule="auto"/>
        <w:sectPr w:rsidR="00C049FF" w:rsidSect="00890252">
          <w:footerReference w:type="default" r:id="rId12"/>
          <w:pgSz w:w="16838" w:h="11906" w:orient="landscape"/>
          <w:pgMar w:top="720" w:right="720" w:bottom="720" w:left="720" w:header="708" w:footer="708" w:gutter="0"/>
          <w:cols w:space="708"/>
          <w:docGrid w:linePitch="360"/>
        </w:sectPr>
      </w:pPr>
      <w:r w:rsidRPr="009448E0">
        <w:rPr>
          <w:noProof/>
          <w:lang w:val="en-IN" w:eastAsia="en-IN"/>
        </w:rPr>
        <w:drawing>
          <wp:inline distT="0" distB="0" distL="0" distR="0">
            <wp:extent cx="8162211" cy="59131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bwMode="auto">
                    <a:xfrm>
                      <a:off x="0" y="0"/>
                      <a:ext cx="8162211" cy="5913150"/>
                    </a:xfrm>
                    <a:prstGeom prst="rect">
                      <a:avLst/>
                    </a:prstGeom>
                    <a:noFill/>
                    <a:ln>
                      <a:noFill/>
                    </a:ln>
                  </pic:spPr>
                </pic:pic>
              </a:graphicData>
            </a:graphic>
          </wp:inline>
        </w:drawing>
      </w:r>
    </w:p>
    <w:tbl>
      <w:tblPr>
        <w:tblStyle w:val="TableGrid21"/>
        <w:tblW w:w="9394" w:type="dxa"/>
        <w:tblLayout w:type="fixed"/>
        <w:tblLook w:val="04A0"/>
      </w:tblPr>
      <w:tblGrid>
        <w:gridCol w:w="2122"/>
        <w:gridCol w:w="1417"/>
        <w:gridCol w:w="284"/>
        <w:gridCol w:w="1275"/>
        <w:gridCol w:w="1560"/>
        <w:gridCol w:w="236"/>
        <w:gridCol w:w="279"/>
        <w:gridCol w:w="619"/>
        <w:gridCol w:w="661"/>
        <w:gridCol w:w="614"/>
        <w:gridCol w:w="327"/>
      </w:tblGrid>
      <w:tr w:rsidR="00C049FF" w:rsidRPr="00C049FF" w:rsidTr="002B1780">
        <w:trPr>
          <w:gridAfter w:val="1"/>
          <w:wAfter w:w="327" w:type="dxa"/>
          <w:trHeight w:val="142"/>
        </w:trPr>
        <w:tc>
          <w:tcPr>
            <w:tcW w:w="9067" w:type="dxa"/>
            <w:gridSpan w:val="10"/>
            <w:tcBorders>
              <w:top w:val="nil"/>
              <w:left w:val="nil"/>
              <w:bottom w:val="single" w:sz="4" w:space="0" w:color="auto"/>
              <w:right w:val="nil"/>
            </w:tcBorders>
            <w:vAlign w:val="center"/>
          </w:tcPr>
          <w:p w:rsidR="00C049FF" w:rsidRPr="00C049FF" w:rsidRDefault="00C049FF" w:rsidP="00C049FF">
            <w:pPr>
              <w:spacing w:after="240" w:line="360" w:lineRule="auto"/>
              <w:rPr>
                <w:rFonts w:ascii="Arial" w:hAnsi="Arial" w:cstheme="minorHAnsi"/>
                <w:szCs w:val="24"/>
              </w:rPr>
            </w:pPr>
            <w:r w:rsidRPr="00C049FF">
              <w:rPr>
                <w:rFonts w:ascii="Arial" w:hAnsi="Arial" w:cstheme="minorHAnsi"/>
                <w:szCs w:val="24"/>
              </w:rPr>
              <w:lastRenderedPageBreak/>
              <w:t>Appendix Table 6 – sensitivity analyses using linear PA adjusted associations, except where stated.</w:t>
            </w:r>
          </w:p>
        </w:tc>
      </w:tr>
      <w:tr w:rsidR="00C049FF" w:rsidRPr="00C049FF" w:rsidTr="002B1780">
        <w:trPr>
          <w:gridAfter w:val="1"/>
          <w:wAfter w:w="327" w:type="dxa"/>
          <w:trHeight w:val="737"/>
        </w:trPr>
        <w:tc>
          <w:tcPr>
            <w:tcW w:w="9067" w:type="dxa"/>
            <w:gridSpan w:val="10"/>
            <w:tcBorders>
              <w:top w:val="single" w:sz="4" w:space="0" w:color="auto"/>
              <w:bottom w:val="single" w:sz="4" w:space="0" w:color="auto"/>
            </w:tcBorders>
            <w:vAlign w:val="center"/>
            <w:hideMark/>
          </w:tcPr>
          <w:p w:rsidR="00C049FF" w:rsidRPr="00C049FF" w:rsidRDefault="00C049FF" w:rsidP="00C049FF">
            <w:pPr>
              <w:spacing w:line="240" w:lineRule="auto"/>
              <w:jc w:val="center"/>
              <w:rPr>
                <w:rFonts w:ascii="Arial" w:eastAsia="Calibri" w:hAnsi="Arial" w:cs="Arial"/>
                <w:sz w:val="28"/>
                <w:szCs w:val="28"/>
              </w:rPr>
            </w:pPr>
            <w:r w:rsidRPr="00C049FF">
              <w:rPr>
                <w:rFonts w:ascii="Arial" w:eastAsia="Calibri" w:hAnsi="Arial" w:cs="Arial"/>
                <w:sz w:val="28"/>
                <w:szCs w:val="28"/>
              </w:rPr>
              <w:t>All-cause mortality</w:t>
            </w:r>
          </w:p>
        </w:tc>
      </w:tr>
      <w:tr w:rsidR="00C049FF" w:rsidRPr="00C049FF" w:rsidTr="002B1780">
        <w:trPr>
          <w:gridAfter w:val="1"/>
          <w:wAfter w:w="327" w:type="dxa"/>
          <w:trHeight w:val="255"/>
        </w:trPr>
        <w:tc>
          <w:tcPr>
            <w:tcW w:w="2122" w:type="dxa"/>
            <w:tcBorders>
              <w:top w:val="single" w:sz="4" w:space="0" w:color="auto"/>
              <w:left w:val="nil"/>
              <w:bottom w:val="single" w:sz="4" w:space="0" w:color="auto"/>
              <w:right w:val="nil"/>
            </w:tcBorders>
            <w:vAlign w:val="center"/>
            <w:hideMark/>
          </w:tcPr>
          <w:p w:rsidR="00C049FF" w:rsidRPr="00C049FF" w:rsidRDefault="00C049FF" w:rsidP="00C049FF">
            <w:pPr>
              <w:spacing w:line="240" w:lineRule="auto"/>
              <w:jc w:val="center"/>
              <w:rPr>
                <w:rFonts w:ascii="Arial" w:eastAsia="Calibri" w:hAnsi="Arial" w:cs="Arial"/>
                <w:szCs w:val="24"/>
              </w:rPr>
            </w:pPr>
          </w:p>
        </w:tc>
        <w:tc>
          <w:tcPr>
            <w:tcW w:w="1417" w:type="dxa"/>
            <w:tcBorders>
              <w:top w:val="single" w:sz="4" w:space="0" w:color="auto"/>
              <w:left w:val="nil"/>
              <w:bottom w:val="single" w:sz="4" w:space="0" w:color="auto"/>
              <w:right w:val="nil"/>
            </w:tcBorders>
            <w:noWrap/>
            <w:vAlign w:val="center"/>
            <w:hideMark/>
          </w:tcPr>
          <w:p w:rsidR="00C049FF" w:rsidRPr="00C049FF" w:rsidRDefault="00C049FF" w:rsidP="00C049FF">
            <w:pPr>
              <w:spacing w:line="240" w:lineRule="auto"/>
              <w:jc w:val="center"/>
              <w:rPr>
                <w:rFonts w:ascii="Arial" w:eastAsia="Calibri" w:hAnsi="Arial" w:cs="Arial"/>
                <w:sz w:val="20"/>
                <w:szCs w:val="20"/>
              </w:rPr>
            </w:pPr>
            <w:r w:rsidRPr="00C049FF">
              <w:rPr>
                <w:rFonts w:ascii="Arial" w:eastAsia="Calibri" w:hAnsi="Arial" w:cs="Arial"/>
                <w:sz w:val="20"/>
                <w:szCs w:val="20"/>
              </w:rPr>
              <w:t>RR</w:t>
            </w:r>
          </w:p>
        </w:tc>
        <w:tc>
          <w:tcPr>
            <w:tcW w:w="1559" w:type="dxa"/>
            <w:gridSpan w:val="2"/>
            <w:tcBorders>
              <w:top w:val="single" w:sz="4" w:space="0" w:color="auto"/>
              <w:left w:val="nil"/>
              <w:bottom w:val="single" w:sz="4" w:space="0" w:color="auto"/>
              <w:right w:val="nil"/>
            </w:tcBorders>
            <w:noWrap/>
            <w:vAlign w:val="center"/>
            <w:hideMark/>
          </w:tcPr>
          <w:p w:rsidR="00C049FF" w:rsidRPr="00C049FF" w:rsidRDefault="00C049FF" w:rsidP="00C049FF">
            <w:pPr>
              <w:spacing w:line="240" w:lineRule="auto"/>
              <w:jc w:val="center"/>
              <w:rPr>
                <w:rFonts w:ascii="Arial" w:eastAsia="Calibri" w:hAnsi="Arial" w:cs="Arial"/>
                <w:sz w:val="20"/>
                <w:szCs w:val="20"/>
              </w:rPr>
            </w:pPr>
            <w:r w:rsidRPr="00C049FF">
              <w:rPr>
                <w:rFonts w:ascii="Arial" w:eastAsia="Calibri" w:hAnsi="Arial" w:cs="Arial"/>
                <w:sz w:val="20"/>
                <w:szCs w:val="20"/>
              </w:rPr>
              <w:t>95%CI</w:t>
            </w:r>
          </w:p>
        </w:tc>
        <w:tc>
          <w:tcPr>
            <w:tcW w:w="1560" w:type="dxa"/>
            <w:tcBorders>
              <w:top w:val="single" w:sz="4" w:space="0" w:color="auto"/>
              <w:left w:val="nil"/>
              <w:bottom w:val="single" w:sz="4" w:space="0" w:color="auto"/>
              <w:right w:val="nil"/>
            </w:tcBorders>
            <w:noWrap/>
            <w:vAlign w:val="center"/>
            <w:hideMark/>
          </w:tcPr>
          <w:p w:rsidR="00C049FF" w:rsidRPr="00C049FF" w:rsidRDefault="00C049FF" w:rsidP="00C049FF">
            <w:pPr>
              <w:spacing w:line="240" w:lineRule="auto"/>
              <w:jc w:val="center"/>
              <w:rPr>
                <w:rFonts w:ascii="Arial" w:eastAsia="Calibri" w:hAnsi="Arial" w:cs="Arial"/>
                <w:sz w:val="20"/>
                <w:szCs w:val="20"/>
              </w:rPr>
            </w:pPr>
            <w:r w:rsidRPr="00C049FF">
              <w:rPr>
                <w:rFonts w:ascii="Arial" w:eastAsia="Calibri" w:hAnsi="Arial" w:cs="Arial"/>
                <w:sz w:val="20"/>
                <w:szCs w:val="20"/>
              </w:rPr>
              <w:t>Number of studies</w:t>
            </w:r>
          </w:p>
        </w:tc>
        <w:tc>
          <w:tcPr>
            <w:tcW w:w="1134" w:type="dxa"/>
            <w:gridSpan w:val="3"/>
            <w:tcBorders>
              <w:top w:val="single" w:sz="4" w:space="0" w:color="auto"/>
              <w:left w:val="nil"/>
              <w:bottom w:val="single" w:sz="4" w:space="0" w:color="auto"/>
              <w:right w:val="nil"/>
            </w:tcBorders>
            <w:noWrap/>
            <w:vAlign w:val="center"/>
            <w:hideMark/>
          </w:tcPr>
          <w:p w:rsidR="00C049FF" w:rsidRPr="00C049FF" w:rsidRDefault="00C049FF" w:rsidP="00C049FF">
            <w:pPr>
              <w:spacing w:line="240" w:lineRule="auto"/>
              <w:jc w:val="center"/>
              <w:rPr>
                <w:rFonts w:ascii="Arial" w:eastAsia="Calibri" w:hAnsi="Arial" w:cs="Arial"/>
                <w:sz w:val="20"/>
                <w:szCs w:val="20"/>
              </w:rPr>
            </w:pPr>
            <w:r w:rsidRPr="00C049FF">
              <w:rPr>
                <w:rFonts w:ascii="Arial" w:eastAsia="Calibri" w:hAnsi="Arial" w:cs="Arial"/>
                <w:sz w:val="20"/>
                <w:szCs w:val="20"/>
              </w:rPr>
              <w:t>I</w:t>
            </w:r>
            <w:r w:rsidRPr="00C049FF">
              <w:rPr>
                <w:rFonts w:ascii="Arial" w:eastAsia="Calibri" w:hAnsi="Arial" w:cs="Arial"/>
                <w:sz w:val="20"/>
                <w:szCs w:val="20"/>
                <w:vertAlign w:val="superscript"/>
              </w:rPr>
              <w:t>2</w:t>
            </w:r>
          </w:p>
        </w:tc>
        <w:tc>
          <w:tcPr>
            <w:tcW w:w="1275" w:type="dxa"/>
            <w:gridSpan w:val="2"/>
            <w:tcBorders>
              <w:top w:val="single" w:sz="4" w:space="0" w:color="auto"/>
              <w:left w:val="nil"/>
              <w:bottom w:val="single" w:sz="4" w:space="0" w:color="auto"/>
              <w:right w:val="nil"/>
            </w:tcBorders>
            <w:noWrap/>
            <w:vAlign w:val="center"/>
            <w:hideMark/>
          </w:tcPr>
          <w:p w:rsidR="00C049FF" w:rsidRPr="00C049FF" w:rsidRDefault="00C049FF" w:rsidP="00C049FF">
            <w:pPr>
              <w:spacing w:line="240" w:lineRule="auto"/>
              <w:jc w:val="center"/>
              <w:rPr>
                <w:rFonts w:ascii="Arial" w:eastAsia="Calibri" w:hAnsi="Arial" w:cs="Arial"/>
                <w:sz w:val="20"/>
                <w:szCs w:val="20"/>
              </w:rPr>
            </w:pPr>
            <w:r w:rsidRPr="00C049FF">
              <w:rPr>
                <w:rFonts w:ascii="Arial" w:eastAsia="Calibri" w:hAnsi="Arial" w:cs="Arial"/>
                <w:sz w:val="20"/>
                <w:szCs w:val="20"/>
              </w:rPr>
              <w:t>p-value (RR=1)</w:t>
            </w:r>
          </w:p>
        </w:tc>
      </w:tr>
      <w:tr w:rsidR="00C049FF" w:rsidRPr="00C049FF" w:rsidTr="002B1780">
        <w:trPr>
          <w:gridAfter w:val="1"/>
          <w:wAfter w:w="327" w:type="dxa"/>
          <w:trHeight w:val="255"/>
        </w:trPr>
        <w:tc>
          <w:tcPr>
            <w:tcW w:w="9067" w:type="dxa"/>
            <w:gridSpan w:val="10"/>
            <w:tcBorders>
              <w:top w:val="single" w:sz="4" w:space="0" w:color="auto"/>
              <w:left w:val="nil"/>
              <w:bottom w:val="single" w:sz="4" w:space="0" w:color="auto"/>
              <w:right w:val="nil"/>
            </w:tcBorders>
          </w:tcPr>
          <w:p w:rsidR="00C049FF" w:rsidRPr="00C049FF" w:rsidRDefault="00C049FF" w:rsidP="00C049FF">
            <w:pPr>
              <w:spacing w:line="240" w:lineRule="auto"/>
              <w:rPr>
                <w:rFonts w:ascii="Arial" w:eastAsia="Calibri" w:hAnsi="Arial" w:cs="Arial"/>
                <w:b/>
                <w:bCs/>
                <w:szCs w:val="24"/>
              </w:rPr>
            </w:pPr>
            <w:r w:rsidRPr="00C049FF">
              <w:rPr>
                <w:rFonts w:ascii="Arial" w:eastAsia="Calibri" w:hAnsi="Arial" w:cs="Arial"/>
                <w:sz w:val="28"/>
                <w:szCs w:val="28"/>
              </w:rPr>
              <w:t>Total sedentary behaviour</w:t>
            </w:r>
          </w:p>
        </w:tc>
      </w:tr>
      <w:tr w:rsidR="00C049FF" w:rsidRPr="00C049FF" w:rsidTr="002B1780">
        <w:trPr>
          <w:gridAfter w:val="1"/>
          <w:wAfter w:w="327" w:type="dxa"/>
          <w:trHeight w:val="255"/>
        </w:trPr>
        <w:tc>
          <w:tcPr>
            <w:tcW w:w="2122" w:type="dxa"/>
            <w:tcBorders>
              <w:top w:val="single" w:sz="4" w:space="0" w:color="auto"/>
              <w:left w:val="nil"/>
              <w:bottom w:val="nil"/>
              <w:right w:val="nil"/>
            </w:tcBorders>
            <w:hideMark/>
          </w:tcPr>
          <w:p w:rsidR="00C049FF" w:rsidRPr="00C049FF" w:rsidRDefault="00C049FF" w:rsidP="00C049FF">
            <w:pPr>
              <w:spacing w:line="276" w:lineRule="auto"/>
              <w:rPr>
                <w:rFonts w:ascii="Arial" w:eastAsia="Calibri" w:hAnsi="Arial" w:cs="Arial"/>
                <w:b/>
                <w:bCs/>
                <w:sz w:val="20"/>
                <w:szCs w:val="20"/>
              </w:rPr>
            </w:pPr>
            <w:r w:rsidRPr="00C049FF">
              <w:rPr>
                <w:rFonts w:ascii="Arial" w:eastAsia="Calibri" w:hAnsi="Arial" w:cs="Arial"/>
                <w:b/>
                <w:bCs/>
                <w:sz w:val="20"/>
                <w:szCs w:val="20"/>
              </w:rPr>
              <w:t>Summary Estimate</w:t>
            </w:r>
          </w:p>
        </w:tc>
        <w:tc>
          <w:tcPr>
            <w:tcW w:w="1417" w:type="dxa"/>
            <w:tcBorders>
              <w:top w:val="single" w:sz="4" w:space="0" w:color="auto"/>
              <w:left w:val="nil"/>
              <w:bottom w:val="nil"/>
              <w:right w:val="nil"/>
            </w:tcBorders>
            <w:noWrap/>
            <w:vAlign w:val="bottom"/>
          </w:tcPr>
          <w:p w:rsidR="00C049FF" w:rsidRPr="00C049FF" w:rsidRDefault="00C049FF" w:rsidP="00C049FF">
            <w:pPr>
              <w:spacing w:line="276" w:lineRule="auto"/>
              <w:jc w:val="center"/>
              <w:rPr>
                <w:rFonts w:ascii="Arial" w:eastAsia="Calibri" w:hAnsi="Arial" w:cs="Arial"/>
                <w:b/>
                <w:bCs/>
                <w:sz w:val="20"/>
                <w:szCs w:val="20"/>
              </w:rPr>
            </w:pPr>
            <w:r w:rsidRPr="00C049FF">
              <w:rPr>
                <w:rFonts w:ascii="Arial" w:eastAsia="Calibri" w:hAnsi="Arial" w:cs="Arial"/>
                <w:b/>
                <w:bCs/>
                <w:sz w:val="20"/>
                <w:szCs w:val="20"/>
              </w:rPr>
              <w:t>1.02</w:t>
            </w:r>
          </w:p>
        </w:tc>
        <w:tc>
          <w:tcPr>
            <w:tcW w:w="1559" w:type="dxa"/>
            <w:gridSpan w:val="2"/>
            <w:tcBorders>
              <w:top w:val="single" w:sz="4" w:space="0" w:color="auto"/>
              <w:left w:val="nil"/>
              <w:bottom w:val="nil"/>
              <w:right w:val="nil"/>
            </w:tcBorders>
            <w:noWrap/>
            <w:vAlign w:val="bottom"/>
          </w:tcPr>
          <w:p w:rsidR="00C049FF" w:rsidRPr="00C049FF" w:rsidRDefault="00C049FF" w:rsidP="00C049FF">
            <w:pPr>
              <w:spacing w:line="276" w:lineRule="auto"/>
              <w:jc w:val="center"/>
              <w:rPr>
                <w:rFonts w:ascii="Arial" w:eastAsia="Calibri" w:hAnsi="Arial" w:cs="Arial"/>
                <w:b/>
                <w:bCs/>
                <w:sz w:val="20"/>
                <w:szCs w:val="20"/>
              </w:rPr>
            </w:pPr>
            <w:r w:rsidRPr="00C049FF">
              <w:rPr>
                <w:rFonts w:ascii="Arial" w:eastAsia="Calibri" w:hAnsi="Arial" w:cs="Arial"/>
                <w:b/>
                <w:bCs/>
                <w:sz w:val="20"/>
                <w:szCs w:val="20"/>
              </w:rPr>
              <w:t>1.01-1.03</w:t>
            </w:r>
          </w:p>
        </w:tc>
        <w:tc>
          <w:tcPr>
            <w:tcW w:w="1560" w:type="dxa"/>
            <w:tcBorders>
              <w:top w:val="single" w:sz="4" w:space="0" w:color="auto"/>
              <w:left w:val="nil"/>
              <w:bottom w:val="nil"/>
              <w:right w:val="nil"/>
            </w:tcBorders>
            <w:noWrap/>
            <w:vAlign w:val="bottom"/>
          </w:tcPr>
          <w:p w:rsidR="00C049FF" w:rsidRPr="00C049FF" w:rsidRDefault="00C049FF" w:rsidP="00C049FF">
            <w:pPr>
              <w:spacing w:line="276" w:lineRule="auto"/>
              <w:jc w:val="center"/>
              <w:rPr>
                <w:rFonts w:ascii="Arial" w:eastAsia="Calibri" w:hAnsi="Arial" w:cs="Arial"/>
                <w:b/>
                <w:bCs/>
                <w:sz w:val="20"/>
                <w:szCs w:val="20"/>
              </w:rPr>
            </w:pPr>
            <w:r w:rsidRPr="00C049FF">
              <w:rPr>
                <w:rFonts w:ascii="Arial" w:eastAsia="Calibri" w:hAnsi="Arial" w:cs="Arial"/>
                <w:b/>
                <w:bCs/>
                <w:sz w:val="20"/>
                <w:szCs w:val="20"/>
              </w:rPr>
              <w:t>13</w:t>
            </w:r>
          </w:p>
        </w:tc>
        <w:tc>
          <w:tcPr>
            <w:tcW w:w="1134" w:type="dxa"/>
            <w:gridSpan w:val="3"/>
            <w:tcBorders>
              <w:top w:val="single" w:sz="4" w:space="0" w:color="auto"/>
              <w:left w:val="nil"/>
              <w:bottom w:val="nil"/>
              <w:right w:val="nil"/>
            </w:tcBorders>
            <w:noWrap/>
            <w:vAlign w:val="bottom"/>
          </w:tcPr>
          <w:p w:rsidR="00C049FF" w:rsidRPr="00C049FF" w:rsidRDefault="00C049FF" w:rsidP="00C049FF">
            <w:pPr>
              <w:spacing w:line="276" w:lineRule="auto"/>
              <w:jc w:val="center"/>
              <w:rPr>
                <w:rFonts w:ascii="Arial" w:eastAsia="Calibri" w:hAnsi="Arial" w:cs="Arial"/>
                <w:b/>
                <w:bCs/>
                <w:sz w:val="20"/>
                <w:szCs w:val="20"/>
              </w:rPr>
            </w:pPr>
            <w:r w:rsidRPr="00C049FF">
              <w:rPr>
                <w:rFonts w:ascii="Arial" w:eastAsia="Calibri" w:hAnsi="Arial" w:cs="Arial"/>
                <w:b/>
                <w:bCs/>
                <w:sz w:val="20"/>
                <w:szCs w:val="20"/>
              </w:rPr>
              <w:t>65.6</w:t>
            </w:r>
          </w:p>
        </w:tc>
        <w:tc>
          <w:tcPr>
            <w:tcW w:w="1275" w:type="dxa"/>
            <w:gridSpan w:val="2"/>
            <w:tcBorders>
              <w:top w:val="single" w:sz="4" w:space="0" w:color="auto"/>
              <w:left w:val="nil"/>
              <w:bottom w:val="nil"/>
              <w:right w:val="nil"/>
            </w:tcBorders>
            <w:noWrap/>
            <w:vAlign w:val="bottom"/>
          </w:tcPr>
          <w:p w:rsidR="00C049FF" w:rsidRPr="00C049FF" w:rsidRDefault="00C049FF" w:rsidP="00C049FF">
            <w:pPr>
              <w:spacing w:line="276" w:lineRule="auto"/>
              <w:jc w:val="center"/>
              <w:rPr>
                <w:rFonts w:ascii="Arial" w:eastAsia="Calibri" w:hAnsi="Arial" w:cs="Arial"/>
                <w:b/>
                <w:bCs/>
                <w:sz w:val="20"/>
                <w:szCs w:val="20"/>
              </w:rPr>
            </w:pPr>
            <w:r w:rsidRPr="00C049FF">
              <w:rPr>
                <w:rFonts w:ascii="Arial" w:eastAsia="Calibri" w:hAnsi="Arial" w:cs="Arial"/>
                <w:b/>
                <w:bCs/>
                <w:sz w:val="20"/>
                <w:szCs w:val="20"/>
              </w:rPr>
              <w:t>&lt;0.001</w:t>
            </w:r>
          </w:p>
        </w:tc>
      </w:tr>
      <w:tr w:rsidR="00C049FF" w:rsidRPr="00C049FF" w:rsidTr="002B1780">
        <w:trPr>
          <w:gridAfter w:val="1"/>
          <w:wAfter w:w="327" w:type="dxa"/>
          <w:trHeight w:val="397"/>
        </w:trPr>
        <w:tc>
          <w:tcPr>
            <w:tcW w:w="2122" w:type="dxa"/>
            <w:tcBorders>
              <w:top w:val="nil"/>
              <w:left w:val="nil"/>
              <w:bottom w:val="nil"/>
              <w:right w:val="nil"/>
            </w:tcBorders>
            <w:vAlign w:val="bottom"/>
          </w:tcPr>
          <w:p w:rsidR="00C049FF" w:rsidRPr="00C049FF" w:rsidRDefault="00C049FF" w:rsidP="00C049FF">
            <w:pPr>
              <w:spacing w:line="240" w:lineRule="auto"/>
              <w:rPr>
                <w:rFonts w:ascii="Arial" w:eastAsia="Calibri" w:hAnsi="Arial" w:cs="Arial"/>
                <w:sz w:val="18"/>
                <w:szCs w:val="18"/>
              </w:rPr>
            </w:pPr>
            <w:r w:rsidRPr="00C049FF">
              <w:rPr>
                <w:rFonts w:ascii="Arial" w:eastAsia="Calibri" w:hAnsi="Arial" w:cs="Arial"/>
                <w:b/>
                <w:i/>
                <w:sz w:val="18"/>
                <w:szCs w:val="18"/>
              </w:rPr>
              <w:t>Subgroup analysis:</w:t>
            </w:r>
          </w:p>
        </w:tc>
        <w:tc>
          <w:tcPr>
            <w:tcW w:w="1417" w:type="dxa"/>
            <w:tcBorders>
              <w:top w:val="nil"/>
              <w:left w:val="nil"/>
              <w:bottom w:val="nil"/>
              <w:right w:val="nil"/>
            </w:tcBorders>
            <w:noWrap/>
          </w:tcPr>
          <w:p w:rsidR="00C049FF" w:rsidRPr="00C049FF" w:rsidRDefault="00C049FF" w:rsidP="00C049FF">
            <w:pPr>
              <w:spacing w:line="276" w:lineRule="auto"/>
              <w:jc w:val="center"/>
              <w:rPr>
                <w:rFonts w:ascii="Arial" w:eastAsia="Calibri" w:hAnsi="Arial" w:cs="Arial"/>
                <w:sz w:val="18"/>
                <w:szCs w:val="18"/>
              </w:rPr>
            </w:pPr>
          </w:p>
        </w:tc>
        <w:tc>
          <w:tcPr>
            <w:tcW w:w="284" w:type="dxa"/>
            <w:tcBorders>
              <w:top w:val="nil"/>
              <w:left w:val="nil"/>
              <w:bottom w:val="nil"/>
              <w:right w:val="nil"/>
            </w:tcBorders>
            <w:noWrap/>
          </w:tcPr>
          <w:p w:rsidR="00C049FF" w:rsidRPr="00C049FF" w:rsidRDefault="00C049FF" w:rsidP="00C049FF">
            <w:pPr>
              <w:spacing w:line="276" w:lineRule="auto"/>
              <w:jc w:val="center"/>
              <w:rPr>
                <w:rFonts w:ascii="Arial" w:eastAsia="Calibri" w:hAnsi="Arial" w:cs="Arial"/>
                <w:sz w:val="18"/>
                <w:szCs w:val="18"/>
              </w:rPr>
            </w:pPr>
          </w:p>
        </w:tc>
        <w:tc>
          <w:tcPr>
            <w:tcW w:w="1275" w:type="dxa"/>
            <w:tcBorders>
              <w:top w:val="nil"/>
              <w:left w:val="nil"/>
              <w:bottom w:val="nil"/>
              <w:right w:val="nil"/>
            </w:tcBorders>
            <w:noWrap/>
          </w:tcPr>
          <w:p w:rsidR="00C049FF" w:rsidRPr="00C049FF" w:rsidRDefault="00C049FF" w:rsidP="00C049FF">
            <w:pPr>
              <w:spacing w:line="276" w:lineRule="auto"/>
              <w:jc w:val="center"/>
              <w:rPr>
                <w:rFonts w:ascii="Arial" w:eastAsia="Calibri" w:hAnsi="Arial" w:cs="Arial"/>
                <w:sz w:val="18"/>
                <w:szCs w:val="18"/>
              </w:rPr>
            </w:pPr>
          </w:p>
        </w:tc>
        <w:tc>
          <w:tcPr>
            <w:tcW w:w="1560" w:type="dxa"/>
            <w:tcBorders>
              <w:top w:val="nil"/>
              <w:left w:val="nil"/>
              <w:bottom w:val="nil"/>
              <w:right w:val="nil"/>
            </w:tcBorders>
            <w:noWrap/>
          </w:tcPr>
          <w:p w:rsidR="00C049FF" w:rsidRPr="00C049FF" w:rsidRDefault="00C049FF" w:rsidP="00C049FF">
            <w:pPr>
              <w:spacing w:line="276" w:lineRule="auto"/>
              <w:jc w:val="center"/>
              <w:rPr>
                <w:rFonts w:ascii="Arial" w:eastAsia="Calibri" w:hAnsi="Arial" w:cs="Arial"/>
                <w:sz w:val="18"/>
                <w:szCs w:val="18"/>
              </w:rPr>
            </w:pPr>
          </w:p>
        </w:tc>
        <w:tc>
          <w:tcPr>
            <w:tcW w:w="1134" w:type="dxa"/>
            <w:gridSpan w:val="3"/>
            <w:tcBorders>
              <w:top w:val="nil"/>
              <w:left w:val="nil"/>
              <w:bottom w:val="nil"/>
              <w:right w:val="nil"/>
            </w:tcBorders>
            <w:noWrap/>
          </w:tcPr>
          <w:p w:rsidR="00C049FF" w:rsidRPr="00C049FF" w:rsidRDefault="00C049FF" w:rsidP="00C049FF">
            <w:pPr>
              <w:spacing w:line="276" w:lineRule="auto"/>
              <w:jc w:val="center"/>
              <w:rPr>
                <w:rFonts w:ascii="Arial" w:eastAsia="Calibri" w:hAnsi="Arial" w:cs="Arial"/>
                <w:sz w:val="18"/>
                <w:szCs w:val="18"/>
              </w:rPr>
            </w:pPr>
          </w:p>
        </w:tc>
        <w:tc>
          <w:tcPr>
            <w:tcW w:w="1275" w:type="dxa"/>
            <w:gridSpan w:val="2"/>
            <w:tcBorders>
              <w:top w:val="nil"/>
              <w:left w:val="nil"/>
              <w:bottom w:val="nil"/>
              <w:right w:val="nil"/>
            </w:tcBorders>
            <w:noWrap/>
          </w:tcPr>
          <w:p w:rsidR="00C049FF" w:rsidRPr="00C049FF" w:rsidRDefault="00C049FF" w:rsidP="00C049FF">
            <w:pPr>
              <w:spacing w:line="276" w:lineRule="auto"/>
              <w:jc w:val="center"/>
              <w:rPr>
                <w:rFonts w:ascii="Arial" w:eastAsia="Calibri" w:hAnsi="Arial" w:cs="Arial"/>
                <w:sz w:val="18"/>
                <w:szCs w:val="18"/>
              </w:rPr>
            </w:pPr>
          </w:p>
        </w:tc>
      </w:tr>
      <w:tr w:rsidR="00C049FF" w:rsidRPr="00C049FF" w:rsidTr="002B1780">
        <w:trPr>
          <w:gridAfter w:val="1"/>
          <w:wAfter w:w="327" w:type="dxa"/>
          <w:trHeight w:val="255"/>
        </w:trPr>
        <w:tc>
          <w:tcPr>
            <w:tcW w:w="2122" w:type="dxa"/>
            <w:tcBorders>
              <w:top w:val="nil"/>
              <w:left w:val="nil"/>
              <w:bottom w:val="nil"/>
              <w:right w:val="nil"/>
            </w:tcBorders>
            <w:shd w:val="clear" w:color="auto" w:fill="BFBFBF"/>
            <w:hideMark/>
          </w:tcPr>
          <w:p w:rsidR="00C049FF" w:rsidRPr="00C049FF" w:rsidRDefault="00C049FF" w:rsidP="00C049FF">
            <w:pPr>
              <w:spacing w:line="276" w:lineRule="auto"/>
              <w:rPr>
                <w:rFonts w:ascii="Arial" w:eastAsia="Calibri" w:hAnsi="Arial" w:cs="Arial"/>
                <w:sz w:val="18"/>
                <w:szCs w:val="18"/>
              </w:rPr>
            </w:pPr>
            <w:r w:rsidRPr="00C049FF">
              <w:rPr>
                <w:rFonts w:ascii="Arial" w:eastAsia="Calibri" w:hAnsi="Arial" w:cs="Arial"/>
                <w:sz w:val="18"/>
                <w:szCs w:val="18"/>
              </w:rPr>
              <w:t>Male</w:t>
            </w:r>
          </w:p>
        </w:tc>
        <w:tc>
          <w:tcPr>
            <w:tcW w:w="1417" w:type="dxa"/>
            <w:tcBorders>
              <w:top w:val="nil"/>
              <w:left w:val="nil"/>
              <w:bottom w:val="nil"/>
              <w:right w:val="nil"/>
            </w:tcBorders>
            <w:shd w:val="clear" w:color="auto" w:fill="BFBFBF"/>
            <w:noWrap/>
          </w:tcPr>
          <w:p w:rsidR="00C049FF" w:rsidRPr="00C049FF" w:rsidRDefault="00C049FF" w:rsidP="00C049FF">
            <w:pPr>
              <w:spacing w:line="276" w:lineRule="auto"/>
              <w:jc w:val="center"/>
              <w:rPr>
                <w:rFonts w:ascii="Arial" w:eastAsia="Calibri" w:hAnsi="Arial" w:cs="Arial"/>
                <w:sz w:val="18"/>
                <w:szCs w:val="18"/>
              </w:rPr>
            </w:pPr>
            <w:r w:rsidRPr="00C049FF">
              <w:rPr>
                <w:rFonts w:ascii="Arial" w:eastAsia="Calibri" w:hAnsi="Arial" w:cs="Arial"/>
                <w:sz w:val="18"/>
                <w:szCs w:val="18"/>
              </w:rPr>
              <w:t>1.01</w:t>
            </w:r>
          </w:p>
        </w:tc>
        <w:tc>
          <w:tcPr>
            <w:tcW w:w="1559" w:type="dxa"/>
            <w:gridSpan w:val="2"/>
            <w:tcBorders>
              <w:top w:val="nil"/>
              <w:left w:val="nil"/>
              <w:bottom w:val="nil"/>
              <w:right w:val="nil"/>
            </w:tcBorders>
            <w:shd w:val="clear" w:color="auto" w:fill="BFBFBF"/>
            <w:noWrap/>
          </w:tcPr>
          <w:p w:rsidR="00C049FF" w:rsidRPr="00C049FF" w:rsidRDefault="00C049FF" w:rsidP="00C049FF">
            <w:pPr>
              <w:spacing w:line="276" w:lineRule="auto"/>
              <w:jc w:val="center"/>
              <w:rPr>
                <w:rFonts w:ascii="Arial" w:eastAsia="Calibri" w:hAnsi="Arial" w:cs="Arial"/>
                <w:sz w:val="18"/>
                <w:szCs w:val="18"/>
              </w:rPr>
            </w:pPr>
            <w:r w:rsidRPr="00C049FF">
              <w:rPr>
                <w:rFonts w:ascii="Arial" w:eastAsia="Calibri" w:hAnsi="Arial" w:cs="Arial"/>
                <w:sz w:val="18"/>
                <w:szCs w:val="18"/>
              </w:rPr>
              <w:t>1.01-1.02</w:t>
            </w:r>
          </w:p>
        </w:tc>
        <w:tc>
          <w:tcPr>
            <w:tcW w:w="1560" w:type="dxa"/>
            <w:tcBorders>
              <w:top w:val="nil"/>
              <w:left w:val="nil"/>
              <w:bottom w:val="nil"/>
              <w:right w:val="nil"/>
            </w:tcBorders>
            <w:shd w:val="clear" w:color="auto" w:fill="BFBFBF"/>
            <w:noWrap/>
          </w:tcPr>
          <w:p w:rsidR="00C049FF" w:rsidRPr="00C049FF" w:rsidRDefault="00C049FF" w:rsidP="00C049FF">
            <w:pPr>
              <w:spacing w:line="276" w:lineRule="auto"/>
              <w:jc w:val="center"/>
              <w:rPr>
                <w:rFonts w:ascii="Arial" w:eastAsia="Calibri" w:hAnsi="Arial" w:cs="Arial"/>
                <w:sz w:val="18"/>
                <w:szCs w:val="18"/>
              </w:rPr>
            </w:pPr>
            <w:r w:rsidRPr="00C049FF">
              <w:rPr>
                <w:rFonts w:ascii="Arial" w:eastAsia="Calibri" w:hAnsi="Arial" w:cs="Arial"/>
                <w:sz w:val="18"/>
                <w:szCs w:val="18"/>
              </w:rPr>
              <w:t>6</w:t>
            </w:r>
          </w:p>
        </w:tc>
        <w:tc>
          <w:tcPr>
            <w:tcW w:w="1134" w:type="dxa"/>
            <w:gridSpan w:val="3"/>
            <w:tcBorders>
              <w:top w:val="nil"/>
              <w:left w:val="nil"/>
              <w:bottom w:val="nil"/>
              <w:right w:val="nil"/>
            </w:tcBorders>
            <w:shd w:val="clear" w:color="auto" w:fill="BFBFBF"/>
            <w:noWrap/>
          </w:tcPr>
          <w:p w:rsidR="00C049FF" w:rsidRPr="00C049FF" w:rsidRDefault="00C049FF" w:rsidP="00C049FF">
            <w:pPr>
              <w:spacing w:line="276" w:lineRule="auto"/>
              <w:jc w:val="center"/>
              <w:rPr>
                <w:rFonts w:ascii="Arial" w:eastAsia="Calibri" w:hAnsi="Arial" w:cs="Arial"/>
                <w:sz w:val="18"/>
                <w:szCs w:val="18"/>
              </w:rPr>
            </w:pPr>
            <w:r w:rsidRPr="00C049FF">
              <w:rPr>
                <w:rFonts w:ascii="Arial" w:eastAsia="Calibri" w:hAnsi="Arial" w:cs="Arial"/>
                <w:sz w:val="18"/>
                <w:szCs w:val="18"/>
              </w:rPr>
              <w:t>70.9</w:t>
            </w:r>
          </w:p>
        </w:tc>
        <w:tc>
          <w:tcPr>
            <w:tcW w:w="1275" w:type="dxa"/>
            <w:gridSpan w:val="2"/>
            <w:tcBorders>
              <w:top w:val="nil"/>
              <w:left w:val="nil"/>
              <w:bottom w:val="nil"/>
              <w:right w:val="nil"/>
            </w:tcBorders>
            <w:shd w:val="clear" w:color="auto" w:fill="BFBFBF"/>
            <w:noWrap/>
          </w:tcPr>
          <w:p w:rsidR="00C049FF" w:rsidRPr="00C049FF" w:rsidRDefault="00C049FF" w:rsidP="00C049FF">
            <w:pPr>
              <w:spacing w:line="276" w:lineRule="auto"/>
              <w:jc w:val="center"/>
              <w:rPr>
                <w:rFonts w:ascii="Arial" w:eastAsia="Calibri" w:hAnsi="Arial" w:cs="Arial"/>
                <w:sz w:val="18"/>
                <w:szCs w:val="18"/>
              </w:rPr>
            </w:pPr>
            <w:r w:rsidRPr="00C049FF">
              <w:rPr>
                <w:rFonts w:ascii="Arial" w:eastAsia="Calibri" w:hAnsi="Arial" w:cs="Arial"/>
                <w:sz w:val="18"/>
                <w:szCs w:val="18"/>
              </w:rPr>
              <w:t>&lt;0.001</w:t>
            </w:r>
          </w:p>
        </w:tc>
      </w:tr>
      <w:tr w:rsidR="00C049FF" w:rsidRPr="00C049FF" w:rsidTr="002B1780">
        <w:trPr>
          <w:gridAfter w:val="1"/>
          <w:wAfter w:w="327" w:type="dxa"/>
          <w:trHeight w:val="255"/>
        </w:trPr>
        <w:tc>
          <w:tcPr>
            <w:tcW w:w="2122" w:type="dxa"/>
            <w:tcBorders>
              <w:top w:val="nil"/>
              <w:left w:val="nil"/>
              <w:bottom w:val="nil"/>
              <w:right w:val="nil"/>
            </w:tcBorders>
            <w:shd w:val="clear" w:color="auto" w:fill="BFBFBF"/>
            <w:hideMark/>
          </w:tcPr>
          <w:p w:rsidR="00C049FF" w:rsidRPr="00C049FF" w:rsidRDefault="00C049FF" w:rsidP="00C049FF">
            <w:pPr>
              <w:spacing w:line="276" w:lineRule="auto"/>
              <w:rPr>
                <w:rFonts w:ascii="Arial" w:eastAsia="Calibri" w:hAnsi="Arial" w:cs="Arial"/>
                <w:sz w:val="18"/>
                <w:szCs w:val="18"/>
              </w:rPr>
            </w:pPr>
            <w:r w:rsidRPr="00C049FF">
              <w:rPr>
                <w:rFonts w:ascii="Arial" w:eastAsia="Calibri" w:hAnsi="Arial" w:cs="Arial"/>
                <w:sz w:val="18"/>
                <w:szCs w:val="18"/>
              </w:rPr>
              <w:t>Female</w:t>
            </w:r>
          </w:p>
        </w:tc>
        <w:tc>
          <w:tcPr>
            <w:tcW w:w="1417" w:type="dxa"/>
            <w:tcBorders>
              <w:top w:val="nil"/>
              <w:left w:val="nil"/>
              <w:bottom w:val="nil"/>
              <w:right w:val="nil"/>
            </w:tcBorders>
            <w:shd w:val="clear" w:color="auto" w:fill="BFBFBF"/>
            <w:noWrap/>
          </w:tcPr>
          <w:p w:rsidR="00C049FF" w:rsidRPr="00C049FF" w:rsidRDefault="00C049FF" w:rsidP="00C049FF">
            <w:pPr>
              <w:spacing w:line="276" w:lineRule="auto"/>
              <w:jc w:val="center"/>
              <w:rPr>
                <w:rFonts w:ascii="Arial" w:eastAsia="Calibri" w:hAnsi="Arial" w:cs="Arial"/>
                <w:sz w:val="18"/>
                <w:szCs w:val="18"/>
              </w:rPr>
            </w:pPr>
            <w:r w:rsidRPr="00C049FF">
              <w:rPr>
                <w:rFonts w:ascii="Arial" w:eastAsia="Calibri" w:hAnsi="Arial" w:cs="Arial"/>
                <w:sz w:val="18"/>
                <w:szCs w:val="18"/>
              </w:rPr>
              <w:t>1.02</w:t>
            </w:r>
          </w:p>
        </w:tc>
        <w:tc>
          <w:tcPr>
            <w:tcW w:w="1559" w:type="dxa"/>
            <w:gridSpan w:val="2"/>
            <w:tcBorders>
              <w:top w:val="nil"/>
              <w:left w:val="nil"/>
              <w:bottom w:val="nil"/>
              <w:right w:val="nil"/>
            </w:tcBorders>
            <w:shd w:val="clear" w:color="auto" w:fill="BFBFBF"/>
            <w:noWrap/>
          </w:tcPr>
          <w:p w:rsidR="00C049FF" w:rsidRPr="00C049FF" w:rsidRDefault="00C049FF" w:rsidP="00C049FF">
            <w:pPr>
              <w:spacing w:line="276" w:lineRule="auto"/>
              <w:jc w:val="center"/>
              <w:rPr>
                <w:rFonts w:ascii="Arial" w:eastAsia="Calibri" w:hAnsi="Arial" w:cs="Arial"/>
                <w:sz w:val="18"/>
                <w:szCs w:val="18"/>
              </w:rPr>
            </w:pPr>
            <w:r w:rsidRPr="00C049FF">
              <w:rPr>
                <w:rFonts w:ascii="Arial" w:eastAsia="Calibri" w:hAnsi="Arial" w:cs="Arial"/>
                <w:sz w:val="18"/>
                <w:szCs w:val="18"/>
              </w:rPr>
              <w:t>1.01-1.03</w:t>
            </w:r>
          </w:p>
        </w:tc>
        <w:tc>
          <w:tcPr>
            <w:tcW w:w="1560" w:type="dxa"/>
            <w:tcBorders>
              <w:top w:val="nil"/>
              <w:left w:val="nil"/>
              <w:bottom w:val="nil"/>
              <w:right w:val="nil"/>
            </w:tcBorders>
            <w:shd w:val="clear" w:color="auto" w:fill="BFBFBF"/>
            <w:noWrap/>
          </w:tcPr>
          <w:p w:rsidR="00C049FF" w:rsidRPr="00C049FF" w:rsidRDefault="00C049FF" w:rsidP="00C049FF">
            <w:pPr>
              <w:spacing w:line="276" w:lineRule="auto"/>
              <w:jc w:val="center"/>
              <w:rPr>
                <w:rFonts w:ascii="Arial" w:eastAsia="Calibri" w:hAnsi="Arial" w:cs="Arial"/>
                <w:sz w:val="18"/>
                <w:szCs w:val="18"/>
              </w:rPr>
            </w:pPr>
            <w:r w:rsidRPr="00C049FF">
              <w:rPr>
                <w:rFonts w:ascii="Arial" w:eastAsia="Calibri" w:hAnsi="Arial" w:cs="Arial"/>
                <w:sz w:val="18"/>
                <w:szCs w:val="18"/>
              </w:rPr>
              <w:t>7</w:t>
            </w:r>
          </w:p>
        </w:tc>
        <w:tc>
          <w:tcPr>
            <w:tcW w:w="1134" w:type="dxa"/>
            <w:gridSpan w:val="3"/>
            <w:tcBorders>
              <w:top w:val="nil"/>
              <w:left w:val="nil"/>
              <w:bottom w:val="nil"/>
              <w:right w:val="nil"/>
            </w:tcBorders>
            <w:shd w:val="clear" w:color="auto" w:fill="BFBFBF"/>
            <w:noWrap/>
          </w:tcPr>
          <w:p w:rsidR="00C049FF" w:rsidRPr="00C049FF" w:rsidRDefault="00C049FF" w:rsidP="00C049FF">
            <w:pPr>
              <w:spacing w:line="276" w:lineRule="auto"/>
              <w:jc w:val="center"/>
              <w:rPr>
                <w:rFonts w:ascii="Arial" w:eastAsia="Calibri" w:hAnsi="Arial" w:cs="Arial"/>
                <w:sz w:val="18"/>
                <w:szCs w:val="18"/>
              </w:rPr>
            </w:pPr>
            <w:r w:rsidRPr="00C049FF">
              <w:rPr>
                <w:rFonts w:ascii="Arial" w:eastAsia="Calibri" w:hAnsi="Arial" w:cs="Arial"/>
                <w:sz w:val="18"/>
                <w:szCs w:val="18"/>
              </w:rPr>
              <w:t>89.0</w:t>
            </w:r>
          </w:p>
        </w:tc>
        <w:tc>
          <w:tcPr>
            <w:tcW w:w="1275" w:type="dxa"/>
            <w:gridSpan w:val="2"/>
            <w:tcBorders>
              <w:top w:val="nil"/>
              <w:left w:val="nil"/>
              <w:bottom w:val="nil"/>
              <w:right w:val="nil"/>
            </w:tcBorders>
            <w:shd w:val="clear" w:color="auto" w:fill="BFBFBF"/>
            <w:noWrap/>
          </w:tcPr>
          <w:p w:rsidR="00C049FF" w:rsidRPr="00C049FF" w:rsidRDefault="00C049FF" w:rsidP="00C049FF">
            <w:pPr>
              <w:spacing w:line="276" w:lineRule="auto"/>
              <w:jc w:val="center"/>
              <w:rPr>
                <w:rFonts w:ascii="Arial" w:eastAsia="Calibri" w:hAnsi="Arial" w:cs="Arial"/>
                <w:sz w:val="18"/>
                <w:szCs w:val="18"/>
              </w:rPr>
            </w:pPr>
            <w:r w:rsidRPr="00C049FF">
              <w:rPr>
                <w:rFonts w:ascii="Arial" w:eastAsia="Calibri" w:hAnsi="Arial" w:cs="Arial"/>
                <w:sz w:val="18"/>
                <w:szCs w:val="18"/>
              </w:rPr>
              <w:t>&lt;0.001</w:t>
            </w:r>
          </w:p>
        </w:tc>
      </w:tr>
      <w:tr w:rsidR="00C049FF" w:rsidRPr="00C049FF" w:rsidTr="002B1780">
        <w:trPr>
          <w:gridAfter w:val="1"/>
          <w:wAfter w:w="327" w:type="dxa"/>
          <w:trHeight w:val="255"/>
        </w:trPr>
        <w:tc>
          <w:tcPr>
            <w:tcW w:w="2122" w:type="dxa"/>
            <w:tcBorders>
              <w:top w:val="nil"/>
              <w:left w:val="nil"/>
              <w:bottom w:val="nil"/>
              <w:right w:val="nil"/>
            </w:tcBorders>
            <w:shd w:val="clear" w:color="auto" w:fill="auto"/>
            <w:vAlign w:val="center"/>
          </w:tcPr>
          <w:p w:rsidR="00C049FF" w:rsidRPr="00C049FF" w:rsidRDefault="00C049FF" w:rsidP="00C049FF">
            <w:pPr>
              <w:spacing w:line="276" w:lineRule="auto"/>
              <w:rPr>
                <w:rFonts w:ascii="Arial" w:eastAsia="Calibri" w:hAnsi="Arial" w:cs="Arial"/>
                <w:sz w:val="18"/>
                <w:szCs w:val="18"/>
              </w:rPr>
            </w:pPr>
            <w:r w:rsidRPr="00C049FF">
              <w:rPr>
                <w:rFonts w:ascii="Arial" w:eastAsia="Calibri" w:hAnsi="Arial" w:cs="Arial"/>
                <w:sz w:val="18"/>
                <w:szCs w:val="18"/>
              </w:rPr>
              <w:t>Non BMI adjusted*</w:t>
            </w:r>
          </w:p>
        </w:tc>
        <w:tc>
          <w:tcPr>
            <w:tcW w:w="1417" w:type="dxa"/>
            <w:tcBorders>
              <w:top w:val="nil"/>
              <w:left w:val="nil"/>
              <w:bottom w:val="nil"/>
              <w:right w:val="nil"/>
            </w:tcBorders>
            <w:shd w:val="clear" w:color="auto" w:fill="auto"/>
            <w:noWrap/>
          </w:tcPr>
          <w:p w:rsidR="00C049FF" w:rsidRPr="00C049FF" w:rsidRDefault="00C049FF" w:rsidP="00C049FF">
            <w:pPr>
              <w:spacing w:line="276" w:lineRule="auto"/>
              <w:jc w:val="center"/>
              <w:rPr>
                <w:rFonts w:ascii="Arial" w:eastAsia="Calibri" w:hAnsi="Arial" w:cs="Arial"/>
                <w:sz w:val="18"/>
                <w:szCs w:val="18"/>
              </w:rPr>
            </w:pPr>
            <w:r w:rsidRPr="00C049FF">
              <w:rPr>
                <w:rFonts w:ascii="Arial" w:eastAsia="Calibri" w:hAnsi="Arial" w:cs="Arial"/>
                <w:sz w:val="18"/>
                <w:szCs w:val="18"/>
              </w:rPr>
              <w:t>1.02</w:t>
            </w:r>
          </w:p>
        </w:tc>
        <w:tc>
          <w:tcPr>
            <w:tcW w:w="1559" w:type="dxa"/>
            <w:gridSpan w:val="2"/>
            <w:tcBorders>
              <w:top w:val="nil"/>
              <w:left w:val="nil"/>
              <w:bottom w:val="nil"/>
              <w:right w:val="nil"/>
            </w:tcBorders>
            <w:shd w:val="clear" w:color="auto" w:fill="auto"/>
            <w:noWrap/>
          </w:tcPr>
          <w:p w:rsidR="00C049FF" w:rsidRPr="00C049FF" w:rsidRDefault="00C049FF" w:rsidP="00C049FF">
            <w:pPr>
              <w:spacing w:line="276" w:lineRule="auto"/>
              <w:jc w:val="center"/>
              <w:rPr>
                <w:rFonts w:ascii="Arial" w:eastAsia="Calibri" w:hAnsi="Arial" w:cs="Arial"/>
                <w:sz w:val="18"/>
                <w:szCs w:val="18"/>
              </w:rPr>
            </w:pPr>
            <w:r w:rsidRPr="00C049FF">
              <w:rPr>
                <w:rFonts w:ascii="Arial" w:eastAsia="Calibri" w:hAnsi="Arial" w:cs="Arial"/>
                <w:sz w:val="18"/>
                <w:szCs w:val="18"/>
              </w:rPr>
              <w:t>1.01-1.03</w:t>
            </w:r>
          </w:p>
        </w:tc>
        <w:tc>
          <w:tcPr>
            <w:tcW w:w="1560" w:type="dxa"/>
            <w:tcBorders>
              <w:top w:val="nil"/>
              <w:left w:val="nil"/>
              <w:bottom w:val="nil"/>
              <w:right w:val="nil"/>
            </w:tcBorders>
            <w:shd w:val="clear" w:color="auto" w:fill="auto"/>
            <w:noWrap/>
          </w:tcPr>
          <w:p w:rsidR="00C049FF" w:rsidRPr="00C049FF" w:rsidRDefault="00C049FF" w:rsidP="00C049FF">
            <w:pPr>
              <w:spacing w:line="276" w:lineRule="auto"/>
              <w:jc w:val="center"/>
              <w:rPr>
                <w:rFonts w:ascii="Arial" w:eastAsia="Calibri" w:hAnsi="Arial" w:cs="Arial"/>
                <w:sz w:val="18"/>
                <w:szCs w:val="18"/>
              </w:rPr>
            </w:pPr>
            <w:r w:rsidRPr="00C049FF">
              <w:rPr>
                <w:rFonts w:ascii="Arial" w:eastAsia="Calibri" w:hAnsi="Arial" w:cs="Arial"/>
                <w:sz w:val="18"/>
                <w:szCs w:val="18"/>
              </w:rPr>
              <w:t>9</w:t>
            </w:r>
          </w:p>
        </w:tc>
        <w:tc>
          <w:tcPr>
            <w:tcW w:w="1134" w:type="dxa"/>
            <w:gridSpan w:val="3"/>
            <w:tcBorders>
              <w:top w:val="nil"/>
              <w:left w:val="nil"/>
              <w:bottom w:val="nil"/>
              <w:right w:val="nil"/>
            </w:tcBorders>
            <w:shd w:val="clear" w:color="auto" w:fill="auto"/>
            <w:noWrap/>
          </w:tcPr>
          <w:p w:rsidR="00C049FF" w:rsidRPr="00C049FF" w:rsidRDefault="00C049FF" w:rsidP="00C049FF">
            <w:pPr>
              <w:spacing w:line="276" w:lineRule="auto"/>
              <w:jc w:val="center"/>
              <w:rPr>
                <w:rFonts w:ascii="Arial" w:eastAsia="Calibri" w:hAnsi="Arial" w:cs="Arial"/>
                <w:sz w:val="18"/>
                <w:szCs w:val="18"/>
              </w:rPr>
            </w:pPr>
            <w:r w:rsidRPr="00C049FF">
              <w:rPr>
                <w:rFonts w:ascii="Arial" w:eastAsia="Calibri" w:hAnsi="Arial" w:cs="Arial"/>
                <w:sz w:val="18"/>
                <w:szCs w:val="18"/>
              </w:rPr>
              <w:t>74.0</w:t>
            </w:r>
          </w:p>
        </w:tc>
        <w:tc>
          <w:tcPr>
            <w:tcW w:w="1275" w:type="dxa"/>
            <w:gridSpan w:val="2"/>
            <w:tcBorders>
              <w:top w:val="nil"/>
              <w:left w:val="nil"/>
              <w:bottom w:val="nil"/>
              <w:right w:val="nil"/>
            </w:tcBorders>
            <w:shd w:val="clear" w:color="auto" w:fill="auto"/>
            <w:noWrap/>
          </w:tcPr>
          <w:p w:rsidR="00C049FF" w:rsidRPr="00C049FF" w:rsidRDefault="00C049FF" w:rsidP="00C049FF">
            <w:pPr>
              <w:spacing w:line="276" w:lineRule="auto"/>
              <w:jc w:val="center"/>
              <w:rPr>
                <w:rFonts w:ascii="Arial" w:eastAsia="Calibri" w:hAnsi="Arial" w:cs="Arial"/>
                <w:sz w:val="18"/>
                <w:szCs w:val="18"/>
              </w:rPr>
            </w:pPr>
            <w:r w:rsidRPr="00C049FF">
              <w:rPr>
                <w:rFonts w:ascii="Arial" w:eastAsia="Calibri" w:hAnsi="Arial" w:cs="Arial"/>
                <w:sz w:val="18"/>
                <w:szCs w:val="18"/>
              </w:rPr>
              <w:t>&lt;0.001</w:t>
            </w:r>
          </w:p>
        </w:tc>
      </w:tr>
      <w:tr w:rsidR="00C049FF" w:rsidRPr="00C049FF" w:rsidTr="002B1780">
        <w:trPr>
          <w:gridAfter w:val="1"/>
          <w:wAfter w:w="327" w:type="dxa"/>
          <w:trHeight w:val="255"/>
        </w:trPr>
        <w:tc>
          <w:tcPr>
            <w:tcW w:w="2122" w:type="dxa"/>
            <w:tcBorders>
              <w:top w:val="nil"/>
              <w:left w:val="nil"/>
              <w:bottom w:val="nil"/>
              <w:right w:val="nil"/>
            </w:tcBorders>
            <w:shd w:val="clear" w:color="auto" w:fill="auto"/>
            <w:vAlign w:val="center"/>
          </w:tcPr>
          <w:p w:rsidR="00C049FF" w:rsidRPr="00C049FF" w:rsidRDefault="00C049FF" w:rsidP="00C049FF">
            <w:pPr>
              <w:spacing w:line="240" w:lineRule="auto"/>
              <w:rPr>
                <w:rFonts w:ascii="Arial" w:eastAsia="Calibri" w:hAnsi="Arial" w:cs="Arial"/>
                <w:sz w:val="18"/>
                <w:szCs w:val="18"/>
              </w:rPr>
            </w:pPr>
            <w:r w:rsidRPr="00C049FF">
              <w:rPr>
                <w:rFonts w:ascii="Arial" w:eastAsia="Calibri" w:hAnsi="Arial" w:cs="Arial"/>
                <w:sz w:val="18"/>
                <w:szCs w:val="18"/>
              </w:rPr>
              <w:t>BMI adjusted*</w:t>
            </w:r>
          </w:p>
        </w:tc>
        <w:tc>
          <w:tcPr>
            <w:tcW w:w="1417" w:type="dxa"/>
            <w:tcBorders>
              <w:top w:val="nil"/>
              <w:left w:val="nil"/>
              <w:bottom w:val="nil"/>
              <w:right w:val="nil"/>
            </w:tcBorders>
            <w:shd w:val="clear" w:color="auto" w:fill="auto"/>
            <w:noWrap/>
            <w:vAlign w:val="center"/>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1.02</w:t>
            </w:r>
          </w:p>
        </w:tc>
        <w:tc>
          <w:tcPr>
            <w:tcW w:w="1559" w:type="dxa"/>
            <w:gridSpan w:val="2"/>
            <w:tcBorders>
              <w:top w:val="nil"/>
              <w:left w:val="nil"/>
              <w:bottom w:val="nil"/>
              <w:right w:val="nil"/>
            </w:tcBorders>
            <w:shd w:val="clear" w:color="auto" w:fill="auto"/>
            <w:noWrap/>
            <w:vAlign w:val="center"/>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1.01-1.03</w:t>
            </w:r>
          </w:p>
        </w:tc>
        <w:tc>
          <w:tcPr>
            <w:tcW w:w="1560" w:type="dxa"/>
            <w:tcBorders>
              <w:top w:val="nil"/>
              <w:left w:val="nil"/>
              <w:bottom w:val="nil"/>
              <w:right w:val="nil"/>
            </w:tcBorders>
            <w:shd w:val="clear" w:color="auto" w:fill="auto"/>
            <w:noWrap/>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12</w:t>
            </w:r>
          </w:p>
        </w:tc>
        <w:tc>
          <w:tcPr>
            <w:tcW w:w="1134" w:type="dxa"/>
            <w:gridSpan w:val="3"/>
            <w:tcBorders>
              <w:top w:val="nil"/>
              <w:left w:val="nil"/>
              <w:bottom w:val="nil"/>
              <w:right w:val="nil"/>
            </w:tcBorders>
            <w:shd w:val="clear" w:color="auto" w:fill="auto"/>
            <w:noWrap/>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63.9</w:t>
            </w:r>
          </w:p>
        </w:tc>
        <w:tc>
          <w:tcPr>
            <w:tcW w:w="1275" w:type="dxa"/>
            <w:gridSpan w:val="2"/>
            <w:tcBorders>
              <w:top w:val="nil"/>
              <w:left w:val="nil"/>
              <w:bottom w:val="nil"/>
              <w:right w:val="nil"/>
            </w:tcBorders>
            <w:shd w:val="clear" w:color="auto" w:fill="auto"/>
            <w:noWrap/>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&lt;0.001</w:t>
            </w:r>
          </w:p>
        </w:tc>
      </w:tr>
      <w:tr w:rsidR="00C049FF" w:rsidRPr="00C049FF" w:rsidTr="002B1780">
        <w:trPr>
          <w:gridAfter w:val="1"/>
          <w:wAfter w:w="327" w:type="dxa"/>
          <w:trHeight w:val="340"/>
        </w:trPr>
        <w:tc>
          <w:tcPr>
            <w:tcW w:w="9067" w:type="dxa"/>
            <w:gridSpan w:val="10"/>
            <w:tcBorders>
              <w:top w:val="nil"/>
              <w:left w:val="nil"/>
              <w:bottom w:val="nil"/>
              <w:right w:val="nil"/>
            </w:tcBorders>
            <w:vAlign w:val="bottom"/>
            <w:hideMark/>
          </w:tcPr>
          <w:p w:rsidR="00C049FF" w:rsidRPr="00C049FF" w:rsidRDefault="00C049FF" w:rsidP="00C049FF">
            <w:pPr>
              <w:spacing w:line="240" w:lineRule="auto"/>
              <w:rPr>
                <w:rFonts w:ascii="Arial" w:eastAsia="Calibri" w:hAnsi="Arial" w:cs="Arial"/>
                <w:b/>
                <w:i/>
                <w:sz w:val="18"/>
                <w:szCs w:val="18"/>
              </w:rPr>
            </w:pPr>
            <w:r w:rsidRPr="00C049FF">
              <w:rPr>
                <w:rFonts w:ascii="Arial" w:eastAsia="Calibri" w:hAnsi="Arial" w:cs="Arial"/>
                <w:b/>
                <w:i/>
                <w:sz w:val="18"/>
                <w:szCs w:val="18"/>
              </w:rPr>
              <w:t>Sensitivity analysis excluding the following studies:</w:t>
            </w:r>
          </w:p>
        </w:tc>
      </w:tr>
      <w:tr w:rsidR="00C049FF" w:rsidRPr="00C049FF" w:rsidTr="002B1780">
        <w:trPr>
          <w:gridAfter w:val="1"/>
          <w:wAfter w:w="327" w:type="dxa"/>
          <w:trHeight w:val="510"/>
        </w:trPr>
        <w:tc>
          <w:tcPr>
            <w:tcW w:w="2122" w:type="dxa"/>
            <w:tcBorders>
              <w:top w:val="nil"/>
              <w:left w:val="nil"/>
              <w:bottom w:val="nil"/>
              <w:right w:val="nil"/>
            </w:tcBorders>
            <w:vAlign w:val="center"/>
            <w:hideMark/>
          </w:tcPr>
          <w:p w:rsidR="00C049FF" w:rsidRPr="00C049FF" w:rsidRDefault="00C049FF" w:rsidP="00C049FF">
            <w:pPr>
              <w:spacing w:line="240" w:lineRule="auto"/>
              <w:rPr>
                <w:rFonts w:ascii="Arial" w:eastAsia="Calibri" w:hAnsi="Arial" w:cs="Arial"/>
                <w:sz w:val="18"/>
                <w:szCs w:val="18"/>
              </w:rPr>
            </w:pPr>
            <w:r w:rsidRPr="00C049FF">
              <w:rPr>
                <w:rFonts w:ascii="Arial" w:eastAsia="Calibri" w:hAnsi="Arial" w:cs="Arial"/>
                <w:sz w:val="18"/>
                <w:szCs w:val="18"/>
              </w:rPr>
              <w:t>Objectively measured sedentary time</w:t>
            </w:r>
          </w:p>
        </w:tc>
        <w:tc>
          <w:tcPr>
            <w:tcW w:w="1417" w:type="dxa"/>
            <w:tcBorders>
              <w:top w:val="nil"/>
              <w:left w:val="nil"/>
              <w:bottom w:val="nil"/>
              <w:right w:val="nil"/>
            </w:tcBorders>
            <w:noWrap/>
            <w:vAlign w:val="center"/>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1.02</w:t>
            </w:r>
          </w:p>
        </w:tc>
        <w:tc>
          <w:tcPr>
            <w:tcW w:w="1559" w:type="dxa"/>
            <w:gridSpan w:val="2"/>
            <w:tcBorders>
              <w:top w:val="nil"/>
              <w:left w:val="nil"/>
              <w:bottom w:val="nil"/>
              <w:right w:val="nil"/>
            </w:tcBorders>
            <w:noWrap/>
            <w:vAlign w:val="center"/>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1.01-1.03</w:t>
            </w:r>
          </w:p>
        </w:tc>
        <w:tc>
          <w:tcPr>
            <w:tcW w:w="1560" w:type="dxa"/>
            <w:tcBorders>
              <w:top w:val="nil"/>
              <w:left w:val="nil"/>
              <w:bottom w:val="nil"/>
              <w:right w:val="nil"/>
            </w:tcBorders>
            <w:noWrap/>
            <w:vAlign w:val="center"/>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11</w:t>
            </w:r>
          </w:p>
        </w:tc>
        <w:tc>
          <w:tcPr>
            <w:tcW w:w="1134" w:type="dxa"/>
            <w:gridSpan w:val="3"/>
            <w:tcBorders>
              <w:top w:val="nil"/>
              <w:left w:val="nil"/>
              <w:bottom w:val="nil"/>
              <w:right w:val="nil"/>
            </w:tcBorders>
            <w:noWrap/>
            <w:vAlign w:val="center"/>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69.1</w:t>
            </w:r>
          </w:p>
        </w:tc>
        <w:tc>
          <w:tcPr>
            <w:tcW w:w="1275" w:type="dxa"/>
            <w:gridSpan w:val="2"/>
            <w:tcBorders>
              <w:top w:val="nil"/>
              <w:left w:val="nil"/>
              <w:bottom w:val="nil"/>
              <w:right w:val="nil"/>
            </w:tcBorders>
            <w:noWrap/>
            <w:vAlign w:val="center"/>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&lt;0.001</w:t>
            </w:r>
          </w:p>
        </w:tc>
      </w:tr>
      <w:tr w:rsidR="00C049FF" w:rsidRPr="00C049FF" w:rsidTr="002B1780">
        <w:trPr>
          <w:gridAfter w:val="1"/>
          <w:wAfter w:w="327" w:type="dxa"/>
          <w:trHeight w:val="255"/>
        </w:trPr>
        <w:tc>
          <w:tcPr>
            <w:tcW w:w="2122" w:type="dxa"/>
            <w:tcBorders>
              <w:top w:val="nil"/>
              <w:left w:val="nil"/>
              <w:bottom w:val="nil"/>
              <w:right w:val="nil"/>
            </w:tcBorders>
            <w:shd w:val="clear" w:color="auto" w:fill="BFBFBF" w:themeFill="background1" w:themeFillShade="BF"/>
            <w:vAlign w:val="center"/>
          </w:tcPr>
          <w:p w:rsidR="00C049FF" w:rsidRPr="00C049FF" w:rsidRDefault="00C049FF" w:rsidP="00C049FF">
            <w:pPr>
              <w:spacing w:line="240" w:lineRule="auto"/>
              <w:rPr>
                <w:rFonts w:ascii="Arial" w:eastAsia="Calibri" w:hAnsi="Arial" w:cs="Arial"/>
                <w:sz w:val="18"/>
                <w:szCs w:val="18"/>
              </w:rPr>
            </w:pPr>
            <w:r w:rsidRPr="00C049FF">
              <w:rPr>
                <w:rFonts w:ascii="Arial" w:eastAsia="Calibri" w:hAnsi="Arial" w:cs="Arial"/>
                <w:sz w:val="18"/>
                <w:szCs w:val="18"/>
              </w:rPr>
              <w:t>Mean age baseline&lt;50</w:t>
            </w:r>
          </w:p>
        </w:tc>
        <w:tc>
          <w:tcPr>
            <w:tcW w:w="1417" w:type="dxa"/>
            <w:tcBorders>
              <w:top w:val="nil"/>
              <w:left w:val="nil"/>
              <w:bottom w:val="nil"/>
              <w:right w:val="nil"/>
            </w:tcBorders>
            <w:shd w:val="clear" w:color="auto" w:fill="BFBFBF" w:themeFill="background1" w:themeFillShade="BF"/>
            <w:noWrap/>
            <w:vAlign w:val="center"/>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1.02</w:t>
            </w:r>
          </w:p>
        </w:tc>
        <w:tc>
          <w:tcPr>
            <w:tcW w:w="1559" w:type="dxa"/>
            <w:gridSpan w:val="2"/>
            <w:tcBorders>
              <w:top w:val="nil"/>
              <w:left w:val="nil"/>
              <w:bottom w:val="nil"/>
              <w:right w:val="nil"/>
            </w:tcBorders>
            <w:shd w:val="clear" w:color="auto" w:fill="BFBFBF"/>
            <w:noWrap/>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1.01-1.03</w:t>
            </w:r>
          </w:p>
        </w:tc>
        <w:tc>
          <w:tcPr>
            <w:tcW w:w="1560" w:type="dxa"/>
            <w:tcBorders>
              <w:top w:val="nil"/>
              <w:left w:val="nil"/>
              <w:bottom w:val="nil"/>
              <w:right w:val="nil"/>
            </w:tcBorders>
            <w:shd w:val="clear" w:color="auto" w:fill="BFBFBF"/>
            <w:noWrap/>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10</w:t>
            </w:r>
          </w:p>
        </w:tc>
        <w:tc>
          <w:tcPr>
            <w:tcW w:w="1134" w:type="dxa"/>
            <w:gridSpan w:val="3"/>
            <w:tcBorders>
              <w:top w:val="nil"/>
              <w:left w:val="nil"/>
              <w:bottom w:val="nil"/>
              <w:right w:val="nil"/>
            </w:tcBorders>
            <w:shd w:val="clear" w:color="auto" w:fill="BFBFBF"/>
            <w:noWrap/>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64.0</w:t>
            </w:r>
          </w:p>
        </w:tc>
        <w:tc>
          <w:tcPr>
            <w:tcW w:w="1275" w:type="dxa"/>
            <w:gridSpan w:val="2"/>
            <w:tcBorders>
              <w:top w:val="nil"/>
              <w:left w:val="nil"/>
              <w:bottom w:val="nil"/>
              <w:right w:val="nil"/>
            </w:tcBorders>
            <w:shd w:val="clear" w:color="auto" w:fill="BFBFBF"/>
            <w:noWrap/>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&lt;0.001</w:t>
            </w:r>
          </w:p>
        </w:tc>
      </w:tr>
      <w:tr w:rsidR="00C049FF" w:rsidRPr="00C049FF" w:rsidTr="002B1780">
        <w:trPr>
          <w:gridAfter w:val="1"/>
          <w:wAfter w:w="327" w:type="dxa"/>
          <w:trHeight w:val="255"/>
        </w:trPr>
        <w:tc>
          <w:tcPr>
            <w:tcW w:w="2122" w:type="dxa"/>
            <w:tcBorders>
              <w:top w:val="nil"/>
              <w:left w:val="nil"/>
              <w:bottom w:val="nil"/>
              <w:right w:val="nil"/>
            </w:tcBorders>
            <w:shd w:val="clear" w:color="auto" w:fill="auto"/>
          </w:tcPr>
          <w:p w:rsidR="00C049FF" w:rsidRPr="00C049FF" w:rsidRDefault="00C049FF" w:rsidP="00C049FF">
            <w:pPr>
              <w:spacing w:line="240" w:lineRule="auto"/>
              <w:rPr>
                <w:rFonts w:ascii="Arial" w:eastAsia="Calibri" w:hAnsi="Arial" w:cs="Arial"/>
                <w:sz w:val="18"/>
                <w:szCs w:val="18"/>
              </w:rPr>
            </w:pPr>
            <w:r w:rsidRPr="00C049FF">
              <w:rPr>
                <w:rFonts w:ascii="Arial" w:eastAsia="Calibri" w:hAnsi="Arial" w:cs="Arial"/>
                <w:sz w:val="18"/>
                <w:szCs w:val="18"/>
              </w:rPr>
              <w:t>Insufficient control of baseline health</w:t>
            </w:r>
          </w:p>
        </w:tc>
        <w:tc>
          <w:tcPr>
            <w:tcW w:w="1417" w:type="dxa"/>
            <w:tcBorders>
              <w:top w:val="nil"/>
              <w:left w:val="nil"/>
              <w:bottom w:val="nil"/>
              <w:right w:val="nil"/>
            </w:tcBorders>
            <w:shd w:val="clear" w:color="auto" w:fill="auto"/>
            <w:noWrap/>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1.02</w:t>
            </w:r>
          </w:p>
        </w:tc>
        <w:tc>
          <w:tcPr>
            <w:tcW w:w="1559" w:type="dxa"/>
            <w:gridSpan w:val="2"/>
            <w:tcBorders>
              <w:top w:val="nil"/>
              <w:left w:val="nil"/>
              <w:bottom w:val="nil"/>
              <w:right w:val="nil"/>
            </w:tcBorders>
            <w:shd w:val="clear" w:color="auto" w:fill="auto"/>
            <w:noWrap/>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1.01-1.03</w:t>
            </w:r>
          </w:p>
        </w:tc>
        <w:tc>
          <w:tcPr>
            <w:tcW w:w="1560" w:type="dxa"/>
            <w:tcBorders>
              <w:top w:val="nil"/>
              <w:left w:val="nil"/>
              <w:bottom w:val="nil"/>
              <w:right w:val="nil"/>
            </w:tcBorders>
            <w:shd w:val="clear" w:color="auto" w:fill="auto"/>
            <w:noWrap/>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10</w:t>
            </w:r>
          </w:p>
        </w:tc>
        <w:tc>
          <w:tcPr>
            <w:tcW w:w="1134" w:type="dxa"/>
            <w:gridSpan w:val="3"/>
            <w:tcBorders>
              <w:top w:val="nil"/>
              <w:left w:val="nil"/>
              <w:bottom w:val="nil"/>
              <w:right w:val="nil"/>
            </w:tcBorders>
            <w:shd w:val="clear" w:color="auto" w:fill="auto"/>
            <w:noWrap/>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33.6</w:t>
            </w:r>
          </w:p>
        </w:tc>
        <w:tc>
          <w:tcPr>
            <w:tcW w:w="1275" w:type="dxa"/>
            <w:gridSpan w:val="2"/>
            <w:tcBorders>
              <w:top w:val="nil"/>
              <w:left w:val="nil"/>
              <w:bottom w:val="nil"/>
              <w:right w:val="nil"/>
            </w:tcBorders>
            <w:shd w:val="clear" w:color="auto" w:fill="auto"/>
            <w:noWrap/>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0.001</w:t>
            </w:r>
          </w:p>
        </w:tc>
      </w:tr>
      <w:tr w:rsidR="00C049FF" w:rsidRPr="00C049FF" w:rsidTr="002B1780">
        <w:trPr>
          <w:gridAfter w:val="1"/>
          <w:wAfter w:w="327" w:type="dxa"/>
          <w:trHeight w:val="255"/>
        </w:trPr>
        <w:tc>
          <w:tcPr>
            <w:tcW w:w="2122" w:type="dxa"/>
            <w:tcBorders>
              <w:top w:val="nil"/>
              <w:left w:val="nil"/>
              <w:bottom w:val="nil"/>
              <w:right w:val="nil"/>
            </w:tcBorders>
            <w:shd w:val="clear" w:color="auto" w:fill="BFBFBF"/>
          </w:tcPr>
          <w:p w:rsidR="00C049FF" w:rsidRPr="00C049FF" w:rsidRDefault="00C049FF" w:rsidP="00C049FF">
            <w:pPr>
              <w:spacing w:line="240" w:lineRule="auto"/>
              <w:rPr>
                <w:rFonts w:ascii="Arial" w:eastAsia="Calibri" w:hAnsi="Arial" w:cs="Arial"/>
                <w:sz w:val="18"/>
                <w:szCs w:val="18"/>
              </w:rPr>
            </w:pPr>
            <w:r w:rsidRPr="00C049FF">
              <w:rPr>
                <w:rFonts w:ascii="Arial" w:eastAsia="Calibri" w:hAnsi="Arial" w:cs="Arial"/>
                <w:sz w:val="18"/>
                <w:szCs w:val="18"/>
              </w:rPr>
              <w:t>With follow-up &lt;5yrs</w:t>
            </w:r>
          </w:p>
        </w:tc>
        <w:tc>
          <w:tcPr>
            <w:tcW w:w="1417" w:type="dxa"/>
            <w:tcBorders>
              <w:top w:val="nil"/>
              <w:left w:val="nil"/>
              <w:bottom w:val="nil"/>
              <w:right w:val="nil"/>
            </w:tcBorders>
            <w:shd w:val="clear" w:color="auto" w:fill="BFBFBF"/>
            <w:noWrap/>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1.02</w:t>
            </w:r>
          </w:p>
        </w:tc>
        <w:tc>
          <w:tcPr>
            <w:tcW w:w="1559" w:type="dxa"/>
            <w:gridSpan w:val="2"/>
            <w:tcBorders>
              <w:top w:val="nil"/>
              <w:left w:val="nil"/>
              <w:bottom w:val="nil"/>
              <w:right w:val="nil"/>
            </w:tcBorders>
            <w:shd w:val="clear" w:color="auto" w:fill="BFBFBF"/>
            <w:noWrap/>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1.01-1.03</w:t>
            </w:r>
          </w:p>
        </w:tc>
        <w:tc>
          <w:tcPr>
            <w:tcW w:w="1560" w:type="dxa"/>
            <w:tcBorders>
              <w:top w:val="nil"/>
              <w:left w:val="nil"/>
              <w:bottom w:val="nil"/>
              <w:right w:val="nil"/>
            </w:tcBorders>
            <w:shd w:val="clear" w:color="auto" w:fill="BFBFBF"/>
            <w:noWrap/>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9</w:t>
            </w:r>
          </w:p>
        </w:tc>
        <w:tc>
          <w:tcPr>
            <w:tcW w:w="1134" w:type="dxa"/>
            <w:gridSpan w:val="3"/>
            <w:tcBorders>
              <w:top w:val="nil"/>
              <w:left w:val="nil"/>
              <w:bottom w:val="nil"/>
              <w:right w:val="nil"/>
            </w:tcBorders>
            <w:shd w:val="clear" w:color="auto" w:fill="BFBFBF"/>
            <w:noWrap/>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69.2</w:t>
            </w:r>
          </w:p>
        </w:tc>
        <w:tc>
          <w:tcPr>
            <w:tcW w:w="1275" w:type="dxa"/>
            <w:gridSpan w:val="2"/>
            <w:tcBorders>
              <w:top w:val="nil"/>
              <w:left w:val="nil"/>
              <w:bottom w:val="nil"/>
              <w:right w:val="nil"/>
            </w:tcBorders>
            <w:shd w:val="clear" w:color="auto" w:fill="BFBFBF"/>
            <w:noWrap/>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0.001</w:t>
            </w:r>
          </w:p>
        </w:tc>
      </w:tr>
      <w:tr w:rsidR="00C049FF" w:rsidRPr="00C049FF" w:rsidTr="002B1780">
        <w:trPr>
          <w:gridAfter w:val="1"/>
          <w:wAfter w:w="327" w:type="dxa"/>
          <w:trHeight w:val="255"/>
        </w:trPr>
        <w:tc>
          <w:tcPr>
            <w:tcW w:w="2122" w:type="dxa"/>
            <w:tcBorders>
              <w:top w:val="nil"/>
              <w:left w:val="nil"/>
              <w:bottom w:val="nil"/>
              <w:right w:val="nil"/>
            </w:tcBorders>
            <w:shd w:val="clear" w:color="auto" w:fill="auto"/>
          </w:tcPr>
          <w:p w:rsidR="00C049FF" w:rsidRPr="00C049FF" w:rsidRDefault="00C049FF" w:rsidP="00C049FF">
            <w:pPr>
              <w:spacing w:line="240" w:lineRule="auto"/>
              <w:rPr>
                <w:rFonts w:ascii="Arial" w:eastAsia="Calibri" w:hAnsi="Arial" w:cs="Arial"/>
                <w:sz w:val="18"/>
                <w:szCs w:val="18"/>
              </w:rPr>
            </w:pPr>
            <w:r w:rsidRPr="00C049FF">
              <w:rPr>
                <w:rFonts w:ascii="Arial" w:eastAsia="Calibri" w:hAnsi="Arial" w:cs="Arial"/>
                <w:sz w:val="18"/>
                <w:szCs w:val="18"/>
              </w:rPr>
              <w:t>Unrepresentative population</w:t>
            </w:r>
          </w:p>
        </w:tc>
        <w:tc>
          <w:tcPr>
            <w:tcW w:w="1417" w:type="dxa"/>
            <w:tcBorders>
              <w:top w:val="nil"/>
              <w:left w:val="nil"/>
              <w:bottom w:val="nil"/>
              <w:right w:val="nil"/>
            </w:tcBorders>
            <w:shd w:val="clear" w:color="auto" w:fill="auto"/>
            <w:noWrap/>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1.02</w:t>
            </w:r>
          </w:p>
        </w:tc>
        <w:tc>
          <w:tcPr>
            <w:tcW w:w="1559" w:type="dxa"/>
            <w:gridSpan w:val="2"/>
            <w:tcBorders>
              <w:top w:val="nil"/>
              <w:left w:val="nil"/>
              <w:bottom w:val="nil"/>
              <w:right w:val="nil"/>
            </w:tcBorders>
            <w:shd w:val="clear" w:color="auto" w:fill="auto"/>
            <w:noWrap/>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1.02-1.03</w:t>
            </w:r>
          </w:p>
        </w:tc>
        <w:tc>
          <w:tcPr>
            <w:tcW w:w="1560" w:type="dxa"/>
            <w:tcBorders>
              <w:top w:val="nil"/>
              <w:left w:val="nil"/>
              <w:bottom w:val="nil"/>
              <w:right w:val="nil"/>
            </w:tcBorders>
            <w:shd w:val="clear" w:color="auto" w:fill="auto"/>
            <w:noWrap/>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10</w:t>
            </w:r>
          </w:p>
        </w:tc>
        <w:tc>
          <w:tcPr>
            <w:tcW w:w="1134" w:type="dxa"/>
            <w:gridSpan w:val="3"/>
            <w:tcBorders>
              <w:top w:val="nil"/>
              <w:left w:val="nil"/>
              <w:bottom w:val="nil"/>
              <w:right w:val="nil"/>
            </w:tcBorders>
            <w:shd w:val="clear" w:color="auto" w:fill="auto"/>
            <w:noWrap/>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70.0</w:t>
            </w:r>
          </w:p>
        </w:tc>
        <w:tc>
          <w:tcPr>
            <w:tcW w:w="1275" w:type="dxa"/>
            <w:gridSpan w:val="2"/>
            <w:tcBorders>
              <w:top w:val="nil"/>
              <w:left w:val="nil"/>
              <w:bottom w:val="nil"/>
              <w:right w:val="nil"/>
            </w:tcBorders>
            <w:shd w:val="clear" w:color="auto" w:fill="auto"/>
            <w:noWrap/>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&lt;0.001</w:t>
            </w:r>
          </w:p>
        </w:tc>
      </w:tr>
      <w:tr w:rsidR="00C049FF" w:rsidRPr="00C049FF" w:rsidTr="002B1780">
        <w:trPr>
          <w:gridAfter w:val="1"/>
          <w:wAfter w:w="327" w:type="dxa"/>
          <w:trHeight w:val="255"/>
        </w:trPr>
        <w:tc>
          <w:tcPr>
            <w:tcW w:w="2122" w:type="dxa"/>
            <w:tcBorders>
              <w:top w:val="nil"/>
              <w:left w:val="nil"/>
              <w:bottom w:val="nil"/>
              <w:right w:val="nil"/>
            </w:tcBorders>
            <w:shd w:val="clear" w:color="auto" w:fill="BFBFBF"/>
            <w:hideMark/>
          </w:tcPr>
          <w:p w:rsidR="00C049FF" w:rsidRPr="00C049FF" w:rsidRDefault="00C049FF" w:rsidP="00C049FF">
            <w:pPr>
              <w:spacing w:line="240" w:lineRule="auto"/>
              <w:rPr>
                <w:rFonts w:ascii="Arial" w:eastAsia="Calibri" w:hAnsi="Arial" w:cs="Arial"/>
                <w:sz w:val="18"/>
                <w:szCs w:val="18"/>
              </w:rPr>
            </w:pPr>
            <w:r w:rsidRPr="00C049FF">
              <w:rPr>
                <w:rFonts w:ascii="Arial" w:eastAsia="Calibri" w:hAnsi="Arial" w:cs="Arial"/>
                <w:sz w:val="18"/>
                <w:szCs w:val="18"/>
              </w:rPr>
              <w:t>With n&lt;10000</w:t>
            </w:r>
          </w:p>
        </w:tc>
        <w:tc>
          <w:tcPr>
            <w:tcW w:w="1417" w:type="dxa"/>
            <w:tcBorders>
              <w:top w:val="nil"/>
              <w:left w:val="nil"/>
              <w:bottom w:val="nil"/>
              <w:right w:val="nil"/>
            </w:tcBorders>
            <w:shd w:val="clear" w:color="auto" w:fill="BFBFBF"/>
            <w:noWrap/>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1.02</w:t>
            </w:r>
          </w:p>
        </w:tc>
        <w:tc>
          <w:tcPr>
            <w:tcW w:w="1559" w:type="dxa"/>
            <w:gridSpan w:val="2"/>
            <w:tcBorders>
              <w:top w:val="nil"/>
              <w:left w:val="nil"/>
              <w:bottom w:val="nil"/>
              <w:right w:val="nil"/>
            </w:tcBorders>
            <w:shd w:val="clear" w:color="auto" w:fill="BFBFBF"/>
            <w:noWrap/>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1.01-1.03</w:t>
            </w:r>
          </w:p>
        </w:tc>
        <w:tc>
          <w:tcPr>
            <w:tcW w:w="1560" w:type="dxa"/>
            <w:tcBorders>
              <w:top w:val="nil"/>
              <w:left w:val="nil"/>
              <w:bottom w:val="nil"/>
              <w:right w:val="nil"/>
            </w:tcBorders>
            <w:shd w:val="clear" w:color="auto" w:fill="BFBFBF"/>
            <w:noWrap/>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9</w:t>
            </w:r>
          </w:p>
        </w:tc>
        <w:tc>
          <w:tcPr>
            <w:tcW w:w="1134" w:type="dxa"/>
            <w:gridSpan w:val="3"/>
            <w:tcBorders>
              <w:top w:val="nil"/>
              <w:left w:val="nil"/>
              <w:bottom w:val="nil"/>
              <w:right w:val="nil"/>
            </w:tcBorders>
            <w:shd w:val="clear" w:color="auto" w:fill="BFBFBF"/>
            <w:noWrap/>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56.2</w:t>
            </w:r>
          </w:p>
        </w:tc>
        <w:tc>
          <w:tcPr>
            <w:tcW w:w="1275" w:type="dxa"/>
            <w:gridSpan w:val="2"/>
            <w:tcBorders>
              <w:top w:val="nil"/>
              <w:left w:val="nil"/>
              <w:bottom w:val="nil"/>
              <w:right w:val="nil"/>
            </w:tcBorders>
            <w:shd w:val="clear" w:color="auto" w:fill="BFBFBF"/>
            <w:noWrap/>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&lt;0.001</w:t>
            </w:r>
          </w:p>
        </w:tc>
      </w:tr>
      <w:tr w:rsidR="00C049FF" w:rsidRPr="00C049FF" w:rsidTr="002B1780">
        <w:trPr>
          <w:gridAfter w:val="1"/>
          <w:wAfter w:w="327" w:type="dxa"/>
          <w:trHeight w:val="255"/>
        </w:trPr>
        <w:tc>
          <w:tcPr>
            <w:tcW w:w="2122" w:type="dxa"/>
            <w:tcBorders>
              <w:top w:val="nil"/>
              <w:left w:val="nil"/>
              <w:bottom w:val="single" w:sz="4" w:space="0" w:color="auto"/>
              <w:right w:val="nil"/>
            </w:tcBorders>
            <w:hideMark/>
          </w:tcPr>
          <w:p w:rsidR="00C049FF" w:rsidRPr="00C049FF" w:rsidRDefault="00C049FF" w:rsidP="00C049FF">
            <w:pPr>
              <w:spacing w:line="240" w:lineRule="auto"/>
              <w:rPr>
                <w:rFonts w:ascii="Arial" w:eastAsia="Calibri" w:hAnsi="Arial" w:cs="Arial"/>
                <w:sz w:val="18"/>
                <w:szCs w:val="18"/>
              </w:rPr>
            </w:pPr>
          </w:p>
        </w:tc>
        <w:tc>
          <w:tcPr>
            <w:tcW w:w="1417" w:type="dxa"/>
            <w:tcBorders>
              <w:top w:val="nil"/>
              <w:left w:val="nil"/>
              <w:bottom w:val="single" w:sz="4" w:space="0" w:color="auto"/>
              <w:right w:val="nil"/>
            </w:tcBorders>
            <w:noWrap/>
          </w:tcPr>
          <w:p w:rsidR="00C049FF" w:rsidRPr="00C049FF" w:rsidRDefault="00C049FF" w:rsidP="00C049FF">
            <w:pPr>
              <w:spacing w:line="240" w:lineRule="auto"/>
              <w:jc w:val="center"/>
              <w:rPr>
                <w:rFonts w:ascii="Arial" w:eastAsia="Calibri" w:hAnsi="Arial" w:cs="Arial"/>
                <w:sz w:val="18"/>
                <w:szCs w:val="18"/>
              </w:rPr>
            </w:pPr>
          </w:p>
        </w:tc>
        <w:tc>
          <w:tcPr>
            <w:tcW w:w="1559" w:type="dxa"/>
            <w:gridSpan w:val="2"/>
            <w:tcBorders>
              <w:top w:val="nil"/>
              <w:left w:val="nil"/>
              <w:bottom w:val="single" w:sz="4" w:space="0" w:color="auto"/>
              <w:right w:val="nil"/>
            </w:tcBorders>
            <w:noWrap/>
          </w:tcPr>
          <w:p w:rsidR="00C049FF" w:rsidRPr="00C049FF" w:rsidRDefault="00C049FF" w:rsidP="00C049FF">
            <w:pPr>
              <w:spacing w:line="240" w:lineRule="auto"/>
              <w:jc w:val="center"/>
              <w:rPr>
                <w:rFonts w:ascii="Arial" w:eastAsia="Calibri" w:hAnsi="Arial" w:cs="Arial"/>
                <w:sz w:val="18"/>
                <w:szCs w:val="18"/>
              </w:rPr>
            </w:pPr>
          </w:p>
        </w:tc>
        <w:tc>
          <w:tcPr>
            <w:tcW w:w="1560" w:type="dxa"/>
            <w:tcBorders>
              <w:top w:val="nil"/>
              <w:left w:val="nil"/>
              <w:bottom w:val="single" w:sz="4" w:space="0" w:color="auto"/>
              <w:right w:val="nil"/>
            </w:tcBorders>
            <w:noWrap/>
          </w:tcPr>
          <w:p w:rsidR="00C049FF" w:rsidRPr="00C049FF" w:rsidRDefault="00C049FF" w:rsidP="00C049FF">
            <w:pPr>
              <w:spacing w:line="240" w:lineRule="auto"/>
              <w:jc w:val="center"/>
              <w:rPr>
                <w:rFonts w:ascii="Arial" w:eastAsia="Calibri" w:hAnsi="Arial" w:cs="Arial"/>
                <w:sz w:val="18"/>
                <w:szCs w:val="18"/>
              </w:rPr>
            </w:pPr>
          </w:p>
        </w:tc>
        <w:tc>
          <w:tcPr>
            <w:tcW w:w="1134" w:type="dxa"/>
            <w:gridSpan w:val="3"/>
            <w:tcBorders>
              <w:top w:val="nil"/>
              <w:left w:val="nil"/>
              <w:bottom w:val="single" w:sz="4" w:space="0" w:color="auto"/>
              <w:right w:val="nil"/>
            </w:tcBorders>
            <w:noWrap/>
          </w:tcPr>
          <w:p w:rsidR="00C049FF" w:rsidRPr="00C049FF" w:rsidRDefault="00C049FF" w:rsidP="00C049FF">
            <w:pPr>
              <w:spacing w:line="240" w:lineRule="auto"/>
              <w:jc w:val="center"/>
              <w:rPr>
                <w:rFonts w:ascii="Arial" w:eastAsia="Calibri" w:hAnsi="Arial" w:cs="Arial"/>
                <w:sz w:val="18"/>
                <w:szCs w:val="18"/>
              </w:rPr>
            </w:pPr>
          </w:p>
        </w:tc>
        <w:tc>
          <w:tcPr>
            <w:tcW w:w="1275" w:type="dxa"/>
            <w:gridSpan w:val="2"/>
            <w:tcBorders>
              <w:top w:val="nil"/>
              <w:left w:val="nil"/>
              <w:bottom w:val="single" w:sz="4" w:space="0" w:color="auto"/>
              <w:right w:val="nil"/>
            </w:tcBorders>
            <w:noWrap/>
          </w:tcPr>
          <w:p w:rsidR="00C049FF" w:rsidRPr="00C049FF" w:rsidRDefault="00C049FF" w:rsidP="00C049FF">
            <w:pPr>
              <w:spacing w:line="240" w:lineRule="auto"/>
              <w:jc w:val="center"/>
              <w:rPr>
                <w:rFonts w:ascii="Arial" w:eastAsia="Calibri" w:hAnsi="Arial" w:cs="Arial"/>
                <w:sz w:val="18"/>
                <w:szCs w:val="18"/>
              </w:rPr>
            </w:pPr>
          </w:p>
        </w:tc>
      </w:tr>
      <w:tr w:rsidR="00C049FF" w:rsidRPr="00C049FF" w:rsidTr="002B1780">
        <w:trPr>
          <w:trHeight w:val="255"/>
        </w:trPr>
        <w:tc>
          <w:tcPr>
            <w:tcW w:w="2122" w:type="dxa"/>
            <w:tcBorders>
              <w:top w:val="single" w:sz="4" w:space="0" w:color="auto"/>
              <w:left w:val="nil"/>
              <w:bottom w:val="single" w:sz="4" w:space="0" w:color="auto"/>
              <w:right w:val="nil"/>
            </w:tcBorders>
          </w:tcPr>
          <w:p w:rsidR="00C049FF" w:rsidRPr="00C049FF" w:rsidRDefault="00C049FF" w:rsidP="00C049FF">
            <w:pPr>
              <w:spacing w:line="240" w:lineRule="auto"/>
              <w:rPr>
                <w:rFonts w:ascii="Arial" w:eastAsia="Calibri" w:hAnsi="Arial" w:cs="Arial"/>
                <w:sz w:val="28"/>
                <w:szCs w:val="28"/>
              </w:rPr>
            </w:pPr>
            <w:r w:rsidRPr="00C049FF">
              <w:rPr>
                <w:rFonts w:ascii="Arial" w:eastAsia="Calibri" w:hAnsi="Arial" w:cs="Arial"/>
                <w:sz w:val="28"/>
                <w:szCs w:val="28"/>
              </w:rPr>
              <w:t xml:space="preserve">TV viewing </w:t>
            </w:r>
          </w:p>
        </w:tc>
        <w:tc>
          <w:tcPr>
            <w:tcW w:w="1417" w:type="dxa"/>
            <w:tcBorders>
              <w:top w:val="single" w:sz="4" w:space="0" w:color="auto"/>
              <w:left w:val="nil"/>
              <w:bottom w:val="single" w:sz="4" w:space="0" w:color="auto"/>
              <w:right w:val="nil"/>
            </w:tcBorders>
            <w:noWrap/>
            <w:vAlign w:val="bottom"/>
          </w:tcPr>
          <w:p w:rsidR="00C049FF" w:rsidRPr="00C049FF" w:rsidRDefault="00C049FF" w:rsidP="00C049FF">
            <w:pPr>
              <w:spacing w:line="240" w:lineRule="auto"/>
              <w:rPr>
                <w:rFonts w:ascii="Arial" w:eastAsia="Calibri" w:hAnsi="Arial" w:cs="Arial"/>
                <w:b/>
                <w:bCs/>
                <w:szCs w:val="24"/>
              </w:rPr>
            </w:pPr>
          </w:p>
        </w:tc>
        <w:tc>
          <w:tcPr>
            <w:tcW w:w="284" w:type="dxa"/>
            <w:tcBorders>
              <w:top w:val="single" w:sz="4" w:space="0" w:color="auto"/>
              <w:left w:val="nil"/>
              <w:bottom w:val="single" w:sz="4" w:space="0" w:color="auto"/>
              <w:right w:val="nil"/>
            </w:tcBorders>
            <w:noWrap/>
            <w:vAlign w:val="bottom"/>
          </w:tcPr>
          <w:p w:rsidR="00C049FF" w:rsidRPr="00C049FF" w:rsidRDefault="00C049FF" w:rsidP="00C049FF">
            <w:pPr>
              <w:spacing w:line="240" w:lineRule="auto"/>
              <w:rPr>
                <w:rFonts w:ascii="Arial" w:eastAsia="Calibri" w:hAnsi="Arial" w:cs="Arial"/>
                <w:b/>
                <w:bCs/>
                <w:szCs w:val="24"/>
              </w:rPr>
            </w:pPr>
          </w:p>
        </w:tc>
        <w:tc>
          <w:tcPr>
            <w:tcW w:w="1275" w:type="dxa"/>
            <w:tcBorders>
              <w:top w:val="single" w:sz="4" w:space="0" w:color="auto"/>
              <w:left w:val="nil"/>
              <w:bottom w:val="single" w:sz="4" w:space="0" w:color="auto"/>
              <w:right w:val="nil"/>
            </w:tcBorders>
            <w:noWrap/>
            <w:vAlign w:val="bottom"/>
          </w:tcPr>
          <w:p w:rsidR="00C049FF" w:rsidRPr="00C049FF" w:rsidRDefault="00C049FF" w:rsidP="00C049FF">
            <w:pPr>
              <w:spacing w:line="240" w:lineRule="auto"/>
              <w:rPr>
                <w:rFonts w:ascii="Arial" w:eastAsia="Calibri" w:hAnsi="Arial" w:cs="Arial"/>
                <w:b/>
                <w:bCs/>
                <w:szCs w:val="24"/>
              </w:rPr>
            </w:pPr>
          </w:p>
        </w:tc>
        <w:tc>
          <w:tcPr>
            <w:tcW w:w="1560" w:type="dxa"/>
            <w:tcBorders>
              <w:top w:val="single" w:sz="4" w:space="0" w:color="auto"/>
              <w:left w:val="nil"/>
              <w:bottom w:val="single" w:sz="4" w:space="0" w:color="auto"/>
              <w:right w:val="nil"/>
            </w:tcBorders>
            <w:noWrap/>
            <w:vAlign w:val="bottom"/>
          </w:tcPr>
          <w:p w:rsidR="00C049FF" w:rsidRPr="00C049FF" w:rsidRDefault="00C049FF" w:rsidP="00C049FF">
            <w:pPr>
              <w:spacing w:line="240" w:lineRule="auto"/>
              <w:rPr>
                <w:rFonts w:ascii="Arial" w:eastAsia="Calibri" w:hAnsi="Arial" w:cs="Arial"/>
                <w:b/>
                <w:bCs/>
                <w:szCs w:val="24"/>
              </w:rPr>
            </w:pPr>
          </w:p>
        </w:tc>
        <w:tc>
          <w:tcPr>
            <w:tcW w:w="236" w:type="dxa"/>
            <w:tcBorders>
              <w:top w:val="single" w:sz="4" w:space="0" w:color="auto"/>
              <w:left w:val="nil"/>
              <w:bottom w:val="single" w:sz="4" w:space="0" w:color="auto"/>
              <w:right w:val="nil"/>
            </w:tcBorders>
            <w:noWrap/>
            <w:vAlign w:val="bottom"/>
          </w:tcPr>
          <w:p w:rsidR="00C049FF" w:rsidRPr="00C049FF" w:rsidRDefault="00C049FF" w:rsidP="00C049FF">
            <w:pPr>
              <w:spacing w:line="240" w:lineRule="auto"/>
              <w:rPr>
                <w:rFonts w:ascii="Arial" w:eastAsia="Calibri" w:hAnsi="Arial" w:cs="Arial"/>
                <w:b/>
                <w:bCs/>
                <w:szCs w:val="24"/>
              </w:rPr>
            </w:pPr>
          </w:p>
        </w:tc>
        <w:tc>
          <w:tcPr>
            <w:tcW w:w="1559" w:type="dxa"/>
            <w:gridSpan w:val="3"/>
            <w:tcBorders>
              <w:top w:val="single" w:sz="4" w:space="0" w:color="auto"/>
              <w:left w:val="nil"/>
              <w:bottom w:val="single" w:sz="4" w:space="0" w:color="auto"/>
              <w:right w:val="nil"/>
            </w:tcBorders>
            <w:noWrap/>
            <w:vAlign w:val="bottom"/>
          </w:tcPr>
          <w:p w:rsidR="00C049FF" w:rsidRPr="00C049FF" w:rsidRDefault="00C049FF" w:rsidP="00C049FF">
            <w:pPr>
              <w:spacing w:line="240" w:lineRule="auto"/>
              <w:rPr>
                <w:rFonts w:ascii="Arial" w:eastAsia="Calibri" w:hAnsi="Arial" w:cs="Arial"/>
                <w:b/>
                <w:bCs/>
                <w:szCs w:val="24"/>
              </w:rPr>
            </w:pPr>
          </w:p>
        </w:tc>
        <w:tc>
          <w:tcPr>
            <w:tcW w:w="941" w:type="dxa"/>
            <w:gridSpan w:val="2"/>
            <w:tcBorders>
              <w:top w:val="single" w:sz="4" w:space="0" w:color="auto"/>
              <w:left w:val="nil"/>
              <w:bottom w:val="single" w:sz="4" w:space="0" w:color="auto"/>
              <w:right w:val="nil"/>
            </w:tcBorders>
            <w:noWrap/>
            <w:vAlign w:val="bottom"/>
          </w:tcPr>
          <w:p w:rsidR="00C049FF" w:rsidRPr="00C049FF" w:rsidRDefault="00C049FF" w:rsidP="00C049FF">
            <w:pPr>
              <w:spacing w:line="240" w:lineRule="auto"/>
              <w:rPr>
                <w:rFonts w:ascii="Arial" w:eastAsia="Calibri" w:hAnsi="Arial" w:cs="Arial"/>
                <w:b/>
                <w:bCs/>
                <w:szCs w:val="24"/>
              </w:rPr>
            </w:pPr>
          </w:p>
        </w:tc>
      </w:tr>
      <w:tr w:rsidR="00C049FF" w:rsidRPr="00C049FF" w:rsidTr="002B1780">
        <w:trPr>
          <w:gridAfter w:val="1"/>
          <w:wAfter w:w="327" w:type="dxa"/>
          <w:trHeight w:val="255"/>
        </w:trPr>
        <w:tc>
          <w:tcPr>
            <w:tcW w:w="2122" w:type="dxa"/>
            <w:tcBorders>
              <w:top w:val="single" w:sz="4" w:space="0" w:color="auto"/>
              <w:left w:val="nil"/>
              <w:bottom w:val="nil"/>
              <w:right w:val="nil"/>
            </w:tcBorders>
            <w:hideMark/>
          </w:tcPr>
          <w:p w:rsidR="00C049FF" w:rsidRPr="00C049FF" w:rsidRDefault="00C049FF" w:rsidP="00C049FF">
            <w:pPr>
              <w:spacing w:line="240" w:lineRule="auto"/>
              <w:rPr>
                <w:rFonts w:ascii="Arial" w:eastAsia="Calibri" w:hAnsi="Arial" w:cs="Arial"/>
                <w:b/>
                <w:bCs/>
                <w:sz w:val="20"/>
                <w:szCs w:val="20"/>
              </w:rPr>
            </w:pPr>
            <w:r w:rsidRPr="00C049FF">
              <w:rPr>
                <w:rFonts w:ascii="Arial" w:eastAsia="Calibri" w:hAnsi="Arial" w:cs="Arial"/>
                <w:b/>
                <w:bCs/>
                <w:sz w:val="20"/>
                <w:szCs w:val="20"/>
              </w:rPr>
              <w:t>Summary Estimate</w:t>
            </w:r>
          </w:p>
        </w:tc>
        <w:tc>
          <w:tcPr>
            <w:tcW w:w="1417" w:type="dxa"/>
            <w:tcBorders>
              <w:top w:val="single" w:sz="4" w:space="0" w:color="auto"/>
              <w:left w:val="nil"/>
              <w:bottom w:val="nil"/>
              <w:right w:val="nil"/>
            </w:tcBorders>
            <w:noWrap/>
            <w:vAlign w:val="center"/>
          </w:tcPr>
          <w:p w:rsidR="00C049FF" w:rsidRPr="00C049FF" w:rsidRDefault="00C049FF" w:rsidP="00C049FF">
            <w:pPr>
              <w:spacing w:line="240" w:lineRule="auto"/>
              <w:jc w:val="center"/>
              <w:rPr>
                <w:rFonts w:ascii="Arial" w:eastAsia="Calibri" w:hAnsi="Arial" w:cs="Arial"/>
                <w:b/>
                <w:bCs/>
                <w:sz w:val="20"/>
                <w:szCs w:val="20"/>
              </w:rPr>
            </w:pPr>
            <w:r w:rsidRPr="00C049FF">
              <w:rPr>
                <w:rFonts w:ascii="Arial" w:eastAsia="Calibri" w:hAnsi="Arial" w:cs="Arial"/>
                <w:b/>
                <w:bCs/>
                <w:sz w:val="20"/>
                <w:szCs w:val="20"/>
              </w:rPr>
              <w:t>1.05</w:t>
            </w:r>
          </w:p>
        </w:tc>
        <w:tc>
          <w:tcPr>
            <w:tcW w:w="1559" w:type="dxa"/>
            <w:gridSpan w:val="2"/>
            <w:tcBorders>
              <w:top w:val="single" w:sz="4" w:space="0" w:color="auto"/>
              <w:left w:val="nil"/>
              <w:bottom w:val="nil"/>
              <w:right w:val="nil"/>
            </w:tcBorders>
            <w:noWrap/>
            <w:vAlign w:val="center"/>
          </w:tcPr>
          <w:p w:rsidR="00C049FF" w:rsidRPr="00C049FF" w:rsidRDefault="00C049FF" w:rsidP="00C049FF">
            <w:pPr>
              <w:spacing w:line="240" w:lineRule="auto"/>
              <w:jc w:val="center"/>
              <w:rPr>
                <w:rFonts w:ascii="Arial" w:eastAsia="Calibri" w:hAnsi="Arial" w:cs="Arial"/>
                <w:b/>
                <w:bCs/>
                <w:sz w:val="20"/>
                <w:szCs w:val="20"/>
              </w:rPr>
            </w:pPr>
            <w:r w:rsidRPr="00C049FF">
              <w:rPr>
                <w:rFonts w:ascii="Arial" w:eastAsia="Calibri" w:hAnsi="Arial" w:cs="Arial"/>
                <w:b/>
                <w:bCs/>
                <w:sz w:val="20"/>
                <w:szCs w:val="20"/>
              </w:rPr>
              <w:t>1.04-1.05</w:t>
            </w:r>
          </w:p>
        </w:tc>
        <w:tc>
          <w:tcPr>
            <w:tcW w:w="1560" w:type="dxa"/>
            <w:tcBorders>
              <w:top w:val="single" w:sz="4" w:space="0" w:color="auto"/>
              <w:left w:val="nil"/>
              <w:bottom w:val="nil"/>
              <w:right w:val="nil"/>
            </w:tcBorders>
            <w:noWrap/>
            <w:vAlign w:val="center"/>
          </w:tcPr>
          <w:p w:rsidR="00C049FF" w:rsidRPr="00C049FF" w:rsidRDefault="00C049FF" w:rsidP="00C049FF">
            <w:pPr>
              <w:spacing w:line="240" w:lineRule="auto"/>
              <w:jc w:val="center"/>
              <w:rPr>
                <w:rFonts w:ascii="Arial" w:eastAsia="Calibri" w:hAnsi="Arial" w:cs="Arial"/>
                <w:b/>
                <w:bCs/>
                <w:sz w:val="20"/>
                <w:szCs w:val="20"/>
              </w:rPr>
            </w:pPr>
            <w:r w:rsidRPr="00C049FF">
              <w:rPr>
                <w:rFonts w:ascii="Arial" w:eastAsia="Calibri" w:hAnsi="Arial" w:cs="Arial"/>
                <w:b/>
                <w:bCs/>
                <w:sz w:val="20"/>
                <w:szCs w:val="20"/>
              </w:rPr>
              <w:t>7</w:t>
            </w:r>
          </w:p>
        </w:tc>
        <w:tc>
          <w:tcPr>
            <w:tcW w:w="1134" w:type="dxa"/>
            <w:gridSpan w:val="3"/>
            <w:tcBorders>
              <w:top w:val="single" w:sz="4" w:space="0" w:color="auto"/>
              <w:left w:val="nil"/>
              <w:bottom w:val="nil"/>
              <w:right w:val="nil"/>
            </w:tcBorders>
            <w:noWrap/>
            <w:vAlign w:val="center"/>
          </w:tcPr>
          <w:p w:rsidR="00C049FF" w:rsidRPr="00C049FF" w:rsidRDefault="00C049FF" w:rsidP="00C049FF">
            <w:pPr>
              <w:spacing w:line="240" w:lineRule="auto"/>
              <w:jc w:val="center"/>
              <w:rPr>
                <w:rFonts w:ascii="Arial" w:eastAsia="Calibri" w:hAnsi="Arial" w:cs="Arial"/>
                <w:b/>
                <w:bCs/>
                <w:sz w:val="20"/>
                <w:szCs w:val="20"/>
              </w:rPr>
            </w:pPr>
            <w:r w:rsidRPr="00C049FF">
              <w:rPr>
                <w:rFonts w:ascii="Arial" w:eastAsia="Calibri" w:hAnsi="Arial" w:cs="Arial"/>
                <w:b/>
                <w:bCs/>
                <w:sz w:val="20"/>
                <w:szCs w:val="20"/>
              </w:rPr>
              <w:t>0</w:t>
            </w:r>
          </w:p>
        </w:tc>
        <w:tc>
          <w:tcPr>
            <w:tcW w:w="1275" w:type="dxa"/>
            <w:gridSpan w:val="2"/>
            <w:tcBorders>
              <w:top w:val="single" w:sz="4" w:space="0" w:color="auto"/>
              <w:left w:val="nil"/>
              <w:bottom w:val="nil"/>
              <w:right w:val="nil"/>
            </w:tcBorders>
            <w:noWrap/>
            <w:vAlign w:val="center"/>
          </w:tcPr>
          <w:p w:rsidR="00C049FF" w:rsidRPr="00C049FF" w:rsidRDefault="00C049FF" w:rsidP="00C049FF">
            <w:pPr>
              <w:spacing w:line="240" w:lineRule="auto"/>
              <w:jc w:val="center"/>
              <w:rPr>
                <w:rFonts w:ascii="Arial" w:eastAsia="Calibri" w:hAnsi="Arial" w:cs="Arial"/>
                <w:b/>
                <w:bCs/>
                <w:sz w:val="20"/>
                <w:szCs w:val="20"/>
              </w:rPr>
            </w:pPr>
            <w:r w:rsidRPr="00C049FF">
              <w:rPr>
                <w:rFonts w:ascii="Arial" w:eastAsia="Calibri" w:hAnsi="Arial" w:cs="Arial"/>
                <w:b/>
                <w:bCs/>
                <w:sz w:val="20"/>
                <w:szCs w:val="20"/>
              </w:rPr>
              <w:t>&lt;0.001</w:t>
            </w:r>
          </w:p>
        </w:tc>
      </w:tr>
      <w:tr w:rsidR="00C049FF" w:rsidRPr="00C049FF" w:rsidTr="002B1780">
        <w:trPr>
          <w:gridAfter w:val="1"/>
          <w:wAfter w:w="327" w:type="dxa"/>
          <w:trHeight w:val="397"/>
        </w:trPr>
        <w:tc>
          <w:tcPr>
            <w:tcW w:w="2122" w:type="dxa"/>
            <w:tcBorders>
              <w:top w:val="nil"/>
              <w:left w:val="nil"/>
              <w:bottom w:val="nil"/>
              <w:right w:val="nil"/>
            </w:tcBorders>
            <w:vAlign w:val="bottom"/>
          </w:tcPr>
          <w:p w:rsidR="00C049FF" w:rsidRPr="00C049FF" w:rsidRDefault="00C049FF" w:rsidP="00C049FF">
            <w:pPr>
              <w:spacing w:line="240" w:lineRule="auto"/>
              <w:rPr>
                <w:rFonts w:ascii="Arial" w:eastAsia="Calibri" w:hAnsi="Arial" w:cs="Arial"/>
                <w:sz w:val="18"/>
                <w:szCs w:val="18"/>
              </w:rPr>
            </w:pPr>
            <w:r w:rsidRPr="00C049FF">
              <w:rPr>
                <w:rFonts w:ascii="Arial" w:eastAsia="Calibri" w:hAnsi="Arial" w:cs="Arial"/>
                <w:b/>
                <w:i/>
                <w:sz w:val="18"/>
                <w:szCs w:val="18"/>
              </w:rPr>
              <w:t>Subgroup analysis:</w:t>
            </w:r>
          </w:p>
        </w:tc>
        <w:tc>
          <w:tcPr>
            <w:tcW w:w="1417" w:type="dxa"/>
            <w:tcBorders>
              <w:top w:val="nil"/>
              <w:left w:val="nil"/>
              <w:bottom w:val="nil"/>
              <w:right w:val="nil"/>
            </w:tcBorders>
            <w:noWrap/>
            <w:vAlign w:val="center"/>
          </w:tcPr>
          <w:p w:rsidR="00C049FF" w:rsidRPr="00C049FF" w:rsidRDefault="00C049FF" w:rsidP="00C049FF">
            <w:pPr>
              <w:spacing w:line="240" w:lineRule="auto"/>
              <w:jc w:val="center"/>
              <w:rPr>
                <w:rFonts w:ascii="Arial" w:eastAsia="Calibri" w:hAnsi="Arial" w:cs="Arial"/>
                <w:sz w:val="18"/>
                <w:szCs w:val="18"/>
              </w:rPr>
            </w:pPr>
          </w:p>
        </w:tc>
        <w:tc>
          <w:tcPr>
            <w:tcW w:w="284" w:type="dxa"/>
            <w:tcBorders>
              <w:top w:val="nil"/>
              <w:left w:val="nil"/>
              <w:bottom w:val="nil"/>
              <w:right w:val="nil"/>
            </w:tcBorders>
            <w:noWrap/>
            <w:vAlign w:val="center"/>
          </w:tcPr>
          <w:p w:rsidR="00C049FF" w:rsidRPr="00C049FF" w:rsidRDefault="00C049FF" w:rsidP="00C049FF">
            <w:pPr>
              <w:spacing w:line="240" w:lineRule="auto"/>
              <w:jc w:val="center"/>
              <w:rPr>
                <w:rFonts w:ascii="Arial" w:eastAsia="Calibri" w:hAnsi="Arial" w:cs="Arial"/>
                <w:sz w:val="18"/>
                <w:szCs w:val="18"/>
              </w:rPr>
            </w:pPr>
          </w:p>
        </w:tc>
        <w:tc>
          <w:tcPr>
            <w:tcW w:w="1275" w:type="dxa"/>
            <w:tcBorders>
              <w:top w:val="nil"/>
              <w:left w:val="nil"/>
              <w:bottom w:val="nil"/>
              <w:right w:val="nil"/>
            </w:tcBorders>
            <w:noWrap/>
            <w:vAlign w:val="center"/>
          </w:tcPr>
          <w:p w:rsidR="00C049FF" w:rsidRPr="00C049FF" w:rsidRDefault="00C049FF" w:rsidP="00C049FF">
            <w:pPr>
              <w:spacing w:line="240" w:lineRule="auto"/>
              <w:jc w:val="center"/>
              <w:rPr>
                <w:rFonts w:ascii="Arial" w:eastAsia="Calibri" w:hAnsi="Arial" w:cs="Arial"/>
                <w:sz w:val="18"/>
                <w:szCs w:val="18"/>
              </w:rPr>
            </w:pPr>
          </w:p>
        </w:tc>
        <w:tc>
          <w:tcPr>
            <w:tcW w:w="1560" w:type="dxa"/>
            <w:tcBorders>
              <w:top w:val="nil"/>
              <w:left w:val="nil"/>
              <w:bottom w:val="nil"/>
              <w:right w:val="nil"/>
            </w:tcBorders>
            <w:noWrap/>
            <w:vAlign w:val="center"/>
          </w:tcPr>
          <w:p w:rsidR="00C049FF" w:rsidRPr="00C049FF" w:rsidRDefault="00C049FF" w:rsidP="00C049FF">
            <w:pPr>
              <w:spacing w:line="240" w:lineRule="auto"/>
              <w:jc w:val="center"/>
              <w:rPr>
                <w:rFonts w:ascii="Arial" w:eastAsia="Calibri" w:hAnsi="Arial" w:cs="Arial"/>
                <w:sz w:val="18"/>
                <w:szCs w:val="18"/>
              </w:rPr>
            </w:pPr>
          </w:p>
        </w:tc>
        <w:tc>
          <w:tcPr>
            <w:tcW w:w="1134" w:type="dxa"/>
            <w:gridSpan w:val="3"/>
            <w:tcBorders>
              <w:top w:val="nil"/>
              <w:left w:val="nil"/>
              <w:bottom w:val="nil"/>
              <w:right w:val="nil"/>
            </w:tcBorders>
            <w:noWrap/>
            <w:vAlign w:val="center"/>
          </w:tcPr>
          <w:p w:rsidR="00C049FF" w:rsidRPr="00C049FF" w:rsidRDefault="00C049FF" w:rsidP="00C049FF">
            <w:pPr>
              <w:spacing w:line="240" w:lineRule="auto"/>
              <w:jc w:val="center"/>
              <w:rPr>
                <w:rFonts w:ascii="Arial" w:eastAsia="Calibri" w:hAnsi="Arial" w:cs="Arial"/>
                <w:sz w:val="18"/>
                <w:szCs w:val="18"/>
              </w:rPr>
            </w:pPr>
          </w:p>
        </w:tc>
        <w:tc>
          <w:tcPr>
            <w:tcW w:w="1275" w:type="dxa"/>
            <w:gridSpan w:val="2"/>
            <w:tcBorders>
              <w:top w:val="nil"/>
              <w:left w:val="nil"/>
              <w:bottom w:val="nil"/>
              <w:right w:val="nil"/>
            </w:tcBorders>
            <w:noWrap/>
            <w:vAlign w:val="center"/>
          </w:tcPr>
          <w:p w:rsidR="00C049FF" w:rsidRPr="00C049FF" w:rsidRDefault="00C049FF" w:rsidP="00C049FF">
            <w:pPr>
              <w:spacing w:line="240" w:lineRule="auto"/>
              <w:jc w:val="center"/>
              <w:rPr>
                <w:rFonts w:ascii="Arial" w:eastAsia="Calibri" w:hAnsi="Arial" w:cs="Arial"/>
                <w:sz w:val="18"/>
                <w:szCs w:val="18"/>
              </w:rPr>
            </w:pPr>
          </w:p>
        </w:tc>
      </w:tr>
      <w:tr w:rsidR="00C049FF" w:rsidRPr="00C049FF" w:rsidTr="002B1780">
        <w:trPr>
          <w:gridAfter w:val="1"/>
          <w:wAfter w:w="327" w:type="dxa"/>
          <w:trHeight w:val="255"/>
        </w:trPr>
        <w:tc>
          <w:tcPr>
            <w:tcW w:w="2122" w:type="dxa"/>
            <w:tcBorders>
              <w:top w:val="nil"/>
              <w:left w:val="nil"/>
              <w:bottom w:val="nil"/>
              <w:right w:val="nil"/>
            </w:tcBorders>
            <w:shd w:val="clear" w:color="auto" w:fill="BFBFBF"/>
          </w:tcPr>
          <w:p w:rsidR="00C049FF" w:rsidRPr="00C049FF" w:rsidRDefault="00C049FF" w:rsidP="00C049FF">
            <w:pPr>
              <w:spacing w:line="240" w:lineRule="auto"/>
              <w:rPr>
                <w:rFonts w:ascii="Arial" w:eastAsia="Calibri" w:hAnsi="Arial" w:cs="Arial"/>
                <w:sz w:val="18"/>
                <w:szCs w:val="18"/>
              </w:rPr>
            </w:pPr>
            <w:r w:rsidRPr="00C049FF">
              <w:rPr>
                <w:rFonts w:ascii="Arial" w:eastAsia="Calibri" w:hAnsi="Arial" w:cs="Arial"/>
                <w:sz w:val="18"/>
                <w:szCs w:val="18"/>
              </w:rPr>
              <w:t>Non BMI adjusted*</w:t>
            </w:r>
          </w:p>
        </w:tc>
        <w:tc>
          <w:tcPr>
            <w:tcW w:w="1417" w:type="dxa"/>
            <w:tcBorders>
              <w:top w:val="nil"/>
              <w:left w:val="nil"/>
              <w:bottom w:val="nil"/>
              <w:right w:val="nil"/>
            </w:tcBorders>
            <w:shd w:val="clear" w:color="auto" w:fill="BFBFBF"/>
            <w:noWrap/>
            <w:vAlign w:val="center"/>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1.06</w:t>
            </w:r>
          </w:p>
        </w:tc>
        <w:tc>
          <w:tcPr>
            <w:tcW w:w="1559" w:type="dxa"/>
            <w:gridSpan w:val="2"/>
            <w:tcBorders>
              <w:top w:val="nil"/>
              <w:left w:val="nil"/>
              <w:bottom w:val="nil"/>
              <w:right w:val="nil"/>
            </w:tcBorders>
            <w:shd w:val="clear" w:color="auto" w:fill="BFBFBF"/>
            <w:noWrap/>
            <w:vAlign w:val="center"/>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1.04-1.08</w:t>
            </w:r>
          </w:p>
        </w:tc>
        <w:tc>
          <w:tcPr>
            <w:tcW w:w="1560" w:type="dxa"/>
            <w:tcBorders>
              <w:top w:val="nil"/>
              <w:left w:val="nil"/>
              <w:bottom w:val="nil"/>
              <w:right w:val="nil"/>
            </w:tcBorders>
            <w:shd w:val="clear" w:color="auto" w:fill="BFBFBF"/>
            <w:noWrap/>
            <w:vAlign w:val="center"/>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9</w:t>
            </w:r>
          </w:p>
        </w:tc>
        <w:tc>
          <w:tcPr>
            <w:tcW w:w="1134" w:type="dxa"/>
            <w:gridSpan w:val="3"/>
            <w:tcBorders>
              <w:top w:val="nil"/>
              <w:left w:val="nil"/>
              <w:bottom w:val="nil"/>
              <w:right w:val="nil"/>
            </w:tcBorders>
            <w:shd w:val="clear" w:color="auto" w:fill="BFBFBF"/>
            <w:noWrap/>
            <w:vAlign w:val="center"/>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76.9</w:t>
            </w:r>
          </w:p>
        </w:tc>
        <w:tc>
          <w:tcPr>
            <w:tcW w:w="1275" w:type="dxa"/>
            <w:gridSpan w:val="2"/>
            <w:tcBorders>
              <w:top w:val="nil"/>
              <w:left w:val="nil"/>
              <w:bottom w:val="nil"/>
              <w:right w:val="nil"/>
            </w:tcBorders>
            <w:shd w:val="clear" w:color="auto" w:fill="BFBFBF"/>
            <w:noWrap/>
            <w:vAlign w:val="center"/>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&lt;0.001</w:t>
            </w:r>
          </w:p>
        </w:tc>
      </w:tr>
      <w:tr w:rsidR="00C049FF" w:rsidRPr="00C049FF" w:rsidTr="002B1780">
        <w:trPr>
          <w:gridAfter w:val="1"/>
          <w:wAfter w:w="327" w:type="dxa"/>
          <w:trHeight w:val="255"/>
        </w:trPr>
        <w:tc>
          <w:tcPr>
            <w:tcW w:w="2122" w:type="dxa"/>
            <w:tcBorders>
              <w:top w:val="nil"/>
              <w:left w:val="nil"/>
              <w:bottom w:val="nil"/>
              <w:right w:val="nil"/>
            </w:tcBorders>
            <w:shd w:val="clear" w:color="auto" w:fill="BFBFBF"/>
          </w:tcPr>
          <w:p w:rsidR="00C049FF" w:rsidRPr="00C049FF" w:rsidRDefault="00C049FF" w:rsidP="00C049FF">
            <w:pPr>
              <w:spacing w:line="240" w:lineRule="auto"/>
              <w:rPr>
                <w:rFonts w:ascii="Arial" w:eastAsia="Calibri" w:hAnsi="Arial" w:cs="Arial"/>
                <w:sz w:val="18"/>
                <w:szCs w:val="18"/>
              </w:rPr>
            </w:pPr>
            <w:r w:rsidRPr="00C049FF">
              <w:rPr>
                <w:rFonts w:ascii="Arial" w:eastAsia="Calibri" w:hAnsi="Arial" w:cs="Arial"/>
                <w:sz w:val="18"/>
                <w:szCs w:val="18"/>
              </w:rPr>
              <w:t>BMI adjusted*</w:t>
            </w:r>
          </w:p>
        </w:tc>
        <w:tc>
          <w:tcPr>
            <w:tcW w:w="1417" w:type="dxa"/>
            <w:tcBorders>
              <w:top w:val="nil"/>
              <w:left w:val="nil"/>
              <w:bottom w:val="nil"/>
              <w:right w:val="nil"/>
            </w:tcBorders>
            <w:shd w:val="clear" w:color="auto" w:fill="BFBFBF"/>
            <w:noWrap/>
            <w:vAlign w:val="center"/>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1.05</w:t>
            </w:r>
          </w:p>
        </w:tc>
        <w:tc>
          <w:tcPr>
            <w:tcW w:w="1559" w:type="dxa"/>
            <w:gridSpan w:val="2"/>
            <w:tcBorders>
              <w:top w:val="nil"/>
              <w:left w:val="nil"/>
              <w:bottom w:val="nil"/>
              <w:right w:val="nil"/>
            </w:tcBorders>
            <w:shd w:val="clear" w:color="auto" w:fill="BFBFBF"/>
            <w:noWrap/>
            <w:vAlign w:val="center"/>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1.02-1.08</w:t>
            </w:r>
          </w:p>
        </w:tc>
        <w:tc>
          <w:tcPr>
            <w:tcW w:w="1560" w:type="dxa"/>
            <w:tcBorders>
              <w:top w:val="nil"/>
              <w:left w:val="nil"/>
              <w:bottom w:val="nil"/>
              <w:right w:val="nil"/>
            </w:tcBorders>
            <w:shd w:val="clear" w:color="auto" w:fill="BFBFBF"/>
            <w:noWrap/>
            <w:vAlign w:val="center"/>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5</w:t>
            </w:r>
          </w:p>
        </w:tc>
        <w:tc>
          <w:tcPr>
            <w:tcW w:w="1134" w:type="dxa"/>
            <w:gridSpan w:val="3"/>
            <w:tcBorders>
              <w:top w:val="nil"/>
              <w:left w:val="nil"/>
              <w:bottom w:val="nil"/>
              <w:right w:val="nil"/>
            </w:tcBorders>
            <w:shd w:val="clear" w:color="auto" w:fill="BFBFBF"/>
            <w:noWrap/>
            <w:vAlign w:val="center"/>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32.9</w:t>
            </w:r>
          </w:p>
        </w:tc>
        <w:tc>
          <w:tcPr>
            <w:tcW w:w="1275" w:type="dxa"/>
            <w:gridSpan w:val="2"/>
            <w:tcBorders>
              <w:top w:val="nil"/>
              <w:left w:val="nil"/>
              <w:bottom w:val="nil"/>
              <w:right w:val="nil"/>
            </w:tcBorders>
            <w:shd w:val="clear" w:color="auto" w:fill="BFBFBF"/>
            <w:noWrap/>
            <w:vAlign w:val="center"/>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0.003</w:t>
            </w:r>
          </w:p>
        </w:tc>
      </w:tr>
      <w:tr w:rsidR="00C049FF" w:rsidRPr="00C049FF" w:rsidTr="002B1780">
        <w:trPr>
          <w:gridAfter w:val="1"/>
          <w:wAfter w:w="327" w:type="dxa"/>
          <w:trHeight w:val="340"/>
        </w:trPr>
        <w:tc>
          <w:tcPr>
            <w:tcW w:w="9067" w:type="dxa"/>
            <w:gridSpan w:val="10"/>
            <w:tcBorders>
              <w:top w:val="nil"/>
              <w:left w:val="nil"/>
              <w:bottom w:val="nil"/>
              <w:right w:val="nil"/>
            </w:tcBorders>
            <w:vAlign w:val="bottom"/>
            <w:hideMark/>
          </w:tcPr>
          <w:p w:rsidR="00C049FF" w:rsidRPr="00C049FF" w:rsidRDefault="00C049FF" w:rsidP="00C049FF">
            <w:pPr>
              <w:spacing w:line="240" w:lineRule="auto"/>
              <w:rPr>
                <w:rFonts w:ascii="Arial" w:eastAsia="Calibri" w:hAnsi="Arial" w:cs="Arial"/>
                <w:b/>
                <w:i/>
                <w:sz w:val="18"/>
                <w:szCs w:val="18"/>
              </w:rPr>
            </w:pPr>
            <w:r w:rsidRPr="00C049FF">
              <w:rPr>
                <w:rFonts w:ascii="Arial" w:eastAsia="Calibri" w:hAnsi="Arial" w:cs="Arial"/>
                <w:b/>
                <w:i/>
                <w:sz w:val="18"/>
                <w:szCs w:val="18"/>
              </w:rPr>
              <w:t>Sensitivity analysis excluding the following studies:</w:t>
            </w:r>
          </w:p>
        </w:tc>
      </w:tr>
      <w:tr w:rsidR="00C049FF" w:rsidRPr="00C049FF" w:rsidTr="002B1780">
        <w:trPr>
          <w:gridAfter w:val="1"/>
          <w:wAfter w:w="327" w:type="dxa"/>
          <w:trHeight w:val="255"/>
        </w:trPr>
        <w:tc>
          <w:tcPr>
            <w:tcW w:w="2122" w:type="dxa"/>
            <w:tcBorders>
              <w:top w:val="nil"/>
              <w:left w:val="nil"/>
              <w:bottom w:val="nil"/>
              <w:right w:val="nil"/>
            </w:tcBorders>
            <w:shd w:val="clear" w:color="auto" w:fill="BFBFBF"/>
          </w:tcPr>
          <w:p w:rsidR="00C049FF" w:rsidRPr="00C049FF" w:rsidRDefault="00C049FF" w:rsidP="00C049FF">
            <w:pPr>
              <w:spacing w:line="240" w:lineRule="auto"/>
              <w:rPr>
                <w:rFonts w:ascii="Arial" w:eastAsia="Calibri" w:hAnsi="Arial" w:cs="Arial"/>
                <w:sz w:val="18"/>
                <w:szCs w:val="18"/>
              </w:rPr>
            </w:pPr>
            <w:r w:rsidRPr="00C049FF">
              <w:rPr>
                <w:rFonts w:ascii="Arial" w:eastAsia="Calibri" w:hAnsi="Arial" w:cs="Arial"/>
                <w:sz w:val="18"/>
                <w:szCs w:val="18"/>
              </w:rPr>
              <w:t>Mean age baseline&lt;50</w:t>
            </w:r>
          </w:p>
        </w:tc>
        <w:tc>
          <w:tcPr>
            <w:tcW w:w="1417" w:type="dxa"/>
            <w:tcBorders>
              <w:top w:val="nil"/>
              <w:left w:val="nil"/>
              <w:bottom w:val="nil"/>
              <w:right w:val="nil"/>
            </w:tcBorders>
            <w:shd w:val="clear" w:color="auto" w:fill="BFBFBF"/>
            <w:noWrap/>
            <w:vAlign w:val="center"/>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1.05</w:t>
            </w:r>
          </w:p>
        </w:tc>
        <w:tc>
          <w:tcPr>
            <w:tcW w:w="1559" w:type="dxa"/>
            <w:gridSpan w:val="2"/>
            <w:tcBorders>
              <w:top w:val="nil"/>
              <w:left w:val="nil"/>
              <w:bottom w:val="nil"/>
              <w:right w:val="nil"/>
            </w:tcBorders>
            <w:shd w:val="clear" w:color="auto" w:fill="BFBFBF"/>
            <w:noWrap/>
            <w:vAlign w:val="center"/>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1.04-1.05</w:t>
            </w:r>
          </w:p>
        </w:tc>
        <w:tc>
          <w:tcPr>
            <w:tcW w:w="1560" w:type="dxa"/>
            <w:tcBorders>
              <w:top w:val="nil"/>
              <w:left w:val="nil"/>
              <w:bottom w:val="nil"/>
              <w:right w:val="nil"/>
            </w:tcBorders>
            <w:shd w:val="clear" w:color="auto" w:fill="BFBFBF"/>
            <w:noWrap/>
            <w:vAlign w:val="center"/>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5</w:t>
            </w:r>
          </w:p>
        </w:tc>
        <w:tc>
          <w:tcPr>
            <w:tcW w:w="1134" w:type="dxa"/>
            <w:gridSpan w:val="3"/>
            <w:tcBorders>
              <w:top w:val="nil"/>
              <w:left w:val="nil"/>
              <w:bottom w:val="nil"/>
              <w:right w:val="nil"/>
            </w:tcBorders>
            <w:shd w:val="clear" w:color="auto" w:fill="BFBFBF"/>
            <w:noWrap/>
            <w:vAlign w:val="center"/>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0</w:t>
            </w:r>
          </w:p>
        </w:tc>
        <w:tc>
          <w:tcPr>
            <w:tcW w:w="1275" w:type="dxa"/>
            <w:gridSpan w:val="2"/>
            <w:tcBorders>
              <w:top w:val="nil"/>
              <w:left w:val="nil"/>
              <w:bottom w:val="nil"/>
              <w:right w:val="nil"/>
            </w:tcBorders>
            <w:shd w:val="clear" w:color="auto" w:fill="BFBFBF"/>
            <w:noWrap/>
            <w:vAlign w:val="center"/>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&lt;0.001</w:t>
            </w:r>
          </w:p>
        </w:tc>
      </w:tr>
      <w:tr w:rsidR="00C049FF" w:rsidRPr="00C049FF" w:rsidTr="002B1780">
        <w:trPr>
          <w:gridAfter w:val="1"/>
          <w:wAfter w:w="327" w:type="dxa"/>
          <w:trHeight w:val="255"/>
        </w:trPr>
        <w:tc>
          <w:tcPr>
            <w:tcW w:w="2122" w:type="dxa"/>
            <w:tcBorders>
              <w:top w:val="nil"/>
              <w:left w:val="nil"/>
              <w:bottom w:val="nil"/>
              <w:right w:val="nil"/>
            </w:tcBorders>
            <w:shd w:val="clear" w:color="auto" w:fill="BFBFBF"/>
          </w:tcPr>
          <w:p w:rsidR="00C049FF" w:rsidRPr="00C049FF" w:rsidRDefault="00C049FF" w:rsidP="00C049FF">
            <w:pPr>
              <w:spacing w:line="240" w:lineRule="auto"/>
              <w:rPr>
                <w:rFonts w:ascii="Arial" w:eastAsia="Calibri" w:hAnsi="Arial" w:cs="Arial"/>
                <w:sz w:val="18"/>
                <w:szCs w:val="18"/>
              </w:rPr>
            </w:pPr>
            <w:r w:rsidRPr="00C049FF">
              <w:rPr>
                <w:rFonts w:ascii="Arial" w:eastAsia="Calibri" w:hAnsi="Arial" w:cs="Arial"/>
                <w:sz w:val="18"/>
                <w:szCs w:val="18"/>
              </w:rPr>
              <w:t>With follow-up &lt;5yrs</w:t>
            </w:r>
          </w:p>
        </w:tc>
        <w:tc>
          <w:tcPr>
            <w:tcW w:w="1417" w:type="dxa"/>
            <w:tcBorders>
              <w:top w:val="nil"/>
              <w:left w:val="nil"/>
              <w:bottom w:val="nil"/>
              <w:right w:val="nil"/>
            </w:tcBorders>
            <w:shd w:val="clear" w:color="auto" w:fill="BFBFBF"/>
            <w:noWrap/>
            <w:vAlign w:val="center"/>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1.05</w:t>
            </w:r>
          </w:p>
        </w:tc>
        <w:tc>
          <w:tcPr>
            <w:tcW w:w="1559" w:type="dxa"/>
            <w:gridSpan w:val="2"/>
            <w:tcBorders>
              <w:top w:val="nil"/>
              <w:left w:val="nil"/>
              <w:bottom w:val="nil"/>
              <w:right w:val="nil"/>
            </w:tcBorders>
            <w:shd w:val="clear" w:color="auto" w:fill="BFBFBF"/>
            <w:noWrap/>
            <w:vAlign w:val="center"/>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1.04-1.05</w:t>
            </w:r>
          </w:p>
        </w:tc>
        <w:tc>
          <w:tcPr>
            <w:tcW w:w="1560" w:type="dxa"/>
            <w:tcBorders>
              <w:top w:val="nil"/>
              <w:left w:val="nil"/>
              <w:bottom w:val="nil"/>
              <w:right w:val="nil"/>
            </w:tcBorders>
            <w:shd w:val="clear" w:color="auto" w:fill="BFBFBF"/>
            <w:noWrap/>
            <w:vAlign w:val="center"/>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6</w:t>
            </w:r>
          </w:p>
        </w:tc>
        <w:tc>
          <w:tcPr>
            <w:tcW w:w="1134" w:type="dxa"/>
            <w:gridSpan w:val="3"/>
            <w:tcBorders>
              <w:top w:val="nil"/>
              <w:left w:val="nil"/>
              <w:bottom w:val="nil"/>
              <w:right w:val="nil"/>
            </w:tcBorders>
            <w:shd w:val="clear" w:color="auto" w:fill="BFBFBF"/>
            <w:noWrap/>
            <w:vAlign w:val="center"/>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0</w:t>
            </w:r>
          </w:p>
        </w:tc>
        <w:tc>
          <w:tcPr>
            <w:tcW w:w="1275" w:type="dxa"/>
            <w:gridSpan w:val="2"/>
            <w:tcBorders>
              <w:top w:val="nil"/>
              <w:left w:val="nil"/>
              <w:bottom w:val="nil"/>
              <w:right w:val="nil"/>
            </w:tcBorders>
            <w:shd w:val="clear" w:color="auto" w:fill="BFBFBF"/>
            <w:noWrap/>
            <w:vAlign w:val="center"/>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&lt;0.001</w:t>
            </w:r>
          </w:p>
        </w:tc>
      </w:tr>
      <w:tr w:rsidR="00C049FF" w:rsidRPr="00C049FF" w:rsidTr="002B1780">
        <w:trPr>
          <w:gridAfter w:val="1"/>
          <w:wAfter w:w="327" w:type="dxa"/>
          <w:trHeight w:val="255"/>
        </w:trPr>
        <w:tc>
          <w:tcPr>
            <w:tcW w:w="2122" w:type="dxa"/>
            <w:tcBorders>
              <w:top w:val="nil"/>
              <w:left w:val="nil"/>
              <w:bottom w:val="nil"/>
              <w:right w:val="nil"/>
            </w:tcBorders>
            <w:shd w:val="clear" w:color="auto" w:fill="auto"/>
          </w:tcPr>
          <w:p w:rsidR="00C049FF" w:rsidRPr="00C049FF" w:rsidRDefault="00C049FF" w:rsidP="00C049FF">
            <w:pPr>
              <w:spacing w:line="240" w:lineRule="auto"/>
              <w:rPr>
                <w:rFonts w:ascii="Arial" w:eastAsia="Calibri" w:hAnsi="Arial" w:cs="Arial"/>
                <w:sz w:val="18"/>
                <w:szCs w:val="18"/>
              </w:rPr>
            </w:pPr>
            <w:r w:rsidRPr="00C049FF">
              <w:rPr>
                <w:rFonts w:ascii="Arial" w:eastAsia="Calibri" w:hAnsi="Arial" w:cs="Arial"/>
                <w:sz w:val="18"/>
                <w:szCs w:val="18"/>
              </w:rPr>
              <w:t>Unrepresentative population</w:t>
            </w:r>
          </w:p>
        </w:tc>
        <w:tc>
          <w:tcPr>
            <w:tcW w:w="1417" w:type="dxa"/>
            <w:tcBorders>
              <w:top w:val="nil"/>
              <w:left w:val="nil"/>
              <w:bottom w:val="nil"/>
              <w:right w:val="nil"/>
            </w:tcBorders>
            <w:shd w:val="clear" w:color="auto" w:fill="auto"/>
            <w:noWrap/>
            <w:vAlign w:val="center"/>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1.04</w:t>
            </w:r>
          </w:p>
        </w:tc>
        <w:tc>
          <w:tcPr>
            <w:tcW w:w="1559" w:type="dxa"/>
            <w:gridSpan w:val="2"/>
            <w:tcBorders>
              <w:top w:val="nil"/>
              <w:left w:val="nil"/>
              <w:bottom w:val="nil"/>
              <w:right w:val="nil"/>
            </w:tcBorders>
            <w:shd w:val="clear" w:color="auto" w:fill="auto"/>
            <w:noWrap/>
            <w:vAlign w:val="center"/>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1.01-1.06</w:t>
            </w:r>
          </w:p>
        </w:tc>
        <w:tc>
          <w:tcPr>
            <w:tcW w:w="1560" w:type="dxa"/>
            <w:tcBorders>
              <w:top w:val="nil"/>
              <w:left w:val="nil"/>
              <w:bottom w:val="nil"/>
              <w:right w:val="nil"/>
            </w:tcBorders>
            <w:shd w:val="clear" w:color="auto" w:fill="auto"/>
            <w:noWrap/>
            <w:vAlign w:val="center"/>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4</w:t>
            </w:r>
          </w:p>
        </w:tc>
        <w:tc>
          <w:tcPr>
            <w:tcW w:w="1134" w:type="dxa"/>
            <w:gridSpan w:val="3"/>
            <w:tcBorders>
              <w:top w:val="nil"/>
              <w:left w:val="nil"/>
              <w:bottom w:val="nil"/>
              <w:right w:val="nil"/>
            </w:tcBorders>
            <w:shd w:val="clear" w:color="auto" w:fill="auto"/>
            <w:noWrap/>
            <w:vAlign w:val="center"/>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0</w:t>
            </w:r>
          </w:p>
        </w:tc>
        <w:tc>
          <w:tcPr>
            <w:tcW w:w="1275" w:type="dxa"/>
            <w:gridSpan w:val="2"/>
            <w:tcBorders>
              <w:top w:val="nil"/>
              <w:left w:val="nil"/>
              <w:bottom w:val="nil"/>
              <w:right w:val="nil"/>
            </w:tcBorders>
            <w:shd w:val="clear" w:color="auto" w:fill="auto"/>
            <w:noWrap/>
            <w:vAlign w:val="center"/>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0.003</w:t>
            </w:r>
          </w:p>
        </w:tc>
      </w:tr>
      <w:tr w:rsidR="00C049FF" w:rsidRPr="00C049FF" w:rsidTr="002B1780">
        <w:trPr>
          <w:gridAfter w:val="1"/>
          <w:wAfter w:w="327" w:type="dxa"/>
          <w:trHeight w:val="255"/>
        </w:trPr>
        <w:tc>
          <w:tcPr>
            <w:tcW w:w="2122" w:type="dxa"/>
            <w:tcBorders>
              <w:top w:val="nil"/>
              <w:left w:val="nil"/>
              <w:bottom w:val="single" w:sz="4" w:space="0" w:color="auto"/>
              <w:right w:val="nil"/>
            </w:tcBorders>
            <w:shd w:val="clear" w:color="auto" w:fill="BFBFBF" w:themeFill="background1" w:themeFillShade="BF"/>
            <w:hideMark/>
          </w:tcPr>
          <w:p w:rsidR="00C049FF" w:rsidRPr="00C049FF" w:rsidRDefault="00C049FF" w:rsidP="00C049FF">
            <w:pPr>
              <w:spacing w:line="240" w:lineRule="auto"/>
              <w:rPr>
                <w:rFonts w:ascii="Arial" w:eastAsia="Calibri" w:hAnsi="Arial" w:cs="Arial"/>
                <w:sz w:val="18"/>
                <w:szCs w:val="18"/>
              </w:rPr>
            </w:pPr>
            <w:r w:rsidRPr="00C049FF">
              <w:rPr>
                <w:rFonts w:ascii="Arial" w:eastAsia="Calibri" w:hAnsi="Arial" w:cs="Arial"/>
                <w:sz w:val="18"/>
                <w:szCs w:val="18"/>
              </w:rPr>
              <w:t>Studies with n&lt;10000</w:t>
            </w:r>
          </w:p>
        </w:tc>
        <w:tc>
          <w:tcPr>
            <w:tcW w:w="1417" w:type="dxa"/>
            <w:tcBorders>
              <w:top w:val="nil"/>
              <w:left w:val="nil"/>
              <w:bottom w:val="single" w:sz="4" w:space="0" w:color="auto"/>
              <w:right w:val="nil"/>
            </w:tcBorders>
            <w:shd w:val="clear" w:color="auto" w:fill="BFBFBF" w:themeFill="background1" w:themeFillShade="BF"/>
            <w:noWrap/>
            <w:vAlign w:val="center"/>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1.05</w:t>
            </w:r>
          </w:p>
        </w:tc>
        <w:tc>
          <w:tcPr>
            <w:tcW w:w="1559" w:type="dxa"/>
            <w:gridSpan w:val="2"/>
            <w:tcBorders>
              <w:top w:val="nil"/>
              <w:left w:val="nil"/>
              <w:bottom w:val="single" w:sz="4" w:space="0" w:color="auto"/>
              <w:right w:val="nil"/>
            </w:tcBorders>
            <w:shd w:val="clear" w:color="auto" w:fill="BFBFBF" w:themeFill="background1" w:themeFillShade="BF"/>
            <w:noWrap/>
            <w:vAlign w:val="center"/>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1.03-1.06</w:t>
            </w:r>
          </w:p>
        </w:tc>
        <w:tc>
          <w:tcPr>
            <w:tcW w:w="1560" w:type="dxa"/>
            <w:tcBorders>
              <w:top w:val="nil"/>
              <w:left w:val="nil"/>
              <w:bottom w:val="single" w:sz="4" w:space="0" w:color="auto"/>
              <w:right w:val="nil"/>
            </w:tcBorders>
            <w:shd w:val="clear" w:color="auto" w:fill="BFBFBF" w:themeFill="background1" w:themeFillShade="BF"/>
            <w:noWrap/>
            <w:vAlign w:val="center"/>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5</w:t>
            </w:r>
          </w:p>
        </w:tc>
        <w:tc>
          <w:tcPr>
            <w:tcW w:w="1134" w:type="dxa"/>
            <w:gridSpan w:val="3"/>
            <w:tcBorders>
              <w:top w:val="nil"/>
              <w:left w:val="nil"/>
              <w:bottom w:val="single" w:sz="4" w:space="0" w:color="auto"/>
              <w:right w:val="nil"/>
            </w:tcBorders>
            <w:shd w:val="clear" w:color="auto" w:fill="BFBFBF" w:themeFill="background1" w:themeFillShade="BF"/>
            <w:noWrap/>
            <w:vAlign w:val="center"/>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16.6</w:t>
            </w:r>
          </w:p>
        </w:tc>
        <w:tc>
          <w:tcPr>
            <w:tcW w:w="1275" w:type="dxa"/>
            <w:gridSpan w:val="2"/>
            <w:tcBorders>
              <w:top w:val="nil"/>
              <w:left w:val="nil"/>
              <w:bottom w:val="single" w:sz="4" w:space="0" w:color="auto"/>
              <w:right w:val="nil"/>
            </w:tcBorders>
            <w:shd w:val="clear" w:color="auto" w:fill="BFBFBF" w:themeFill="background1" w:themeFillShade="BF"/>
            <w:noWrap/>
            <w:vAlign w:val="center"/>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&lt;0.001</w:t>
            </w:r>
          </w:p>
        </w:tc>
      </w:tr>
      <w:tr w:rsidR="00C049FF" w:rsidRPr="00C049FF" w:rsidTr="002B1780">
        <w:trPr>
          <w:gridAfter w:val="1"/>
          <w:wAfter w:w="327" w:type="dxa"/>
          <w:trHeight w:val="255"/>
        </w:trPr>
        <w:tc>
          <w:tcPr>
            <w:tcW w:w="2122" w:type="dxa"/>
            <w:tcBorders>
              <w:top w:val="nil"/>
              <w:left w:val="nil"/>
              <w:bottom w:val="single" w:sz="4" w:space="0" w:color="auto"/>
              <w:right w:val="nil"/>
            </w:tcBorders>
          </w:tcPr>
          <w:p w:rsidR="00C049FF" w:rsidRPr="00C049FF" w:rsidRDefault="00C049FF" w:rsidP="00C049FF">
            <w:pPr>
              <w:spacing w:line="240" w:lineRule="auto"/>
              <w:rPr>
                <w:rFonts w:ascii="Arial" w:eastAsia="Calibri" w:hAnsi="Arial" w:cs="Arial"/>
                <w:sz w:val="18"/>
                <w:szCs w:val="18"/>
              </w:rPr>
            </w:pPr>
          </w:p>
        </w:tc>
        <w:tc>
          <w:tcPr>
            <w:tcW w:w="1417" w:type="dxa"/>
            <w:tcBorders>
              <w:top w:val="nil"/>
              <w:left w:val="nil"/>
              <w:bottom w:val="single" w:sz="4" w:space="0" w:color="auto"/>
              <w:right w:val="nil"/>
            </w:tcBorders>
            <w:noWrap/>
          </w:tcPr>
          <w:p w:rsidR="00C049FF" w:rsidRPr="00C049FF" w:rsidRDefault="00C049FF" w:rsidP="00C049FF">
            <w:pPr>
              <w:spacing w:line="240" w:lineRule="auto"/>
              <w:rPr>
                <w:rFonts w:ascii="Arial" w:eastAsia="Calibri" w:hAnsi="Arial" w:cs="Arial"/>
                <w:sz w:val="18"/>
                <w:szCs w:val="18"/>
              </w:rPr>
            </w:pPr>
          </w:p>
        </w:tc>
        <w:tc>
          <w:tcPr>
            <w:tcW w:w="284" w:type="dxa"/>
            <w:tcBorders>
              <w:top w:val="nil"/>
              <w:left w:val="nil"/>
              <w:bottom w:val="single" w:sz="4" w:space="0" w:color="auto"/>
              <w:right w:val="nil"/>
            </w:tcBorders>
            <w:noWrap/>
          </w:tcPr>
          <w:p w:rsidR="00C049FF" w:rsidRPr="00C049FF" w:rsidRDefault="00C049FF" w:rsidP="00C049FF">
            <w:pPr>
              <w:spacing w:line="240" w:lineRule="auto"/>
              <w:rPr>
                <w:rFonts w:ascii="Arial" w:eastAsia="Calibri" w:hAnsi="Arial" w:cs="Arial"/>
                <w:sz w:val="18"/>
                <w:szCs w:val="18"/>
              </w:rPr>
            </w:pPr>
          </w:p>
        </w:tc>
        <w:tc>
          <w:tcPr>
            <w:tcW w:w="1275" w:type="dxa"/>
            <w:tcBorders>
              <w:top w:val="nil"/>
              <w:left w:val="nil"/>
              <w:bottom w:val="single" w:sz="4" w:space="0" w:color="auto"/>
              <w:right w:val="nil"/>
            </w:tcBorders>
            <w:noWrap/>
          </w:tcPr>
          <w:p w:rsidR="00C049FF" w:rsidRPr="00C049FF" w:rsidRDefault="00C049FF" w:rsidP="00C049FF">
            <w:pPr>
              <w:spacing w:line="240" w:lineRule="auto"/>
              <w:rPr>
                <w:rFonts w:ascii="Arial" w:eastAsia="Calibri" w:hAnsi="Arial" w:cs="Arial"/>
                <w:sz w:val="18"/>
                <w:szCs w:val="18"/>
              </w:rPr>
            </w:pPr>
          </w:p>
        </w:tc>
        <w:tc>
          <w:tcPr>
            <w:tcW w:w="1560" w:type="dxa"/>
            <w:tcBorders>
              <w:top w:val="nil"/>
              <w:left w:val="nil"/>
              <w:bottom w:val="single" w:sz="4" w:space="0" w:color="auto"/>
              <w:right w:val="nil"/>
            </w:tcBorders>
            <w:noWrap/>
          </w:tcPr>
          <w:p w:rsidR="00C049FF" w:rsidRPr="00C049FF" w:rsidRDefault="00C049FF" w:rsidP="00C049FF">
            <w:pPr>
              <w:spacing w:line="240" w:lineRule="auto"/>
              <w:rPr>
                <w:rFonts w:ascii="Arial" w:eastAsia="Calibri" w:hAnsi="Arial" w:cs="Arial"/>
                <w:sz w:val="18"/>
                <w:szCs w:val="18"/>
              </w:rPr>
            </w:pPr>
          </w:p>
        </w:tc>
        <w:tc>
          <w:tcPr>
            <w:tcW w:w="1134" w:type="dxa"/>
            <w:gridSpan w:val="3"/>
            <w:tcBorders>
              <w:top w:val="nil"/>
              <w:left w:val="nil"/>
              <w:bottom w:val="single" w:sz="4" w:space="0" w:color="auto"/>
              <w:right w:val="nil"/>
            </w:tcBorders>
            <w:noWrap/>
          </w:tcPr>
          <w:p w:rsidR="00C049FF" w:rsidRPr="00C049FF" w:rsidRDefault="00C049FF" w:rsidP="00C049FF">
            <w:pPr>
              <w:spacing w:line="240" w:lineRule="auto"/>
              <w:rPr>
                <w:rFonts w:ascii="Arial" w:eastAsia="Calibri" w:hAnsi="Arial" w:cs="Arial"/>
                <w:sz w:val="18"/>
                <w:szCs w:val="18"/>
              </w:rPr>
            </w:pPr>
          </w:p>
        </w:tc>
        <w:tc>
          <w:tcPr>
            <w:tcW w:w="1275" w:type="dxa"/>
            <w:gridSpan w:val="2"/>
            <w:tcBorders>
              <w:top w:val="nil"/>
              <w:left w:val="nil"/>
              <w:bottom w:val="single" w:sz="4" w:space="0" w:color="auto"/>
              <w:right w:val="nil"/>
            </w:tcBorders>
            <w:noWrap/>
          </w:tcPr>
          <w:p w:rsidR="00C049FF" w:rsidRPr="00C049FF" w:rsidRDefault="00C049FF" w:rsidP="00C049FF">
            <w:pPr>
              <w:spacing w:line="240" w:lineRule="auto"/>
              <w:rPr>
                <w:rFonts w:ascii="Arial" w:eastAsia="Calibri" w:hAnsi="Arial" w:cs="Arial"/>
                <w:sz w:val="18"/>
                <w:szCs w:val="18"/>
              </w:rPr>
            </w:pPr>
          </w:p>
        </w:tc>
      </w:tr>
      <w:tr w:rsidR="00C049FF" w:rsidRPr="00C049FF" w:rsidTr="002B1780">
        <w:trPr>
          <w:gridAfter w:val="1"/>
          <w:wAfter w:w="327" w:type="dxa"/>
          <w:trHeight w:val="734"/>
        </w:trPr>
        <w:tc>
          <w:tcPr>
            <w:tcW w:w="9067" w:type="dxa"/>
            <w:gridSpan w:val="10"/>
            <w:tcBorders>
              <w:top w:val="single" w:sz="4" w:space="0" w:color="auto"/>
              <w:bottom w:val="single" w:sz="4" w:space="0" w:color="auto"/>
            </w:tcBorders>
            <w:vAlign w:val="center"/>
            <w:hideMark/>
          </w:tcPr>
          <w:p w:rsidR="00C049FF" w:rsidRPr="00C049FF" w:rsidRDefault="00C049FF" w:rsidP="00C049FF">
            <w:pPr>
              <w:spacing w:line="240" w:lineRule="auto"/>
              <w:jc w:val="center"/>
              <w:rPr>
                <w:rFonts w:ascii="Arial" w:eastAsia="Calibri" w:hAnsi="Arial" w:cs="Arial"/>
                <w:szCs w:val="24"/>
              </w:rPr>
            </w:pPr>
            <w:r w:rsidRPr="00C049FF">
              <w:rPr>
                <w:rFonts w:ascii="Arial" w:eastAsia="Calibri" w:hAnsi="Arial" w:cs="Arial"/>
                <w:sz w:val="28"/>
                <w:szCs w:val="28"/>
              </w:rPr>
              <w:t>CVD Mortality</w:t>
            </w:r>
          </w:p>
        </w:tc>
      </w:tr>
      <w:tr w:rsidR="00C049FF" w:rsidRPr="00C049FF" w:rsidTr="002B1780">
        <w:trPr>
          <w:gridAfter w:val="1"/>
          <w:wAfter w:w="327" w:type="dxa"/>
          <w:trHeight w:val="360"/>
        </w:trPr>
        <w:tc>
          <w:tcPr>
            <w:tcW w:w="2122" w:type="dxa"/>
            <w:tcBorders>
              <w:top w:val="single" w:sz="4" w:space="0" w:color="auto"/>
              <w:left w:val="nil"/>
              <w:bottom w:val="single" w:sz="4" w:space="0" w:color="auto"/>
              <w:right w:val="nil"/>
            </w:tcBorders>
            <w:vAlign w:val="bottom"/>
            <w:hideMark/>
          </w:tcPr>
          <w:p w:rsidR="00C049FF" w:rsidRPr="00C049FF" w:rsidRDefault="00C049FF" w:rsidP="00C049FF">
            <w:pPr>
              <w:spacing w:line="240" w:lineRule="auto"/>
              <w:jc w:val="center"/>
              <w:rPr>
                <w:rFonts w:ascii="Arial" w:eastAsia="Calibri" w:hAnsi="Arial" w:cs="Arial"/>
                <w:szCs w:val="24"/>
              </w:rPr>
            </w:pPr>
          </w:p>
        </w:tc>
        <w:tc>
          <w:tcPr>
            <w:tcW w:w="1417" w:type="dxa"/>
            <w:tcBorders>
              <w:top w:val="single" w:sz="4" w:space="0" w:color="auto"/>
              <w:left w:val="nil"/>
              <w:bottom w:val="single" w:sz="4" w:space="0" w:color="auto"/>
              <w:right w:val="nil"/>
            </w:tcBorders>
            <w:noWrap/>
            <w:vAlign w:val="center"/>
            <w:hideMark/>
          </w:tcPr>
          <w:p w:rsidR="00C049FF" w:rsidRPr="00C049FF" w:rsidRDefault="00C049FF" w:rsidP="00C049FF">
            <w:pPr>
              <w:spacing w:line="240" w:lineRule="auto"/>
              <w:jc w:val="center"/>
              <w:rPr>
                <w:rFonts w:ascii="Arial" w:eastAsia="Calibri" w:hAnsi="Arial" w:cs="Arial"/>
                <w:sz w:val="20"/>
                <w:szCs w:val="20"/>
              </w:rPr>
            </w:pPr>
            <w:r w:rsidRPr="00C049FF">
              <w:rPr>
                <w:rFonts w:ascii="Arial" w:eastAsia="Calibri" w:hAnsi="Arial" w:cs="Arial"/>
                <w:sz w:val="20"/>
                <w:szCs w:val="20"/>
              </w:rPr>
              <w:t>RR</w:t>
            </w:r>
          </w:p>
        </w:tc>
        <w:tc>
          <w:tcPr>
            <w:tcW w:w="1559" w:type="dxa"/>
            <w:gridSpan w:val="2"/>
            <w:tcBorders>
              <w:top w:val="single" w:sz="4" w:space="0" w:color="auto"/>
              <w:left w:val="nil"/>
              <w:bottom w:val="single" w:sz="4" w:space="0" w:color="auto"/>
              <w:right w:val="nil"/>
            </w:tcBorders>
            <w:noWrap/>
            <w:vAlign w:val="center"/>
          </w:tcPr>
          <w:p w:rsidR="00C049FF" w:rsidRPr="00C049FF" w:rsidRDefault="00C049FF" w:rsidP="00C049FF">
            <w:pPr>
              <w:spacing w:line="240" w:lineRule="auto"/>
              <w:jc w:val="center"/>
              <w:rPr>
                <w:rFonts w:ascii="Arial" w:eastAsia="Calibri" w:hAnsi="Arial" w:cs="Arial"/>
                <w:sz w:val="20"/>
                <w:szCs w:val="20"/>
              </w:rPr>
            </w:pPr>
            <w:r w:rsidRPr="00C049FF">
              <w:rPr>
                <w:rFonts w:ascii="Arial" w:eastAsia="Calibri" w:hAnsi="Arial" w:cs="Arial"/>
                <w:sz w:val="20"/>
                <w:szCs w:val="20"/>
              </w:rPr>
              <w:t>95%CI</w:t>
            </w:r>
          </w:p>
        </w:tc>
        <w:tc>
          <w:tcPr>
            <w:tcW w:w="1560" w:type="dxa"/>
            <w:tcBorders>
              <w:top w:val="single" w:sz="4" w:space="0" w:color="auto"/>
              <w:left w:val="nil"/>
              <w:bottom w:val="single" w:sz="4" w:space="0" w:color="auto"/>
              <w:right w:val="nil"/>
            </w:tcBorders>
            <w:noWrap/>
            <w:vAlign w:val="center"/>
            <w:hideMark/>
          </w:tcPr>
          <w:p w:rsidR="00C049FF" w:rsidRPr="00C049FF" w:rsidRDefault="00C049FF" w:rsidP="00C049FF">
            <w:pPr>
              <w:spacing w:line="240" w:lineRule="auto"/>
              <w:jc w:val="center"/>
              <w:rPr>
                <w:rFonts w:ascii="Arial" w:eastAsia="Calibri" w:hAnsi="Arial" w:cs="Arial"/>
                <w:sz w:val="20"/>
                <w:szCs w:val="20"/>
              </w:rPr>
            </w:pPr>
            <w:r w:rsidRPr="00C049FF">
              <w:rPr>
                <w:rFonts w:ascii="Arial" w:eastAsia="Calibri" w:hAnsi="Arial" w:cs="Arial"/>
                <w:sz w:val="20"/>
                <w:szCs w:val="20"/>
              </w:rPr>
              <w:t>Number of studies</w:t>
            </w:r>
          </w:p>
        </w:tc>
        <w:tc>
          <w:tcPr>
            <w:tcW w:w="1134" w:type="dxa"/>
            <w:gridSpan w:val="3"/>
            <w:tcBorders>
              <w:top w:val="single" w:sz="4" w:space="0" w:color="auto"/>
              <w:left w:val="nil"/>
              <w:bottom w:val="single" w:sz="4" w:space="0" w:color="auto"/>
              <w:right w:val="nil"/>
            </w:tcBorders>
            <w:noWrap/>
            <w:vAlign w:val="center"/>
            <w:hideMark/>
          </w:tcPr>
          <w:p w:rsidR="00C049FF" w:rsidRPr="00C049FF" w:rsidRDefault="00C049FF" w:rsidP="00C049FF">
            <w:pPr>
              <w:spacing w:line="240" w:lineRule="auto"/>
              <w:jc w:val="center"/>
              <w:rPr>
                <w:rFonts w:ascii="Arial" w:eastAsia="Calibri" w:hAnsi="Arial" w:cs="Arial"/>
                <w:sz w:val="20"/>
                <w:szCs w:val="20"/>
              </w:rPr>
            </w:pPr>
            <w:r w:rsidRPr="00C049FF">
              <w:rPr>
                <w:rFonts w:ascii="Arial" w:eastAsia="Calibri" w:hAnsi="Arial" w:cs="Arial"/>
                <w:sz w:val="20"/>
                <w:szCs w:val="20"/>
              </w:rPr>
              <w:t>I</w:t>
            </w:r>
            <w:r w:rsidRPr="00C049FF">
              <w:rPr>
                <w:rFonts w:ascii="Arial" w:eastAsia="Calibri" w:hAnsi="Arial" w:cs="Arial"/>
                <w:sz w:val="20"/>
                <w:szCs w:val="20"/>
                <w:vertAlign w:val="superscript"/>
              </w:rPr>
              <w:t>2</w:t>
            </w:r>
          </w:p>
        </w:tc>
        <w:tc>
          <w:tcPr>
            <w:tcW w:w="1275" w:type="dxa"/>
            <w:gridSpan w:val="2"/>
            <w:tcBorders>
              <w:top w:val="single" w:sz="4" w:space="0" w:color="auto"/>
              <w:left w:val="nil"/>
              <w:bottom w:val="single" w:sz="4" w:space="0" w:color="auto"/>
              <w:right w:val="nil"/>
            </w:tcBorders>
            <w:noWrap/>
            <w:vAlign w:val="center"/>
            <w:hideMark/>
          </w:tcPr>
          <w:p w:rsidR="00C049FF" w:rsidRPr="00C049FF" w:rsidRDefault="00C049FF" w:rsidP="00C049FF">
            <w:pPr>
              <w:spacing w:line="240" w:lineRule="auto"/>
              <w:jc w:val="center"/>
              <w:rPr>
                <w:rFonts w:ascii="Arial" w:eastAsia="Calibri" w:hAnsi="Arial" w:cs="Arial"/>
                <w:sz w:val="20"/>
                <w:szCs w:val="20"/>
              </w:rPr>
            </w:pPr>
            <w:r w:rsidRPr="00C049FF">
              <w:rPr>
                <w:rFonts w:ascii="Arial" w:eastAsia="Calibri" w:hAnsi="Arial" w:cs="Arial"/>
                <w:sz w:val="20"/>
                <w:szCs w:val="20"/>
              </w:rPr>
              <w:t>p-value RR=1</w:t>
            </w:r>
          </w:p>
        </w:tc>
      </w:tr>
      <w:tr w:rsidR="00C049FF" w:rsidRPr="00C049FF" w:rsidTr="002B1780">
        <w:trPr>
          <w:gridAfter w:val="1"/>
          <w:wAfter w:w="327" w:type="dxa"/>
          <w:trHeight w:val="255"/>
        </w:trPr>
        <w:tc>
          <w:tcPr>
            <w:tcW w:w="9067" w:type="dxa"/>
            <w:gridSpan w:val="10"/>
            <w:tcBorders>
              <w:top w:val="single" w:sz="4" w:space="0" w:color="auto"/>
              <w:left w:val="nil"/>
              <w:bottom w:val="single" w:sz="4" w:space="0" w:color="auto"/>
              <w:right w:val="nil"/>
            </w:tcBorders>
          </w:tcPr>
          <w:p w:rsidR="00C049FF" w:rsidRPr="00C049FF" w:rsidRDefault="00C049FF" w:rsidP="00C049FF">
            <w:pPr>
              <w:spacing w:line="240" w:lineRule="auto"/>
              <w:rPr>
                <w:rFonts w:ascii="Arial" w:eastAsia="Calibri" w:hAnsi="Arial" w:cs="Arial"/>
                <w:b/>
                <w:bCs/>
                <w:szCs w:val="24"/>
              </w:rPr>
            </w:pPr>
            <w:r w:rsidRPr="00C049FF">
              <w:rPr>
                <w:rFonts w:ascii="Arial" w:eastAsia="Calibri" w:hAnsi="Arial" w:cs="Arial"/>
                <w:sz w:val="28"/>
                <w:szCs w:val="28"/>
              </w:rPr>
              <w:t>Total sedentary behaviour</w:t>
            </w:r>
            <w:r w:rsidRPr="00C049FF">
              <w:rPr>
                <w:rFonts w:ascii="Arial" w:eastAsia="Calibri" w:hAnsi="Arial" w:cs="Arial"/>
                <w:b/>
                <w:bCs/>
                <w:sz w:val="28"/>
                <w:szCs w:val="28"/>
              </w:rPr>
              <w:t xml:space="preserve"> </w:t>
            </w:r>
          </w:p>
        </w:tc>
      </w:tr>
      <w:tr w:rsidR="00C049FF" w:rsidRPr="00C049FF" w:rsidTr="002B1780">
        <w:trPr>
          <w:gridAfter w:val="1"/>
          <w:wAfter w:w="327" w:type="dxa"/>
          <w:trHeight w:val="255"/>
        </w:trPr>
        <w:tc>
          <w:tcPr>
            <w:tcW w:w="2122" w:type="dxa"/>
            <w:tcBorders>
              <w:top w:val="single" w:sz="4" w:space="0" w:color="auto"/>
              <w:left w:val="nil"/>
              <w:bottom w:val="nil"/>
              <w:right w:val="nil"/>
            </w:tcBorders>
            <w:hideMark/>
          </w:tcPr>
          <w:p w:rsidR="00C049FF" w:rsidRPr="00C049FF" w:rsidRDefault="00C049FF" w:rsidP="00C049FF">
            <w:pPr>
              <w:spacing w:line="240" w:lineRule="auto"/>
              <w:rPr>
                <w:rFonts w:ascii="Arial" w:eastAsia="Calibri" w:hAnsi="Arial" w:cs="Arial"/>
                <w:b/>
                <w:bCs/>
                <w:sz w:val="20"/>
                <w:szCs w:val="20"/>
              </w:rPr>
            </w:pPr>
            <w:r w:rsidRPr="00C049FF">
              <w:rPr>
                <w:rFonts w:ascii="Arial" w:eastAsia="Calibri" w:hAnsi="Arial" w:cs="Arial"/>
                <w:b/>
                <w:bCs/>
                <w:sz w:val="20"/>
                <w:szCs w:val="20"/>
              </w:rPr>
              <w:t>Summary Estimate</w:t>
            </w:r>
          </w:p>
        </w:tc>
        <w:tc>
          <w:tcPr>
            <w:tcW w:w="1417" w:type="dxa"/>
            <w:tcBorders>
              <w:top w:val="single" w:sz="4" w:space="0" w:color="auto"/>
              <w:left w:val="nil"/>
              <w:bottom w:val="nil"/>
              <w:right w:val="nil"/>
            </w:tcBorders>
            <w:noWrap/>
          </w:tcPr>
          <w:p w:rsidR="00C049FF" w:rsidRPr="00C049FF" w:rsidRDefault="00C049FF" w:rsidP="00C049FF">
            <w:pPr>
              <w:spacing w:line="240" w:lineRule="auto"/>
              <w:jc w:val="center"/>
              <w:rPr>
                <w:rFonts w:ascii="Arial" w:eastAsia="Calibri" w:hAnsi="Arial" w:cs="Arial"/>
                <w:b/>
                <w:bCs/>
                <w:sz w:val="20"/>
                <w:szCs w:val="20"/>
              </w:rPr>
            </w:pPr>
            <w:r w:rsidRPr="00C049FF">
              <w:rPr>
                <w:rFonts w:ascii="Arial" w:eastAsia="Calibri" w:hAnsi="Arial" w:cs="Arial"/>
                <w:b/>
                <w:bCs/>
                <w:sz w:val="20"/>
                <w:szCs w:val="20"/>
              </w:rPr>
              <w:t>1.02</w:t>
            </w:r>
          </w:p>
        </w:tc>
        <w:tc>
          <w:tcPr>
            <w:tcW w:w="1559" w:type="dxa"/>
            <w:gridSpan w:val="2"/>
            <w:tcBorders>
              <w:top w:val="single" w:sz="4" w:space="0" w:color="auto"/>
              <w:left w:val="nil"/>
              <w:bottom w:val="nil"/>
              <w:right w:val="nil"/>
            </w:tcBorders>
            <w:noWrap/>
          </w:tcPr>
          <w:p w:rsidR="00C049FF" w:rsidRPr="00C049FF" w:rsidRDefault="00C049FF" w:rsidP="00C049FF">
            <w:pPr>
              <w:spacing w:line="240" w:lineRule="auto"/>
              <w:jc w:val="center"/>
              <w:rPr>
                <w:rFonts w:ascii="Arial" w:eastAsia="Calibri" w:hAnsi="Arial" w:cs="Arial"/>
                <w:b/>
                <w:bCs/>
                <w:sz w:val="20"/>
                <w:szCs w:val="20"/>
              </w:rPr>
            </w:pPr>
            <w:r w:rsidRPr="00C049FF">
              <w:rPr>
                <w:rFonts w:ascii="Arial" w:eastAsia="Calibri" w:hAnsi="Arial" w:cs="Arial"/>
                <w:b/>
                <w:bCs/>
                <w:sz w:val="20"/>
                <w:szCs w:val="20"/>
              </w:rPr>
              <w:t>1.01-1.03</w:t>
            </w:r>
          </w:p>
        </w:tc>
        <w:tc>
          <w:tcPr>
            <w:tcW w:w="1560" w:type="dxa"/>
            <w:tcBorders>
              <w:top w:val="single" w:sz="4" w:space="0" w:color="auto"/>
              <w:left w:val="nil"/>
              <w:bottom w:val="nil"/>
              <w:right w:val="nil"/>
            </w:tcBorders>
            <w:noWrap/>
          </w:tcPr>
          <w:p w:rsidR="00C049FF" w:rsidRPr="00C049FF" w:rsidRDefault="00C049FF" w:rsidP="00C049FF">
            <w:pPr>
              <w:spacing w:line="240" w:lineRule="auto"/>
              <w:jc w:val="center"/>
              <w:rPr>
                <w:rFonts w:ascii="Arial" w:eastAsia="Calibri" w:hAnsi="Arial" w:cs="Arial"/>
                <w:b/>
                <w:bCs/>
                <w:sz w:val="20"/>
                <w:szCs w:val="20"/>
              </w:rPr>
            </w:pPr>
            <w:r w:rsidRPr="00C049FF">
              <w:rPr>
                <w:rFonts w:ascii="Arial" w:eastAsia="Calibri" w:hAnsi="Arial" w:cs="Arial"/>
                <w:b/>
                <w:bCs/>
                <w:sz w:val="20"/>
                <w:szCs w:val="20"/>
              </w:rPr>
              <w:t>5</w:t>
            </w:r>
          </w:p>
        </w:tc>
        <w:tc>
          <w:tcPr>
            <w:tcW w:w="1134" w:type="dxa"/>
            <w:gridSpan w:val="3"/>
            <w:tcBorders>
              <w:top w:val="single" w:sz="4" w:space="0" w:color="auto"/>
              <w:left w:val="nil"/>
              <w:bottom w:val="nil"/>
              <w:right w:val="nil"/>
            </w:tcBorders>
            <w:noWrap/>
          </w:tcPr>
          <w:p w:rsidR="00C049FF" w:rsidRPr="00C049FF" w:rsidRDefault="00C049FF" w:rsidP="00C049FF">
            <w:pPr>
              <w:spacing w:line="240" w:lineRule="auto"/>
              <w:jc w:val="center"/>
              <w:rPr>
                <w:rFonts w:ascii="Arial" w:eastAsia="Calibri" w:hAnsi="Arial" w:cs="Arial"/>
                <w:b/>
                <w:bCs/>
                <w:sz w:val="20"/>
                <w:szCs w:val="20"/>
              </w:rPr>
            </w:pPr>
            <w:r w:rsidRPr="00C049FF">
              <w:rPr>
                <w:rFonts w:ascii="Arial" w:eastAsia="Calibri" w:hAnsi="Arial" w:cs="Arial"/>
                <w:b/>
                <w:bCs/>
                <w:sz w:val="20"/>
                <w:szCs w:val="20"/>
              </w:rPr>
              <w:t>22.7</w:t>
            </w:r>
          </w:p>
        </w:tc>
        <w:tc>
          <w:tcPr>
            <w:tcW w:w="1275" w:type="dxa"/>
            <w:gridSpan w:val="2"/>
            <w:tcBorders>
              <w:top w:val="single" w:sz="4" w:space="0" w:color="auto"/>
              <w:left w:val="nil"/>
              <w:bottom w:val="nil"/>
              <w:right w:val="nil"/>
            </w:tcBorders>
            <w:noWrap/>
          </w:tcPr>
          <w:p w:rsidR="00C049FF" w:rsidRPr="00C049FF" w:rsidRDefault="00C049FF" w:rsidP="00C049FF">
            <w:pPr>
              <w:spacing w:line="240" w:lineRule="auto"/>
              <w:jc w:val="center"/>
              <w:rPr>
                <w:rFonts w:ascii="Arial" w:eastAsia="Calibri" w:hAnsi="Arial" w:cs="Arial"/>
                <w:b/>
                <w:bCs/>
                <w:sz w:val="20"/>
                <w:szCs w:val="20"/>
              </w:rPr>
            </w:pPr>
            <w:r w:rsidRPr="00C049FF">
              <w:rPr>
                <w:rFonts w:ascii="Arial" w:eastAsia="Calibri" w:hAnsi="Arial" w:cs="Arial"/>
                <w:b/>
                <w:bCs/>
                <w:sz w:val="20"/>
                <w:szCs w:val="20"/>
              </w:rPr>
              <w:t>0.004</w:t>
            </w:r>
          </w:p>
        </w:tc>
      </w:tr>
      <w:tr w:rsidR="00C049FF" w:rsidRPr="00C049FF" w:rsidTr="002B1780">
        <w:trPr>
          <w:gridAfter w:val="1"/>
          <w:wAfter w:w="327" w:type="dxa"/>
          <w:trHeight w:val="340"/>
        </w:trPr>
        <w:tc>
          <w:tcPr>
            <w:tcW w:w="2122" w:type="dxa"/>
            <w:tcBorders>
              <w:top w:val="nil"/>
              <w:left w:val="nil"/>
              <w:bottom w:val="nil"/>
              <w:right w:val="nil"/>
            </w:tcBorders>
            <w:vAlign w:val="bottom"/>
          </w:tcPr>
          <w:p w:rsidR="00C049FF" w:rsidRPr="00C049FF" w:rsidRDefault="00C049FF" w:rsidP="00C049FF">
            <w:pPr>
              <w:spacing w:line="240" w:lineRule="auto"/>
              <w:rPr>
                <w:rFonts w:ascii="Arial" w:eastAsia="Calibri" w:hAnsi="Arial" w:cs="Arial"/>
                <w:b/>
                <w:bCs/>
                <w:sz w:val="20"/>
                <w:szCs w:val="20"/>
              </w:rPr>
            </w:pPr>
            <w:r w:rsidRPr="00C049FF">
              <w:rPr>
                <w:rFonts w:ascii="Arial" w:eastAsia="Calibri" w:hAnsi="Arial" w:cs="Arial"/>
                <w:b/>
                <w:i/>
                <w:sz w:val="18"/>
                <w:szCs w:val="18"/>
              </w:rPr>
              <w:t>Subgroup analysis</w:t>
            </w:r>
          </w:p>
        </w:tc>
        <w:tc>
          <w:tcPr>
            <w:tcW w:w="1417" w:type="dxa"/>
            <w:tcBorders>
              <w:top w:val="nil"/>
              <w:left w:val="nil"/>
              <w:bottom w:val="nil"/>
              <w:right w:val="nil"/>
            </w:tcBorders>
            <w:noWrap/>
          </w:tcPr>
          <w:p w:rsidR="00C049FF" w:rsidRPr="00C049FF" w:rsidRDefault="00C049FF" w:rsidP="00C049FF">
            <w:pPr>
              <w:spacing w:line="240" w:lineRule="auto"/>
              <w:jc w:val="center"/>
              <w:rPr>
                <w:rFonts w:ascii="Arial" w:eastAsia="Calibri" w:hAnsi="Arial" w:cs="Arial"/>
                <w:b/>
                <w:bCs/>
                <w:sz w:val="20"/>
                <w:szCs w:val="20"/>
              </w:rPr>
            </w:pPr>
          </w:p>
        </w:tc>
        <w:tc>
          <w:tcPr>
            <w:tcW w:w="284" w:type="dxa"/>
            <w:tcBorders>
              <w:top w:val="nil"/>
              <w:left w:val="nil"/>
              <w:bottom w:val="nil"/>
              <w:right w:val="nil"/>
            </w:tcBorders>
            <w:noWrap/>
          </w:tcPr>
          <w:p w:rsidR="00C049FF" w:rsidRPr="00C049FF" w:rsidRDefault="00C049FF" w:rsidP="00C049FF">
            <w:pPr>
              <w:spacing w:line="240" w:lineRule="auto"/>
              <w:jc w:val="center"/>
              <w:rPr>
                <w:rFonts w:ascii="Arial" w:eastAsia="Calibri" w:hAnsi="Arial" w:cs="Arial"/>
                <w:b/>
                <w:bCs/>
                <w:sz w:val="20"/>
                <w:szCs w:val="20"/>
              </w:rPr>
            </w:pPr>
          </w:p>
        </w:tc>
        <w:tc>
          <w:tcPr>
            <w:tcW w:w="1275" w:type="dxa"/>
            <w:tcBorders>
              <w:top w:val="nil"/>
              <w:left w:val="nil"/>
              <w:bottom w:val="nil"/>
              <w:right w:val="nil"/>
            </w:tcBorders>
            <w:noWrap/>
          </w:tcPr>
          <w:p w:rsidR="00C049FF" w:rsidRPr="00C049FF" w:rsidRDefault="00C049FF" w:rsidP="00C049FF">
            <w:pPr>
              <w:spacing w:line="240" w:lineRule="auto"/>
              <w:jc w:val="center"/>
              <w:rPr>
                <w:rFonts w:ascii="Arial" w:eastAsia="Calibri" w:hAnsi="Arial" w:cs="Arial"/>
                <w:b/>
                <w:bCs/>
                <w:sz w:val="20"/>
                <w:szCs w:val="20"/>
              </w:rPr>
            </w:pPr>
          </w:p>
        </w:tc>
        <w:tc>
          <w:tcPr>
            <w:tcW w:w="1560" w:type="dxa"/>
            <w:tcBorders>
              <w:top w:val="nil"/>
              <w:left w:val="nil"/>
              <w:bottom w:val="nil"/>
              <w:right w:val="nil"/>
            </w:tcBorders>
            <w:noWrap/>
          </w:tcPr>
          <w:p w:rsidR="00C049FF" w:rsidRPr="00C049FF" w:rsidRDefault="00C049FF" w:rsidP="00C049FF">
            <w:pPr>
              <w:spacing w:line="240" w:lineRule="auto"/>
              <w:jc w:val="center"/>
              <w:rPr>
                <w:rFonts w:ascii="Arial" w:eastAsia="Calibri" w:hAnsi="Arial" w:cs="Arial"/>
                <w:b/>
                <w:bCs/>
                <w:sz w:val="20"/>
                <w:szCs w:val="20"/>
              </w:rPr>
            </w:pPr>
          </w:p>
        </w:tc>
        <w:tc>
          <w:tcPr>
            <w:tcW w:w="1134" w:type="dxa"/>
            <w:gridSpan w:val="3"/>
            <w:tcBorders>
              <w:top w:val="nil"/>
              <w:left w:val="nil"/>
              <w:bottom w:val="nil"/>
              <w:right w:val="nil"/>
            </w:tcBorders>
            <w:noWrap/>
          </w:tcPr>
          <w:p w:rsidR="00C049FF" w:rsidRPr="00C049FF" w:rsidRDefault="00C049FF" w:rsidP="00C049FF">
            <w:pPr>
              <w:spacing w:line="240" w:lineRule="auto"/>
              <w:jc w:val="center"/>
              <w:rPr>
                <w:rFonts w:ascii="Arial" w:eastAsia="Calibri" w:hAnsi="Arial" w:cs="Arial"/>
                <w:b/>
                <w:bCs/>
                <w:sz w:val="20"/>
                <w:szCs w:val="20"/>
              </w:rPr>
            </w:pPr>
          </w:p>
        </w:tc>
        <w:tc>
          <w:tcPr>
            <w:tcW w:w="1275" w:type="dxa"/>
            <w:gridSpan w:val="2"/>
            <w:tcBorders>
              <w:top w:val="nil"/>
              <w:left w:val="nil"/>
              <w:bottom w:val="nil"/>
              <w:right w:val="nil"/>
            </w:tcBorders>
            <w:noWrap/>
          </w:tcPr>
          <w:p w:rsidR="00C049FF" w:rsidRPr="00C049FF" w:rsidRDefault="00C049FF" w:rsidP="00C049FF">
            <w:pPr>
              <w:spacing w:line="240" w:lineRule="auto"/>
              <w:jc w:val="center"/>
              <w:rPr>
                <w:rFonts w:ascii="Arial" w:eastAsia="Calibri" w:hAnsi="Arial" w:cs="Arial"/>
                <w:b/>
                <w:bCs/>
                <w:sz w:val="20"/>
                <w:szCs w:val="20"/>
              </w:rPr>
            </w:pPr>
          </w:p>
        </w:tc>
      </w:tr>
      <w:tr w:rsidR="00C049FF" w:rsidRPr="00C049FF" w:rsidTr="002B1780">
        <w:trPr>
          <w:gridAfter w:val="1"/>
          <w:wAfter w:w="327" w:type="dxa"/>
          <w:trHeight w:val="255"/>
        </w:trPr>
        <w:tc>
          <w:tcPr>
            <w:tcW w:w="2122" w:type="dxa"/>
            <w:tcBorders>
              <w:top w:val="nil"/>
              <w:left w:val="nil"/>
              <w:bottom w:val="nil"/>
              <w:right w:val="nil"/>
            </w:tcBorders>
            <w:shd w:val="clear" w:color="auto" w:fill="BFBFBF"/>
            <w:hideMark/>
          </w:tcPr>
          <w:p w:rsidR="00C049FF" w:rsidRPr="00C049FF" w:rsidRDefault="00C049FF" w:rsidP="00C049FF">
            <w:pPr>
              <w:spacing w:line="240" w:lineRule="auto"/>
              <w:rPr>
                <w:rFonts w:ascii="Arial" w:eastAsia="Calibri" w:hAnsi="Arial" w:cs="Arial"/>
                <w:sz w:val="18"/>
                <w:szCs w:val="18"/>
              </w:rPr>
            </w:pPr>
            <w:r w:rsidRPr="00C049FF">
              <w:rPr>
                <w:rFonts w:ascii="Arial" w:eastAsia="Calibri" w:hAnsi="Arial" w:cs="Arial"/>
                <w:sz w:val="18"/>
                <w:szCs w:val="18"/>
              </w:rPr>
              <w:t>Male</w:t>
            </w:r>
          </w:p>
        </w:tc>
        <w:tc>
          <w:tcPr>
            <w:tcW w:w="1417" w:type="dxa"/>
            <w:tcBorders>
              <w:top w:val="nil"/>
              <w:left w:val="nil"/>
              <w:bottom w:val="nil"/>
              <w:right w:val="nil"/>
            </w:tcBorders>
            <w:shd w:val="clear" w:color="auto" w:fill="BFBFBF"/>
            <w:noWrap/>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1.02</w:t>
            </w:r>
          </w:p>
        </w:tc>
        <w:tc>
          <w:tcPr>
            <w:tcW w:w="1559" w:type="dxa"/>
            <w:gridSpan w:val="2"/>
            <w:tcBorders>
              <w:top w:val="nil"/>
              <w:left w:val="nil"/>
              <w:bottom w:val="nil"/>
              <w:right w:val="nil"/>
            </w:tcBorders>
            <w:shd w:val="clear" w:color="auto" w:fill="BFBFBF"/>
            <w:noWrap/>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1.00-1.03</w:t>
            </w:r>
          </w:p>
        </w:tc>
        <w:tc>
          <w:tcPr>
            <w:tcW w:w="1560" w:type="dxa"/>
            <w:tcBorders>
              <w:top w:val="nil"/>
              <w:left w:val="nil"/>
              <w:bottom w:val="nil"/>
              <w:right w:val="nil"/>
            </w:tcBorders>
            <w:shd w:val="clear" w:color="auto" w:fill="BFBFBF"/>
            <w:noWrap/>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4</w:t>
            </w:r>
          </w:p>
        </w:tc>
        <w:tc>
          <w:tcPr>
            <w:tcW w:w="1134" w:type="dxa"/>
            <w:gridSpan w:val="3"/>
            <w:tcBorders>
              <w:top w:val="nil"/>
              <w:left w:val="nil"/>
              <w:bottom w:val="nil"/>
              <w:right w:val="nil"/>
            </w:tcBorders>
            <w:shd w:val="clear" w:color="auto" w:fill="BFBFBF"/>
            <w:noWrap/>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75.6</w:t>
            </w:r>
          </w:p>
        </w:tc>
        <w:tc>
          <w:tcPr>
            <w:tcW w:w="1275" w:type="dxa"/>
            <w:gridSpan w:val="2"/>
            <w:tcBorders>
              <w:top w:val="nil"/>
              <w:left w:val="nil"/>
              <w:bottom w:val="nil"/>
              <w:right w:val="nil"/>
            </w:tcBorders>
            <w:shd w:val="clear" w:color="auto" w:fill="BFBFBF"/>
            <w:noWrap/>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0.017</w:t>
            </w:r>
          </w:p>
        </w:tc>
      </w:tr>
      <w:tr w:rsidR="00C049FF" w:rsidRPr="00C049FF" w:rsidTr="002B1780">
        <w:trPr>
          <w:gridAfter w:val="1"/>
          <w:wAfter w:w="327" w:type="dxa"/>
          <w:trHeight w:val="255"/>
        </w:trPr>
        <w:tc>
          <w:tcPr>
            <w:tcW w:w="2122" w:type="dxa"/>
            <w:tcBorders>
              <w:top w:val="nil"/>
              <w:left w:val="nil"/>
              <w:bottom w:val="nil"/>
              <w:right w:val="nil"/>
            </w:tcBorders>
            <w:shd w:val="clear" w:color="auto" w:fill="BFBFBF"/>
            <w:hideMark/>
          </w:tcPr>
          <w:p w:rsidR="00C049FF" w:rsidRPr="00C049FF" w:rsidRDefault="00C049FF" w:rsidP="00C049FF">
            <w:pPr>
              <w:spacing w:line="240" w:lineRule="auto"/>
              <w:rPr>
                <w:rFonts w:ascii="Arial" w:eastAsia="Calibri" w:hAnsi="Arial" w:cs="Arial"/>
                <w:sz w:val="18"/>
                <w:szCs w:val="18"/>
              </w:rPr>
            </w:pPr>
            <w:r w:rsidRPr="00C049FF">
              <w:rPr>
                <w:rFonts w:ascii="Arial" w:eastAsia="Calibri" w:hAnsi="Arial" w:cs="Arial"/>
                <w:sz w:val="18"/>
                <w:szCs w:val="18"/>
              </w:rPr>
              <w:t>Female</w:t>
            </w:r>
          </w:p>
        </w:tc>
        <w:tc>
          <w:tcPr>
            <w:tcW w:w="1417" w:type="dxa"/>
            <w:tcBorders>
              <w:top w:val="nil"/>
              <w:left w:val="nil"/>
              <w:bottom w:val="nil"/>
              <w:right w:val="nil"/>
            </w:tcBorders>
            <w:shd w:val="clear" w:color="auto" w:fill="BFBFBF"/>
            <w:noWrap/>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1.03</w:t>
            </w:r>
          </w:p>
        </w:tc>
        <w:tc>
          <w:tcPr>
            <w:tcW w:w="1559" w:type="dxa"/>
            <w:gridSpan w:val="2"/>
            <w:tcBorders>
              <w:top w:val="nil"/>
              <w:left w:val="nil"/>
              <w:bottom w:val="nil"/>
              <w:right w:val="nil"/>
            </w:tcBorders>
            <w:shd w:val="clear" w:color="auto" w:fill="BFBFBF"/>
            <w:noWrap/>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1.01-1.04</w:t>
            </w:r>
          </w:p>
        </w:tc>
        <w:tc>
          <w:tcPr>
            <w:tcW w:w="1560" w:type="dxa"/>
            <w:tcBorders>
              <w:top w:val="nil"/>
              <w:left w:val="nil"/>
              <w:bottom w:val="nil"/>
              <w:right w:val="nil"/>
            </w:tcBorders>
            <w:shd w:val="clear" w:color="auto" w:fill="BFBFBF"/>
            <w:noWrap/>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4</w:t>
            </w:r>
          </w:p>
        </w:tc>
        <w:tc>
          <w:tcPr>
            <w:tcW w:w="1134" w:type="dxa"/>
            <w:gridSpan w:val="3"/>
            <w:tcBorders>
              <w:top w:val="nil"/>
              <w:left w:val="nil"/>
              <w:bottom w:val="nil"/>
              <w:right w:val="nil"/>
            </w:tcBorders>
            <w:shd w:val="clear" w:color="auto" w:fill="BFBFBF"/>
            <w:noWrap/>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82.4</w:t>
            </w:r>
          </w:p>
        </w:tc>
        <w:tc>
          <w:tcPr>
            <w:tcW w:w="1275" w:type="dxa"/>
            <w:gridSpan w:val="2"/>
            <w:tcBorders>
              <w:top w:val="nil"/>
              <w:left w:val="nil"/>
              <w:bottom w:val="nil"/>
              <w:right w:val="nil"/>
            </w:tcBorders>
            <w:shd w:val="clear" w:color="auto" w:fill="BFBFBF"/>
            <w:noWrap/>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0.001</w:t>
            </w:r>
          </w:p>
        </w:tc>
      </w:tr>
      <w:tr w:rsidR="00C049FF" w:rsidRPr="00C049FF" w:rsidTr="002B1780">
        <w:trPr>
          <w:gridAfter w:val="1"/>
          <w:wAfter w:w="327" w:type="dxa"/>
          <w:trHeight w:val="255"/>
        </w:trPr>
        <w:tc>
          <w:tcPr>
            <w:tcW w:w="2122" w:type="dxa"/>
            <w:tcBorders>
              <w:top w:val="nil"/>
              <w:left w:val="nil"/>
              <w:bottom w:val="nil"/>
              <w:right w:val="nil"/>
            </w:tcBorders>
            <w:shd w:val="clear" w:color="auto" w:fill="auto"/>
          </w:tcPr>
          <w:p w:rsidR="00C049FF" w:rsidRPr="00C049FF" w:rsidRDefault="00C049FF" w:rsidP="00C049FF">
            <w:pPr>
              <w:spacing w:after="240" w:line="240" w:lineRule="auto"/>
              <w:rPr>
                <w:rFonts w:ascii="Arial" w:eastAsia="Calibri" w:hAnsi="Arial" w:cs="Arial"/>
                <w:sz w:val="18"/>
                <w:szCs w:val="18"/>
              </w:rPr>
            </w:pPr>
            <w:r w:rsidRPr="00C049FF">
              <w:rPr>
                <w:rFonts w:ascii="Arial" w:eastAsia="Calibri" w:hAnsi="Arial" w:cs="Arial"/>
                <w:sz w:val="18"/>
                <w:szCs w:val="18"/>
              </w:rPr>
              <w:t>BMI adjusted*</w:t>
            </w:r>
          </w:p>
        </w:tc>
        <w:tc>
          <w:tcPr>
            <w:tcW w:w="1417" w:type="dxa"/>
            <w:tcBorders>
              <w:top w:val="nil"/>
              <w:left w:val="nil"/>
              <w:bottom w:val="nil"/>
              <w:right w:val="nil"/>
            </w:tcBorders>
            <w:shd w:val="clear" w:color="auto" w:fill="auto"/>
            <w:noWrap/>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1.01</w:t>
            </w:r>
          </w:p>
        </w:tc>
        <w:tc>
          <w:tcPr>
            <w:tcW w:w="1559" w:type="dxa"/>
            <w:gridSpan w:val="2"/>
            <w:tcBorders>
              <w:top w:val="nil"/>
              <w:left w:val="nil"/>
              <w:bottom w:val="nil"/>
              <w:right w:val="nil"/>
            </w:tcBorders>
            <w:shd w:val="clear" w:color="auto" w:fill="auto"/>
            <w:noWrap/>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1.00-1.02</w:t>
            </w:r>
          </w:p>
        </w:tc>
        <w:tc>
          <w:tcPr>
            <w:tcW w:w="1560" w:type="dxa"/>
            <w:tcBorders>
              <w:top w:val="nil"/>
              <w:left w:val="nil"/>
              <w:bottom w:val="nil"/>
              <w:right w:val="nil"/>
            </w:tcBorders>
            <w:shd w:val="clear" w:color="auto" w:fill="auto"/>
            <w:noWrap/>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4</w:t>
            </w:r>
          </w:p>
        </w:tc>
        <w:tc>
          <w:tcPr>
            <w:tcW w:w="1134" w:type="dxa"/>
            <w:gridSpan w:val="3"/>
            <w:tcBorders>
              <w:top w:val="nil"/>
              <w:left w:val="nil"/>
              <w:bottom w:val="nil"/>
              <w:right w:val="nil"/>
            </w:tcBorders>
            <w:shd w:val="clear" w:color="auto" w:fill="auto"/>
            <w:noWrap/>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0</w:t>
            </w:r>
          </w:p>
        </w:tc>
        <w:tc>
          <w:tcPr>
            <w:tcW w:w="1275" w:type="dxa"/>
            <w:gridSpan w:val="2"/>
            <w:tcBorders>
              <w:top w:val="nil"/>
              <w:left w:val="nil"/>
              <w:bottom w:val="nil"/>
              <w:right w:val="nil"/>
            </w:tcBorders>
            <w:shd w:val="clear" w:color="auto" w:fill="auto"/>
            <w:noWrap/>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0.020</w:t>
            </w:r>
          </w:p>
        </w:tc>
      </w:tr>
      <w:tr w:rsidR="00C049FF" w:rsidRPr="00C049FF" w:rsidTr="002B1780">
        <w:trPr>
          <w:gridAfter w:val="1"/>
          <w:wAfter w:w="327" w:type="dxa"/>
          <w:trHeight w:val="255"/>
        </w:trPr>
        <w:tc>
          <w:tcPr>
            <w:tcW w:w="7792" w:type="dxa"/>
            <w:gridSpan w:val="8"/>
            <w:tcBorders>
              <w:top w:val="nil"/>
              <w:left w:val="nil"/>
              <w:bottom w:val="nil"/>
              <w:right w:val="nil"/>
            </w:tcBorders>
            <w:shd w:val="clear" w:color="auto" w:fill="auto"/>
          </w:tcPr>
          <w:p w:rsidR="00C049FF" w:rsidRPr="00C049FF" w:rsidRDefault="00C049FF" w:rsidP="00C049FF">
            <w:pPr>
              <w:spacing w:line="240" w:lineRule="auto"/>
              <w:rPr>
                <w:rFonts w:ascii="Arial" w:eastAsia="Calibri" w:hAnsi="Arial" w:cs="Arial"/>
                <w:sz w:val="18"/>
                <w:szCs w:val="18"/>
              </w:rPr>
            </w:pPr>
            <w:r w:rsidRPr="00C049FF">
              <w:rPr>
                <w:rFonts w:ascii="Arial" w:eastAsia="Calibri" w:hAnsi="Arial" w:cs="Arial"/>
                <w:b/>
                <w:i/>
                <w:sz w:val="18"/>
                <w:szCs w:val="18"/>
              </w:rPr>
              <w:t>Sensitivity analysis excluding the following studies:</w:t>
            </w:r>
          </w:p>
        </w:tc>
        <w:tc>
          <w:tcPr>
            <w:tcW w:w="1275" w:type="dxa"/>
            <w:gridSpan w:val="2"/>
            <w:tcBorders>
              <w:top w:val="nil"/>
              <w:left w:val="nil"/>
              <w:bottom w:val="nil"/>
              <w:right w:val="nil"/>
            </w:tcBorders>
            <w:shd w:val="clear" w:color="auto" w:fill="auto"/>
            <w:noWrap/>
          </w:tcPr>
          <w:p w:rsidR="00C049FF" w:rsidRPr="00C049FF" w:rsidRDefault="00C049FF" w:rsidP="00C049FF">
            <w:pPr>
              <w:spacing w:line="240" w:lineRule="auto"/>
              <w:jc w:val="center"/>
              <w:rPr>
                <w:rFonts w:ascii="Arial" w:eastAsia="Calibri" w:hAnsi="Arial" w:cs="Arial"/>
                <w:sz w:val="18"/>
                <w:szCs w:val="18"/>
              </w:rPr>
            </w:pPr>
          </w:p>
        </w:tc>
      </w:tr>
      <w:tr w:rsidR="00C049FF" w:rsidRPr="00C049FF" w:rsidTr="002B1780">
        <w:trPr>
          <w:gridAfter w:val="1"/>
          <w:wAfter w:w="327" w:type="dxa"/>
          <w:trHeight w:val="255"/>
        </w:trPr>
        <w:tc>
          <w:tcPr>
            <w:tcW w:w="2122" w:type="dxa"/>
            <w:tcBorders>
              <w:top w:val="nil"/>
              <w:left w:val="nil"/>
              <w:bottom w:val="nil"/>
              <w:right w:val="nil"/>
            </w:tcBorders>
            <w:shd w:val="clear" w:color="auto" w:fill="auto"/>
          </w:tcPr>
          <w:p w:rsidR="00C049FF" w:rsidRPr="00C049FF" w:rsidRDefault="00C049FF" w:rsidP="00C049FF">
            <w:pPr>
              <w:spacing w:line="240" w:lineRule="auto"/>
              <w:rPr>
                <w:rFonts w:ascii="Arial" w:eastAsia="Calibri" w:hAnsi="Arial" w:cs="Arial"/>
                <w:sz w:val="18"/>
                <w:szCs w:val="18"/>
              </w:rPr>
            </w:pPr>
            <w:r w:rsidRPr="00C049FF">
              <w:rPr>
                <w:rFonts w:ascii="Arial" w:eastAsia="Calibri" w:hAnsi="Arial" w:cs="Arial"/>
                <w:sz w:val="18"/>
                <w:szCs w:val="18"/>
              </w:rPr>
              <w:t>Mean age baseline&lt;50</w:t>
            </w:r>
          </w:p>
        </w:tc>
        <w:tc>
          <w:tcPr>
            <w:tcW w:w="1417" w:type="dxa"/>
            <w:tcBorders>
              <w:top w:val="nil"/>
              <w:left w:val="nil"/>
              <w:bottom w:val="nil"/>
              <w:right w:val="nil"/>
            </w:tcBorders>
            <w:shd w:val="clear" w:color="auto" w:fill="auto"/>
            <w:noWrap/>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1.01</w:t>
            </w:r>
          </w:p>
        </w:tc>
        <w:tc>
          <w:tcPr>
            <w:tcW w:w="1559" w:type="dxa"/>
            <w:gridSpan w:val="2"/>
            <w:tcBorders>
              <w:top w:val="nil"/>
              <w:left w:val="nil"/>
              <w:bottom w:val="nil"/>
              <w:right w:val="nil"/>
            </w:tcBorders>
            <w:shd w:val="clear" w:color="auto" w:fill="auto"/>
            <w:noWrap/>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1.00-1.02</w:t>
            </w:r>
          </w:p>
        </w:tc>
        <w:tc>
          <w:tcPr>
            <w:tcW w:w="1560" w:type="dxa"/>
            <w:tcBorders>
              <w:top w:val="nil"/>
              <w:left w:val="nil"/>
              <w:bottom w:val="nil"/>
              <w:right w:val="nil"/>
            </w:tcBorders>
            <w:shd w:val="clear" w:color="auto" w:fill="auto"/>
            <w:noWrap/>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4</w:t>
            </w:r>
          </w:p>
        </w:tc>
        <w:tc>
          <w:tcPr>
            <w:tcW w:w="1134" w:type="dxa"/>
            <w:gridSpan w:val="3"/>
            <w:tcBorders>
              <w:top w:val="nil"/>
              <w:left w:val="nil"/>
              <w:bottom w:val="nil"/>
              <w:right w:val="nil"/>
            </w:tcBorders>
            <w:shd w:val="clear" w:color="auto" w:fill="auto"/>
            <w:noWrap/>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0</w:t>
            </w:r>
          </w:p>
        </w:tc>
        <w:tc>
          <w:tcPr>
            <w:tcW w:w="1275" w:type="dxa"/>
            <w:gridSpan w:val="2"/>
            <w:tcBorders>
              <w:top w:val="nil"/>
              <w:left w:val="nil"/>
              <w:bottom w:val="nil"/>
              <w:right w:val="nil"/>
            </w:tcBorders>
            <w:shd w:val="clear" w:color="auto" w:fill="auto"/>
            <w:noWrap/>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&lt;0.001</w:t>
            </w:r>
          </w:p>
        </w:tc>
      </w:tr>
      <w:tr w:rsidR="00C049FF" w:rsidRPr="00C049FF" w:rsidTr="002B1780">
        <w:trPr>
          <w:gridAfter w:val="1"/>
          <w:wAfter w:w="327" w:type="dxa"/>
          <w:trHeight w:val="255"/>
        </w:trPr>
        <w:tc>
          <w:tcPr>
            <w:tcW w:w="2122" w:type="dxa"/>
            <w:tcBorders>
              <w:top w:val="nil"/>
              <w:left w:val="nil"/>
              <w:bottom w:val="nil"/>
              <w:right w:val="nil"/>
            </w:tcBorders>
            <w:shd w:val="clear" w:color="auto" w:fill="auto"/>
          </w:tcPr>
          <w:p w:rsidR="00C049FF" w:rsidRPr="00C049FF" w:rsidRDefault="00C049FF" w:rsidP="00C049FF">
            <w:pPr>
              <w:spacing w:line="240" w:lineRule="auto"/>
              <w:rPr>
                <w:rFonts w:ascii="Arial" w:eastAsia="Calibri" w:hAnsi="Arial" w:cs="Arial"/>
                <w:sz w:val="18"/>
                <w:szCs w:val="18"/>
              </w:rPr>
            </w:pPr>
            <w:r w:rsidRPr="00C049FF">
              <w:rPr>
                <w:rFonts w:ascii="Arial" w:eastAsia="Calibri" w:hAnsi="Arial" w:cs="Arial"/>
                <w:sz w:val="18"/>
                <w:szCs w:val="18"/>
              </w:rPr>
              <w:t>Insufficient control of baseline health</w:t>
            </w:r>
          </w:p>
        </w:tc>
        <w:tc>
          <w:tcPr>
            <w:tcW w:w="1417" w:type="dxa"/>
            <w:tcBorders>
              <w:top w:val="nil"/>
              <w:left w:val="nil"/>
              <w:bottom w:val="nil"/>
              <w:right w:val="nil"/>
            </w:tcBorders>
            <w:shd w:val="clear" w:color="auto" w:fill="auto"/>
            <w:noWrap/>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1.01</w:t>
            </w:r>
          </w:p>
        </w:tc>
        <w:tc>
          <w:tcPr>
            <w:tcW w:w="1559" w:type="dxa"/>
            <w:gridSpan w:val="2"/>
            <w:tcBorders>
              <w:top w:val="nil"/>
              <w:left w:val="nil"/>
              <w:bottom w:val="nil"/>
              <w:right w:val="nil"/>
            </w:tcBorders>
            <w:shd w:val="clear" w:color="auto" w:fill="auto"/>
            <w:noWrap/>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1.00-1.02</w:t>
            </w:r>
          </w:p>
        </w:tc>
        <w:tc>
          <w:tcPr>
            <w:tcW w:w="1560" w:type="dxa"/>
            <w:tcBorders>
              <w:top w:val="nil"/>
              <w:left w:val="nil"/>
              <w:bottom w:val="nil"/>
              <w:right w:val="nil"/>
            </w:tcBorders>
            <w:shd w:val="clear" w:color="auto" w:fill="auto"/>
            <w:noWrap/>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4</w:t>
            </w:r>
          </w:p>
        </w:tc>
        <w:tc>
          <w:tcPr>
            <w:tcW w:w="1134" w:type="dxa"/>
            <w:gridSpan w:val="3"/>
            <w:tcBorders>
              <w:top w:val="nil"/>
              <w:left w:val="nil"/>
              <w:bottom w:val="nil"/>
              <w:right w:val="nil"/>
            </w:tcBorders>
            <w:shd w:val="clear" w:color="auto" w:fill="auto"/>
            <w:noWrap/>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0</w:t>
            </w:r>
          </w:p>
        </w:tc>
        <w:tc>
          <w:tcPr>
            <w:tcW w:w="1275" w:type="dxa"/>
            <w:gridSpan w:val="2"/>
            <w:tcBorders>
              <w:top w:val="nil"/>
              <w:left w:val="nil"/>
              <w:bottom w:val="nil"/>
              <w:right w:val="nil"/>
            </w:tcBorders>
            <w:shd w:val="clear" w:color="auto" w:fill="auto"/>
            <w:noWrap/>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0.008</w:t>
            </w:r>
          </w:p>
        </w:tc>
      </w:tr>
      <w:tr w:rsidR="00C049FF" w:rsidRPr="00C049FF" w:rsidTr="002B1780">
        <w:trPr>
          <w:gridAfter w:val="1"/>
          <w:wAfter w:w="327" w:type="dxa"/>
          <w:trHeight w:val="340"/>
        </w:trPr>
        <w:tc>
          <w:tcPr>
            <w:tcW w:w="9067" w:type="dxa"/>
            <w:gridSpan w:val="10"/>
            <w:tcBorders>
              <w:top w:val="single" w:sz="4" w:space="0" w:color="auto"/>
              <w:left w:val="nil"/>
              <w:bottom w:val="single" w:sz="4" w:space="0" w:color="auto"/>
              <w:right w:val="nil"/>
            </w:tcBorders>
          </w:tcPr>
          <w:p w:rsidR="00C049FF" w:rsidRPr="00C049FF" w:rsidRDefault="00C049FF" w:rsidP="00C049FF">
            <w:pPr>
              <w:spacing w:line="240" w:lineRule="auto"/>
              <w:rPr>
                <w:rFonts w:ascii="Arial" w:eastAsia="Calibri" w:hAnsi="Arial" w:cs="Arial"/>
                <w:b/>
                <w:bCs/>
                <w:szCs w:val="24"/>
              </w:rPr>
            </w:pPr>
            <w:r w:rsidRPr="00C049FF">
              <w:rPr>
                <w:rFonts w:ascii="Arial" w:eastAsia="Calibri" w:hAnsi="Arial" w:cs="Arial"/>
                <w:sz w:val="28"/>
                <w:szCs w:val="28"/>
              </w:rPr>
              <w:t xml:space="preserve">TV viewing </w:t>
            </w:r>
          </w:p>
        </w:tc>
      </w:tr>
      <w:tr w:rsidR="00C049FF" w:rsidRPr="00C049FF" w:rsidTr="002B1780">
        <w:trPr>
          <w:gridAfter w:val="1"/>
          <w:wAfter w:w="327" w:type="dxa"/>
          <w:trHeight w:val="255"/>
        </w:trPr>
        <w:tc>
          <w:tcPr>
            <w:tcW w:w="2122" w:type="dxa"/>
            <w:tcBorders>
              <w:top w:val="single" w:sz="4" w:space="0" w:color="auto"/>
              <w:left w:val="nil"/>
              <w:bottom w:val="nil"/>
              <w:right w:val="nil"/>
            </w:tcBorders>
            <w:hideMark/>
          </w:tcPr>
          <w:p w:rsidR="00C049FF" w:rsidRPr="00C049FF" w:rsidRDefault="00C049FF" w:rsidP="00C049FF">
            <w:pPr>
              <w:spacing w:line="240" w:lineRule="auto"/>
              <w:rPr>
                <w:rFonts w:ascii="Arial" w:eastAsia="Calibri" w:hAnsi="Arial" w:cs="Arial"/>
                <w:b/>
                <w:bCs/>
                <w:sz w:val="20"/>
                <w:szCs w:val="20"/>
              </w:rPr>
            </w:pPr>
            <w:r w:rsidRPr="00C049FF">
              <w:rPr>
                <w:rFonts w:ascii="Arial" w:eastAsia="Calibri" w:hAnsi="Arial" w:cs="Arial"/>
                <w:b/>
                <w:bCs/>
                <w:sz w:val="20"/>
                <w:szCs w:val="20"/>
              </w:rPr>
              <w:t>Summary Estimate</w:t>
            </w:r>
          </w:p>
        </w:tc>
        <w:tc>
          <w:tcPr>
            <w:tcW w:w="1417" w:type="dxa"/>
            <w:tcBorders>
              <w:top w:val="single" w:sz="4" w:space="0" w:color="auto"/>
              <w:left w:val="nil"/>
              <w:bottom w:val="nil"/>
              <w:right w:val="nil"/>
            </w:tcBorders>
            <w:noWrap/>
          </w:tcPr>
          <w:p w:rsidR="00C049FF" w:rsidRPr="00C049FF" w:rsidRDefault="00C049FF" w:rsidP="00C049FF">
            <w:pPr>
              <w:spacing w:line="240" w:lineRule="auto"/>
              <w:jc w:val="center"/>
              <w:rPr>
                <w:rFonts w:ascii="Arial" w:eastAsia="Calibri" w:hAnsi="Arial" w:cs="Arial"/>
                <w:b/>
                <w:bCs/>
                <w:sz w:val="20"/>
                <w:szCs w:val="20"/>
              </w:rPr>
            </w:pPr>
            <w:r w:rsidRPr="00C049FF">
              <w:rPr>
                <w:rFonts w:ascii="Arial" w:eastAsia="Calibri" w:hAnsi="Arial" w:cs="Arial"/>
                <w:b/>
                <w:bCs/>
                <w:sz w:val="20"/>
                <w:szCs w:val="20"/>
              </w:rPr>
              <w:t>1.04</w:t>
            </w:r>
          </w:p>
        </w:tc>
        <w:tc>
          <w:tcPr>
            <w:tcW w:w="1559" w:type="dxa"/>
            <w:gridSpan w:val="2"/>
            <w:tcBorders>
              <w:top w:val="single" w:sz="4" w:space="0" w:color="auto"/>
              <w:left w:val="nil"/>
              <w:bottom w:val="nil"/>
              <w:right w:val="nil"/>
            </w:tcBorders>
            <w:noWrap/>
          </w:tcPr>
          <w:p w:rsidR="00C049FF" w:rsidRPr="00C049FF" w:rsidRDefault="00C049FF" w:rsidP="00C049FF">
            <w:pPr>
              <w:spacing w:line="240" w:lineRule="auto"/>
              <w:jc w:val="center"/>
              <w:rPr>
                <w:rFonts w:ascii="Arial" w:eastAsia="Calibri" w:hAnsi="Arial" w:cs="Arial"/>
                <w:b/>
                <w:bCs/>
                <w:sz w:val="20"/>
                <w:szCs w:val="20"/>
              </w:rPr>
            </w:pPr>
            <w:r w:rsidRPr="00C049FF">
              <w:rPr>
                <w:rFonts w:ascii="Arial" w:eastAsia="Calibri" w:hAnsi="Arial" w:cs="Arial"/>
                <w:b/>
                <w:bCs/>
                <w:sz w:val="20"/>
                <w:szCs w:val="20"/>
              </w:rPr>
              <w:t>1.01-1.08</w:t>
            </w:r>
          </w:p>
        </w:tc>
        <w:tc>
          <w:tcPr>
            <w:tcW w:w="1560" w:type="dxa"/>
            <w:tcBorders>
              <w:top w:val="single" w:sz="4" w:space="0" w:color="auto"/>
              <w:left w:val="nil"/>
              <w:bottom w:val="nil"/>
              <w:right w:val="nil"/>
            </w:tcBorders>
            <w:noWrap/>
          </w:tcPr>
          <w:p w:rsidR="00C049FF" w:rsidRPr="00C049FF" w:rsidRDefault="00C049FF" w:rsidP="00C049FF">
            <w:pPr>
              <w:spacing w:line="240" w:lineRule="auto"/>
              <w:jc w:val="center"/>
              <w:rPr>
                <w:rFonts w:ascii="Arial" w:eastAsia="Calibri" w:hAnsi="Arial" w:cs="Arial"/>
                <w:b/>
                <w:bCs/>
                <w:sz w:val="20"/>
                <w:szCs w:val="20"/>
              </w:rPr>
            </w:pPr>
            <w:r w:rsidRPr="00C049FF">
              <w:rPr>
                <w:rFonts w:ascii="Arial" w:eastAsia="Calibri" w:hAnsi="Arial" w:cs="Arial"/>
                <w:b/>
                <w:bCs/>
                <w:sz w:val="20"/>
                <w:szCs w:val="20"/>
              </w:rPr>
              <w:t>6</w:t>
            </w:r>
          </w:p>
        </w:tc>
        <w:tc>
          <w:tcPr>
            <w:tcW w:w="1134" w:type="dxa"/>
            <w:gridSpan w:val="3"/>
            <w:tcBorders>
              <w:top w:val="single" w:sz="4" w:space="0" w:color="auto"/>
              <w:left w:val="nil"/>
              <w:bottom w:val="nil"/>
              <w:right w:val="nil"/>
            </w:tcBorders>
            <w:noWrap/>
          </w:tcPr>
          <w:p w:rsidR="00C049FF" w:rsidRPr="00C049FF" w:rsidRDefault="00C049FF" w:rsidP="00C049FF">
            <w:pPr>
              <w:spacing w:line="240" w:lineRule="auto"/>
              <w:jc w:val="center"/>
              <w:rPr>
                <w:rFonts w:ascii="Arial" w:eastAsia="Calibri" w:hAnsi="Arial" w:cs="Arial"/>
                <w:b/>
                <w:bCs/>
                <w:sz w:val="20"/>
                <w:szCs w:val="20"/>
              </w:rPr>
            </w:pPr>
            <w:r w:rsidRPr="00C049FF">
              <w:rPr>
                <w:rFonts w:ascii="Arial" w:eastAsia="Calibri" w:hAnsi="Arial" w:cs="Arial"/>
                <w:b/>
                <w:bCs/>
                <w:sz w:val="20"/>
                <w:szCs w:val="20"/>
              </w:rPr>
              <w:t>88.8</w:t>
            </w:r>
          </w:p>
        </w:tc>
        <w:tc>
          <w:tcPr>
            <w:tcW w:w="1275" w:type="dxa"/>
            <w:gridSpan w:val="2"/>
            <w:tcBorders>
              <w:top w:val="single" w:sz="4" w:space="0" w:color="auto"/>
              <w:left w:val="nil"/>
              <w:bottom w:val="nil"/>
              <w:right w:val="nil"/>
            </w:tcBorders>
            <w:noWrap/>
          </w:tcPr>
          <w:p w:rsidR="00C049FF" w:rsidRPr="00C049FF" w:rsidRDefault="00C049FF" w:rsidP="00C049FF">
            <w:pPr>
              <w:spacing w:line="240" w:lineRule="auto"/>
              <w:jc w:val="center"/>
              <w:rPr>
                <w:rFonts w:ascii="Arial" w:eastAsia="Calibri" w:hAnsi="Arial" w:cs="Arial"/>
                <w:b/>
                <w:bCs/>
                <w:sz w:val="20"/>
                <w:szCs w:val="20"/>
              </w:rPr>
            </w:pPr>
            <w:r w:rsidRPr="00C049FF">
              <w:rPr>
                <w:rFonts w:ascii="Arial" w:eastAsia="Calibri" w:hAnsi="Arial" w:cs="Arial"/>
                <w:b/>
                <w:bCs/>
                <w:sz w:val="20"/>
                <w:szCs w:val="20"/>
              </w:rPr>
              <w:t>0.028</w:t>
            </w:r>
          </w:p>
        </w:tc>
      </w:tr>
      <w:tr w:rsidR="00C049FF" w:rsidRPr="00C049FF" w:rsidTr="002B1780">
        <w:trPr>
          <w:gridAfter w:val="1"/>
          <w:wAfter w:w="327" w:type="dxa"/>
          <w:trHeight w:val="340"/>
        </w:trPr>
        <w:tc>
          <w:tcPr>
            <w:tcW w:w="2122" w:type="dxa"/>
            <w:tcBorders>
              <w:top w:val="nil"/>
              <w:left w:val="nil"/>
              <w:bottom w:val="nil"/>
              <w:right w:val="nil"/>
            </w:tcBorders>
            <w:vAlign w:val="bottom"/>
          </w:tcPr>
          <w:p w:rsidR="00C049FF" w:rsidRPr="00C049FF" w:rsidRDefault="00C049FF" w:rsidP="00C049FF">
            <w:pPr>
              <w:spacing w:line="240" w:lineRule="auto"/>
              <w:rPr>
                <w:rFonts w:ascii="Arial" w:eastAsia="Calibri" w:hAnsi="Arial" w:cs="Arial"/>
                <w:b/>
                <w:bCs/>
                <w:sz w:val="20"/>
                <w:szCs w:val="20"/>
              </w:rPr>
            </w:pPr>
            <w:r w:rsidRPr="00C049FF">
              <w:rPr>
                <w:rFonts w:ascii="Arial" w:eastAsia="Calibri" w:hAnsi="Arial" w:cs="Arial"/>
                <w:b/>
                <w:i/>
                <w:sz w:val="18"/>
                <w:szCs w:val="18"/>
              </w:rPr>
              <w:lastRenderedPageBreak/>
              <w:t>Subgroup analysis</w:t>
            </w:r>
          </w:p>
        </w:tc>
        <w:tc>
          <w:tcPr>
            <w:tcW w:w="1417" w:type="dxa"/>
            <w:tcBorders>
              <w:top w:val="nil"/>
              <w:left w:val="nil"/>
              <w:bottom w:val="nil"/>
              <w:right w:val="nil"/>
            </w:tcBorders>
            <w:noWrap/>
          </w:tcPr>
          <w:p w:rsidR="00C049FF" w:rsidRPr="00C049FF" w:rsidRDefault="00C049FF" w:rsidP="00C049FF">
            <w:pPr>
              <w:spacing w:line="240" w:lineRule="auto"/>
              <w:jc w:val="center"/>
              <w:rPr>
                <w:rFonts w:ascii="Arial" w:eastAsia="Calibri" w:hAnsi="Arial" w:cs="Arial"/>
                <w:b/>
                <w:bCs/>
                <w:sz w:val="20"/>
                <w:szCs w:val="20"/>
              </w:rPr>
            </w:pPr>
          </w:p>
        </w:tc>
        <w:tc>
          <w:tcPr>
            <w:tcW w:w="284" w:type="dxa"/>
            <w:tcBorders>
              <w:top w:val="nil"/>
              <w:left w:val="nil"/>
              <w:bottom w:val="nil"/>
              <w:right w:val="nil"/>
            </w:tcBorders>
            <w:noWrap/>
          </w:tcPr>
          <w:p w:rsidR="00C049FF" w:rsidRPr="00C049FF" w:rsidRDefault="00C049FF" w:rsidP="00C049FF">
            <w:pPr>
              <w:spacing w:line="240" w:lineRule="auto"/>
              <w:jc w:val="center"/>
              <w:rPr>
                <w:rFonts w:ascii="Arial" w:eastAsia="Calibri" w:hAnsi="Arial" w:cs="Arial"/>
                <w:b/>
                <w:bCs/>
                <w:sz w:val="20"/>
                <w:szCs w:val="20"/>
              </w:rPr>
            </w:pPr>
          </w:p>
        </w:tc>
        <w:tc>
          <w:tcPr>
            <w:tcW w:w="1275" w:type="dxa"/>
            <w:tcBorders>
              <w:top w:val="nil"/>
              <w:left w:val="nil"/>
              <w:bottom w:val="nil"/>
              <w:right w:val="nil"/>
            </w:tcBorders>
            <w:noWrap/>
          </w:tcPr>
          <w:p w:rsidR="00C049FF" w:rsidRPr="00C049FF" w:rsidRDefault="00C049FF" w:rsidP="00C049FF">
            <w:pPr>
              <w:spacing w:line="240" w:lineRule="auto"/>
              <w:jc w:val="center"/>
              <w:rPr>
                <w:rFonts w:ascii="Arial" w:eastAsia="Calibri" w:hAnsi="Arial" w:cs="Arial"/>
                <w:b/>
                <w:bCs/>
                <w:sz w:val="20"/>
                <w:szCs w:val="20"/>
              </w:rPr>
            </w:pPr>
          </w:p>
        </w:tc>
        <w:tc>
          <w:tcPr>
            <w:tcW w:w="1560" w:type="dxa"/>
            <w:tcBorders>
              <w:top w:val="nil"/>
              <w:left w:val="nil"/>
              <w:bottom w:val="nil"/>
              <w:right w:val="nil"/>
            </w:tcBorders>
            <w:noWrap/>
          </w:tcPr>
          <w:p w:rsidR="00C049FF" w:rsidRPr="00C049FF" w:rsidRDefault="00C049FF" w:rsidP="00C049FF">
            <w:pPr>
              <w:spacing w:line="240" w:lineRule="auto"/>
              <w:jc w:val="center"/>
              <w:rPr>
                <w:rFonts w:ascii="Arial" w:eastAsia="Calibri" w:hAnsi="Arial" w:cs="Arial"/>
                <w:b/>
                <w:bCs/>
                <w:sz w:val="20"/>
                <w:szCs w:val="20"/>
              </w:rPr>
            </w:pPr>
          </w:p>
        </w:tc>
        <w:tc>
          <w:tcPr>
            <w:tcW w:w="1134" w:type="dxa"/>
            <w:gridSpan w:val="3"/>
            <w:tcBorders>
              <w:top w:val="nil"/>
              <w:left w:val="nil"/>
              <w:bottom w:val="nil"/>
              <w:right w:val="nil"/>
            </w:tcBorders>
            <w:noWrap/>
          </w:tcPr>
          <w:p w:rsidR="00C049FF" w:rsidRPr="00C049FF" w:rsidRDefault="00C049FF" w:rsidP="00C049FF">
            <w:pPr>
              <w:spacing w:line="240" w:lineRule="auto"/>
              <w:jc w:val="center"/>
              <w:rPr>
                <w:rFonts w:ascii="Arial" w:eastAsia="Calibri" w:hAnsi="Arial" w:cs="Arial"/>
                <w:b/>
                <w:bCs/>
                <w:sz w:val="20"/>
                <w:szCs w:val="20"/>
              </w:rPr>
            </w:pPr>
          </w:p>
        </w:tc>
        <w:tc>
          <w:tcPr>
            <w:tcW w:w="1275" w:type="dxa"/>
            <w:gridSpan w:val="2"/>
            <w:tcBorders>
              <w:top w:val="nil"/>
              <w:left w:val="nil"/>
              <w:bottom w:val="nil"/>
              <w:right w:val="nil"/>
            </w:tcBorders>
            <w:noWrap/>
          </w:tcPr>
          <w:p w:rsidR="00C049FF" w:rsidRPr="00C049FF" w:rsidRDefault="00C049FF" w:rsidP="00C049FF">
            <w:pPr>
              <w:spacing w:line="240" w:lineRule="auto"/>
              <w:jc w:val="center"/>
              <w:rPr>
                <w:rFonts w:ascii="Arial" w:eastAsia="Calibri" w:hAnsi="Arial" w:cs="Arial"/>
                <w:b/>
                <w:bCs/>
                <w:sz w:val="20"/>
                <w:szCs w:val="20"/>
              </w:rPr>
            </w:pPr>
          </w:p>
        </w:tc>
      </w:tr>
      <w:tr w:rsidR="00C049FF" w:rsidRPr="00C049FF" w:rsidTr="002B1780">
        <w:trPr>
          <w:gridAfter w:val="1"/>
          <w:wAfter w:w="327" w:type="dxa"/>
          <w:trHeight w:val="255"/>
        </w:trPr>
        <w:tc>
          <w:tcPr>
            <w:tcW w:w="2122" w:type="dxa"/>
            <w:tcBorders>
              <w:top w:val="nil"/>
              <w:left w:val="nil"/>
              <w:bottom w:val="nil"/>
              <w:right w:val="nil"/>
            </w:tcBorders>
            <w:shd w:val="clear" w:color="auto" w:fill="auto"/>
          </w:tcPr>
          <w:p w:rsidR="00C049FF" w:rsidRPr="00C049FF" w:rsidRDefault="00C049FF" w:rsidP="00C049FF">
            <w:pPr>
              <w:spacing w:line="240" w:lineRule="auto"/>
              <w:rPr>
                <w:rFonts w:ascii="Arial" w:eastAsia="Calibri" w:hAnsi="Arial" w:cs="Arial"/>
                <w:sz w:val="18"/>
                <w:szCs w:val="18"/>
              </w:rPr>
            </w:pPr>
            <w:r w:rsidRPr="00C049FF">
              <w:rPr>
                <w:rFonts w:ascii="Arial" w:eastAsia="Calibri" w:hAnsi="Arial" w:cs="Arial"/>
                <w:sz w:val="18"/>
                <w:szCs w:val="18"/>
              </w:rPr>
              <w:t>Non-BMI adjusted</w:t>
            </w:r>
          </w:p>
        </w:tc>
        <w:tc>
          <w:tcPr>
            <w:tcW w:w="1417" w:type="dxa"/>
            <w:tcBorders>
              <w:top w:val="nil"/>
              <w:left w:val="nil"/>
              <w:bottom w:val="nil"/>
              <w:right w:val="nil"/>
            </w:tcBorders>
            <w:shd w:val="clear" w:color="auto" w:fill="auto"/>
            <w:noWrap/>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1.05</w:t>
            </w:r>
          </w:p>
        </w:tc>
        <w:tc>
          <w:tcPr>
            <w:tcW w:w="1559" w:type="dxa"/>
            <w:gridSpan w:val="2"/>
            <w:tcBorders>
              <w:top w:val="nil"/>
              <w:left w:val="nil"/>
              <w:bottom w:val="nil"/>
              <w:right w:val="nil"/>
            </w:tcBorders>
            <w:shd w:val="clear" w:color="auto" w:fill="auto"/>
            <w:noWrap/>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1.02-1.08</w:t>
            </w:r>
          </w:p>
        </w:tc>
        <w:tc>
          <w:tcPr>
            <w:tcW w:w="1560" w:type="dxa"/>
            <w:tcBorders>
              <w:top w:val="nil"/>
              <w:left w:val="nil"/>
              <w:bottom w:val="nil"/>
              <w:right w:val="nil"/>
            </w:tcBorders>
            <w:shd w:val="clear" w:color="auto" w:fill="auto"/>
            <w:noWrap/>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6</w:t>
            </w:r>
          </w:p>
        </w:tc>
        <w:tc>
          <w:tcPr>
            <w:tcW w:w="1134" w:type="dxa"/>
            <w:gridSpan w:val="3"/>
            <w:tcBorders>
              <w:top w:val="nil"/>
              <w:left w:val="nil"/>
              <w:bottom w:val="nil"/>
              <w:right w:val="nil"/>
            </w:tcBorders>
            <w:shd w:val="clear" w:color="auto" w:fill="auto"/>
            <w:noWrap/>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83.1</w:t>
            </w:r>
          </w:p>
        </w:tc>
        <w:tc>
          <w:tcPr>
            <w:tcW w:w="1275" w:type="dxa"/>
            <w:gridSpan w:val="2"/>
            <w:tcBorders>
              <w:top w:val="nil"/>
              <w:left w:val="nil"/>
              <w:bottom w:val="nil"/>
              <w:right w:val="nil"/>
            </w:tcBorders>
            <w:shd w:val="clear" w:color="auto" w:fill="auto"/>
            <w:noWrap/>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0.002</w:t>
            </w:r>
          </w:p>
        </w:tc>
      </w:tr>
      <w:tr w:rsidR="00C049FF" w:rsidRPr="00C049FF" w:rsidTr="002B1780">
        <w:trPr>
          <w:gridAfter w:val="1"/>
          <w:wAfter w:w="327" w:type="dxa"/>
          <w:trHeight w:val="340"/>
        </w:trPr>
        <w:tc>
          <w:tcPr>
            <w:tcW w:w="9067" w:type="dxa"/>
            <w:gridSpan w:val="10"/>
            <w:tcBorders>
              <w:top w:val="nil"/>
              <w:left w:val="nil"/>
              <w:bottom w:val="nil"/>
              <w:right w:val="nil"/>
            </w:tcBorders>
            <w:vAlign w:val="bottom"/>
            <w:hideMark/>
          </w:tcPr>
          <w:p w:rsidR="00C049FF" w:rsidRPr="00C049FF" w:rsidRDefault="00C049FF" w:rsidP="00C049FF">
            <w:pPr>
              <w:spacing w:line="240" w:lineRule="auto"/>
              <w:rPr>
                <w:rFonts w:ascii="Arial" w:eastAsia="Calibri" w:hAnsi="Arial" w:cs="Arial"/>
                <w:b/>
                <w:i/>
                <w:sz w:val="18"/>
                <w:szCs w:val="18"/>
              </w:rPr>
            </w:pPr>
            <w:r w:rsidRPr="00C049FF">
              <w:rPr>
                <w:rFonts w:ascii="Arial" w:eastAsia="Calibri" w:hAnsi="Arial" w:cs="Arial"/>
                <w:b/>
                <w:i/>
                <w:sz w:val="18"/>
                <w:szCs w:val="18"/>
              </w:rPr>
              <w:t>Sensitivity analysis excluding the following studies:</w:t>
            </w:r>
          </w:p>
        </w:tc>
      </w:tr>
      <w:tr w:rsidR="00C049FF" w:rsidRPr="00C049FF" w:rsidTr="002B1780">
        <w:trPr>
          <w:gridAfter w:val="1"/>
          <w:wAfter w:w="327" w:type="dxa"/>
          <w:trHeight w:val="255"/>
        </w:trPr>
        <w:tc>
          <w:tcPr>
            <w:tcW w:w="2122" w:type="dxa"/>
            <w:tcBorders>
              <w:top w:val="nil"/>
              <w:left w:val="nil"/>
              <w:bottom w:val="nil"/>
              <w:right w:val="nil"/>
            </w:tcBorders>
            <w:shd w:val="clear" w:color="auto" w:fill="auto"/>
            <w:hideMark/>
          </w:tcPr>
          <w:p w:rsidR="00C049FF" w:rsidRPr="00C049FF" w:rsidRDefault="00C049FF" w:rsidP="00C049FF">
            <w:pPr>
              <w:spacing w:line="240" w:lineRule="auto"/>
              <w:rPr>
                <w:rFonts w:ascii="Arial" w:eastAsia="Calibri" w:hAnsi="Arial" w:cs="Arial"/>
                <w:sz w:val="18"/>
                <w:szCs w:val="18"/>
              </w:rPr>
            </w:pPr>
            <w:r w:rsidRPr="00C049FF">
              <w:rPr>
                <w:rFonts w:ascii="Arial" w:eastAsia="Calibri" w:hAnsi="Arial" w:cs="Arial"/>
                <w:sz w:val="18"/>
                <w:szCs w:val="18"/>
              </w:rPr>
              <w:t>Mean age baseline&lt;50</w:t>
            </w:r>
          </w:p>
        </w:tc>
        <w:tc>
          <w:tcPr>
            <w:tcW w:w="1417" w:type="dxa"/>
            <w:tcBorders>
              <w:top w:val="nil"/>
              <w:left w:val="nil"/>
              <w:bottom w:val="nil"/>
              <w:right w:val="nil"/>
            </w:tcBorders>
            <w:noWrap/>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1.08</w:t>
            </w:r>
          </w:p>
        </w:tc>
        <w:tc>
          <w:tcPr>
            <w:tcW w:w="1559" w:type="dxa"/>
            <w:gridSpan w:val="2"/>
            <w:tcBorders>
              <w:top w:val="nil"/>
              <w:left w:val="nil"/>
              <w:bottom w:val="nil"/>
              <w:right w:val="nil"/>
            </w:tcBorders>
            <w:noWrap/>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1.06-1.10</w:t>
            </w:r>
          </w:p>
        </w:tc>
        <w:tc>
          <w:tcPr>
            <w:tcW w:w="1560" w:type="dxa"/>
            <w:tcBorders>
              <w:top w:val="nil"/>
              <w:left w:val="nil"/>
              <w:bottom w:val="nil"/>
              <w:right w:val="nil"/>
            </w:tcBorders>
            <w:noWrap/>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4</w:t>
            </w:r>
          </w:p>
        </w:tc>
        <w:tc>
          <w:tcPr>
            <w:tcW w:w="1134" w:type="dxa"/>
            <w:gridSpan w:val="3"/>
            <w:tcBorders>
              <w:top w:val="nil"/>
              <w:left w:val="nil"/>
              <w:bottom w:val="nil"/>
              <w:right w:val="nil"/>
            </w:tcBorders>
            <w:noWrap/>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0</w:t>
            </w:r>
          </w:p>
        </w:tc>
        <w:tc>
          <w:tcPr>
            <w:tcW w:w="1275" w:type="dxa"/>
            <w:gridSpan w:val="2"/>
            <w:tcBorders>
              <w:top w:val="nil"/>
              <w:left w:val="nil"/>
              <w:bottom w:val="nil"/>
              <w:right w:val="nil"/>
            </w:tcBorders>
            <w:noWrap/>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&lt;0.001</w:t>
            </w:r>
          </w:p>
        </w:tc>
      </w:tr>
      <w:tr w:rsidR="00C049FF" w:rsidRPr="00C049FF" w:rsidTr="002B1780">
        <w:trPr>
          <w:gridAfter w:val="1"/>
          <w:wAfter w:w="327" w:type="dxa"/>
          <w:trHeight w:val="255"/>
        </w:trPr>
        <w:tc>
          <w:tcPr>
            <w:tcW w:w="2122" w:type="dxa"/>
            <w:tcBorders>
              <w:top w:val="nil"/>
              <w:left w:val="nil"/>
              <w:bottom w:val="nil"/>
              <w:right w:val="nil"/>
            </w:tcBorders>
          </w:tcPr>
          <w:p w:rsidR="00C049FF" w:rsidRPr="00C049FF" w:rsidRDefault="00C049FF" w:rsidP="00C049FF">
            <w:pPr>
              <w:spacing w:line="240" w:lineRule="auto"/>
              <w:rPr>
                <w:rFonts w:ascii="Arial" w:eastAsia="Calibri" w:hAnsi="Arial" w:cs="Arial"/>
                <w:sz w:val="18"/>
                <w:szCs w:val="18"/>
              </w:rPr>
            </w:pPr>
            <w:r w:rsidRPr="00C049FF">
              <w:rPr>
                <w:rFonts w:ascii="Arial" w:eastAsia="Calibri" w:hAnsi="Arial" w:cs="Arial"/>
                <w:sz w:val="18"/>
                <w:szCs w:val="18"/>
              </w:rPr>
              <w:t>Unrepresentative population</w:t>
            </w:r>
          </w:p>
        </w:tc>
        <w:tc>
          <w:tcPr>
            <w:tcW w:w="1417" w:type="dxa"/>
            <w:tcBorders>
              <w:top w:val="nil"/>
              <w:left w:val="nil"/>
              <w:bottom w:val="nil"/>
              <w:right w:val="nil"/>
            </w:tcBorders>
            <w:noWrap/>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1.03</w:t>
            </w:r>
          </w:p>
        </w:tc>
        <w:tc>
          <w:tcPr>
            <w:tcW w:w="1559" w:type="dxa"/>
            <w:gridSpan w:val="2"/>
            <w:tcBorders>
              <w:top w:val="nil"/>
              <w:left w:val="nil"/>
              <w:bottom w:val="nil"/>
              <w:right w:val="nil"/>
            </w:tcBorders>
            <w:noWrap/>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1.00-1.05</w:t>
            </w:r>
          </w:p>
        </w:tc>
        <w:tc>
          <w:tcPr>
            <w:tcW w:w="1560" w:type="dxa"/>
            <w:tcBorders>
              <w:top w:val="nil"/>
              <w:left w:val="nil"/>
              <w:bottom w:val="nil"/>
              <w:right w:val="nil"/>
            </w:tcBorders>
            <w:noWrap/>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4</w:t>
            </w:r>
          </w:p>
        </w:tc>
        <w:tc>
          <w:tcPr>
            <w:tcW w:w="1134" w:type="dxa"/>
            <w:gridSpan w:val="3"/>
            <w:tcBorders>
              <w:top w:val="nil"/>
              <w:left w:val="nil"/>
              <w:bottom w:val="nil"/>
              <w:right w:val="nil"/>
            </w:tcBorders>
            <w:noWrap/>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16.5</w:t>
            </w:r>
          </w:p>
        </w:tc>
        <w:tc>
          <w:tcPr>
            <w:tcW w:w="1275" w:type="dxa"/>
            <w:gridSpan w:val="2"/>
            <w:tcBorders>
              <w:top w:val="nil"/>
              <w:left w:val="nil"/>
              <w:bottom w:val="nil"/>
              <w:right w:val="nil"/>
            </w:tcBorders>
            <w:noWrap/>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0.047</w:t>
            </w:r>
          </w:p>
        </w:tc>
      </w:tr>
      <w:tr w:rsidR="00C049FF" w:rsidRPr="00C049FF" w:rsidTr="002B1780">
        <w:trPr>
          <w:gridAfter w:val="1"/>
          <w:wAfter w:w="327" w:type="dxa"/>
          <w:trHeight w:val="255"/>
        </w:trPr>
        <w:tc>
          <w:tcPr>
            <w:tcW w:w="2122" w:type="dxa"/>
            <w:tcBorders>
              <w:top w:val="nil"/>
              <w:left w:val="nil"/>
              <w:bottom w:val="nil"/>
              <w:right w:val="nil"/>
            </w:tcBorders>
          </w:tcPr>
          <w:p w:rsidR="00C049FF" w:rsidRPr="00C049FF" w:rsidRDefault="00C049FF" w:rsidP="00C049FF">
            <w:pPr>
              <w:spacing w:line="240" w:lineRule="auto"/>
              <w:rPr>
                <w:rFonts w:ascii="Arial" w:eastAsia="Calibri" w:hAnsi="Arial" w:cs="Arial"/>
                <w:sz w:val="18"/>
                <w:szCs w:val="18"/>
              </w:rPr>
            </w:pPr>
            <w:r w:rsidRPr="00C049FF">
              <w:rPr>
                <w:rFonts w:ascii="Arial" w:eastAsia="Calibri" w:hAnsi="Arial" w:cs="Arial"/>
                <w:sz w:val="18"/>
                <w:szCs w:val="18"/>
              </w:rPr>
              <w:t>Studies with n&lt;10000</w:t>
            </w:r>
          </w:p>
        </w:tc>
        <w:tc>
          <w:tcPr>
            <w:tcW w:w="1417" w:type="dxa"/>
            <w:tcBorders>
              <w:top w:val="nil"/>
              <w:left w:val="nil"/>
              <w:bottom w:val="nil"/>
              <w:right w:val="nil"/>
            </w:tcBorders>
            <w:noWrap/>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1.05</w:t>
            </w:r>
          </w:p>
        </w:tc>
        <w:tc>
          <w:tcPr>
            <w:tcW w:w="1559" w:type="dxa"/>
            <w:gridSpan w:val="2"/>
            <w:tcBorders>
              <w:top w:val="nil"/>
              <w:left w:val="nil"/>
              <w:bottom w:val="nil"/>
              <w:right w:val="nil"/>
            </w:tcBorders>
            <w:noWrap/>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1.00-1.10</w:t>
            </w:r>
          </w:p>
        </w:tc>
        <w:tc>
          <w:tcPr>
            <w:tcW w:w="1560" w:type="dxa"/>
            <w:tcBorders>
              <w:top w:val="nil"/>
              <w:left w:val="nil"/>
              <w:bottom w:val="nil"/>
              <w:right w:val="nil"/>
            </w:tcBorders>
            <w:noWrap/>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4</w:t>
            </w:r>
          </w:p>
        </w:tc>
        <w:tc>
          <w:tcPr>
            <w:tcW w:w="1134" w:type="dxa"/>
            <w:gridSpan w:val="3"/>
            <w:tcBorders>
              <w:top w:val="nil"/>
              <w:left w:val="nil"/>
              <w:bottom w:val="nil"/>
              <w:right w:val="nil"/>
            </w:tcBorders>
            <w:noWrap/>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91.2</w:t>
            </w:r>
          </w:p>
        </w:tc>
        <w:tc>
          <w:tcPr>
            <w:tcW w:w="1275" w:type="dxa"/>
            <w:gridSpan w:val="2"/>
            <w:tcBorders>
              <w:top w:val="nil"/>
              <w:left w:val="nil"/>
              <w:bottom w:val="nil"/>
              <w:right w:val="nil"/>
            </w:tcBorders>
            <w:noWrap/>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0.051</w:t>
            </w:r>
          </w:p>
        </w:tc>
      </w:tr>
      <w:tr w:rsidR="00C049FF" w:rsidRPr="00C049FF" w:rsidTr="002B1780">
        <w:trPr>
          <w:gridAfter w:val="4"/>
          <w:wAfter w:w="2221" w:type="dxa"/>
          <w:trHeight w:val="255"/>
        </w:trPr>
        <w:tc>
          <w:tcPr>
            <w:tcW w:w="2122" w:type="dxa"/>
            <w:tcBorders>
              <w:top w:val="nil"/>
              <w:left w:val="nil"/>
              <w:bottom w:val="single" w:sz="4" w:space="0" w:color="auto"/>
              <w:right w:val="nil"/>
            </w:tcBorders>
          </w:tcPr>
          <w:p w:rsidR="00C049FF" w:rsidRPr="00C049FF" w:rsidRDefault="00C049FF" w:rsidP="00C049FF">
            <w:pPr>
              <w:spacing w:line="240" w:lineRule="auto"/>
              <w:rPr>
                <w:rFonts w:ascii="Arial" w:eastAsia="Calibri" w:hAnsi="Arial" w:cs="Arial"/>
                <w:b/>
                <w:bCs/>
                <w:sz w:val="20"/>
                <w:szCs w:val="20"/>
              </w:rPr>
            </w:pPr>
          </w:p>
        </w:tc>
        <w:tc>
          <w:tcPr>
            <w:tcW w:w="1417" w:type="dxa"/>
            <w:tcBorders>
              <w:top w:val="nil"/>
              <w:left w:val="nil"/>
              <w:bottom w:val="single" w:sz="4" w:space="0" w:color="auto"/>
              <w:right w:val="nil"/>
            </w:tcBorders>
            <w:noWrap/>
          </w:tcPr>
          <w:p w:rsidR="00C049FF" w:rsidRPr="00C049FF" w:rsidRDefault="00C049FF" w:rsidP="00C049FF">
            <w:pPr>
              <w:spacing w:line="240" w:lineRule="auto"/>
              <w:rPr>
                <w:rFonts w:ascii="Arial" w:eastAsia="Calibri" w:hAnsi="Arial" w:cs="Arial"/>
                <w:b/>
                <w:bCs/>
                <w:sz w:val="20"/>
                <w:szCs w:val="20"/>
              </w:rPr>
            </w:pPr>
          </w:p>
        </w:tc>
        <w:tc>
          <w:tcPr>
            <w:tcW w:w="284" w:type="dxa"/>
            <w:tcBorders>
              <w:top w:val="nil"/>
              <w:left w:val="nil"/>
              <w:bottom w:val="single" w:sz="4" w:space="0" w:color="auto"/>
              <w:right w:val="nil"/>
            </w:tcBorders>
            <w:noWrap/>
          </w:tcPr>
          <w:p w:rsidR="00C049FF" w:rsidRPr="00C049FF" w:rsidRDefault="00C049FF" w:rsidP="00C049FF">
            <w:pPr>
              <w:spacing w:line="240" w:lineRule="auto"/>
              <w:rPr>
                <w:rFonts w:ascii="Arial" w:eastAsia="Calibri" w:hAnsi="Arial" w:cs="Arial"/>
                <w:b/>
                <w:bCs/>
                <w:sz w:val="20"/>
                <w:szCs w:val="20"/>
              </w:rPr>
            </w:pPr>
          </w:p>
        </w:tc>
        <w:tc>
          <w:tcPr>
            <w:tcW w:w="1275" w:type="dxa"/>
            <w:tcBorders>
              <w:top w:val="nil"/>
              <w:left w:val="nil"/>
              <w:bottom w:val="single" w:sz="4" w:space="0" w:color="auto"/>
              <w:right w:val="nil"/>
            </w:tcBorders>
            <w:noWrap/>
          </w:tcPr>
          <w:p w:rsidR="00C049FF" w:rsidRPr="00C049FF" w:rsidRDefault="00C049FF" w:rsidP="00C049FF">
            <w:pPr>
              <w:spacing w:line="240" w:lineRule="auto"/>
              <w:rPr>
                <w:rFonts w:ascii="Arial" w:eastAsia="Calibri" w:hAnsi="Arial" w:cs="Arial"/>
                <w:b/>
                <w:bCs/>
                <w:sz w:val="20"/>
                <w:szCs w:val="20"/>
              </w:rPr>
            </w:pPr>
          </w:p>
        </w:tc>
        <w:tc>
          <w:tcPr>
            <w:tcW w:w="1560" w:type="dxa"/>
            <w:tcBorders>
              <w:top w:val="nil"/>
              <w:left w:val="nil"/>
              <w:bottom w:val="single" w:sz="4" w:space="0" w:color="auto"/>
              <w:right w:val="nil"/>
            </w:tcBorders>
            <w:noWrap/>
          </w:tcPr>
          <w:p w:rsidR="00C049FF" w:rsidRPr="00C049FF" w:rsidRDefault="00C049FF" w:rsidP="00C049FF">
            <w:pPr>
              <w:spacing w:line="240" w:lineRule="auto"/>
              <w:rPr>
                <w:rFonts w:ascii="Arial" w:eastAsia="Calibri" w:hAnsi="Arial" w:cs="Arial"/>
                <w:b/>
                <w:bCs/>
                <w:sz w:val="20"/>
                <w:szCs w:val="20"/>
              </w:rPr>
            </w:pPr>
          </w:p>
        </w:tc>
        <w:tc>
          <w:tcPr>
            <w:tcW w:w="515" w:type="dxa"/>
            <w:gridSpan w:val="2"/>
            <w:tcBorders>
              <w:top w:val="nil"/>
              <w:left w:val="nil"/>
              <w:bottom w:val="single" w:sz="4" w:space="0" w:color="auto"/>
              <w:right w:val="nil"/>
            </w:tcBorders>
            <w:noWrap/>
          </w:tcPr>
          <w:p w:rsidR="00C049FF" w:rsidRPr="00C049FF" w:rsidRDefault="00C049FF" w:rsidP="00C049FF">
            <w:pPr>
              <w:spacing w:line="240" w:lineRule="auto"/>
              <w:rPr>
                <w:rFonts w:ascii="Arial" w:eastAsia="Calibri" w:hAnsi="Arial" w:cs="Arial"/>
                <w:b/>
                <w:bCs/>
                <w:sz w:val="20"/>
                <w:szCs w:val="20"/>
              </w:rPr>
            </w:pPr>
          </w:p>
        </w:tc>
      </w:tr>
      <w:tr w:rsidR="00C049FF" w:rsidRPr="00C049FF" w:rsidTr="002B1780">
        <w:trPr>
          <w:gridAfter w:val="1"/>
          <w:wAfter w:w="327" w:type="dxa"/>
          <w:trHeight w:val="738"/>
        </w:trPr>
        <w:tc>
          <w:tcPr>
            <w:tcW w:w="9067" w:type="dxa"/>
            <w:gridSpan w:val="10"/>
            <w:tcBorders>
              <w:top w:val="single" w:sz="4" w:space="0" w:color="auto"/>
              <w:bottom w:val="single" w:sz="4" w:space="0" w:color="auto"/>
            </w:tcBorders>
            <w:vAlign w:val="center"/>
            <w:hideMark/>
          </w:tcPr>
          <w:p w:rsidR="00C049FF" w:rsidRPr="00C049FF" w:rsidRDefault="00C049FF" w:rsidP="00C049FF">
            <w:pPr>
              <w:spacing w:line="240" w:lineRule="auto"/>
              <w:jc w:val="center"/>
              <w:rPr>
                <w:rFonts w:ascii="Arial" w:eastAsia="Calibri" w:hAnsi="Arial" w:cs="Arial"/>
                <w:szCs w:val="24"/>
              </w:rPr>
            </w:pPr>
            <w:r w:rsidRPr="00C049FF">
              <w:rPr>
                <w:rFonts w:ascii="Arial" w:eastAsia="Calibri" w:hAnsi="Arial" w:cs="Arial"/>
                <w:sz w:val="28"/>
                <w:szCs w:val="28"/>
              </w:rPr>
              <w:t>Cancer Mortality</w:t>
            </w:r>
          </w:p>
        </w:tc>
      </w:tr>
      <w:tr w:rsidR="00C049FF" w:rsidRPr="00C049FF" w:rsidTr="002B1780">
        <w:trPr>
          <w:gridAfter w:val="1"/>
          <w:wAfter w:w="327" w:type="dxa"/>
          <w:trHeight w:val="255"/>
        </w:trPr>
        <w:tc>
          <w:tcPr>
            <w:tcW w:w="2122" w:type="dxa"/>
            <w:tcBorders>
              <w:top w:val="single" w:sz="4" w:space="0" w:color="auto"/>
              <w:left w:val="nil"/>
              <w:bottom w:val="single" w:sz="4" w:space="0" w:color="auto"/>
              <w:right w:val="nil"/>
            </w:tcBorders>
            <w:vAlign w:val="bottom"/>
          </w:tcPr>
          <w:p w:rsidR="00C049FF" w:rsidRPr="00C049FF" w:rsidRDefault="00C049FF" w:rsidP="00C049FF">
            <w:pPr>
              <w:spacing w:line="240" w:lineRule="auto"/>
              <w:jc w:val="center"/>
              <w:rPr>
                <w:rFonts w:ascii="Arial" w:eastAsia="Calibri" w:hAnsi="Arial" w:cs="Arial"/>
                <w:sz w:val="28"/>
                <w:szCs w:val="28"/>
              </w:rPr>
            </w:pPr>
          </w:p>
        </w:tc>
        <w:tc>
          <w:tcPr>
            <w:tcW w:w="1417" w:type="dxa"/>
            <w:tcBorders>
              <w:top w:val="single" w:sz="4" w:space="0" w:color="auto"/>
              <w:left w:val="nil"/>
              <w:bottom w:val="single" w:sz="4" w:space="0" w:color="auto"/>
              <w:right w:val="nil"/>
            </w:tcBorders>
            <w:vAlign w:val="center"/>
          </w:tcPr>
          <w:p w:rsidR="00C049FF" w:rsidRPr="00C049FF" w:rsidRDefault="00C049FF" w:rsidP="00C049FF">
            <w:pPr>
              <w:spacing w:line="240" w:lineRule="auto"/>
              <w:jc w:val="center"/>
              <w:rPr>
                <w:rFonts w:ascii="Arial" w:eastAsia="Calibri" w:hAnsi="Arial" w:cs="Arial"/>
                <w:sz w:val="20"/>
                <w:szCs w:val="20"/>
              </w:rPr>
            </w:pPr>
            <w:r w:rsidRPr="00C049FF">
              <w:rPr>
                <w:rFonts w:ascii="Arial" w:eastAsia="Calibri" w:hAnsi="Arial" w:cs="Arial"/>
                <w:sz w:val="20"/>
                <w:szCs w:val="20"/>
              </w:rPr>
              <w:t>RR</w:t>
            </w:r>
          </w:p>
        </w:tc>
        <w:tc>
          <w:tcPr>
            <w:tcW w:w="1559" w:type="dxa"/>
            <w:gridSpan w:val="2"/>
            <w:tcBorders>
              <w:top w:val="single" w:sz="4" w:space="0" w:color="auto"/>
              <w:left w:val="nil"/>
              <w:bottom w:val="single" w:sz="4" w:space="0" w:color="auto"/>
              <w:right w:val="nil"/>
            </w:tcBorders>
            <w:vAlign w:val="center"/>
          </w:tcPr>
          <w:p w:rsidR="00C049FF" w:rsidRPr="00C049FF" w:rsidRDefault="00C049FF" w:rsidP="00C049FF">
            <w:pPr>
              <w:spacing w:line="240" w:lineRule="auto"/>
              <w:jc w:val="center"/>
              <w:rPr>
                <w:rFonts w:ascii="Arial" w:eastAsia="Calibri" w:hAnsi="Arial" w:cs="Arial"/>
                <w:sz w:val="20"/>
                <w:szCs w:val="20"/>
              </w:rPr>
            </w:pPr>
            <w:r w:rsidRPr="00C049FF">
              <w:rPr>
                <w:rFonts w:ascii="Arial" w:eastAsia="Calibri" w:hAnsi="Arial" w:cs="Arial"/>
                <w:sz w:val="20"/>
                <w:szCs w:val="20"/>
              </w:rPr>
              <w:t>95%CI</w:t>
            </w:r>
          </w:p>
        </w:tc>
        <w:tc>
          <w:tcPr>
            <w:tcW w:w="1560" w:type="dxa"/>
            <w:tcBorders>
              <w:top w:val="single" w:sz="4" w:space="0" w:color="auto"/>
              <w:left w:val="nil"/>
              <w:bottom w:val="single" w:sz="4" w:space="0" w:color="auto"/>
              <w:right w:val="nil"/>
            </w:tcBorders>
            <w:vAlign w:val="center"/>
          </w:tcPr>
          <w:p w:rsidR="00C049FF" w:rsidRPr="00C049FF" w:rsidRDefault="00C049FF" w:rsidP="00C049FF">
            <w:pPr>
              <w:spacing w:line="240" w:lineRule="auto"/>
              <w:jc w:val="center"/>
              <w:rPr>
                <w:rFonts w:ascii="Arial" w:eastAsia="Calibri" w:hAnsi="Arial" w:cs="Arial"/>
                <w:sz w:val="20"/>
                <w:szCs w:val="20"/>
              </w:rPr>
            </w:pPr>
            <w:r w:rsidRPr="00C049FF">
              <w:rPr>
                <w:rFonts w:ascii="Arial" w:eastAsia="Calibri" w:hAnsi="Arial" w:cs="Arial"/>
                <w:sz w:val="20"/>
                <w:szCs w:val="20"/>
              </w:rPr>
              <w:t>Number of studies</w:t>
            </w:r>
          </w:p>
        </w:tc>
        <w:tc>
          <w:tcPr>
            <w:tcW w:w="1134" w:type="dxa"/>
            <w:gridSpan w:val="3"/>
            <w:tcBorders>
              <w:top w:val="single" w:sz="4" w:space="0" w:color="auto"/>
              <w:left w:val="nil"/>
              <w:bottom w:val="single" w:sz="4" w:space="0" w:color="auto"/>
              <w:right w:val="nil"/>
            </w:tcBorders>
            <w:vAlign w:val="center"/>
          </w:tcPr>
          <w:p w:rsidR="00C049FF" w:rsidRPr="00C049FF" w:rsidRDefault="00C049FF" w:rsidP="00C049FF">
            <w:pPr>
              <w:spacing w:line="240" w:lineRule="auto"/>
              <w:jc w:val="center"/>
              <w:rPr>
                <w:rFonts w:ascii="Arial" w:eastAsia="Calibri" w:hAnsi="Arial" w:cs="Arial"/>
                <w:sz w:val="20"/>
                <w:szCs w:val="20"/>
              </w:rPr>
            </w:pPr>
            <w:r w:rsidRPr="00C049FF">
              <w:rPr>
                <w:rFonts w:ascii="Arial" w:eastAsia="Calibri" w:hAnsi="Arial" w:cs="Arial"/>
                <w:sz w:val="20"/>
                <w:szCs w:val="20"/>
              </w:rPr>
              <w:t>I</w:t>
            </w:r>
            <w:r w:rsidRPr="00C049FF">
              <w:rPr>
                <w:rFonts w:ascii="Arial" w:eastAsia="Calibri" w:hAnsi="Arial" w:cs="Arial"/>
                <w:sz w:val="20"/>
                <w:szCs w:val="20"/>
                <w:vertAlign w:val="superscript"/>
              </w:rPr>
              <w:t>2</w:t>
            </w:r>
          </w:p>
        </w:tc>
        <w:tc>
          <w:tcPr>
            <w:tcW w:w="1275" w:type="dxa"/>
            <w:gridSpan w:val="2"/>
            <w:tcBorders>
              <w:top w:val="single" w:sz="4" w:space="0" w:color="auto"/>
              <w:left w:val="nil"/>
              <w:bottom w:val="single" w:sz="4" w:space="0" w:color="auto"/>
              <w:right w:val="nil"/>
            </w:tcBorders>
            <w:vAlign w:val="center"/>
          </w:tcPr>
          <w:p w:rsidR="00C049FF" w:rsidRPr="00C049FF" w:rsidRDefault="00C049FF" w:rsidP="00C049FF">
            <w:pPr>
              <w:spacing w:line="240" w:lineRule="auto"/>
              <w:jc w:val="center"/>
              <w:rPr>
                <w:rFonts w:ascii="Arial" w:eastAsia="Calibri" w:hAnsi="Arial" w:cs="Arial"/>
                <w:sz w:val="20"/>
                <w:szCs w:val="20"/>
              </w:rPr>
            </w:pPr>
            <w:r w:rsidRPr="00C049FF">
              <w:rPr>
                <w:rFonts w:ascii="Arial" w:eastAsia="Calibri" w:hAnsi="Arial" w:cs="Arial"/>
                <w:sz w:val="20"/>
                <w:szCs w:val="20"/>
              </w:rPr>
              <w:t>p-value RR=1</w:t>
            </w:r>
          </w:p>
        </w:tc>
      </w:tr>
      <w:tr w:rsidR="00C049FF" w:rsidRPr="00C049FF" w:rsidTr="002B1780">
        <w:trPr>
          <w:gridAfter w:val="1"/>
          <w:wAfter w:w="327" w:type="dxa"/>
          <w:trHeight w:val="255"/>
        </w:trPr>
        <w:tc>
          <w:tcPr>
            <w:tcW w:w="9067" w:type="dxa"/>
            <w:gridSpan w:val="10"/>
            <w:tcBorders>
              <w:top w:val="single" w:sz="4" w:space="0" w:color="auto"/>
              <w:left w:val="nil"/>
              <w:bottom w:val="single" w:sz="4" w:space="0" w:color="auto"/>
              <w:right w:val="nil"/>
            </w:tcBorders>
          </w:tcPr>
          <w:p w:rsidR="00C049FF" w:rsidRPr="00C049FF" w:rsidRDefault="00C049FF" w:rsidP="00C049FF">
            <w:pPr>
              <w:spacing w:line="240" w:lineRule="auto"/>
              <w:rPr>
                <w:rFonts w:ascii="Arial" w:eastAsia="Calibri" w:hAnsi="Arial" w:cs="Arial"/>
                <w:b/>
                <w:bCs/>
                <w:szCs w:val="24"/>
              </w:rPr>
            </w:pPr>
            <w:r w:rsidRPr="00C049FF">
              <w:rPr>
                <w:rFonts w:ascii="Arial" w:eastAsia="Calibri" w:hAnsi="Arial" w:cs="Arial"/>
                <w:sz w:val="28"/>
                <w:szCs w:val="28"/>
              </w:rPr>
              <w:t>Total sedentary behaviour</w:t>
            </w:r>
          </w:p>
        </w:tc>
      </w:tr>
      <w:tr w:rsidR="00C049FF" w:rsidRPr="00C049FF" w:rsidTr="002B1780">
        <w:trPr>
          <w:gridAfter w:val="1"/>
          <w:wAfter w:w="327" w:type="dxa"/>
          <w:trHeight w:val="255"/>
        </w:trPr>
        <w:tc>
          <w:tcPr>
            <w:tcW w:w="2122" w:type="dxa"/>
            <w:tcBorders>
              <w:top w:val="single" w:sz="4" w:space="0" w:color="auto"/>
              <w:left w:val="nil"/>
              <w:bottom w:val="nil"/>
              <w:right w:val="nil"/>
            </w:tcBorders>
            <w:hideMark/>
          </w:tcPr>
          <w:p w:rsidR="00C049FF" w:rsidRPr="00C049FF" w:rsidRDefault="00C049FF" w:rsidP="00C049FF">
            <w:pPr>
              <w:spacing w:line="240" w:lineRule="auto"/>
              <w:rPr>
                <w:rFonts w:ascii="Arial" w:eastAsia="Calibri" w:hAnsi="Arial" w:cs="Arial"/>
                <w:b/>
                <w:bCs/>
                <w:sz w:val="20"/>
                <w:szCs w:val="18"/>
              </w:rPr>
            </w:pPr>
            <w:r w:rsidRPr="00C049FF">
              <w:rPr>
                <w:rFonts w:ascii="Arial" w:eastAsia="Calibri" w:hAnsi="Arial" w:cs="Arial"/>
                <w:b/>
                <w:bCs/>
                <w:sz w:val="20"/>
                <w:szCs w:val="18"/>
              </w:rPr>
              <w:t>Summary Estimate</w:t>
            </w:r>
          </w:p>
        </w:tc>
        <w:tc>
          <w:tcPr>
            <w:tcW w:w="1417" w:type="dxa"/>
            <w:tcBorders>
              <w:top w:val="single" w:sz="4" w:space="0" w:color="auto"/>
              <w:left w:val="nil"/>
              <w:bottom w:val="nil"/>
              <w:right w:val="nil"/>
            </w:tcBorders>
            <w:noWrap/>
          </w:tcPr>
          <w:p w:rsidR="00C049FF" w:rsidRPr="00C049FF" w:rsidRDefault="00C049FF" w:rsidP="00C049FF">
            <w:pPr>
              <w:spacing w:line="240" w:lineRule="auto"/>
              <w:jc w:val="center"/>
              <w:rPr>
                <w:rFonts w:ascii="Arial" w:eastAsia="Calibri" w:hAnsi="Arial" w:cs="Arial"/>
                <w:b/>
                <w:bCs/>
                <w:sz w:val="20"/>
                <w:szCs w:val="18"/>
              </w:rPr>
            </w:pPr>
            <w:r w:rsidRPr="00C049FF">
              <w:rPr>
                <w:rFonts w:ascii="Arial" w:eastAsia="Calibri" w:hAnsi="Arial" w:cs="Arial"/>
                <w:b/>
                <w:bCs/>
                <w:sz w:val="20"/>
                <w:szCs w:val="18"/>
              </w:rPr>
              <w:t>1.01</w:t>
            </w:r>
          </w:p>
        </w:tc>
        <w:tc>
          <w:tcPr>
            <w:tcW w:w="1559" w:type="dxa"/>
            <w:gridSpan w:val="2"/>
            <w:tcBorders>
              <w:top w:val="single" w:sz="4" w:space="0" w:color="auto"/>
              <w:left w:val="nil"/>
              <w:bottom w:val="nil"/>
              <w:right w:val="nil"/>
            </w:tcBorders>
            <w:noWrap/>
          </w:tcPr>
          <w:p w:rsidR="00C049FF" w:rsidRPr="00C049FF" w:rsidRDefault="00C049FF" w:rsidP="00C049FF">
            <w:pPr>
              <w:spacing w:line="240" w:lineRule="auto"/>
              <w:jc w:val="center"/>
              <w:rPr>
                <w:rFonts w:ascii="Arial" w:eastAsia="Calibri" w:hAnsi="Arial" w:cs="Arial"/>
                <w:b/>
                <w:bCs/>
                <w:sz w:val="20"/>
                <w:szCs w:val="18"/>
              </w:rPr>
            </w:pPr>
            <w:r w:rsidRPr="00C049FF">
              <w:rPr>
                <w:rFonts w:ascii="Arial" w:eastAsia="Calibri" w:hAnsi="Arial" w:cs="Arial"/>
                <w:b/>
                <w:bCs/>
                <w:sz w:val="20"/>
                <w:szCs w:val="18"/>
              </w:rPr>
              <w:t>1.00-1.02</w:t>
            </w:r>
          </w:p>
        </w:tc>
        <w:tc>
          <w:tcPr>
            <w:tcW w:w="1560" w:type="dxa"/>
            <w:tcBorders>
              <w:top w:val="single" w:sz="4" w:space="0" w:color="auto"/>
              <w:left w:val="nil"/>
              <w:bottom w:val="nil"/>
              <w:right w:val="nil"/>
            </w:tcBorders>
            <w:noWrap/>
          </w:tcPr>
          <w:p w:rsidR="00C049FF" w:rsidRPr="00C049FF" w:rsidRDefault="00C049FF" w:rsidP="00C049FF">
            <w:pPr>
              <w:spacing w:line="240" w:lineRule="auto"/>
              <w:jc w:val="center"/>
              <w:rPr>
                <w:rFonts w:ascii="Arial" w:eastAsia="Calibri" w:hAnsi="Arial" w:cs="Arial"/>
                <w:b/>
                <w:bCs/>
                <w:sz w:val="20"/>
                <w:szCs w:val="18"/>
              </w:rPr>
            </w:pPr>
            <w:r w:rsidRPr="00C049FF">
              <w:rPr>
                <w:rFonts w:ascii="Arial" w:eastAsia="Calibri" w:hAnsi="Arial" w:cs="Arial"/>
                <w:b/>
                <w:bCs/>
                <w:sz w:val="20"/>
                <w:szCs w:val="18"/>
              </w:rPr>
              <w:t>5</w:t>
            </w:r>
          </w:p>
        </w:tc>
        <w:tc>
          <w:tcPr>
            <w:tcW w:w="1134" w:type="dxa"/>
            <w:gridSpan w:val="3"/>
            <w:tcBorders>
              <w:top w:val="single" w:sz="4" w:space="0" w:color="auto"/>
              <w:left w:val="nil"/>
              <w:bottom w:val="nil"/>
              <w:right w:val="nil"/>
            </w:tcBorders>
            <w:noWrap/>
          </w:tcPr>
          <w:p w:rsidR="00C049FF" w:rsidRPr="00C049FF" w:rsidRDefault="00C049FF" w:rsidP="00C049FF">
            <w:pPr>
              <w:spacing w:line="240" w:lineRule="auto"/>
              <w:jc w:val="center"/>
              <w:rPr>
                <w:rFonts w:ascii="Arial" w:eastAsia="Calibri" w:hAnsi="Arial" w:cs="Arial"/>
                <w:b/>
                <w:bCs/>
                <w:sz w:val="20"/>
                <w:szCs w:val="18"/>
              </w:rPr>
            </w:pPr>
            <w:r w:rsidRPr="00C049FF">
              <w:rPr>
                <w:rFonts w:ascii="Arial" w:eastAsia="Calibri" w:hAnsi="Arial" w:cs="Arial"/>
                <w:b/>
                <w:bCs/>
                <w:sz w:val="20"/>
                <w:szCs w:val="18"/>
              </w:rPr>
              <w:t>77.3</w:t>
            </w:r>
          </w:p>
        </w:tc>
        <w:tc>
          <w:tcPr>
            <w:tcW w:w="1275" w:type="dxa"/>
            <w:gridSpan w:val="2"/>
            <w:tcBorders>
              <w:top w:val="single" w:sz="4" w:space="0" w:color="auto"/>
              <w:left w:val="nil"/>
              <w:bottom w:val="nil"/>
              <w:right w:val="nil"/>
            </w:tcBorders>
            <w:noWrap/>
          </w:tcPr>
          <w:p w:rsidR="00C049FF" w:rsidRPr="00C049FF" w:rsidRDefault="00C049FF" w:rsidP="00C049FF">
            <w:pPr>
              <w:spacing w:line="240" w:lineRule="auto"/>
              <w:jc w:val="center"/>
              <w:rPr>
                <w:rFonts w:ascii="Arial" w:eastAsia="Calibri" w:hAnsi="Arial" w:cs="Arial"/>
                <w:b/>
                <w:bCs/>
                <w:sz w:val="20"/>
                <w:szCs w:val="18"/>
              </w:rPr>
            </w:pPr>
            <w:r w:rsidRPr="00C049FF">
              <w:rPr>
                <w:rFonts w:ascii="Arial" w:eastAsia="Calibri" w:hAnsi="Arial" w:cs="Arial"/>
                <w:b/>
                <w:bCs/>
                <w:sz w:val="20"/>
                <w:szCs w:val="18"/>
              </w:rPr>
              <w:t>0.268</w:t>
            </w:r>
          </w:p>
        </w:tc>
      </w:tr>
      <w:tr w:rsidR="00C049FF" w:rsidRPr="00C049FF" w:rsidTr="002B1780">
        <w:trPr>
          <w:gridAfter w:val="1"/>
          <w:wAfter w:w="327" w:type="dxa"/>
          <w:trHeight w:val="340"/>
        </w:trPr>
        <w:tc>
          <w:tcPr>
            <w:tcW w:w="2122" w:type="dxa"/>
            <w:tcBorders>
              <w:top w:val="nil"/>
              <w:left w:val="nil"/>
              <w:bottom w:val="nil"/>
              <w:right w:val="nil"/>
            </w:tcBorders>
            <w:vAlign w:val="bottom"/>
          </w:tcPr>
          <w:p w:rsidR="00C049FF" w:rsidRPr="00C049FF" w:rsidRDefault="00C049FF" w:rsidP="00C049FF">
            <w:pPr>
              <w:spacing w:line="240" w:lineRule="auto"/>
              <w:rPr>
                <w:rFonts w:ascii="Arial" w:eastAsia="Calibri" w:hAnsi="Arial" w:cs="Arial"/>
                <w:b/>
                <w:bCs/>
                <w:sz w:val="20"/>
                <w:szCs w:val="18"/>
              </w:rPr>
            </w:pPr>
            <w:r w:rsidRPr="00C049FF">
              <w:rPr>
                <w:rFonts w:ascii="Arial" w:eastAsia="Calibri" w:hAnsi="Arial" w:cs="Arial"/>
                <w:b/>
                <w:i/>
                <w:sz w:val="18"/>
                <w:szCs w:val="18"/>
              </w:rPr>
              <w:t>Subgroup analysis</w:t>
            </w:r>
          </w:p>
        </w:tc>
        <w:tc>
          <w:tcPr>
            <w:tcW w:w="1417" w:type="dxa"/>
            <w:tcBorders>
              <w:top w:val="nil"/>
              <w:left w:val="nil"/>
              <w:bottom w:val="nil"/>
              <w:right w:val="nil"/>
            </w:tcBorders>
            <w:noWrap/>
          </w:tcPr>
          <w:p w:rsidR="00C049FF" w:rsidRPr="00C049FF" w:rsidRDefault="00C049FF" w:rsidP="00C049FF">
            <w:pPr>
              <w:spacing w:line="240" w:lineRule="auto"/>
              <w:rPr>
                <w:rFonts w:ascii="Arial" w:eastAsia="Calibri" w:hAnsi="Arial" w:cs="Arial"/>
                <w:b/>
                <w:bCs/>
                <w:sz w:val="20"/>
                <w:szCs w:val="18"/>
              </w:rPr>
            </w:pPr>
          </w:p>
        </w:tc>
        <w:tc>
          <w:tcPr>
            <w:tcW w:w="284" w:type="dxa"/>
            <w:tcBorders>
              <w:top w:val="nil"/>
              <w:left w:val="nil"/>
              <w:bottom w:val="nil"/>
              <w:right w:val="nil"/>
            </w:tcBorders>
            <w:noWrap/>
          </w:tcPr>
          <w:p w:rsidR="00C049FF" w:rsidRPr="00C049FF" w:rsidRDefault="00C049FF" w:rsidP="00C049FF">
            <w:pPr>
              <w:spacing w:line="240" w:lineRule="auto"/>
              <w:jc w:val="center"/>
              <w:rPr>
                <w:rFonts w:ascii="Arial" w:eastAsia="Calibri" w:hAnsi="Arial" w:cs="Arial"/>
                <w:b/>
                <w:bCs/>
                <w:sz w:val="20"/>
                <w:szCs w:val="18"/>
              </w:rPr>
            </w:pPr>
          </w:p>
        </w:tc>
        <w:tc>
          <w:tcPr>
            <w:tcW w:w="1275" w:type="dxa"/>
            <w:tcBorders>
              <w:top w:val="nil"/>
              <w:left w:val="nil"/>
              <w:bottom w:val="nil"/>
              <w:right w:val="nil"/>
            </w:tcBorders>
            <w:noWrap/>
          </w:tcPr>
          <w:p w:rsidR="00C049FF" w:rsidRPr="00C049FF" w:rsidRDefault="00C049FF" w:rsidP="00C049FF">
            <w:pPr>
              <w:spacing w:line="240" w:lineRule="auto"/>
              <w:jc w:val="center"/>
              <w:rPr>
                <w:rFonts w:ascii="Arial" w:eastAsia="Calibri" w:hAnsi="Arial" w:cs="Arial"/>
                <w:b/>
                <w:bCs/>
                <w:sz w:val="20"/>
                <w:szCs w:val="18"/>
              </w:rPr>
            </w:pPr>
          </w:p>
        </w:tc>
        <w:tc>
          <w:tcPr>
            <w:tcW w:w="1560" w:type="dxa"/>
            <w:tcBorders>
              <w:top w:val="nil"/>
              <w:left w:val="nil"/>
              <w:bottom w:val="nil"/>
              <w:right w:val="nil"/>
            </w:tcBorders>
            <w:noWrap/>
          </w:tcPr>
          <w:p w:rsidR="00C049FF" w:rsidRPr="00C049FF" w:rsidRDefault="00C049FF" w:rsidP="00C049FF">
            <w:pPr>
              <w:spacing w:line="240" w:lineRule="auto"/>
              <w:rPr>
                <w:rFonts w:ascii="Arial" w:eastAsia="Calibri" w:hAnsi="Arial" w:cs="Arial"/>
                <w:b/>
                <w:bCs/>
                <w:sz w:val="20"/>
                <w:szCs w:val="18"/>
              </w:rPr>
            </w:pPr>
          </w:p>
        </w:tc>
        <w:tc>
          <w:tcPr>
            <w:tcW w:w="1134" w:type="dxa"/>
            <w:gridSpan w:val="3"/>
            <w:tcBorders>
              <w:top w:val="nil"/>
              <w:left w:val="nil"/>
              <w:bottom w:val="nil"/>
              <w:right w:val="nil"/>
            </w:tcBorders>
            <w:noWrap/>
          </w:tcPr>
          <w:p w:rsidR="00C049FF" w:rsidRPr="00C049FF" w:rsidRDefault="00C049FF" w:rsidP="00C049FF">
            <w:pPr>
              <w:spacing w:line="240" w:lineRule="auto"/>
              <w:rPr>
                <w:rFonts w:ascii="Arial" w:eastAsia="Calibri" w:hAnsi="Arial" w:cs="Arial"/>
                <w:b/>
                <w:bCs/>
                <w:sz w:val="20"/>
                <w:szCs w:val="18"/>
              </w:rPr>
            </w:pPr>
          </w:p>
        </w:tc>
        <w:tc>
          <w:tcPr>
            <w:tcW w:w="1275" w:type="dxa"/>
            <w:gridSpan w:val="2"/>
            <w:tcBorders>
              <w:top w:val="nil"/>
              <w:left w:val="nil"/>
              <w:bottom w:val="nil"/>
              <w:right w:val="nil"/>
            </w:tcBorders>
            <w:noWrap/>
          </w:tcPr>
          <w:p w:rsidR="00C049FF" w:rsidRPr="00C049FF" w:rsidRDefault="00C049FF" w:rsidP="00C049FF">
            <w:pPr>
              <w:spacing w:line="240" w:lineRule="auto"/>
              <w:jc w:val="center"/>
              <w:rPr>
                <w:rFonts w:ascii="Arial" w:eastAsia="Calibri" w:hAnsi="Arial" w:cs="Arial"/>
                <w:b/>
                <w:bCs/>
                <w:sz w:val="20"/>
                <w:szCs w:val="18"/>
              </w:rPr>
            </w:pPr>
          </w:p>
        </w:tc>
      </w:tr>
      <w:tr w:rsidR="00C049FF" w:rsidRPr="00C049FF" w:rsidTr="002B1780">
        <w:trPr>
          <w:gridAfter w:val="1"/>
          <w:wAfter w:w="327" w:type="dxa"/>
          <w:trHeight w:val="255"/>
        </w:trPr>
        <w:tc>
          <w:tcPr>
            <w:tcW w:w="2122" w:type="dxa"/>
            <w:tcBorders>
              <w:top w:val="nil"/>
              <w:left w:val="nil"/>
              <w:bottom w:val="nil"/>
              <w:right w:val="nil"/>
            </w:tcBorders>
            <w:shd w:val="clear" w:color="auto" w:fill="BFBFBF"/>
            <w:hideMark/>
          </w:tcPr>
          <w:p w:rsidR="00C049FF" w:rsidRPr="00C049FF" w:rsidRDefault="00C049FF" w:rsidP="00C049FF">
            <w:pPr>
              <w:spacing w:line="240" w:lineRule="auto"/>
              <w:rPr>
                <w:rFonts w:ascii="Arial" w:eastAsia="Calibri" w:hAnsi="Arial" w:cs="Arial"/>
                <w:sz w:val="18"/>
                <w:szCs w:val="18"/>
              </w:rPr>
            </w:pPr>
            <w:r w:rsidRPr="00C049FF">
              <w:rPr>
                <w:rFonts w:ascii="Arial" w:eastAsia="Calibri" w:hAnsi="Arial" w:cs="Arial"/>
                <w:sz w:val="18"/>
                <w:szCs w:val="18"/>
              </w:rPr>
              <w:t>Male</w:t>
            </w:r>
          </w:p>
        </w:tc>
        <w:tc>
          <w:tcPr>
            <w:tcW w:w="1417" w:type="dxa"/>
            <w:tcBorders>
              <w:top w:val="nil"/>
              <w:left w:val="nil"/>
              <w:bottom w:val="nil"/>
              <w:right w:val="nil"/>
            </w:tcBorders>
            <w:shd w:val="clear" w:color="auto" w:fill="BFBFBF"/>
            <w:noWrap/>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1.00</w:t>
            </w:r>
          </w:p>
        </w:tc>
        <w:tc>
          <w:tcPr>
            <w:tcW w:w="1559" w:type="dxa"/>
            <w:gridSpan w:val="2"/>
            <w:tcBorders>
              <w:top w:val="nil"/>
              <w:left w:val="nil"/>
              <w:bottom w:val="nil"/>
              <w:right w:val="nil"/>
            </w:tcBorders>
            <w:shd w:val="clear" w:color="auto" w:fill="BFBFBF"/>
            <w:noWrap/>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0.99-1.01</w:t>
            </w:r>
          </w:p>
        </w:tc>
        <w:tc>
          <w:tcPr>
            <w:tcW w:w="1560" w:type="dxa"/>
            <w:tcBorders>
              <w:top w:val="nil"/>
              <w:left w:val="nil"/>
              <w:bottom w:val="nil"/>
              <w:right w:val="nil"/>
            </w:tcBorders>
            <w:shd w:val="clear" w:color="auto" w:fill="BFBFBF"/>
            <w:noWrap/>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4</w:t>
            </w:r>
          </w:p>
        </w:tc>
        <w:tc>
          <w:tcPr>
            <w:tcW w:w="1134" w:type="dxa"/>
            <w:gridSpan w:val="3"/>
            <w:tcBorders>
              <w:top w:val="nil"/>
              <w:left w:val="nil"/>
              <w:bottom w:val="nil"/>
              <w:right w:val="nil"/>
            </w:tcBorders>
            <w:shd w:val="clear" w:color="auto" w:fill="BFBFBF"/>
            <w:noWrap/>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0</w:t>
            </w:r>
          </w:p>
        </w:tc>
        <w:tc>
          <w:tcPr>
            <w:tcW w:w="1275" w:type="dxa"/>
            <w:gridSpan w:val="2"/>
            <w:tcBorders>
              <w:top w:val="nil"/>
              <w:left w:val="nil"/>
              <w:bottom w:val="nil"/>
              <w:right w:val="nil"/>
            </w:tcBorders>
            <w:shd w:val="clear" w:color="auto" w:fill="BFBFBF"/>
            <w:noWrap/>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0.856</w:t>
            </w:r>
          </w:p>
        </w:tc>
      </w:tr>
      <w:tr w:rsidR="00C049FF" w:rsidRPr="00C049FF" w:rsidTr="002B1780">
        <w:trPr>
          <w:gridAfter w:val="1"/>
          <w:wAfter w:w="327" w:type="dxa"/>
          <w:trHeight w:val="255"/>
        </w:trPr>
        <w:tc>
          <w:tcPr>
            <w:tcW w:w="2122" w:type="dxa"/>
            <w:tcBorders>
              <w:top w:val="nil"/>
              <w:left w:val="nil"/>
              <w:bottom w:val="nil"/>
              <w:right w:val="nil"/>
            </w:tcBorders>
            <w:shd w:val="clear" w:color="auto" w:fill="BFBFBF"/>
            <w:hideMark/>
          </w:tcPr>
          <w:p w:rsidR="00C049FF" w:rsidRPr="00C049FF" w:rsidRDefault="00C049FF" w:rsidP="00C049FF">
            <w:pPr>
              <w:spacing w:line="240" w:lineRule="auto"/>
              <w:rPr>
                <w:rFonts w:ascii="Arial" w:eastAsia="Calibri" w:hAnsi="Arial" w:cs="Arial"/>
                <w:sz w:val="18"/>
                <w:szCs w:val="18"/>
              </w:rPr>
            </w:pPr>
            <w:r w:rsidRPr="00C049FF">
              <w:rPr>
                <w:rFonts w:ascii="Arial" w:eastAsia="Calibri" w:hAnsi="Arial" w:cs="Arial"/>
                <w:sz w:val="18"/>
                <w:szCs w:val="18"/>
              </w:rPr>
              <w:t>Female</w:t>
            </w:r>
          </w:p>
        </w:tc>
        <w:tc>
          <w:tcPr>
            <w:tcW w:w="1417" w:type="dxa"/>
            <w:tcBorders>
              <w:top w:val="nil"/>
              <w:left w:val="nil"/>
              <w:bottom w:val="nil"/>
              <w:right w:val="nil"/>
            </w:tcBorders>
            <w:shd w:val="clear" w:color="auto" w:fill="BFBFBF"/>
            <w:noWrap/>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1.01</w:t>
            </w:r>
          </w:p>
        </w:tc>
        <w:tc>
          <w:tcPr>
            <w:tcW w:w="1559" w:type="dxa"/>
            <w:gridSpan w:val="2"/>
            <w:tcBorders>
              <w:top w:val="nil"/>
              <w:left w:val="nil"/>
              <w:bottom w:val="nil"/>
              <w:right w:val="nil"/>
            </w:tcBorders>
            <w:shd w:val="clear" w:color="auto" w:fill="BFBFBF"/>
            <w:noWrap/>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1.00-1.02</w:t>
            </w:r>
          </w:p>
        </w:tc>
        <w:tc>
          <w:tcPr>
            <w:tcW w:w="1560" w:type="dxa"/>
            <w:tcBorders>
              <w:top w:val="nil"/>
              <w:left w:val="nil"/>
              <w:bottom w:val="nil"/>
              <w:right w:val="nil"/>
            </w:tcBorders>
            <w:shd w:val="clear" w:color="auto" w:fill="BFBFBF"/>
            <w:noWrap/>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4</w:t>
            </w:r>
          </w:p>
        </w:tc>
        <w:tc>
          <w:tcPr>
            <w:tcW w:w="1134" w:type="dxa"/>
            <w:gridSpan w:val="3"/>
            <w:tcBorders>
              <w:top w:val="nil"/>
              <w:left w:val="nil"/>
              <w:bottom w:val="nil"/>
              <w:right w:val="nil"/>
            </w:tcBorders>
            <w:shd w:val="clear" w:color="auto" w:fill="BFBFBF"/>
            <w:noWrap/>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76.5</w:t>
            </w:r>
          </w:p>
        </w:tc>
        <w:tc>
          <w:tcPr>
            <w:tcW w:w="1275" w:type="dxa"/>
            <w:gridSpan w:val="2"/>
            <w:tcBorders>
              <w:top w:val="nil"/>
              <w:left w:val="nil"/>
              <w:bottom w:val="nil"/>
              <w:right w:val="nil"/>
            </w:tcBorders>
            <w:shd w:val="clear" w:color="auto" w:fill="BFBFBF"/>
            <w:noWrap/>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0.280</w:t>
            </w:r>
          </w:p>
        </w:tc>
      </w:tr>
      <w:tr w:rsidR="00C049FF" w:rsidRPr="00C049FF" w:rsidTr="002B1780">
        <w:trPr>
          <w:gridAfter w:val="1"/>
          <w:wAfter w:w="327" w:type="dxa"/>
          <w:trHeight w:val="255"/>
        </w:trPr>
        <w:tc>
          <w:tcPr>
            <w:tcW w:w="2122" w:type="dxa"/>
            <w:tcBorders>
              <w:top w:val="nil"/>
              <w:left w:val="nil"/>
              <w:bottom w:val="nil"/>
              <w:right w:val="nil"/>
            </w:tcBorders>
            <w:shd w:val="clear" w:color="auto" w:fill="auto"/>
          </w:tcPr>
          <w:p w:rsidR="00C049FF" w:rsidRPr="00C049FF" w:rsidRDefault="00C049FF" w:rsidP="00C049FF">
            <w:pPr>
              <w:spacing w:after="240" w:line="240" w:lineRule="auto"/>
              <w:rPr>
                <w:rFonts w:ascii="Arial" w:eastAsia="Calibri" w:hAnsi="Arial" w:cs="Arial"/>
                <w:sz w:val="18"/>
                <w:szCs w:val="18"/>
              </w:rPr>
            </w:pPr>
            <w:r w:rsidRPr="00C049FF">
              <w:rPr>
                <w:rFonts w:ascii="Arial" w:eastAsia="Calibri" w:hAnsi="Arial" w:cs="Arial"/>
                <w:sz w:val="18"/>
                <w:szCs w:val="18"/>
              </w:rPr>
              <w:t>BMI adjusted</w:t>
            </w:r>
          </w:p>
        </w:tc>
        <w:tc>
          <w:tcPr>
            <w:tcW w:w="1417" w:type="dxa"/>
            <w:tcBorders>
              <w:top w:val="nil"/>
              <w:left w:val="nil"/>
              <w:bottom w:val="nil"/>
              <w:right w:val="nil"/>
            </w:tcBorders>
            <w:shd w:val="clear" w:color="auto" w:fill="auto"/>
            <w:noWrap/>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1.01</w:t>
            </w:r>
          </w:p>
        </w:tc>
        <w:tc>
          <w:tcPr>
            <w:tcW w:w="1559" w:type="dxa"/>
            <w:gridSpan w:val="2"/>
            <w:tcBorders>
              <w:top w:val="nil"/>
              <w:left w:val="nil"/>
              <w:bottom w:val="nil"/>
              <w:right w:val="nil"/>
            </w:tcBorders>
            <w:shd w:val="clear" w:color="auto" w:fill="auto"/>
            <w:noWrap/>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1.01-1.02</w:t>
            </w:r>
          </w:p>
        </w:tc>
        <w:tc>
          <w:tcPr>
            <w:tcW w:w="1560" w:type="dxa"/>
            <w:tcBorders>
              <w:top w:val="nil"/>
              <w:left w:val="nil"/>
              <w:bottom w:val="nil"/>
              <w:right w:val="nil"/>
            </w:tcBorders>
            <w:shd w:val="clear" w:color="auto" w:fill="auto"/>
            <w:noWrap/>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4</w:t>
            </w:r>
          </w:p>
        </w:tc>
        <w:tc>
          <w:tcPr>
            <w:tcW w:w="1134" w:type="dxa"/>
            <w:gridSpan w:val="3"/>
            <w:tcBorders>
              <w:top w:val="nil"/>
              <w:left w:val="nil"/>
              <w:bottom w:val="nil"/>
              <w:right w:val="nil"/>
            </w:tcBorders>
            <w:shd w:val="clear" w:color="auto" w:fill="auto"/>
            <w:noWrap/>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0</w:t>
            </w:r>
          </w:p>
        </w:tc>
        <w:tc>
          <w:tcPr>
            <w:tcW w:w="1275" w:type="dxa"/>
            <w:gridSpan w:val="2"/>
            <w:tcBorders>
              <w:top w:val="nil"/>
              <w:left w:val="nil"/>
              <w:bottom w:val="nil"/>
              <w:right w:val="nil"/>
            </w:tcBorders>
            <w:shd w:val="clear" w:color="auto" w:fill="auto"/>
            <w:noWrap/>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0.001</w:t>
            </w:r>
          </w:p>
        </w:tc>
      </w:tr>
      <w:tr w:rsidR="00C049FF" w:rsidRPr="00C049FF" w:rsidTr="002B1780">
        <w:trPr>
          <w:gridAfter w:val="1"/>
          <w:wAfter w:w="327" w:type="dxa"/>
          <w:trHeight w:val="255"/>
        </w:trPr>
        <w:tc>
          <w:tcPr>
            <w:tcW w:w="9067" w:type="dxa"/>
            <w:gridSpan w:val="10"/>
            <w:tcBorders>
              <w:top w:val="nil"/>
              <w:left w:val="nil"/>
              <w:bottom w:val="nil"/>
              <w:right w:val="nil"/>
            </w:tcBorders>
            <w:shd w:val="clear" w:color="auto" w:fill="auto"/>
          </w:tcPr>
          <w:p w:rsidR="00C049FF" w:rsidRPr="00C049FF" w:rsidRDefault="00C049FF" w:rsidP="00C049FF">
            <w:pPr>
              <w:spacing w:line="240" w:lineRule="auto"/>
              <w:rPr>
                <w:rFonts w:ascii="Arial" w:eastAsia="Calibri" w:hAnsi="Arial" w:cs="Arial"/>
                <w:sz w:val="18"/>
                <w:szCs w:val="18"/>
              </w:rPr>
            </w:pPr>
            <w:r w:rsidRPr="00C049FF">
              <w:rPr>
                <w:rFonts w:ascii="Arial" w:eastAsia="Calibri" w:hAnsi="Arial" w:cs="Arial"/>
                <w:b/>
                <w:i/>
                <w:sz w:val="18"/>
                <w:szCs w:val="18"/>
              </w:rPr>
              <w:t>Sensitivity analysis excluding the following studies:</w:t>
            </w:r>
          </w:p>
        </w:tc>
      </w:tr>
      <w:tr w:rsidR="00C049FF" w:rsidRPr="00C049FF" w:rsidTr="002B1780">
        <w:trPr>
          <w:gridAfter w:val="1"/>
          <w:wAfter w:w="327" w:type="dxa"/>
          <w:trHeight w:val="255"/>
        </w:trPr>
        <w:tc>
          <w:tcPr>
            <w:tcW w:w="2122" w:type="dxa"/>
            <w:tcBorders>
              <w:top w:val="nil"/>
              <w:left w:val="nil"/>
              <w:bottom w:val="nil"/>
              <w:right w:val="nil"/>
            </w:tcBorders>
            <w:shd w:val="clear" w:color="auto" w:fill="auto"/>
          </w:tcPr>
          <w:p w:rsidR="00C049FF" w:rsidRPr="00C049FF" w:rsidRDefault="00C049FF" w:rsidP="00C049FF">
            <w:pPr>
              <w:spacing w:line="240" w:lineRule="auto"/>
              <w:rPr>
                <w:rFonts w:ascii="Arial" w:eastAsia="Calibri" w:hAnsi="Arial" w:cs="Arial"/>
                <w:sz w:val="18"/>
                <w:szCs w:val="18"/>
              </w:rPr>
            </w:pPr>
            <w:r w:rsidRPr="00C049FF">
              <w:rPr>
                <w:rFonts w:ascii="Arial" w:eastAsia="Calibri" w:hAnsi="Arial" w:cs="Arial"/>
                <w:sz w:val="18"/>
                <w:szCs w:val="18"/>
              </w:rPr>
              <w:t>Mean age baseline&lt;50</w:t>
            </w:r>
          </w:p>
        </w:tc>
        <w:tc>
          <w:tcPr>
            <w:tcW w:w="1417" w:type="dxa"/>
            <w:tcBorders>
              <w:top w:val="nil"/>
              <w:left w:val="nil"/>
              <w:bottom w:val="nil"/>
              <w:right w:val="nil"/>
            </w:tcBorders>
            <w:shd w:val="clear" w:color="auto" w:fill="auto"/>
            <w:noWrap/>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1.01</w:t>
            </w:r>
          </w:p>
        </w:tc>
        <w:tc>
          <w:tcPr>
            <w:tcW w:w="1559" w:type="dxa"/>
            <w:gridSpan w:val="2"/>
            <w:tcBorders>
              <w:top w:val="nil"/>
              <w:left w:val="nil"/>
              <w:bottom w:val="nil"/>
              <w:right w:val="nil"/>
            </w:tcBorders>
            <w:shd w:val="clear" w:color="auto" w:fill="auto"/>
            <w:noWrap/>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0.99-1.02</w:t>
            </w:r>
          </w:p>
        </w:tc>
        <w:tc>
          <w:tcPr>
            <w:tcW w:w="1560" w:type="dxa"/>
            <w:tcBorders>
              <w:top w:val="nil"/>
              <w:left w:val="nil"/>
              <w:bottom w:val="nil"/>
              <w:right w:val="nil"/>
            </w:tcBorders>
            <w:shd w:val="clear" w:color="auto" w:fill="auto"/>
            <w:noWrap/>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4</w:t>
            </w:r>
          </w:p>
        </w:tc>
        <w:tc>
          <w:tcPr>
            <w:tcW w:w="1134" w:type="dxa"/>
            <w:gridSpan w:val="3"/>
            <w:tcBorders>
              <w:top w:val="nil"/>
              <w:left w:val="nil"/>
              <w:bottom w:val="nil"/>
              <w:right w:val="nil"/>
            </w:tcBorders>
            <w:shd w:val="clear" w:color="auto" w:fill="auto"/>
            <w:noWrap/>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82.8</w:t>
            </w:r>
          </w:p>
        </w:tc>
        <w:tc>
          <w:tcPr>
            <w:tcW w:w="1275" w:type="dxa"/>
            <w:gridSpan w:val="2"/>
            <w:tcBorders>
              <w:top w:val="nil"/>
              <w:left w:val="nil"/>
              <w:bottom w:val="nil"/>
              <w:right w:val="nil"/>
            </w:tcBorders>
            <w:shd w:val="clear" w:color="auto" w:fill="auto"/>
            <w:noWrap/>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0.227</w:t>
            </w:r>
          </w:p>
        </w:tc>
      </w:tr>
      <w:tr w:rsidR="00C049FF" w:rsidRPr="00C049FF" w:rsidTr="002B1780">
        <w:trPr>
          <w:gridAfter w:val="1"/>
          <w:wAfter w:w="327" w:type="dxa"/>
          <w:trHeight w:val="255"/>
        </w:trPr>
        <w:tc>
          <w:tcPr>
            <w:tcW w:w="2122" w:type="dxa"/>
            <w:tcBorders>
              <w:top w:val="nil"/>
              <w:left w:val="nil"/>
              <w:bottom w:val="nil"/>
              <w:right w:val="nil"/>
            </w:tcBorders>
            <w:shd w:val="clear" w:color="auto" w:fill="auto"/>
          </w:tcPr>
          <w:p w:rsidR="00C049FF" w:rsidRPr="00C049FF" w:rsidRDefault="00C049FF" w:rsidP="00C049FF">
            <w:pPr>
              <w:spacing w:line="240" w:lineRule="auto"/>
              <w:rPr>
                <w:rFonts w:ascii="Arial" w:eastAsia="Calibri" w:hAnsi="Arial" w:cs="Arial"/>
                <w:sz w:val="18"/>
                <w:szCs w:val="18"/>
              </w:rPr>
            </w:pPr>
            <w:r w:rsidRPr="00C049FF">
              <w:rPr>
                <w:rFonts w:ascii="Arial" w:eastAsia="Calibri" w:hAnsi="Arial" w:cs="Arial"/>
                <w:sz w:val="18"/>
                <w:szCs w:val="18"/>
              </w:rPr>
              <w:t>Insufficient control of baseline health</w:t>
            </w:r>
          </w:p>
        </w:tc>
        <w:tc>
          <w:tcPr>
            <w:tcW w:w="1417" w:type="dxa"/>
            <w:tcBorders>
              <w:top w:val="nil"/>
              <w:left w:val="nil"/>
              <w:bottom w:val="nil"/>
              <w:right w:val="nil"/>
            </w:tcBorders>
            <w:shd w:val="clear" w:color="auto" w:fill="auto"/>
            <w:noWrap/>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1.01</w:t>
            </w:r>
          </w:p>
        </w:tc>
        <w:tc>
          <w:tcPr>
            <w:tcW w:w="1559" w:type="dxa"/>
            <w:gridSpan w:val="2"/>
            <w:tcBorders>
              <w:top w:val="nil"/>
              <w:left w:val="nil"/>
              <w:bottom w:val="nil"/>
              <w:right w:val="nil"/>
            </w:tcBorders>
            <w:shd w:val="clear" w:color="auto" w:fill="auto"/>
            <w:noWrap/>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0.99-1.02</w:t>
            </w:r>
          </w:p>
        </w:tc>
        <w:tc>
          <w:tcPr>
            <w:tcW w:w="1560" w:type="dxa"/>
            <w:tcBorders>
              <w:top w:val="nil"/>
              <w:left w:val="nil"/>
              <w:bottom w:val="nil"/>
              <w:right w:val="nil"/>
            </w:tcBorders>
            <w:shd w:val="clear" w:color="auto" w:fill="auto"/>
            <w:noWrap/>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4</w:t>
            </w:r>
          </w:p>
        </w:tc>
        <w:tc>
          <w:tcPr>
            <w:tcW w:w="1134" w:type="dxa"/>
            <w:gridSpan w:val="3"/>
            <w:tcBorders>
              <w:top w:val="nil"/>
              <w:left w:val="nil"/>
              <w:bottom w:val="nil"/>
              <w:right w:val="nil"/>
            </w:tcBorders>
            <w:shd w:val="clear" w:color="auto" w:fill="auto"/>
            <w:noWrap/>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82.8</w:t>
            </w:r>
          </w:p>
        </w:tc>
        <w:tc>
          <w:tcPr>
            <w:tcW w:w="1275" w:type="dxa"/>
            <w:gridSpan w:val="2"/>
            <w:tcBorders>
              <w:top w:val="nil"/>
              <w:left w:val="nil"/>
              <w:bottom w:val="nil"/>
              <w:right w:val="nil"/>
            </w:tcBorders>
            <w:shd w:val="clear" w:color="auto" w:fill="auto"/>
            <w:noWrap/>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0.277</w:t>
            </w:r>
          </w:p>
        </w:tc>
      </w:tr>
      <w:tr w:rsidR="00C049FF" w:rsidRPr="00C049FF" w:rsidTr="002B1780">
        <w:trPr>
          <w:gridAfter w:val="1"/>
          <w:wAfter w:w="327" w:type="dxa"/>
          <w:trHeight w:val="255"/>
        </w:trPr>
        <w:tc>
          <w:tcPr>
            <w:tcW w:w="2122" w:type="dxa"/>
            <w:tcBorders>
              <w:top w:val="nil"/>
              <w:left w:val="nil"/>
              <w:bottom w:val="nil"/>
              <w:right w:val="nil"/>
            </w:tcBorders>
            <w:shd w:val="clear" w:color="auto" w:fill="auto"/>
          </w:tcPr>
          <w:p w:rsidR="00C049FF" w:rsidRPr="00C049FF" w:rsidRDefault="00C049FF" w:rsidP="00C049FF">
            <w:pPr>
              <w:spacing w:line="240" w:lineRule="auto"/>
              <w:rPr>
                <w:rFonts w:ascii="Arial" w:eastAsia="Calibri" w:hAnsi="Arial" w:cs="Arial"/>
                <w:sz w:val="18"/>
                <w:szCs w:val="18"/>
              </w:rPr>
            </w:pPr>
          </w:p>
        </w:tc>
        <w:tc>
          <w:tcPr>
            <w:tcW w:w="1417" w:type="dxa"/>
            <w:tcBorders>
              <w:top w:val="nil"/>
              <w:left w:val="nil"/>
              <w:bottom w:val="nil"/>
              <w:right w:val="nil"/>
            </w:tcBorders>
            <w:shd w:val="clear" w:color="auto" w:fill="auto"/>
            <w:noWrap/>
          </w:tcPr>
          <w:p w:rsidR="00C049FF" w:rsidRPr="00C049FF" w:rsidRDefault="00C049FF" w:rsidP="00C049FF">
            <w:pPr>
              <w:spacing w:line="240" w:lineRule="auto"/>
              <w:jc w:val="center"/>
              <w:rPr>
                <w:rFonts w:ascii="Arial" w:eastAsia="Calibri" w:hAnsi="Arial" w:cs="Arial"/>
                <w:sz w:val="18"/>
                <w:szCs w:val="18"/>
              </w:rPr>
            </w:pPr>
          </w:p>
        </w:tc>
        <w:tc>
          <w:tcPr>
            <w:tcW w:w="1559" w:type="dxa"/>
            <w:gridSpan w:val="2"/>
            <w:tcBorders>
              <w:top w:val="nil"/>
              <w:left w:val="nil"/>
              <w:bottom w:val="nil"/>
              <w:right w:val="nil"/>
            </w:tcBorders>
            <w:shd w:val="clear" w:color="auto" w:fill="auto"/>
            <w:noWrap/>
          </w:tcPr>
          <w:p w:rsidR="00C049FF" w:rsidRPr="00C049FF" w:rsidRDefault="00C049FF" w:rsidP="00C049FF">
            <w:pPr>
              <w:spacing w:line="240" w:lineRule="auto"/>
              <w:jc w:val="center"/>
              <w:rPr>
                <w:rFonts w:ascii="Arial" w:eastAsia="Calibri" w:hAnsi="Arial" w:cs="Arial"/>
                <w:sz w:val="18"/>
                <w:szCs w:val="18"/>
              </w:rPr>
            </w:pPr>
          </w:p>
        </w:tc>
        <w:tc>
          <w:tcPr>
            <w:tcW w:w="1560" w:type="dxa"/>
            <w:tcBorders>
              <w:top w:val="nil"/>
              <w:left w:val="nil"/>
              <w:bottom w:val="nil"/>
              <w:right w:val="nil"/>
            </w:tcBorders>
            <w:shd w:val="clear" w:color="auto" w:fill="auto"/>
            <w:noWrap/>
          </w:tcPr>
          <w:p w:rsidR="00C049FF" w:rsidRPr="00C049FF" w:rsidRDefault="00C049FF" w:rsidP="00C049FF">
            <w:pPr>
              <w:spacing w:line="240" w:lineRule="auto"/>
              <w:jc w:val="center"/>
              <w:rPr>
                <w:rFonts w:ascii="Arial" w:eastAsia="Calibri" w:hAnsi="Arial" w:cs="Arial"/>
                <w:sz w:val="18"/>
                <w:szCs w:val="18"/>
              </w:rPr>
            </w:pPr>
          </w:p>
        </w:tc>
        <w:tc>
          <w:tcPr>
            <w:tcW w:w="1134" w:type="dxa"/>
            <w:gridSpan w:val="3"/>
            <w:tcBorders>
              <w:top w:val="nil"/>
              <w:left w:val="nil"/>
              <w:bottom w:val="nil"/>
              <w:right w:val="nil"/>
            </w:tcBorders>
            <w:shd w:val="clear" w:color="auto" w:fill="auto"/>
            <w:noWrap/>
          </w:tcPr>
          <w:p w:rsidR="00C049FF" w:rsidRPr="00C049FF" w:rsidRDefault="00C049FF" w:rsidP="00C049FF">
            <w:pPr>
              <w:spacing w:line="240" w:lineRule="auto"/>
              <w:jc w:val="center"/>
              <w:rPr>
                <w:rFonts w:ascii="Arial" w:eastAsia="Calibri" w:hAnsi="Arial" w:cs="Arial"/>
                <w:sz w:val="18"/>
                <w:szCs w:val="18"/>
              </w:rPr>
            </w:pPr>
          </w:p>
        </w:tc>
        <w:tc>
          <w:tcPr>
            <w:tcW w:w="1275" w:type="dxa"/>
            <w:gridSpan w:val="2"/>
            <w:tcBorders>
              <w:top w:val="nil"/>
              <w:left w:val="nil"/>
              <w:bottom w:val="nil"/>
              <w:right w:val="nil"/>
            </w:tcBorders>
            <w:shd w:val="clear" w:color="auto" w:fill="auto"/>
            <w:noWrap/>
          </w:tcPr>
          <w:p w:rsidR="00C049FF" w:rsidRPr="00C049FF" w:rsidRDefault="00C049FF" w:rsidP="00C049FF">
            <w:pPr>
              <w:spacing w:line="240" w:lineRule="auto"/>
              <w:jc w:val="center"/>
              <w:rPr>
                <w:rFonts w:ascii="Arial" w:eastAsia="Calibri" w:hAnsi="Arial" w:cs="Arial"/>
                <w:sz w:val="18"/>
                <w:szCs w:val="18"/>
              </w:rPr>
            </w:pPr>
          </w:p>
        </w:tc>
      </w:tr>
      <w:tr w:rsidR="00C049FF" w:rsidRPr="00C049FF" w:rsidTr="002B1780">
        <w:trPr>
          <w:gridAfter w:val="1"/>
          <w:wAfter w:w="327" w:type="dxa"/>
          <w:trHeight w:val="255"/>
        </w:trPr>
        <w:tc>
          <w:tcPr>
            <w:tcW w:w="9067" w:type="dxa"/>
            <w:gridSpan w:val="10"/>
            <w:tcBorders>
              <w:top w:val="single" w:sz="4" w:space="0" w:color="auto"/>
              <w:left w:val="nil"/>
              <w:bottom w:val="single" w:sz="4" w:space="0" w:color="auto"/>
              <w:right w:val="nil"/>
            </w:tcBorders>
          </w:tcPr>
          <w:p w:rsidR="00C049FF" w:rsidRPr="00C049FF" w:rsidRDefault="00C049FF" w:rsidP="00C049FF">
            <w:pPr>
              <w:spacing w:line="240" w:lineRule="auto"/>
              <w:rPr>
                <w:rFonts w:ascii="Arial" w:eastAsia="Calibri" w:hAnsi="Arial" w:cs="Arial"/>
                <w:b/>
                <w:bCs/>
                <w:sz w:val="28"/>
                <w:szCs w:val="28"/>
              </w:rPr>
            </w:pPr>
            <w:r w:rsidRPr="00C049FF">
              <w:rPr>
                <w:rFonts w:ascii="Arial" w:eastAsia="Calibri" w:hAnsi="Arial" w:cs="Arial"/>
                <w:sz w:val="28"/>
                <w:szCs w:val="28"/>
              </w:rPr>
              <w:t>TV viewing</w:t>
            </w:r>
          </w:p>
        </w:tc>
      </w:tr>
      <w:tr w:rsidR="00C049FF" w:rsidRPr="00C049FF" w:rsidTr="002B1780">
        <w:trPr>
          <w:gridAfter w:val="1"/>
          <w:wAfter w:w="327" w:type="dxa"/>
          <w:trHeight w:val="255"/>
        </w:trPr>
        <w:tc>
          <w:tcPr>
            <w:tcW w:w="2122" w:type="dxa"/>
            <w:tcBorders>
              <w:top w:val="single" w:sz="4" w:space="0" w:color="auto"/>
              <w:left w:val="nil"/>
              <w:bottom w:val="nil"/>
              <w:right w:val="nil"/>
            </w:tcBorders>
            <w:hideMark/>
          </w:tcPr>
          <w:p w:rsidR="00C049FF" w:rsidRPr="00C049FF" w:rsidRDefault="00C049FF" w:rsidP="00C049FF">
            <w:pPr>
              <w:spacing w:line="240" w:lineRule="auto"/>
              <w:rPr>
                <w:rFonts w:ascii="Arial" w:eastAsia="Calibri" w:hAnsi="Arial" w:cs="Arial"/>
                <w:b/>
                <w:bCs/>
                <w:sz w:val="20"/>
                <w:szCs w:val="24"/>
              </w:rPr>
            </w:pPr>
            <w:r w:rsidRPr="00C049FF">
              <w:rPr>
                <w:rFonts w:ascii="Arial" w:eastAsia="Calibri" w:hAnsi="Arial" w:cs="Arial"/>
                <w:b/>
                <w:bCs/>
                <w:sz w:val="20"/>
                <w:szCs w:val="24"/>
              </w:rPr>
              <w:t>Summary Estimate</w:t>
            </w:r>
          </w:p>
        </w:tc>
        <w:tc>
          <w:tcPr>
            <w:tcW w:w="1417" w:type="dxa"/>
            <w:tcBorders>
              <w:top w:val="single" w:sz="4" w:space="0" w:color="auto"/>
              <w:left w:val="nil"/>
              <w:bottom w:val="nil"/>
              <w:right w:val="nil"/>
            </w:tcBorders>
            <w:noWrap/>
          </w:tcPr>
          <w:p w:rsidR="00C049FF" w:rsidRPr="00C049FF" w:rsidRDefault="00C049FF" w:rsidP="00C049FF">
            <w:pPr>
              <w:spacing w:line="240" w:lineRule="auto"/>
              <w:jc w:val="center"/>
              <w:rPr>
                <w:rFonts w:ascii="Arial" w:eastAsia="Calibri" w:hAnsi="Arial" w:cs="Arial"/>
                <w:b/>
                <w:bCs/>
                <w:sz w:val="20"/>
                <w:szCs w:val="24"/>
              </w:rPr>
            </w:pPr>
            <w:r w:rsidRPr="00C049FF">
              <w:rPr>
                <w:rFonts w:ascii="Arial" w:eastAsia="Calibri" w:hAnsi="Arial" w:cs="Arial"/>
                <w:b/>
                <w:bCs/>
                <w:sz w:val="20"/>
                <w:szCs w:val="24"/>
              </w:rPr>
              <w:t>1.02</w:t>
            </w:r>
          </w:p>
        </w:tc>
        <w:tc>
          <w:tcPr>
            <w:tcW w:w="1559" w:type="dxa"/>
            <w:gridSpan w:val="2"/>
            <w:tcBorders>
              <w:top w:val="single" w:sz="4" w:space="0" w:color="auto"/>
              <w:left w:val="nil"/>
              <w:bottom w:val="nil"/>
              <w:right w:val="nil"/>
            </w:tcBorders>
            <w:noWrap/>
          </w:tcPr>
          <w:p w:rsidR="00C049FF" w:rsidRPr="00C049FF" w:rsidRDefault="00C049FF" w:rsidP="00C049FF">
            <w:pPr>
              <w:spacing w:line="240" w:lineRule="auto"/>
              <w:jc w:val="center"/>
              <w:rPr>
                <w:rFonts w:ascii="Arial" w:eastAsia="Calibri" w:hAnsi="Arial" w:cs="Arial"/>
                <w:b/>
                <w:bCs/>
                <w:sz w:val="20"/>
                <w:szCs w:val="24"/>
              </w:rPr>
            </w:pPr>
            <w:r w:rsidRPr="00C049FF">
              <w:rPr>
                <w:rFonts w:ascii="Arial" w:eastAsia="Calibri" w:hAnsi="Arial" w:cs="Arial"/>
                <w:b/>
                <w:bCs/>
                <w:sz w:val="20"/>
                <w:szCs w:val="24"/>
              </w:rPr>
              <w:t>1.01-1.02</w:t>
            </w:r>
          </w:p>
        </w:tc>
        <w:tc>
          <w:tcPr>
            <w:tcW w:w="1560" w:type="dxa"/>
            <w:tcBorders>
              <w:top w:val="single" w:sz="4" w:space="0" w:color="auto"/>
              <w:left w:val="nil"/>
              <w:bottom w:val="nil"/>
              <w:right w:val="nil"/>
            </w:tcBorders>
            <w:noWrap/>
          </w:tcPr>
          <w:p w:rsidR="00C049FF" w:rsidRPr="00C049FF" w:rsidRDefault="00C049FF" w:rsidP="00C049FF">
            <w:pPr>
              <w:spacing w:line="240" w:lineRule="auto"/>
              <w:jc w:val="center"/>
              <w:rPr>
                <w:rFonts w:ascii="Arial" w:eastAsia="Calibri" w:hAnsi="Arial" w:cs="Arial"/>
                <w:b/>
                <w:bCs/>
                <w:sz w:val="20"/>
                <w:szCs w:val="24"/>
              </w:rPr>
            </w:pPr>
            <w:r w:rsidRPr="00C049FF">
              <w:rPr>
                <w:rFonts w:ascii="Arial" w:eastAsia="Calibri" w:hAnsi="Arial" w:cs="Arial"/>
                <w:b/>
                <w:bCs/>
                <w:sz w:val="20"/>
                <w:szCs w:val="24"/>
              </w:rPr>
              <w:t>4</w:t>
            </w:r>
          </w:p>
        </w:tc>
        <w:tc>
          <w:tcPr>
            <w:tcW w:w="1134" w:type="dxa"/>
            <w:gridSpan w:val="3"/>
            <w:tcBorders>
              <w:top w:val="single" w:sz="4" w:space="0" w:color="auto"/>
              <w:left w:val="nil"/>
              <w:bottom w:val="nil"/>
              <w:right w:val="nil"/>
            </w:tcBorders>
            <w:noWrap/>
          </w:tcPr>
          <w:p w:rsidR="00C049FF" w:rsidRPr="00C049FF" w:rsidRDefault="00C049FF" w:rsidP="00C049FF">
            <w:pPr>
              <w:spacing w:line="240" w:lineRule="auto"/>
              <w:jc w:val="center"/>
              <w:rPr>
                <w:rFonts w:ascii="Arial" w:eastAsia="Calibri" w:hAnsi="Arial" w:cs="Arial"/>
                <w:b/>
                <w:bCs/>
                <w:sz w:val="20"/>
                <w:szCs w:val="24"/>
              </w:rPr>
            </w:pPr>
            <w:r w:rsidRPr="00C049FF">
              <w:rPr>
                <w:rFonts w:ascii="Arial" w:eastAsia="Calibri" w:hAnsi="Arial" w:cs="Arial"/>
                <w:b/>
                <w:bCs/>
                <w:sz w:val="20"/>
                <w:szCs w:val="24"/>
              </w:rPr>
              <w:t>0</w:t>
            </w:r>
          </w:p>
        </w:tc>
        <w:tc>
          <w:tcPr>
            <w:tcW w:w="1275" w:type="dxa"/>
            <w:gridSpan w:val="2"/>
            <w:tcBorders>
              <w:top w:val="single" w:sz="4" w:space="0" w:color="auto"/>
              <w:left w:val="nil"/>
              <w:bottom w:val="nil"/>
              <w:right w:val="nil"/>
            </w:tcBorders>
            <w:noWrap/>
          </w:tcPr>
          <w:p w:rsidR="00C049FF" w:rsidRPr="00C049FF" w:rsidRDefault="00C049FF" w:rsidP="00C049FF">
            <w:pPr>
              <w:spacing w:line="240" w:lineRule="auto"/>
              <w:jc w:val="center"/>
              <w:rPr>
                <w:rFonts w:ascii="Arial" w:eastAsia="Calibri" w:hAnsi="Arial" w:cs="Arial"/>
                <w:b/>
                <w:bCs/>
                <w:sz w:val="20"/>
                <w:szCs w:val="24"/>
              </w:rPr>
            </w:pPr>
            <w:r w:rsidRPr="00C049FF">
              <w:rPr>
                <w:rFonts w:ascii="Arial" w:eastAsia="Calibri" w:hAnsi="Arial" w:cs="Arial"/>
                <w:b/>
                <w:bCs/>
                <w:sz w:val="20"/>
                <w:szCs w:val="24"/>
              </w:rPr>
              <w:t>&lt;0.001</w:t>
            </w:r>
          </w:p>
        </w:tc>
      </w:tr>
      <w:tr w:rsidR="00C049FF" w:rsidRPr="00C049FF" w:rsidTr="002B1780">
        <w:trPr>
          <w:gridAfter w:val="1"/>
          <w:wAfter w:w="327" w:type="dxa"/>
          <w:trHeight w:val="340"/>
        </w:trPr>
        <w:tc>
          <w:tcPr>
            <w:tcW w:w="2122" w:type="dxa"/>
            <w:tcBorders>
              <w:top w:val="nil"/>
              <w:left w:val="nil"/>
              <w:bottom w:val="nil"/>
              <w:right w:val="nil"/>
            </w:tcBorders>
            <w:vAlign w:val="bottom"/>
          </w:tcPr>
          <w:p w:rsidR="00C049FF" w:rsidRPr="00C049FF" w:rsidRDefault="00C049FF" w:rsidP="00C049FF">
            <w:pPr>
              <w:spacing w:line="240" w:lineRule="auto"/>
              <w:rPr>
                <w:rFonts w:ascii="Arial" w:eastAsia="Calibri" w:hAnsi="Arial" w:cs="Arial"/>
                <w:b/>
                <w:i/>
                <w:sz w:val="18"/>
                <w:szCs w:val="18"/>
              </w:rPr>
            </w:pPr>
            <w:r w:rsidRPr="00C049FF">
              <w:rPr>
                <w:rFonts w:ascii="Arial" w:eastAsia="Calibri" w:hAnsi="Arial" w:cs="Arial"/>
                <w:b/>
                <w:i/>
                <w:sz w:val="18"/>
                <w:szCs w:val="18"/>
              </w:rPr>
              <w:t>Subgroup analysis</w:t>
            </w:r>
          </w:p>
        </w:tc>
        <w:tc>
          <w:tcPr>
            <w:tcW w:w="1417" w:type="dxa"/>
            <w:tcBorders>
              <w:top w:val="nil"/>
              <w:left w:val="nil"/>
              <w:bottom w:val="nil"/>
              <w:right w:val="nil"/>
            </w:tcBorders>
            <w:noWrap/>
          </w:tcPr>
          <w:p w:rsidR="00C049FF" w:rsidRPr="00C049FF" w:rsidRDefault="00C049FF" w:rsidP="00C049FF">
            <w:pPr>
              <w:spacing w:line="240" w:lineRule="auto"/>
              <w:jc w:val="center"/>
              <w:rPr>
                <w:rFonts w:ascii="Arial" w:eastAsia="Calibri" w:hAnsi="Arial" w:cs="Arial"/>
                <w:sz w:val="18"/>
                <w:szCs w:val="18"/>
              </w:rPr>
            </w:pPr>
          </w:p>
        </w:tc>
        <w:tc>
          <w:tcPr>
            <w:tcW w:w="284" w:type="dxa"/>
            <w:tcBorders>
              <w:top w:val="nil"/>
              <w:left w:val="nil"/>
              <w:bottom w:val="nil"/>
              <w:right w:val="nil"/>
            </w:tcBorders>
            <w:noWrap/>
          </w:tcPr>
          <w:p w:rsidR="00C049FF" w:rsidRPr="00C049FF" w:rsidRDefault="00C049FF" w:rsidP="00C049FF">
            <w:pPr>
              <w:spacing w:line="240" w:lineRule="auto"/>
              <w:jc w:val="center"/>
              <w:rPr>
                <w:rFonts w:ascii="Arial" w:eastAsia="Calibri" w:hAnsi="Arial" w:cs="Arial"/>
                <w:sz w:val="18"/>
                <w:szCs w:val="18"/>
              </w:rPr>
            </w:pPr>
          </w:p>
        </w:tc>
        <w:tc>
          <w:tcPr>
            <w:tcW w:w="1275" w:type="dxa"/>
            <w:tcBorders>
              <w:top w:val="nil"/>
              <w:left w:val="nil"/>
              <w:bottom w:val="nil"/>
              <w:right w:val="nil"/>
            </w:tcBorders>
            <w:noWrap/>
          </w:tcPr>
          <w:p w:rsidR="00C049FF" w:rsidRPr="00C049FF" w:rsidRDefault="00C049FF" w:rsidP="00C049FF">
            <w:pPr>
              <w:spacing w:line="240" w:lineRule="auto"/>
              <w:jc w:val="center"/>
              <w:rPr>
                <w:rFonts w:ascii="Arial" w:eastAsia="Calibri" w:hAnsi="Arial" w:cs="Arial"/>
                <w:sz w:val="18"/>
                <w:szCs w:val="18"/>
              </w:rPr>
            </w:pPr>
          </w:p>
        </w:tc>
        <w:tc>
          <w:tcPr>
            <w:tcW w:w="1560" w:type="dxa"/>
            <w:tcBorders>
              <w:top w:val="nil"/>
              <w:left w:val="nil"/>
              <w:bottom w:val="nil"/>
              <w:right w:val="nil"/>
            </w:tcBorders>
            <w:noWrap/>
          </w:tcPr>
          <w:p w:rsidR="00C049FF" w:rsidRPr="00C049FF" w:rsidRDefault="00C049FF" w:rsidP="00C049FF">
            <w:pPr>
              <w:spacing w:line="240" w:lineRule="auto"/>
              <w:jc w:val="center"/>
              <w:rPr>
                <w:rFonts w:ascii="Arial" w:eastAsia="Calibri" w:hAnsi="Arial" w:cs="Arial"/>
                <w:sz w:val="18"/>
                <w:szCs w:val="18"/>
              </w:rPr>
            </w:pPr>
          </w:p>
        </w:tc>
        <w:tc>
          <w:tcPr>
            <w:tcW w:w="1134" w:type="dxa"/>
            <w:gridSpan w:val="3"/>
            <w:tcBorders>
              <w:top w:val="nil"/>
              <w:left w:val="nil"/>
              <w:bottom w:val="nil"/>
              <w:right w:val="nil"/>
            </w:tcBorders>
            <w:noWrap/>
          </w:tcPr>
          <w:p w:rsidR="00C049FF" w:rsidRPr="00C049FF" w:rsidRDefault="00C049FF" w:rsidP="00C049FF">
            <w:pPr>
              <w:spacing w:line="240" w:lineRule="auto"/>
              <w:jc w:val="center"/>
              <w:rPr>
                <w:rFonts w:ascii="Arial" w:eastAsia="Calibri" w:hAnsi="Arial" w:cs="Arial"/>
                <w:sz w:val="18"/>
                <w:szCs w:val="18"/>
              </w:rPr>
            </w:pPr>
          </w:p>
        </w:tc>
        <w:tc>
          <w:tcPr>
            <w:tcW w:w="1275" w:type="dxa"/>
            <w:gridSpan w:val="2"/>
            <w:tcBorders>
              <w:top w:val="nil"/>
              <w:left w:val="nil"/>
              <w:bottom w:val="nil"/>
              <w:right w:val="nil"/>
            </w:tcBorders>
            <w:noWrap/>
          </w:tcPr>
          <w:p w:rsidR="00C049FF" w:rsidRPr="00C049FF" w:rsidRDefault="00C049FF" w:rsidP="00C049FF">
            <w:pPr>
              <w:spacing w:line="240" w:lineRule="auto"/>
              <w:jc w:val="center"/>
              <w:rPr>
                <w:rFonts w:ascii="Arial" w:eastAsia="Calibri" w:hAnsi="Arial" w:cs="Arial"/>
                <w:sz w:val="18"/>
                <w:szCs w:val="18"/>
              </w:rPr>
            </w:pPr>
          </w:p>
        </w:tc>
      </w:tr>
      <w:tr w:rsidR="00C049FF" w:rsidRPr="00C049FF" w:rsidTr="002B1780">
        <w:trPr>
          <w:gridAfter w:val="1"/>
          <w:wAfter w:w="327" w:type="dxa"/>
          <w:trHeight w:val="255"/>
        </w:trPr>
        <w:tc>
          <w:tcPr>
            <w:tcW w:w="2122" w:type="dxa"/>
            <w:tcBorders>
              <w:top w:val="nil"/>
              <w:left w:val="nil"/>
              <w:bottom w:val="nil"/>
              <w:right w:val="nil"/>
            </w:tcBorders>
            <w:shd w:val="clear" w:color="auto" w:fill="auto"/>
          </w:tcPr>
          <w:p w:rsidR="00C049FF" w:rsidRPr="00C049FF" w:rsidRDefault="00C049FF" w:rsidP="00C049FF">
            <w:pPr>
              <w:spacing w:line="240" w:lineRule="auto"/>
              <w:rPr>
                <w:rFonts w:ascii="Arial" w:eastAsia="Calibri" w:hAnsi="Arial" w:cs="Arial"/>
                <w:sz w:val="18"/>
                <w:szCs w:val="18"/>
              </w:rPr>
            </w:pPr>
            <w:r w:rsidRPr="00C049FF">
              <w:rPr>
                <w:rFonts w:ascii="Arial" w:eastAsia="Calibri" w:hAnsi="Arial" w:cs="Arial"/>
                <w:sz w:val="18"/>
                <w:szCs w:val="18"/>
              </w:rPr>
              <w:t>Non-BMI adjusted</w:t>
            </w:r>
          </w:p>
        </w:tc>
        <w:tc>
          <w:tcPr>
            <w:tcW w:w="1417" w:type="dxa"/>
            <w:tcBorders>
              <w:top w:val="nil"/>
              <w:left w:val="nil"/>
              <w:bottom w:val="nil"/>
              <w:right w:val="nil"/>
            </w:tcBorders>
            <w:shd w:val="clear" w:color="auto" w:fill="auto"/>
            <w:noWrap/>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1.02</w:t>
            </w:r>
          </w:p>
        </w:tc>
        <w:tc>
          <w:tcPr>
            <w:tcW w:w="1559" w:type="dxa"/>
            <w:gridSpan w:val="2"/>
            <w:tcBorders>
              <w:top w:val="nil"/>
              <w:left w:val="nil"/>
              <w:bottom w:val="nil"/>
              <w:right w:val="nil"/>
            </w:tcBorders>
            <w:shd w:val="clear" w:color="auto" w:fill="auto"/>
            <w:noWrap/>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1.01-1.03</w:t>
            </w:r>
          </w:p>
        </w:tc>
        <w:tc>
          <w:tcPr>
            <w:tcW w:w="1560" w:type="dxa"/>
            <w:tcBorders>
              <w:top w:val="nil"/>
              <w:left w:val="nil"/>
              <w:bottom w:val="nil"/>
              <w:right w:val="nil"/>
            </w:tcBorders>
            <w:shd w:val="clear" w:color="auto" w:fill="auto"/>
            <w:noWrap/>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5</w:t>
            </w:r>
          </w:p>
        </w:tc>
        <w:tc>
          <w:tcPr>
            <w:tcW w:w="1134" w:type="dxa"/>
            <w:gridSpan w:val="3"/>
            <w:tcBorders>
              <w:top w:val="nil"/>
              <w:left w:val="nil"/>
              <w:bottom w:val="nil"/>
              <w:right w:val="nil"/>
            </w:tcBorders>
            <w:shd w:val="clear" w:color="auto" w:fill="auto"/>
            <w:noWrap/>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0</w:t>
            </w:r>
          </w:p>
        </w:tc>
        <w:tc>
          <w:tcPr>
            <w:tcW w:w="1275" w:type="dxa"/>
            <w:gridSpan w:val="2"/>
            <w:tcBorders>
              <w:top w:val="nil"/>
              <w:left w:val="nil"/>
              <w:bottom w:val="nil"/>
              <w:right w:val="nil"/>
            </w:tcBorders>
            <w:shd w:val="clear" w:color="auto" w:fill="auto"/>
            <w:noWrap/>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&lt;0.001</w:t>
            </w:r>
          </w:p>
        </w:tc>
      </w:tr>
      <w:tr w:rsidR="00C049FF" w:rsidRPr="00C049FF" w:rsidTr="002B1780">
        <w:trPr>
          <w:gridAfter w:val="1"/>
          <w:wAfter w:w="327" w:type="dxa"/>
          <w:trHeight w:val="255"/>
        </w:trPr>
        <w:tc>
          <w:tcPr>
            <w:tcW w:w="9067" w:type="dxa"/>
            <w:gridSpan w:val="10"/>
            <w:tcBorders>
              <w:top w:val="nil"/>
              <w:left w:val="nil"/>
              <w:bottom w:val="nil"/>
              <w:right w:val="nil"/>
            </w:tcBorders>
            <w:shd w:val="clear" w:color="auto" w:fill="auto"/>
          </w:tcPr>
          <w:p w:rsidR="00C049FF" w:rsidRPr="00C049FF" w:rsidRDefault="00C049FF" w:rsidP="00C049FF">
            <w:pPr>
              <w:spacing w:line="240" w:lineRule="auto"/>
              <w:rPr>
                <w:rFonts w:ascii="Arial" w:eastAsia="Calibri" w:hAnsi="Arial" w:cs="Arial"/>
                <w:sz w:val="18"/>
                <w:szCs w:val="18"/>
              </w:rPr>
            </w:pPr>
            <w:r w:rsidRPr="00C049FF">
              <w:rPr>
                <w:rFonts w:ascii="Arial" w:eastAsia="Calibri" w:hAnsi="Arial" w:cs="Arial"/>
                <w:b/>
                <w:i/>
                <w:sz w:val="18"/>
                <w:szCs w:val="18"/>
              </w:rPr>
              <w:t>Sensitivity analysis excluding the following studies:</w:t>
            </w:r>
          </w:p>
        </w:tc>
      </w:tr>
      <w:tr w:rsidR="00C049FF" w:rsidRPr="00C049FF" w:rsidTr="002B1780">
        <w:trPr>
          <w:gridAfter w:val="1"/>
          <w:wAfter w:w="327" w:type="dxa"/>
          <w:trHeight w:val="737"/>
        </w:trPr>
        <w:tc>
          <w:tcPr>
            <w:tcW w:w="9067" w:type="dxa"/>
            <w:gridSpan w:val="10"/>
            <w:tcBorders>
              <w:top w:val="single" w:sz="4" w:space="0" w:color="auto"/>
              <w:left w:val="single" w:sz="4" w:space="0" w:color="auto"/>
              <w:bottom w:val="single" w:sz="4" w:space="0" w:color="auto"/>
              <w:right w:val="single" w:sz="4" w:space="0" w:color="auto"/>
            </w:tcBorders>
            <w:vAlign w:val="center"/>
            <w:hideMark/>
          </w:tcPr>
          <w:p w:rsidR="00C049FF" w:rsidRPr="00C049FF" w:rsidRDefault="00C049FF" w:rsidP="00C049FF">
            <w:pPr>
              <w:spacing w:line="240" w:lineRule="auto"/>
              <w:jc w:val="center"/>
              <w:rPr>
                <w:rFonts w:ascii="Arial" w:eastAsia="Calibri" w:hAnsi="Arial" w:cs="Arial"/>
                <w:sz w:val="28"/>
                <w:szCs w:val="28"/>
              </w:rPr>
            </w:pPr>
            <w:r w:rsidRPr="00C049FF">
              <w:rPr>
                <w:rFonts w:ascii="Arial" w:eastAsia="Calibri" w:hAnsi="Arial" w:cs="Arial"/>
                <w:sz w:val="28"/>
                <w:szCs w:val="28"/>
              </w:rPr>
              <w:t>Type 2 diabetes</w:t>
            </w:r>
          </w:p>
        </w:tc>
      </w:tr>
      <w:tr w:rsidR="00C049FF" w:rsidRPr="00C049FF" w:rsidTr="002B1780">
        <w:trPr>
          <w:gridAfter w:val="1"/>
          <w:wAfter w:w="327" w:type="dxa"/>
          <w:trHeight w:val="360"/>
        </w:trPr>
        <w:tc>
          <w:tcPr>
            <w:tcW w:w="2122" w:type="dxa"/>
            <w:tcBorders>
              <w:top w:val="single" w:sz="4" w:space="0" w:color="auto"/>
              <w:left w:val="nil"/>
              <w:bottom w:val="single" w:sz="4" w:space="0" w:color="auto"/>
              <w:right w:val="nil"/>
            </w:tcBorders>
            <w:hideMark/>
          </w:tcPr>
          <w:p w:rsidR="00C049FF" w:rsidRPr="00C049FF" w:rsidRDefault="00C049FF" w:rsidP="00C049FF">
            <w:pPr>
              <w:spacing w:line="240" w:lineRule="auto"/>
              <w:rPr>
                <w:rFonts w:ascii="Arial" w:eastAsia="Calibri" w:hAnsi="Arial" w:cs="Arial"/>
                <w:szCs w:val="24"/>
              </w:rPr>
            </w:pPr>
          </w:p>
        </w:tc>
        <w:tc>
          <w:tcPr>
            <w:tcW w:w="1417" w:type="dxa"/>
            <w:tcBorders>
              <w:top w:val="single" w:sz="4" w:space="0" w:color="auto"/>
              <w:left w:val="nil"/>
              <w:bottom w:val="single" w:sz="4" w:space="0" w:color="auto"/>
              <w:right w:val="nil"/>
            </w:tcBorders>
            <w:noWrap/>
            <w:vAlign w:val="center"/>
            <w:hideMark/>
          </w:tcPr>
          <w:p w:rsidR="00C049FF" w:rsidRPr="00C049FF" w:rsidRDefault="00C049FF" w:rsidP="00C049FF">
            <w:pPr>
              <w:spacing w:line="240" w:lineRule="auto"/>
              <w:jc w:val="center"/>
              <w:rPr>
                <w:rFonts w:ascii="Arial" w:eastAsia="Calibri" w:hAnsi="Arial" w:cs="Arial"/>
                <w:sz w:val="20"/>
                <w:szCs w:val="20"/>
              </w:rPr>
            </w:pPr>
            <w:r w:rsidRPr="00C049FF">
              <w:rPr>
                <w:rFonts w:ascii="Arial" w:eastAsia="Calibri" w:hAnsi="Arial" w:cs="Arial"/>
                <w:sz w:val="20"/>
                <w:szCs w:val="20"/>
              </w:rPr>
              <w:t>RR</w:t>
            </w:r>
          </w:p>
        </w:tc>
        <w:tc>
          <w:tcPr>
            <w:tcW w:w="1559" w:type="dxa"/>
            <w:gridSpan w:val="2"/>
            <w:tcBorders>
              <w:top w:val="single" w:sz="4" w:space="0" w:color="auto"/>
              <w:left w:val="nil"/>
              <w:bottom w:val="single" w:sz="4" w:space="0" w:color="auto"/>
              <w:right w:val="nil"/>
            </w:tcBorders>
            <w:noWrap/>
            <w:vAlign w:val="center"/>
          </w:tcPr>
          <w:p w:rsidR="00C049FF" w:rsidRPr="00C049FF" w:rsidRDefault="00C049FF" w:rsidP="00C049FF">
            <w:pPr>
              <w:spacing w:line="240" w:lineRule="auto"/>
              <w:jc w:val="center"/>
              <w:rPr>
                <w:rFonts w:ascii="Arial" w:eastAsia="Calibri" w:hAnsi="Arial" w:cs="Arial"/>
                <w:sz w:val="20"/>
                <w:szCs w:val="20"/>
              </w:rPr>
            </w:pPr>
            <w:r w:rsidRPr="00C049FF">
              <w:rPr>
                <w:rFonts w:ascii="Arial" w:eastAsia="Calibri" w:hAnsi="Arial" w:cs="Arial"/>
                <w:sz w:val="20"/>
                <w:szCs w:val="20"/>
              </w:rPr>
              <w:t>95%CI</w:t>
            </w:r>
          </w:p>
        </w:tc>
        <w:tc>
          <w:tcPr>
            <w:tcW w:w="1560" w:type="dxa"/>
            <w:tcBorders>
              <w:top w:val="single" w:sz="4" w:space="0" w:color="auto"/>
              <w:left w:val="nil"/>
              <w:bottom w:val="single" w:sz="4" w:space="0" w:color="auto"/>
              <w:right w:val="nil"/>
            </w:tcBorders>
            <w:noWrap/>
            <w:vAlign w:val="center"/>
            <w:hideMark/>
          </w:tcPr>
          <w:p w:rsidR="00C049FF" w:rsidRPr="00C049FF" w:rsidRDefault="00C049FF" w:rsidP="00C049FF">
            <w:pPr>
              <w:spacing w:line="240" w:lineRule="auto"/>
              <w:jc w:val="center"/>
              <w:rPr>
                <w:rFonts w:ascii="Arial" w:eastAsia="Calibri" w:hAnsi="Arial" w:cs="Arial"/>
                <w:sz w:val="20"/>
                <w:szCs w:val="20"/>
              </w:rPr>
            </w:pPr>
            <w:r w:rsidRPr="00C049FF">
              <w:rPr>
                <w:rFonts w:ascii="Arial" w:eastAsia="Calibri" w:hAnsi="Arial" w:cs="Arial"/>
                <w:sz w:val="20"/>
                <w:szCs w:val="20"/>
              </w:rPr>
              <w:t>Number of studies</w:t>
            </w:r>
          </w:p>
        </w:tc>
        <w:tc>
          <w:tcPr>
            <w:tcW w:w="1134" w:type="dxa"/>
            <w:gridSpan w:val="3"/>
            <w:tcBorders>
              <w:top w:val="single" w:sz="4" w:space="0" w:color="auto"/>
              <w:left w:val="nil"/>
              <w:bottom w:val="single" w:sz="4" w:space="0" w:color="auto"/>
              <w:right w:val="nil"/>
            </w:tcBorders>
            <w:noWrap/>
            <w:vAlign w:val="center"/>
            <w:hideMark/>
          </w:tcPr>
          <w:p w:rsidR="00C049FF" w:rsidRPr="00C049FF" w:rsidRDefault="00C049FF" w:rsidP="00C049FF">
            <w:pPr>
              <w:spacing w:line="240" w:lineRule="auto"/>
              <w:jc w:val="center"/>
              <w:rPr>
                <w:rFonts w:ascii="Arial" w:eastAsia="Calibri" w:hAnsi="Arial" w:cs="Arial"/>
                <w:sz w:val="20"/>
                <w:szCs w:val="20"/>
              </w:rPr>
            </w:pPr>
            <w:r w:rsidRPr="00C049FF">
              <w:rPr>
                <w:rFonts w:ascii="Arial" w:eastAsia="Calibri" w:hAnsi="Arial" w:cs="Arial"/>
                <w:sz w:val="20"/>
                <w:szCs w:val="20"/>
              </w:rPr>
              <w:t>I</w:t>
            </w:r>
            <w:r w:rsidRPr="00C049FF">
              <w:rPr>
                <w:rFonts w:ascii="Arial" w:eastAsia="Calibri" w:hAnsi="Arial" w:cs="Arial"/>
                <w:sz w:val="20"/>
                <w:szCs w:val="20"/>
                <w:vertAlign w:val="superscript"/>
              </w:rPr>
              <w:t>2</w:t>
            </w:r>
          </w:p>
        </w:tc>
        <w:tc>
          <w:tcPr>
            <w:tcW w:w="1275" w:type="dxa"/>
            <w:gridSpan w:val="2"/>
            <w:tcBorders>
              <w:top w:val="single" w:sz="4" w:space="0" w:color="auto"/>
              <w:left w:val="nil"/>
              <w:bottom w:val="single" w:sz="4" w:space="0" w:color="auto"/>
              <w:right w:val="nil"/>
            </w:tcBorders>
            <w:noWrap/>
            <w:vAlign w:val="center"/>
            <w:hideMark/>
          </w:tcPr>
          <w:p w:rsidR="00C049FF" w:rsidRPr="00C049FF" w:rsidRDefault="00C049FF" w:rsidP="00C049FF">
            <w:pPr>
              <w:spacing w:line="240" w:lineRule="auto"/>
              <w:jc w:val="center"/>
              <w:rPr>
                <w:rFonts w:ascii="Arial" w:eastAsia="Calibri" w:hAnsi="Arial" w:cs="Arial"/>
                <w:sz w:val="20"/>
                <w:szCs w:val="20"/>
              </w:rPr>
            </w:pPr>
            <w:r w:rsidRPr="00C049FF">
              <w:rPr>
                <w:rFonts w:ascii="Arial" w:eastAsia="Calibri" w:hAnsi="Arial" w:cs="Arial"/>
                <w:sz w:val="20"/>
                <w:szCs w:val="20"/>
              </w:rPr>
              <w:t>p-value RR=1</w:t>
            </w:r>
          </w:p>
        </w:tc>
      </w:tr>
      <w:tr w:rsidR="00C049FF" w:rsidRPr="00C049FF" w:rsidTr="002B1780">
        <w:trPr>
          <w:gridAfter w:val="1"/>
          <w:wAfter w:w="327" w:type="dxa"/>
          <w:trHeight w:val="255"/>
        </w:trPr>
        <w:tc>
          <w:tcPr>
            <w:tcW w:w="9067" w:type="dxa"/>
            <w:gridSpan w:val="10"/>
            <w:tcBorders>
              <w:top w:val="single" w:sz="4" w:space="0" w:color="auto"/>
              <w:left w:val="nil"/>
              <w:bottom w:val="single" w:sz="4" w:space="0" w:color="auto"/>
              <w:right w:val="nil"/>
            </w:tcBorders>
          </w:tcPr>
          <w:p w:rsidR="00C049FF" w:rsidRPr="00C049FF" w:rsidRDefault="00C049FF" w:rsidP="00C049FF">
            <w:pPr>
              <w:spacing w:line="240" w:lineRule="auto"/>
              <w:rPr>
                <w:rFonts w:ascii="Arial" w:eastAsia="Calibri" w:hAnsi="Arial" w:cs="Arial"/>
                <w:b/>
                <w:bCs/>
                <w:szCs w:val="24"/>
              </w:rPr>
            </w:pPr>
            <w:r w:rsidRPr="00C049FF">
              <w:rPr>
                <w:rFonts w:ascii="Arial" w:eastAsia="Calibri" w:hAnsi="Arial" w:cs="Arial"/>
                <w:sz w:val="28"/>
                <w:szCs w:val="28"/>
              </w:rPr>
              <w:t>Total sedentary behaviour</w:t>
            </w:r>
          </w:p>
        </w:tc>
      </w:tr>
      <w:tr w:rsidR="00C049FF" w:rsidRPr="00C049FF" w:rsidTr="002B1780">
        <w:trPr>
          <w:gridAfter w:val="1"/>
          <w:wAfter w:w="327" w:type="dxa"/>
          <w:trHeight w:val="255"/>
        </w:trPr>
        <w:tc>
          <w:tcPr>
            <w:tcW w:w="2122" w:type="dxa"/>
            <w:tcBorders>
              <w:top w:val="single" w:sz="4" w:space="0" w:color="auto"/>
              <w:left w:val="nil"/>
              <w:bottom w:val="nil"/>
              <w:right w:val="nil"/>
            </w:tcBorders>
            <w:hideMark/>
          </w:tcPr>
          <w:p w:rsidR="00C049FF" w:rsidRPr="00C049FF" w:rsidRDefault="00C049FF" w:rsidP="00C049FF">
            <w:pPr>
              <w:spacing w:line="240" w:lineRule="auto"/>
              <w:rPr>
                <w:rFonts w:ascii="Arial" w:eastAsia="Calibri" w:hAnsi="Arial" w:cs="Arial"/>
                <w:b/>
                <w:bCs/>
                <w:sz w:val="20"/>
                <w:szCs w:val="20"/>
              </w:rPr>
            </w:pPr>
            <w:r w:rsidRPr="00C049FF">
              <w:rPr>
                <w:rFonts w:ascii="Arial" w:eastAsia="Calibri" w:hAnsi="Arial" w:cs="Arial"/>
                <w:b/>
                <w:bCs/>
                <w:sz w:val="20"/>
                <w:szCs w:val="20"/>
              </w:rPr>
              <w:t>Summary Estimate</w:t>
            </w:r>
          </w:p>
        </w:tc>
        <w:tc>
          <w:tcPr>
            <w:tcW w:w="1417" w:type="dxa"/>
            <w:tcBorders>
              <w:top w:val="single" w:sz="4" w:space="0" w:color="auto"/>
              <w:left w:val="nil"/>
              <w:bottom w:val="nil"/>
              <w:right w:val="nil"/>
            </w:tcBorders>
            <w:noWrap/>
          </w:tcPr>
          <w:p w:rsidR="00C049FF" w:rsidRPr="00C049FF" w:rsidRDefault="00C049FF" w:rsidP="00C049FF">
            <w:pPr>
              <w:spacing w:line="240" w:lineRule="auto"/>
              <w:jc w:val="center"/>
              <w:rPr>
                <w:rFonts w:ascii="Arial" w:eastAsia="Calibri" w:hAnsi="Arial" w:cs="Arial"/>
                <w:b/>
                <w:bCs/>
                <w:sz w:val="20"/>
                <w:szCs w:val="20"/>
              </w:rPr>
            </w:pPr>
            <w:r w:rsidRPr="00C049FF">
              <w:rPr>
                <w:rFonts w:ascii="Arial" w:eastAsia="Calibri" w:hAnsi="Arial" w:cs="Arial"/>
                <w:b/>
                <w:bCs/>
                <w:sz w:val="20"/>
                <w:szCs w:val="20"/>
              </w:rPr>
              <w:t>1.01</w:t>
            </w:r>
          </w:p>
        </w:tc>
        <w:tc>
          <w:tcPr>
            <w:tcW w:w="1559" w:type="dxa"/>
            <w:gridSpan w:val="2"/>
            <w:tcBorders>
              <w:top w:val="single" w:sz="4" w:space="0" w:color="auto"/>
              <w:left w:val="nil"/>
              <w:bottom w:val="nil"/>
              <w:right w:val="nil"/>
            </w:tcBorders>
            <w:noWrap/>
          </w:tcPr>
          <w:p w:rsidR="00C049FF" w:rsidRPr="00C049FF" w:rsidRDefault="00C049FF" w:rsidP="00C049FF">
            <w:pPr>
              <w:spacing w:line="240" w:lineRule="auto"/>
              <w:jc w:val="center"/>
              <w:rPr>
                <w:rFonts w:ascii="Arial" w:eastAsia="Calibri" w:hAnsi="Arial" w:cs="Arial"/>
                <w:b/>
                <w:bCs/>
                <w:sz w:val="20"/>
                <w:szCs w:val="20"/>
              </w:rPr>
            </w:pPr>
            <w:r w:rsidRPr="00C049FF">
              <w:rPr>
                <w:rFonts w:ascii="Arial" w:eastAsia="Calibri" w:hAnsi="Arial" w:cs="Arial"/>
                <w:b/>
                <w:bCs/>
                <w:sz w:val="20"/>
                <w:szCs w:val="20"/>
              </w:rPr>
              <w:t>1.00-1.01</w:t>
            </w:r>
          </w:p>
        </w:tc>
        <w:tc>
          <w:tcPr>
            <w:tcW w:w="1560" w:type="dxa"/>
            <w:tcBorders>
              <w:top w:val="single" w:sz="4" w:space="0" w:color="auto"/>
              <w:left w:val="nil"/>
              <w:bottom w:val="nil"/>
              <w:right w:val="nil"/>
            </w:tcBorders>
            <w:noWrap/>
          </w:tcPr>
          <w:p w:rsidR="00C049FF" w:rsidRPr="00C049FF" w:rsidRDefault="00C049FF" w:rsidP="00C049FF">
            <w:pPr>
              <w:spacing w:line="240" w:lineRule="auto"/>
              <w:jc w:val="center"/>
              <w:rPr>
                <w:rFonts w:ascii="Arial" w:eastAsia="Calibri" w:hAnsi="Arial" w:cs="Arial"/>
                <w:b/>
                <w:bCs/>
                <w:sz w:val="20"/>
                <w:szCs w:val="20"/>
              </w:rPr>
            </w:pPr>
            <w:r w:rsidRPr="00C049FF">
              <w:rPr>
                <w:rFonts w:ascii="Arial" w:eastAsia="Calibri" w:hAnsi="Arial" w:cs="Arial"/>
                <w:b/>
                <w:bCs/>
                <w:sz w:val="20"/>
                <w:szCs w:val="20"/>
              </w:rPr>
              <w:t>4</w:t>
            </w:r>
          </w:p>
        </w:tc>
        <w:tc>
          <w:tcPr>
            <w:tcW w:w="1134" w:type="dxa"/>
            <w:gridSpan w:val="3"/>
            <w:tcBorders>
              <w:top w:val="single" w:sz="4" w:space="0" w:color="auto"/>
              <w:left w:val="nil"/>
              <w:bottom w:val="nil"/>
              <w:right w:val="nil"/>
            </w:tcBorders>
            <w:noWrap/>
          </w:tcPr>
          <w:p w:rsidR="00C049FF" w:rsidRPr="00C049FF" w:rsidRDefault="00C049FF" w:rsidP="00C049FF">
            <w:pPr>
              <w:spacing w:line="240" w:lineRule="auto"/>
              <w:jc w:val="center"/>
              <w:rPr>
                <w:rFonts w:ascii="Arial" w:eastAsia="Calibri" w:hAnsi="Arial" w:cs="Arial"/>
                <w:b/>
                <w:bCs/>
                <w:sz w:val="20"/>
                <w:szCs w:val="20"/>
              </w:rPr>
            </w:pPr>
            <w:r w:rsidRPr="00C049FF">
              <w:rPr>
                <w:rFonts w:ascii="Arial" w:eastAsia="Calibri" w:hAnsi="Arial" w:cs="Arial"/>
                <w:b/>
                <w:bCs/>
                <w:sz w:val="20"/>
                <w:szCs w:val="20"/>
              </w:rPr>
              <w:t>0</w:t>
            </w:r>
          </w:p>
        </w:tc>
        <w:tc>
          <w:tcPr>
            <w:tcW w:w="1275" w:type="dxa"/>
            <w:gridSpan w:val="2"/>
            <w:tcBorders>
              <w:top w:val="single" w:sz="4" w:space="0" w:color="auto"/>
              <w:left w:val="nil"/>
              <w:bottom w:val="nil"/>
              <w:right w:val="nil"/>
            </w:tcBorders>
            <w:noWrap/>
          </w:tcPr>
          <w:p w:rsidR="00C049FF" w:rsidRPr="00C049FF" w:rsidRDefault="00C049FF" w:rsidP="00C049FF">
            <w:pPr>
              <w:spacing w:line="240" w:lineRule="auto"/>
              <w:jc w:val="center"/>
              <w:rPr>
                <w:rFonts w:ascii="Arial" w:eastAsia="Calibri" w:hAnsi="Arial" w:cs="Arial"/>
                <w:b/>
                <w:bCs/>
                <w:sz w:val="20"/>
                <w:szCs w:val="20"/>
              </w:rPr>
            </w:pPr>
            <w:r w:rsidRPr="00C049FF">
              <w:rPr>
                <w:rFonts w:ascii="Arial" w:eastAsia="Calibri" w:hAnsi="Arial" w:cs="Arial"/>
                <w:b/>
                <w:bCs/>
                <w:sz w:val="20"/>
                <w:szCs w:val="20"/>
              </w:rPr>
              <w:t>&lt;0.001</w:t>
            </w:r>
          </w:p>
        </w:tc>
      </w:tr>
      <w:tr w:rsidR="00C049FF" w:rsidRPr="00C049FF" w:rsidTr="002B1780">
        <w:trPr>
          <w:gridAfter w:val="1"/>
          <w:wAfter w:w="327" w:type="dxa"/>
          <w:trHeight w:val="255"/>
        </w:trPr>
        <w:tc>
          <w:tcPr>
            <w:tcW w:w="2122" w:type="dxa"/>
            <w:tcBorders>
              <w:top w:val="nil"/>
              <w:left w:val="nil"/>
              <w:bottom w:val="nil"/>
              <w:right w:val="nil"/>
            </w:tcBorders>
            <w:vAlign w:val="bottom"/>
          </w:tcPr>
          <w:p w:rsidR="00C049FF" w:rsidRPr="00C049FF" w:rsidRDefault="00C049FF" w:rsidP="00C049FF">
            <w:pPr>
              <w:spacing w:line="240" w:lineRule="auto"/>
              <w:rPr>
                <w:rFonts w:ascii="Arial" w:eastAsia="Calibri" w:hAnsi="Arial" w:cs="Arial"/>
                <w:b/>
                <w:bCs/>
                <w:sz w:val="20"/>
                <w:szCs w:val="18"/>
              </w:rPr>
            </w:pPr>
            <w:r w:rsidRPr="00C049FF">
              <w:rPr>
                <w:rFonts w:ascii="Arial" w:eastAsia="Calibri" w:hAnsi="Arial" w:cs="Arial"/>
                <w:b/>
                <w:i/>
                <w:sz w:val="18"/>
                <w:szCs w:val="18"/>
              </w:rPr>
              <w:t>Subgroup analysis</w:t>
            </w:r>
          </w:p>
        </w:tc>
        <w:tc>
          <w:tcPr>
            <w:tcW w:w="1417" w:type="dxa"/>
            <w:tcBorders>
              <w:top w:val="nil"/>
              <w:left w:val="nil"/>
              <w:bottom w:val="nil"/>
              <w:right w:val="nil"/>
            </w:tcBorders>
            <w:noWrap/>
          </w:tcPr>
          <w:p w:rsidR="00C049FF" w:rsidRPr="00C049FF" w:rsidRDefault="00C049FF" w:rsidP="00C049FF">
            <w:pPr>
              <w:spacing w:line="240" w:lineRule="auto"/>
              <w:jc w:val="center"/>
              <w:rPr>
                <w:rFonts w:ascii="Arial" w:eastAsia="Calibri" w:hAnsi="Arial" w:cs="Arial"/>
                <w:b/>
                <w:bCs/>
                <w:sz w:val="20"/>
                <w:szCs w:val="20"/>
              </w:rPr>
            </w:pPr>
          </w:p>
        </w:tc>
        <w:tc>
          <w:tcPr>
            <w:tcW w:w="1559" w:type="dxa"/>
            <w:gridSpan w:val="2"/>
            <w:tcBorders>
              <w:top w:val="nil"/>
              <w:left w:val="nil"/>
              <w:bottom w:val="nil"/>
              <w:right w:val="nil"/>
            </w:tcBorders>
            <w:noWrap/>
          </w:tcPr>
          <w:p w:rsidR="00C049FF" w:rsidRPr="00C049FF" w:rsidRDefault="00C049FF" w:rsidP="00C049FF">
            <w:pPr>
              <w:spacing w:line="240" w:lineRule="auto"/>
              <w:jc w:val="center"/>
              <w:rPr>
                <w:rFonts w:ascii="Arial" w:eastAsia="Calibri" w:hAnsi="Arial" w:cs="Arial"/>
                <w:b/>
                <w:bCs/>
                <w:sz w:val="20"/>
                <w:szCs w:val="20"/>
              </w:rPr>
            </w:pPr>
          </w:p>
        </w:tc>
        <w:tc>
          <w:tcPr>
            <w:tcW w:w="1560" w:type="dxa"/>
            <w:tcBorders>
              <w:top w:val="nil"/>
              <w:left w:val="nil"/>
              <w:bottom w:val="nil"/>
              <w:right w:val="nil"/>
            </w:tcBorders>
            <w:noWrap/>
          </w:tcPr>
          <w:p w:rsidR="00C049FF" w:rsidRPr="00C049FF" w:rsidRDefault="00C049FF" w:rsidP="00C049FF">
            <w:pPr>
              <w:spacing w:line="240" w:lineRule="auto"/>
              <w:jc w:val="center"/>
              <w:rPr>
                <w:rFonts w:ascii="Arial" w:eastAsia="Calibri" w:hAnsi="Arial" w:cs="Arial"/>
                <w:b/>
                <w:bCs/>
                <w:sz w:val="20"/>
                <w:szCs w:val="20"/>
              </w:rPr>
            </w:pPr>
          </w:p>
        </w:tc>
        <w:tc>
          <w:tcPr>
            <w:tcW w:w="1134" w:type="dxa"/>
            <w:gridSpan w:val="3"/>
            <w:tcBorders>
              <w:top w:val="nil"/>
              <w:left w:val="nil"/>
              <w:bottom w:val="nil"/>
              <w:right w:val="nil"/>
            </w:tcBorders>
            <w:noWrap/>
          </w:tcPr>
          <w:p w:rsidR="00C049FF" w:rsidRPr="00C049FF" w:rsidRDefault="00C049FF" w:rsidP="00C049FF">
            <w:pPr>
              <w:spacing w:line="240" w:lineRule="auto"/>
              <w:jc w:val="center"/>
              <w:rPr>
                <w:rFonts w:ascii="Arial" w:eastAsia="Calibri" w:hAnsi="Arial" w:cs="Arial"/>
                <w:b/>
                <w:bCs/>
                <w:sz w:val="20"/>
                <w:szCs w:val="20"/>
              </w:rPr>
            </w:pPr>
          </w:p>
        </w:tc>
        <w:tc>
          <w:tcPr>
            <w:tcW w:w="1275" w:type="dxa"/>
            <w:gridSpan w:val="2"/>
            <w:tcBorders>
              <w:top w:val="nil"/>
              <w:left w:val="nil"/>
              <w:bottom w:val="nil"/>
              <w:right w:val="nil"/>
            </w:tcBorders>
            <w:noWrap/>
          </w:tcPr>
          <w:p w:rsidR="00C049FF" w:rsidRPr="00C049FF" w:rsidRDefault="00C049FF" w:rsidP="00C049FF">
            <w:pPr>
              <w:spacing w:line="240" w:lineRule="auto"/>
              <w:jc w:val="center"/>
              <w:rPr>
                <w:rFonts w:ascii="Arial" w:eastAsia="Calibri" w:hAnsi="Arial" w:cs="Arial"/>
                <w:b/>
                <w:bCs/>
                <w:sz w:val="20"/>
                <w:szCs w:val="20"/>
              </w:rPr>
            </w:pPr>
          </w:p>
        </w:tc>
      </w:tr>
      <w:tr w:rsidR="00C049FF" w:rsidRPr="00C049FF" w:rsidTr="002B1780">
        <w:trPr>
          <w:gridAfter w:val="1"/>
          <w:wAfter w:w="327" w:type="dxa"/>
          <w:trHeight w:val="255"/>
        </w:trPr>
        <w:tc>
          <w:tcPr>
            <w:tcW w:w="2122" w:type="dxa"/>
            <w:tcBorders>
              <w:top w:val="nil"/>
              <w:left w:val="nil"/>
              <w:bottom w:val="nil"/>
              <w:right w:val="nil"/>
            </w:tcBorders>
            <w:shd w:val="clear" w:color="auto" w:fill="auto"/>
          </w:tcPr>
          <w:p w:rsidR="00C049FF" w:rsidRPr="00C049FF" w:rsidRDefault="00C049FF" w:rsidP="00C049FF">
            <w:pPr>
              <w:spacing w:line="240" w:lineRule="auto"/>
              <w:rPr>
                <w:rFonts w:ascii="Arial" w:eastAsia="Calibri" w:hAnsi="Arial" w:cs="Arial"/>
                <w:sz w:val="18"/>
                <w:szCs w:val="18"/>
              </w:rPr>
            </w:pPr>
          </w:p>
        </w:tc>
        <w:tc>
          <w:tcPr>
            <w:tcW w:w="1417" w:type="dxa"/>
            <w:tcBorders>
              <w:top w:val="nil"/>
              <w:left w:val="nil"/>
              <w:bottom w:val="nil"/>
              <w:right w:val="nil"/>
            </w:tcBorders>
            <w:noWrap/>
          </w:tcPr>
          <w:p w:rsidR="00C049FF" w:rsidRPr="00C049FF" w:rsidRDefault="00C049FF" w:rsidP="00C049FF">
            <w:pPr>
              <w:spacing w:line="240" w:lineRule="auto"/>
              <w:jc w:val="center"/>
              <w:rPr>
                <w:rFonts w:ascii="Arial" w:eastAsia="Calibri" w:hAnsi="Arial" w:cs="Arial"/>
                <w:b/>
                <w:bCs/>
                <w:sz w:val="20"/>
                <w:szCs w:val="20"/>
              </w:rPr>
            </w:pPr>
          </w:p>
        </w:tc>
        <w:tc>
          <w:tcPr>
            <w:tcW w:w="1559" w:type="dxa"/>
            <w:gridSpan w:val="2"/>
            <w:tcBorders>
              <w:top w:val="nil"/>
              <w:left w:val="nil"/>
              <w:bottom w:val="nil"/>
              <w:right w:val="nil"/>
            </w:tcBorders>
            <w:noWrap/>
          </w:tcPr>
          <w:p w:rsidR="00C049FF" w:rsidRPr="00C049FF" w:rsidRDefault="00C049FF" w:rsidP="00C049FF">
            <w:pPr>
              <w:spacing w:line="240" w:lineRule="auto"/>
              <w:jc w:val="center"/>
              <w:rPr>
                <w:rFonts w:ascii="Arial" w:eastAsia="Calibri" w:hAnsi="Arial" w:cs="Arial"/>
                <w:b/>
                <w:bCs/>
                <w:sz w:val="20"/>
                <w:szCs w:val="20"/>
              </w:rPr>
            </w:pPr>
          </w:p>
        </w:tc>
        <w:tc>
          <w:tcPr>
            <w:tcW w:w="1560" w:type="dxa"/>
            <w:tcBorders>
              <w:top w:val="nil"/>
              <w:left w:val="nil"/>
              <w:bottom w:val="nil"/>
              <w:right w:val="nil"/>
            </w:tcBorders>
            <w:noWrap/>
          </w:tcPr>
          <w:p w:rsidR="00C049FF" w:rsidRPr="00C049FF" w:rsidRDefault="00C049FF" w:rsidP="00C049FF">
            <w:pPr>
              <w:spacing w:line="240" w:lineRule="auto"/>
              <w:jc w:val="center"/>
              <w:rPr>
                <w:rFonts w:ascii="Arial" w:eastAsia="Calibri" w:hAnsi="Arial" w:cs="Arial"/>
                <w:b/>
                <w:bCs/>
                <w:sz w:val="20"/>
                <w:szCs w:val="20"/>
              </w:rPr>
            </w:pPr>
          </w:p>
        </w:tc>
        <w:tc>
          <w:tcPr>
            <w:tcW w:w="1134" w:type="dxa"/>
            <w:gridSpan w:val="3"/>
            <w:tcBorders>
              <w:top w:val="nil"/>
              <w:left w:val="nil"/>
              <w:bottom w:val="nil"/>
              <w:right w:val="nil"/>
            </w:tcBorders>
            <w:noWrap/>
          </w:tcPr>
          <w:p w:rsidR="00C049FF" w:rsidRPr="00C049FF" w:rsidRDefault="00C049FF" w:rsidP="00C049FF">
            <w:pPr>
              <w:spacing w:line="240" w:lineRule="auto"/>
              <w:jc w:val="center"/>
              <w:rPr>
                <w:rFonts w:ascii="Arial" w:eastAsia="Calibri" w:hAnsi="Arial" w:cs="Arial"/>
                <w:b/>
                <w:bCs/>
                <w:sz w:val="20"/>
                <w:szCs w:val="20"/>
              </w:rPr>
            </w:pPr>
          </w:p>
        </w:tc>
        <w:tc>
          <w:tcPr>
            <w:tcW w:w="1275" w:type="dxa"/>
            <w:gridSpan w:val="2"/>
            <w:tcBorders>
              <w:top w:val="nil"/>
              <w:left w:val="nil"/>
              <w:bottom w:val="nil"/>
              <w:right w:val="nil"/>
            </w:tcBorders>
            <w:noWrap/>
          </w:tcPr>
          <w:p w:rsidR="00C049FF" w:rsidRPr="00C049FF" w:rsidRDefault="00C049FF" w:rsidP="00C049FF">
            <w:pPr>
              <w:spacing w:line="240" w:lineRule="auto"/>
              <w:jc w:val="center"/>
              <w:rPr>
                <w:rFonts w:ascii="Arial" w:eastAsia="Calibri" w:hAnsi="Arial" w:cs="Arial"/>
                <w:b/>
                <w:bCs/>
                <w:sz w:val="20"/>
                <w:szCs w:val="20"/>
              </w:rPr>
            </w:pPr>
          </w:p>
        </w:tc>
      </w:tr>
      <w:tr w:rsidR="00C049FF" w:rsidRPr="00C049FF" w:rsidTr="002B1780">
        <w:trPr>
          <w:gridAfter w:val="1"/>
          <w:wAfter w:w="327" w:type="dxa"/>
          <w:trHeight w:val="255"/>
        </w:trPr>
        <w:tc>
          <w:tcPr>
            <w:tcW w:w="9067" w:type="dxa"/>
            <w:gridSpan w:val="10"/>
            <w:tcBorders>
              <w:top w:val="nil"/>
              <w:left w:val="nil"/>
              <w:bottom w:val="nil"/>
              <w:right w:val="nil"/>
            </w:tcBorders>
            <w:shd w:val="clear" w:color="auto" w:fill="auto"/>
          </w:tcPr>
          <w:p w:rsidR="00C049FF" w:rsidRPr="00C049FF" w:rsidRDefault="00C049FF" w:rsidP="00C049FF">
            <w:pPr>
              <w:spacing w:line="240" w:lineRule="auto"/>
              <w:rPr>
                <w:rFonts w:ascii="Arial" w:eastAsia="Calibri" w:hAnsi="Arial" w:cs="Arial"/>
                <w:b/>
                <w:bCs/>
                <w:sz w:val="20"/>
                <w:szCs w:val="20"/>
              </w:rPr>
            </w:pPr>
            <w:r w:rsidRPr="00C049FF">
              <w:rPr>
                <w:rFonts w:ascii="Arial" w:eastAsia="Calibri" w:hAnsi="Arial" w:cs="Arial"/>
                <w:b/>
                <w:i/>
                <w:sz w:val="18"/>
                <w:szCs w:val="18"/>
              </w:rPr>
              <w:t>Sensitivity analysis excluding the following studies:</w:t>
            </w:r>
          </w:p>
        </w:tc>
      </w:tr>
      <w:tr w:rsidR="00C049FF" w:rsidRPr="00C049FF" w:rsidTr="002B1780">
        <w:trPr>
          <w:gridAfter w:val="1"/>
          <w:wAfter w:w="327" w:type="dxa"/>
          <w:trHeight w:val="255"/>
        </w:trPr>
        <w:tc>
          <w:tcPr>
            <w:tcW w:w="2122" w:type="dxa"/>
            <w:tcBorders>
              <w:top w:val="nil"/>
              <w:left w:val="nil"/>
              <w:bottom w:val="nil"/>
              <w:right w:val="nil"/>
            </w:tcBorders>
            <w:shd w:val="clear" w:color="auto" w:fill="auto"/>
          </w:tcPr>
          <w:p w:rsidR="00C049FF" w:rsidRPr="00C049FF" w:rsidRDefault="00C049FF" w:rsidP="00C049FF">
            <w:pPr>
              <w:spacing w:line="240" w:lineRule="auto"/>
              <w:rPr>
                <w:rFonts w:ascii="Arial" w:eastAsia="Calibri" w:hAnsi="Arial" w:cs="Arial"/>
                <w:sz w:val="18"/>
                <w:szCs w:val="18"/>
              </w:rPr>
            </w:pPr>
          </w:p>
        </w:tc>
        <w:tc>
          <w:tcPr>
            <w:tcW w:w="1417" w:type="dxa"/>
            <w:tcBorders>
              <w:top w:val="nil"/>
              <w:left w:val="nil"/>
              <w:bottom w:val="single" w:sz="4" w:space="0" w:color="auto"/>
              <w:right w:val="nil"/>
            </w:tcBorders>
            <w:noWrap/>
          </w:tcPr>
          <w:p w:rsidR="00C049FF" w:rsidRPr="00C049FF" w:rsidRDefault="00C049FF" w:rsidP="00C049FF">
            <w:pPr>
              <w:spacing w:line="240" w:lineRule="auto"/>
              <w:jc w:val="center"/>
              <w:rPr>
                <w:rFonts w:ascii="Arial" w:eastAsia="Calibri" w:hAnsi="Arial" w:cs="Arial"/>
                <w:b/>
                <w:bCs/>
                <w:sz w:val="20"/>
                <w:szCs w:val="20"/>
              </w:rPr>
            </w:pPr>
          </w:p>
        </w:tc>
        <w:tc>
          <w:tcPr>
            <w:tcW w:w="1559" w:type="dxa"/>
            <w:gridSpan w:val="2"/>
            <w:tcBorders>
              <w:top w:val="nil"/>
              <w:left w:val="nil"/>
              <w:bottom w:val="single" w:sz="4" w:space="0" w:color="auto"/>
              <w:right w:val="nil"/>
            </w:tcBorders>
            <w:noWrap/>
          </w:tcPr>
          <w:p w:rsidR="00C049FF" w:rsidRPr="00C049FF" w:rsidRDefault="00C049FF" w:rsidP="00C049FF">
            <w:pPr>
              <w:spacing w:line="240" w:lineRule="auto"/>
              <w:jc w:val="center"/>
              <w:rPr>
                <w:rFonts w:ascii="Arial" w:eastAsia="Calibri" w:hAnsi="Arial" w:cs="Arial"/>
                <w:b/>
                <w:bCs/>
                <w:sz w:val="20"/>
                <w:szCs w:val="20"/>
              </w:rPr>
            </w:pPr>
          </w:p>
        </w:tc>
        <w:tc>
          <w:tcPr>
            <w:tcW w:w="1560" w:type="dxa"/>
            <w:tcBorders>
              <w:top w:val="nil"/>
              <w:left w:val="nil"/>
              <w:bottom w:val="single" w:sz="4" w:space="0" w:color="auto"/>
              <w:right w:val="nil"/>
            </w:tcBorders>
            <w:noWrap/>
          </w:tcPr>
          <w:p w:rsidR="00C049FF" w:rsidRPr="00C049FF" w:rsidRDefault="00C049FF" w:rsidP="00C049FF">
            <w:pPr>
              <w:spacing w:line="240" w:lineRule="auto"/>
              <w:jc w:val="center"/>
              <w:rPr>
                <w:rFonts w:ascii="Arial" w:eastAsia="Calibri" w:hAnsi="Arial" w:cs="Arial"/>
                <w:b/>
                <w:bCs/>
                <w:sz w:val="20"/>
                <w:szCs w:val="20"/>
              </w:rPr>
            </w:pPr>
          </w:p>
        </w:tc>
        <w:tc>
          <w:tcPr>
            <w:tcW w:w="1134" w:type="dxa"/>
            <w:gridSpan w:val="3"/>
            <w:tcBorders>
              <w:top w:val="nil"/>
              <w:left w:val="nil"/>
              <w:bottom w:val="single" w:sz="4" w:space="0" w:color="auto"/>
              <w:right w:val="nil"/>
            </w:tcBorders>
            <w:noWrap/>
          </w:tcPr>
          <w:p w:rsidR="00C049FF" w:rsidRPr="00C049FF" w:rsidRDefault="00C049FF" w:rsidP="00C049FF">
            <w:pPr>
              <w:spacing w:line="240" w:lineRule="auto"/>
              <w:jc w:val="center"/>
              <w:rPr>
                <w:rFonts w:ascii="Arial" w:eastAsia="Calibri" w:hAnsi="Arial" w:cs="Arial"/>
                <w:b/>
                <w:bCs/>
                <w:sz w:val="20"/>
                <w:szCs w:val="20"/>
              </w:rPr>
            </w:pPr>
          </w:p>
        </w:tc>
        <w:tc>
          <w:tcPr>
            <w:tcW w:w="1275" w:type="dxa"/>
            <w:gridSpan w:val="2"/>
            <w:tcBorders>
              <w:top w:val="nil"/>
              <w:left w:val="nil"/>
              <w:bottom w:val="single" w:sz="4" w:space="0" w:color="auto"/>
              <w:right w:val="nil"/>
            </w:tcBorders>
            <w:noWrap/>
          </w:tcPr>
          <w:p w:rsidR="00C049FF" w:rsidRPr="00C049FF" w:rsidRDefault="00C049FF" w:rsidP="00C049FF">
            <w:pPr>
              <w:spacing w:line="240" w:lineRule="auto"/>
              <w:jc w:val="center"/>
              <w:rPr>
                <w:rFonts w:ascii="Arial" w:eastAsia="Calibri" w:hAnsi="Arial" w:cs="Arial"/>
                <w:b/>
                <w:bCs/>
                <w:sz w:val="20"/>
                <w:szCs w:val="20"/>
              </w:rPr>
            </w:pPr>
          </w:p>
        </w:tc>
      </w:tr>
      <w:tr w:rsidR="00C049FF" w:rsidRPr="00C049FF" w:rsidTr="002B1780">
        <w:trPr>
          <w:gridAfter w:val="1"/>
          <w:wAfter w:w="327" w:type="dxa"/>
          <w:trHeight w:val="255"/>
        </w:trPr>
        <w:tc>
          <w:tcPr>
            <w:tcW w:w="9067" w:type="dxa"/>
            <w:gridSpan w:val="10"/>
            <w:tcBorders>
              <w:top w:val="single" w:sz="4" w:space="0" w:color="auto"/>
              <w:left w:val="nil"/>
              <w:bottom w:val="single" w:sz="4" w:space="0" w:color="auto"/>
              <w:right w:val="nil"/>
            </w:tcBorders>
          </w:tcPr>
          <w:p w:rsidR="00C049FF" w:rsidRPr="00C049FF" w:rsidRDefault="00C049FF" w:rsidP="00C049FF">
            <w:pPr>
              <w:spacing w:line="240" w:lineRule="auto"/>
              <w:rPr>
                <w:rFonts w:ascii="Arial" w:eastAsia="Calibri" w:hAnsi="Arial" w:cs="Arial"/>
                <w:b/>
                <w:bCs/>
                <w:szCs w:val="24"/>
              </w:rPr>
            </w:pPr>
            <w:r w:rsidRPr="00C049FF">
              <w:rPr>
                <w:rFonts w:ascii="Arial" w:eastAsia="Calibri" w:hAnsi="Arial" w:cs="Arial"/>
                <w:sz w:val="28"/>
                <w:szCs w:val="28"/>
              </w:rPr>
              <w:t>TV viewing</w:t>
            </w:r>
          </w:p>
        </w:tc>
      </w:tr>
      <w:tr w:rsidR="00C049FF" w:rsidRPr="00C049FF" w:rsidTr="002B1780">
        <w:trPr>
          <w:gridAfter w:val="1"/>
          <w:wAfter w:w="327" w:type="dxa"/>
          <w:trHeight w:val="255"/>
        </w:trPr>
        <w:tc>
          <w:tcPr>
            <w:tcW w:w="2122" w:type="dxa"/>
            <w:tcBorders>
              <w:top w:val="single" w:sz="4" w:space="0" w:color="auto"/>
              <w:left w:val="nil"/>
              <w:bottom w:val="nil"/>
              <w:right w:val="nil"/>
            </w:tcBorders>
            <w:hideMark/>
          </w:tcPr>
          <w:p w:rsidR="00C049FF" w:rsidRPr="00C049FF" w:rsidRDefault="00C049FF" w:rsidP="00C049FF">
            <w:pPr>
              <w:spacing w:after="240" w:line="240" w:lineRule="auto"/>
              <w:rPr>
                <w:rFonts w:ascii="Arial" w:eastAsia="Calibri" w:hAnsi="Arial" w:cs="Arial"/>
                <w:b/>
                <w:bCs/>
                <w:sz w:val="20"/>
                <w:szCs w:val="20"/>
              </w:rPr>
            </w:pPr>
            <w:r w:rsidRPr="00C049FF">
              <w:rPr>
                <w:rFonts w:ascii="Arial" w:eastAsia="Calibri" w:hAnsi="Arial" w:cs="Arial"/>
                <w:b/>
                <w:bCs/>
                <w:sz w:val="20"/>
                <w:szCs w:val="20"/>
              </w:rPr>
              <w:t>Summary Estimate</w:t>
            </w:r>
          </w:p>
        </w:tc>
        <w:tc>
          <w:tcPr>
            <w:tcW w:w="1417" w:type="dxa"/>
            <w:tcBorders>
              <w:top w:val="single" w:sz="4" w:space="0" w:color="auto"/>
              <w:left w:val="nil"/>
              <w:bottom w:val="nil"/>
              <w:right w:val="nil"/>
            </w:tcBorders>
            <w:noWrap/>
          </w:tcPr>
          <w:p w:rsidR="00C049FF" w:rsidRPr="00C049FF" w:rsidRDefault="00C049FF" w:rsidP="00C049FF">
            <w:pPr>
              <w:spacing w:line="240" w:lineRule="auto"/>
              <w:jc w:val="center"/>
              <w:rPr>
                <w:rFonts w:ascii="Arial" w:eastAsia="Calibri" w:hAnsi="Arial" w:cs="Arial"/>
                <w:b/>
                <w:bCs/>
                <w:sz w:val="20"/>
                <w:szCs w:val="20"/>
              </w:rPr>
            </w:pPr>
            <w:r w:rsidRPr="00C049FF">
              <w:rPr>
                <w:rFonts w:ascii="Arial" w:eastAsia="Calibri" w:hAnsi="Arial" w:cs="Arial"/>
                <w:b/>
                <w:bCs/>
                <w:sz w:val="20"/>
                <w:szCs w:val="20"/>
              </w:rPr>
              <w:t>1.09</w:t>
            </w:r>
          </w:p>
        </w:tc>
        <w:tc>
          <w:tcPr>
            <w:tcW w:w="1559" w:type="dxa"/>
            <w:gridSpan w:val="2"/>
            <w:tcBorders>
              <w:top w:val="single" w:sz="4" w:space="0" w:color="auto"/>
              <w:left w:val="nil"/>
              <w:bottom w:val="nil"/>
              <w:right w:val="nil"/>
            </w:tcBorders>
            <w:noWrap/>
          </w:tcPr>
          <w:p w:rsidR="00C049FF" w:rsidRPr="00C049FF" w:rsidRDefault="00C049FF" w:rsidP="00C049FF">
            <w:pPr>
              <w:spacing w:line="240" w:lineRule="auto"/>
              <w:jc w:val="center"/>
              <w:rPr>
                <w:rFonts w:ascii="Arial" w:eastAsia="Calibri" w:hAnsi="Arial" w:cs="Arial"/>
                <w:b/>
                <w:bCs/>
                <w:sz w:val="20"/>
                <w:szCs w:val="20"/>
              </w:rPr>
            </w:pPr>
            <w:r w:rsidRPr="00C049FF">
              <w:rPr>
                <w:rFonts w:ascii="Arial" w:eastAsia="Calibri" w:hAnsi="Arial" w:cs="Arial"/>
                <w:b/>
                <w:bCs/>
                <w:sz w:val="20"/>
                <w:szCs w:val="20"/>
              </w:rPr>
              <w:t>1.07-1.12</w:t>
            </w:r>
          </w:p>
        </w:tc>
        <w:tc>
          <w:tcPr>
            <w:tcW w:w="1560" w:type="dxa"/>
            <w:tcBorders>
              <w:top w:val="single" w:sz="4" w:space="0" w:color="auto"/>
              <w:left w:val="nil"/>
              <w:bottom w:val="nil"/>
              <w:right w:val="nil"/>
            </w:tcBorders>
            <w:noWrap/>
          </w:tcPr>
          <w:p w:rsidR="00C049FF" w:rsidRPr="00C049FF" w:rsidRDefault="00C049FF" w:rsidP="00C049FF">
            <w:pPr>
              <w:spacing w:line="240" w:lineRule="auto"/>
              <w:jc w:val="center"/>
              <w:rPr>
                <w:rFonts w:ascii="Arial" w:eastAsia="Calibri" w:hAnsi="Arial" w:cs="Arial"/>
                <w:b/>
                <w:bCs/>
                <w:sz w:val="20"/>
                <w:szCs w:val="20"/>
              </w:rPr>
            </w:pPr>
            <w:r w:rsidRPr="00C049FF">
              <w:rPr>
                <w:rFonts w:ascii="Arial" w:eastAsia="Calibri" w:hAnsi="Arial" w:cs="Arial"/>
                <w:b/>
                <w:bCs/>
                <w:sz w:val="20"/>
                <w:szCs w:val="20"/>
              </w:rPr>
              <w:t>6</w:t>
            </w:r>
          </w:p>
        </w:tc>
        <w:tc>
          <w:tcPr>
            <w:tcW w:w="1134" w:type="dxa"/>
            <w:gridSpan w:val="3"/>
            <w:tcBorders>
              <w:top w:val="single" w:sz="4" w:space="0" w:color="auto"/>
              <w:left w:val="nil"/>
              <w:bottom w:val="nil"/>
              <w:right w:val="nil"/>
            </w:tcBorders>
            <w:noWrap/>
          </w:tcPr>
          <w:p w:rsidR="00C049FF" w:rsidRPr="00C049FF" w:rsidRDefault="00C049FF" w:rsidP="00C049FF">
            <w:pPr>
              <w:spacing w:line="240" w:lineRule="auto"/>
              <w:jc w:val="center"/>
              <w:rPr>
                <w:rFonts w:ascii="Arial" w:eastAsia="Calibri" w:hAnsi="Arial" w:cs="Arial"/>
                <w:b/>
                <w:bCs/>
                <w:sz w:val="20"/>
                <w:szCs w:val="20"/>
              </w:rPr>
            </w:pPr>
            <w:r w:rsidRPr="00C049FF">
              <w:rPr>
                <w:rFonts w:ascii="Arial" w:eastAsia="Calibri" w:hAnsi="Arial" w:cs="Arial"/>
                <w:b/>
                <w:bCs/>
                <w:sz w:val="20"/>
                <w:szCs w:val="20"/>
              </w:rPr>
              <w:t>31.7</w:t>
            </w:r>
          </w:p>
        </w:tc>
        <w:tc>
          <w:tcPr>
            <w:tcW w:w="1275" w:type="dxa"/>
            <w:gridSpan w:val="2"/>
            <w:tcBorders>
              <w:top w:val="single" w:sz="4" w:space="0" w:color="auto"/>
              <w:left w:val="nil"/>
              <w:bottom w:val="nil"/>
              <w:right w:val="nil"/>
            </w:tcBorders>
            <w:noWrap/>
          </w:tcPr>
          <w:p w:rsidR="00C049FF" w:rsidRPr="00C049FF" w:rsidRDefault="00C049FF" w:rsidP="00C049FF">
            <w:pPr>
              <w:spacing w:line="240" w:lineRule="auto"/>
              <w:jc w:val="center"/>
              <w:rPr>
                <w:rFonts w:ascii="Arial" w:eastAsia="Calibri" w:hAnsi="Arial" w:cs="Arial"/>
                <w:b/>
                <w:bCs/>
                <w:sz w:val="20"/>
                <w:szCs w:val="20"/>
              </w:rPr>
            </w:pPr>
            <w:r w:rsidRPr="00C049FF">
              <w:rPr>
                <w:rFonts w:ascii="Arial" w:eastAsia="Calibri" w:hAnsi="Arial" w:cs="Arial"/>
                <w:b/>
                <w:bCs/>
                <w:sz w:val="20"/>
                <w:szCs w:val="20"/>
              </w:rPr>
              <w:t>&lt;0.001</w:t>
            </w:r>
          </w:p>
        </w:tc>
      </w:tr>
      <w:tr w:rsidR="00C049FF" w:rsidRPr="00C049FF" w:rsidTr="002B1780">
        <w:trPr>
          <w:gridAfter w:val="1"/>
          <w:wAfter w:w="327" w:type="dxa"/>
          <w:trHeight w:val="255"/>
        </w:trPr>
        <w:tc>
          <w:tcPr>
            <w:tcW w:w="2122" w:type="dxa"/>
            <w:tcBorders>
              <w:top w:val="nil"/>
              <w:left w:val="nil"/>
              <w:bottom w:val="nil"/>
              <w:right w:val="nil"/>
            </w:tcBorders>
          </w:tcPr>
          <w:p w:rsidR="00C049FF" w:rsidRPr="00C049FF" w:rsidRDefault="00C049FF" w:rsidP="00C049FF">
            <w:pPr>
              <w:spacing w:line="240" w:lineRule="auto"/>
              <w:rPr>
                <w:rFonts w:ascii="Arial" w:eastAsia="Calibri" w:hAnsi="Arial" w:cs="Arial"/>
                <w:bCs/>
                <w:sz w:val="20"/>
                <w:szCs w:val="20"/>
              </w:rPr>
            </w:pPr>
            <w:r w:rsidRPr="00C049FF">
              <w:rPr>
                <w:rFonts w:ascii="Arial" w:eastAsia="Calibri" w:hAnsi="Arial" w:cs="Arial"/>
                <w:b/>
                <w:i/>
                <w:sz w:val="18"/>
                <w:szCs w:val="18"/>
              </w:rPr>
              <w:t>Subgroup analysis</w:t>
            </w:r>
          </w:p>
        </w:tc>
        <w:tc>
          <w:tcPr>
            <w:tcW w:w="1417" w:type="dxa"/>
            <w:tcBorders>
              <w:top w:val="nil"/>
              <w:left w:val="nil"/>
              <w:bottom w:val="nil"/>
              <w:right w:val="nil"/>
            </w:tcBorders>
            <w:noWrap/>
          </w:tcPr>
          <w:p w:rsidR="00C049FF" w:rsidRPr="00C049FF" w:rsidRDefault="00C049FF" w:rsidP="00C049FF">
            <w:pPr>
              <w:spacing w:line="240" w:lineRule="auto"/>
              <w:jc w:val="center"/>
              <w:rPr>
                <w:rFonts w:ascii="Arial" w:eastAsia="Calibri" w:hAnsi="Arial" w:cs="Arial"/>
                <w:bCs/>
                <w:sz w:val="20"/>
                <w:szCs w:val="20"/>
              </w:rPr>
            </w:pPr>
          </w:p>
        </w:tc>
        <w:tc>
          <w:tcPr>
            <w:tcW w:w="1559" w:type="dxa"/>
            <w:gridSpan w:val="2"/>
            <w:tcBorders>
              <w:top w:val="nil"/>
              <w:left w:val="nil"/>
              <w:bottom w:val="nil"/>
              <w:right w:val="nil"/>
            </w:tcBorders>
            <w:noWrap/>
          </w:tcPr>
          <w:p w:rsidR="00C049FF" w:rsidRPr="00C049FF" w:rsidRDefault="00C049FF" w:rsidP="00C049FF">
            <w:pPr>
              <w:spacing w:line="240" w:lineRule="auto"/>
              <w:jc w:val="center"/>
              <w:rPr>
                <w:rFonts w:ascii="Arial" w:eastAsia="Calibri" w:hAnsi="Arial" w:cs="Arial"/>
                <w:bCs/>
                <w:sz w:val="20"/>
                <w:szCs w:val="20"/>
              </w:rPr>
            </w:pPr>
          </w:p>
        </w:tc>
        <w:tc>
          <w:tcPr>
            <w:tcW w:w="1560" w:type="dxa"/>
            <w:tcBorders>
              <w:top w:val="nil"/>
              <w:left w:val="nil"/>
              <w:bottom w:val="nil"/>
              <w:right w:val="nil"/>
            </w:tcBorders>
            <w:noWrap/>
          </w:tcPr>
          <w:p w:rsidR="00C049FF" w:rsidRPr="00C049FF" w:rsidRDefault="00C049FF" w:rsidP="00C049FF">
            <w:pPr>
              <w:spacing w:line="240" w:lineRule="auto"/>
              <w:jc w:val="center"/>
              <w:rPr>
                <w:rFonts w:ascii="Arial" w:eastAsia="Calibri" w:hAnsi="Arial" w:cs="Arial"/>
                <w:bCs/>
                <w:sz w:val="20"/>
                <w:szCs w:val="20"/>
              </w:rPr>
            </w:pPr>
          </w:p>
        </w:tc>
        <w:tc>
          <w:tcPr>
            <w:tcW w:w="1134" w:type="dxa"/>
            <w:gridSpan w:val="3"/>
            <w:tcBorders>
              <w:top w:val="nil"/>
              <w:left w:val="nil"/>
              <w:bottom w:val="nil"/>
              <w:right w:val="nil"/>
            </w:tcBorders>
            <w:noWrap/>
          </w:tcPr>
          <w:p w:rsidR="00C049FF" w:rsidRPr="00C049FF" w:rsidRDefault="00C049FF" w:rsidP="00C049FF">
            <w:pPr>
              <w:spacing w:line="240" w:lineRule="auto"/>
              <w:jc w:val="center"/>
              <w:rPr>
                <w:rFonts w:ascii="Arial" w:eastAsia="Calibri" w:hAnsi="Arial" w:cs="Arial"/>
                <w:bCs/>
                <w:sz w:val="20"/>
                <w:szCs w:val="20"/>
              </w:rPr>
            </w:pPr>
          </w:p>
        </w:tc>
        <w:tc>
          <w:tcPr>
            <w:tcW w:w="1275" w:type="dxa"/>
            <w:gridSpan w:val="2"/>
            <w:tcBorders>
              <w:top w:val="nil"/>
              <w:left w:val="nil"/>
              <w:bottom w:val="nil"/>
              <w:right w:val="nil"/>
            </w:tcBorders>
            <w:noWrap/>
          </w:tcPr>
          <w:p w:rsidR="00C049FF" w:rsidRPr="00C049FF" w:rsidRDefault="00C049FF" w:rsidP="00C049FF">
            <w:pPr>
              <w:spacing w:line="240" w:lineRule="auto"/>
              <w:jc w:val="center"/>
              <w:rPr>
                <w:rFonts w:ascii="Arial" w:eastAsia="Calibri" w:hAnsi="Arial" w:cs="Arial"/>
                <w:bCs/>
                <w:sz w:val="20"/>
                <w:szCs w:val="20"/>
              </w:rPr>
            </w:pPr>
          </w:p>
        </w:tc>
      </w:tr>
      <w:tr w:rsidR="00C049FF" w:rsidRPr="00C049FF" w:rsidTr="002B1780">
        <w:trPr>
          <w:gridAfter w:val="1"/>
          <w:wAfter w:w="327" w:type="dxa"/>
          <w:trHeight w:val="255"/>
        </w:trPr>
        <w:tc>
          <w:tcPr>
            <w:tcW w:w="2122" w:type="dxa"/>
            <w:tcBorders>
              <w:top w:val="nil"/>
              <w:left w:val="nil"/>
              <w:bottom w:val="nil"/>
              <w:right w:val="nil"/>
            </w:tcBorders>
            <w:shd w:val="clear" w:color="auto" w:fill="auto"/>
          </w:tcPr>
          <w:p w:rsidR="00C049FF" w:rsidRPr="00C049FF" w:rsidRDefault="00C049FF" w:rsidP="00C049FF">
            <w:pPr>
              <w:spacing w:line="240" w:lineRule="auto"/>
              <w:rPr>
                <w:rFonts w:ascii="Arial" w:eastAsia="Calibri" w:hAnsi="Arial" w:cs="Arial"/>
                <w:sz w:val="18"/>
                <w:szCs w:val="18"/>
              </w:rPr>
            </w:pPr>
            <w:r w:rsidRPr="00C049FF">
              <w:rPr>
                <w:rFonts w:ascii="Arial" w:eastAsia="Calibri" w:hAnsi="Arial" w:cs="Arial"/>
                <w:sz w:val="18"/>
                <w:szCs w:val="18"/>
              </w:rPr>
              <w:t>Non BMI adjusted*</w:t>
            </w:r>
          </w:p>
        </w:tc>
        <w:tc>
          <w:tcPr>
            <w:tcW w:w="1417" w:type="dxa"/>
            <w:tcBorders>
              <w:top w:val="nil"/>
              <w:left w:val="nil"/>
              <w:bottom w:val="nil"/>
              <w:right w:val="nil"/>
            </w:tcBorders>
            <w:noWrap/>
          </w:tcPr>
          <w:p w:rsidR="00C049FF" w:rsidRPr="00C049FF" w:rsidRDefault="00C049FF" w:rsidP="00C049FF">
            <w:pPr>
              <w:spacing w:line="240" w:lineRule="auto"/>
              <w:jc w:val="center"/>
              <w:rPr>
                <w:rFonts w:ascii="Arial" w:eastAsia="Calibri" w:hAnsi="Arial" w:cs="Arial"/>
                <w:bCs/>
                <w:sz w:val="20"/>
                <w:szCs w:val="20"/>
              </w:rPr>
            </w:pPr>
            <w:r w:rsidRPr="00C049FF">
              <w:rPr>
                <w:rFonts w:ascii="Arial" w:eastAsia="Calibri" w:hAnsi="Arial" w:cs="Arial"/>
                <w:bCs/>
                <w:sz w:val="20"/>
                <w:szCs w:val="20"/>
              </w:rPr>
              <w:t>1.09</w:t>
            </w:r>
          </w:p>
        </w:tc>
        <w:tc>
          <w:tcPr>
            <w:tcW w:w="1559" w:type="dxa"/>
            <w:gridSpan w:val="2"/>
            <w:tcBorders>
              <w:top w:val="nil"/>
              <w:left w:val="nil"/>
              <w:bottom w:val="nil"/>
              <w:right w:val="nil"/>
            </w:tcBorders>
            <w:noWrap/>
          </w:tcPr>
          <w:p w:rsidR="00C049FF" w:rsidRPr="00C049FF" w:rsidRDefault="00C049FF" w:rsidP="00C049FF">
            <w:pPr>
              <w:spacing w:line="240" w:lineRule="auto"/>
              <w:jc w:val="center"/>
              <w:rPr>
                <w:rFonts w:ascii="Arial" w:eastAsia="Calibri" w:hAnsi="Arial" w:cs="Arial"/>
                <w:bCs/>
                <w:sz w:val="20"/>
                <w:szCs w:val="20"/>
              </w:rPr>
            </w:pPr>
            <w:r w:rsidRPr="00C049FF">
              <w:rPr>
                <w:rFonts w:ascii="Arial" w:eastAsia="Calibri" w:hAnsi="Arial" w:cs="Arial"/>
                <w:bCs/>
                <w:sz w:val="20"/>
                <w:szCs w:val="20"/>
              </w:rPr>
              <w:t>1.07-1.10</w:t>
            </w:r>
          </w:p>
        </w:tc>
        <w:tc>
          <w:tcPr>
            <w:tcW w:w="1560" w:type="dxa"/>
            <w:tcBorders>
              <w:top w:val="nil"/>
              <w:left w:val="nil"/>
              <w:bottom w:val="nil"/>
              <w:right w:val="nil"/>
            </w:tcBorders>
            <w:noWrap/>
          </w:tcPr>
          <w:p w:rsidR="00C049FF" w:rsidRPr="00C049FF" w:rsidRDefault="00C049FF" w:rsidP="00C049FF">
            <w:pPr>
              <w:spacing w:line="240" w:lineRule="auto"/>
              <w:jc w:val="center"/>
              <w:rPr>
                <w:rFonts w:ascii="Arial" w:eastAsia="Calibri" w:hAnsi="Arial" w:cs="Arial"/>
                <w:bCs/>
                <w:sz w:val="20"/>
                <w:szCs w:val="20"/>
              </w:rPr>
            </w:pPr>
            <w:r w:rsidRPr="00C049FF">
              <w:rPr>
                <w:rFonts w:ascii="Arial" w:eastAsia="Calibri" w:hAnsi="Arial" w:cs="Arial"/>
                <w:bCs/>
                <w:sz w:val="20"/>
                <w:szCs w:val="20"/>
              </w:rPr>
              <w:t>6</w:t>
            </w:r>
          </w:p>
        </w:tc>
        <w:tc>
          <w:tcPr>
            <w:tcW w:w="1134" w:type="dxa"/>
            <w:gridSpan w:val="3"/>
            <w:tcBorders>
              <w:top w:val="nil"/>
              <w:left w:val="nil"/>
              <w:bottom w:val="nil"/>
              <w:right w:val="nil"/>
            </w:tcBorders>
            <w:noWrap/>
          </w:tcPr>
          <w:p w:rsidR="00C049FF" w:rsidRPr="00C049FF" w:rsidRDefault="00C049FF" w:rsidP="00C049FF">
            <w:pPr>
              <w:spacing w:line="240" w:lineRule="auto"/>
              <w:jc w:val="center"/>
              <w:rPr>
                <w:rFonts w:ascii="Arial" w:eastAsia="Calibri" w:hAnsi="Arial" w:cs="Arial"/>
                <w:bCs/>
                <w:sz w:val="20"/>
                <w:szCs w:val="20"/>
              </w:rPr>
            </w:pPr>
            <w:r w:rsidRPr="00C049FF">
              <w:rPr>
                <w:rFonts w:ascii="Arial" w:eastAsia="Calibri" w:hAnsi="Arial" w:cs="Arial"/>
                <w:bCs/>
                <w:sz w:val="20"/>
                <w:szCs w:val="20"/>
              </w:rPr>
              <w:t>0</w:t>
            </w:r>
          </w:p>
        </w:tc>
        <w:tc>
          <w:tcPr>
            <w:tcW w:w="1275" w:type="dxa"/>
            <w:gridSpan w:val="2"/>
            <w:tcBorders>
              <w:top w:val="nil"/>
              <w:left w:val="nil"/>
              <w:bottom w:val="nil"/>
              <w:right w:val="nil"/>
            </w:tcBorders>
            <w:noWrap/>
          </w:tcPr>
          <w:p w:rsidR="00C049FF" w:rsidRPr="00C049FF" w:rsidRDefault="00C049FF" w:rsidP="00C049FF">
            <w:pPr>
              <w:spacing w:line="240" w:lineRule="auto"/>
              <w:jc w:val="center"/>
              <w:rPr>
                <w:rFonts w:ascii="Arial" w:eastAsia="Calibri" w:hAnsi="Arial" w:cs="Arial"/>
                <w:bCs/>
                <w:sz w:val="20"/>
                <w:szCs w:val="20"/>
              </w:rPr>
            </w:pPr>
            <w:r w:rsidRPr="00C049FF">
              <w:rPr>
                <w:rFonts w:ascii="Arial" w:eastAsia="Calibri" w:hAnsi="Arial" w:cs="Arial"/>
                <w:bCs/>
                <w:sz w:val="20"/>
                <w:szCs w:val="20"/>
              </w:rPr>
              <w:t>&lt;0.001</w:t>
            </w:r>
          </w:p>
        </w:tc>
      </w:tr>
      <w:tr w:rsidR="00C049FF" w:rsidRPr="00C049FF" w:rsidTr="002B1780">
        <w:trPr>
          <w:gridAfter w:val="1"/>
          <w:wAfter w:w="327" w:type="dxa"/>
          <w:trHeight w:val="255"/>
        </w:trPr>
        <w:tc>
          <w:tcPr>
            <w:tcW w:w="2122" w:type="dxa"/>
            <w:tcBorders>
              <w:top w:val="nil"/>
              <w:left w:val="nil"/>
              <w:bottom w:val="nil"/>
              <w:right w:val="nil"/>
            </w:tcBorders>
            <w:shd w:val="clear" w:color="auto" w:fill="auto"/>
          </w:tcPr>
          <w:p w:rsidR="00C049FF" w:rsidRPr="00C049FF" w:rsidRDefault="00C049FF" w:rsidP="00C049FF">
            <w:pPr>
              <w:spacing w:line="240" w:lineRule="auto"/>
              <w:rPr>
                <w:rFonts w:ascii="Arial" w:eastAsia="Calibri" w:hAnsi="Arial" w:cs="Arial"/>
                <w:sz w:val="18"/>
                <w:szCs w:val="18"/>
              </w:rPr>
            </w:pPr>
            <w:r w:rsidRPr="00C049FF">
              <w:rPr>
                <w:rFonts w:ascii="Arial" w:eastAsia="Calibri" w:hAnsi="Arial" w:cs="Arial"/>
                <w:sz w:val="18"/>
                <w:szCs w:val="18"/>
              </w:rPr>
              <w:t>BMI adjusted*</w:t>
            </w:r>
          </w:p>
        </w:tc>
        <w:tc>
          <w:tcPr>
            <w:tcW w:w="1417" w:type="dxa"/>
            <w:tcBorders>
              <w:top w:val="nil"/>
              <w:left w:val="nil"/>
              <w:bottom w:val="nil"/>
              <w:right w:val="nil"/>
            </w:tcBorders>
            <w:noWrap/>
          </w:tcPr>
          <w:p w:rsidR="00C049FF" w:rsidRPr="00C049FF" w:rsidRDefault="00C049FF" w:rsidP="00C049FF">
            <w:pPr>
              <w:spacing w:line="240" w:lineRule="auto"/>
              <w:jc w:val="center"/>
              <w:rPr>
                <w:rFonts w:ascii="Arial" w:eastAsia="Calibri" w:hAnsi="Arial" w:cs="Arial"/>
                <w:bCs/>
                <w:sz w:val="20"/>
                <w:szCs w:val="20"/>
              </w:rPr>
            </w:pPr>
            <w:r w:rsidRPr="00C049FF">
              <w:rPr>
                <w:rFonts w:ascii="Arial" w:eastAsia="Calibri" w:hAnsi="Arial" w:cs="Arial"/>
                <w:bCs/>
                <w:sz w:val="20"/>
                <w:szCs w:val="20"/>
              </w:rPr>
              <w:t>1.08</w:t>
            </w:r>
          </w:p>
        </w:tc>
        <w:tc>
          <w:tcPr>
            <w:tcW w:w="1559" w:type="dxa"/>
            <w:gridSpan w:val="2"/>
            <w:tcBorders>
              <w:top w:val="nil"/>
              <w:left w:val="nil"/>
              <w:bottom w:val="nil"/>
              <w:right w:val="nil"/>
            </w:tcBorders>
            <w:noWrap/>
          </w:tcPr>
          <w:p w:rsidR="00C049FF" w:rsidRPr="00C049FF" w:rsidRDefault="00C049FF" w:rsidP="00C049FF">
            <w:pPr>
              <w:spacing w:line="240" w:lineRule="auto"/>
              <w:jc w:val="center"/>
              <w:rPr>
                <w:rFonts w:ascii="Arial" w:eastAsia="Calibri" w:hAnsi="Arial" w:cs="Arial"/>
                <w:bCs/>
                <w:sz w:val="20"/>
                <w:szCs w:val="20"/>
              </w:rPr>
            </w:pPr>
            <w:r w:rsidRPr="00C049FF">
              <w:rPr>
                <w:rFonts w:ascii="Arial" w:eastAsia="Calibri" w:hAnsi="Arial" w:cs="Arial"/>
                <w:bCs/>
                <w:sz w:val="20"/>
                <w:szCs w:val="20"/>
              </w:rPr>
              <w:t>1.05-1.10</w:t>
            </w:r>
          </w:p>
        </w:tc>
        <w:tc>
          <w:tcPr>
            <w:tcW w:w="1560" w:type="dxa"/>
            <w:tcBorders>
              <w:top w:val="nil"/>
              <w:left w:val="nil"/>
              <w:bottom w:val="nil"/>
              <w:right w:val="nil"/>
            </w:tcBorders>
            <w:noWrap/>
          </w:tcPr>
          <w:p w:rsidR="00C049FF" w:rsidRPr="00C049FF" w:rsidRDefault="00C049FF" w:rsidP="00C049FF">
            <w:pPr>
              <w:spacing w:line="240" w:lineRule="auto"/>
              <w:jc w:val="center"/>
              <w:rPr>
                <w:rFonts w:ascii="Arial" w:eastAsia="Calibri" w:hAnsi="Arial" w:cs="Arial"/>
                <w:bCs/>
                <w:sz w:val="20"/>
                <w:szCs w:val="20"/>
              </w:rPr>
            </w:pPr>
            <w:r w:rsidRPr="00C049FF">
              <w:rPr>
                <w:rFonts w:ascii="Arial" w:eastAsia="Calibri" w:hAnsi="Arial" w:cs="Arial"/>
                <w:bCs/>
                <w:sz w:val="20"/>
                <w:szCs w:val="20"/>
              </w:rPr>
              <w:t>4</w:t>
            </w:r>
          </w:p>
        </w:tc>
        <w:tc>
          <w:tcPr>
            <w:tcW w:w="1134" w:type="dxa"/>
            <w:gridSpan w:val="3"/>
            <w:tcBorders>
              <w:top w:val="nil"/>
              <w:left w:val="nil"/>
              <w:bottom w:val="nil"/>
              <w:right w:val="nil"/>
            </w:tcBorders>
            <w:noWrap/>
          </w:tcPr>
          <w:p w:rsidR="00C049FF" w:rsidRPr="00C049FF" w:rsidRDefault="00C049FF" w:rsidP="00C049FF">
            <w:pPr>
              <w:spacing w:line="240" w:lineRule="auto"/>
              <w:jc w:val="center"/>
              <w:rPr>
                <w:rFonts w:ascii="Arial" w:eastAsia="Calibri" w:hAnsi="Arial" w:cs="Arial"/>
                <w:bCs/>
                <w:sz w:val="20"/>
                <w:szCs w:val="20"/>
              </w:rPr>
            </w:pPr>
            <w:r w:rsidRPr="00C049FF">
              <w:rPr>
                <w:rFonts w:ascii="Arial" w:eastAsia="Calibri" w:hAnsi="Arial" w:cs="Arial"/>
                <w:bCs/>
                <w:sz w:val="20"/>
                <w:szCs w:val="20"/>
              </w:rPr>
              <w:t>0</w:t>
            </w:r>
          </w:p>
        </w:tc>
        <w:tc>
          <w:tcPr>
            <w:tcW w:w="1275" w:type="dxa"/>
            <w:gridSpan w:val="2"/>
            <w:tcBorders>
              <w:top w:val="nil"/>
              <w:left w:val="nil"/>
              <w:bottom w:val="nil"/>
              <w:right w:val="nil"/>
            </w:tcBorders>
            <w:noWrap/>
          </w:tcPr>
          <w:p w:rsidR="00C049FF" w:rsidRPr="00C049FF" w:rsidRDefault="00C049FF" w:rsidP="00C049FF">
            <w:pPr>
              <w:spacing w:line="240" w:lineRule="auto"/>
              <w:jc w:val="center"/>
              <w:rPr>
                <w:rFonts w:ascii="Arial" w:eastAsia="Calibri" w:hAnsi="Arial" w:cs="Arial"/>
                <w:bCs/>
                <w:sz w:val="20"/>
                <w:szCs w:val="20"/>
              </w:rPr>
            </w:pPr>
            <w:r w:rsidRPr="00C049FF">
              <w:rPr>
                <w:rFonts w:ascii="Arial" w:eastAsia="Calibri" w:hAnsi="Arial" w:cs="Arial"/>
                <w:bCs/>
                <w:sz w:val="20"/>
                <w:szCs w:val="20"/>
              </w:rPr>
              <w:t>&lt;0.001</w:t>
            </w:r>
          </w:p>
        </w:tc>
      </w:tr>
      <w:tr w:rsidR="00C049FF" w:rsidRPr="00C049FF" w:rsidTr="002B1780">
        <w:trPr>
          <w:gridAfter w:val="1"/>
          <w:wAfter w:w="327" w:type="dxa"/>
          <w:trHeight w:val="340"/>
        </w:trPr>
        <w:tc>
          <w:tcPr>
            <w:tcW w:w="9067" w:type="dxa"/>
            <w:gridSpan w:val="10"/>
            <w:tcBorders>
              <w:top w:val="nil"/>
              <w:left w:val="nil"/>
              <w:bottom w:val="nil"/>
              <w:right w:val="nil"/>
            </w:tcBorders>
            <w:vAlign w:val="bottom"/>
          </w:tcPr>
          <w:p w:rsidR="00C049FF" w:rsidRPr="00C049FF" w:rsidRDefault="00C049FF" w:rsidP="00C049FF">
            <w:pPr>
              <w:spacing w:line="240" w:lineRule="auto"/>
              <w:rPr>
                <w:rFonts w:ascii="Arial" w:eastAsia="Calibri" w:hAnsi="Arial" w:cs="Arial"/>
                <w:sz w:val="18"/>
                <w:szCs w:val="18"/>
              </w:rPr>
            </w:pPr>
            <w:r w:rsidRPr="00C049FF">
              <w:rPr>
                <w:rFonts w:ascii="Arial" w:eastAsia="Calibri" w:hAnsi="Arial" w:cs="Arial"/>
                <w:b/>
                <w:i/>
                <w:sz w:val="18"/>
                <w:szCs w:val="18"/>
              </w:rPr>
              <w:t>Sensitivity analysis excluding the following studies:</w:t>
            </w:r>
          </w:p>
        </w:tc>
      </w:tr>
      <w:tr w:rsidR="00C049FF" w:rsidRPr="00C049FF" w:rsidTr="002B1780">
        <w:trPr>
          <w:gridAfter w:val="1"/>
          <w:wAfter w:w="327" w:type="dxa"/>
          <w:trHeight w:val="255"/>
        </w:trPr>
        <w:tc>
          <w:tcPr>
            <w:tcW w:w="2122" w:type="dxa"/>
            <w:tcBorders>
              <w:top w:val="nil"/>
              <w:left w:val="nil"/>
              <w:bottom w:val="nil"/>
              <w:right w:val="nil"/>
            </w:tcBorders>
            <w:hideMark/>
          </w:tcPr>
          <w:p w:rsidR="00C049FF" w:rsidRPr="00C049FF" w:rsidRDefault="00C049FF" w:rsidP="00C049FF">
            <w:pPr>
              <w:spacing w:line="240" w:lineRule="auto"/>
              <w:rPr>
                <w:rFonts w:ascii="Arial" w:eastAsia="Calibri" w:hAnsi="Arial" w:cs="Arial"/>
                <w:sz w:val="18"/>
                <w:szCs w:val="18"/>
              </w:rPr>
            </w:pPr>
            <w:r w:rsidRPr="00C049FF">
              <w:rPr>
                <w:rFonts w:ascii="Arial" w:eastAsia="Calibri" w:hAnsi="Arial" w:cs="Arial"/>
                <w:sz w:val="18"/>
                <w:szCs w:val="18"/>
              </w:rPr>
              <w:t>Objectively measured T2D</w:t>
            </w:r>
          </w:p>
        </w:tc>
        <w:tc>
          <w:tcPr>
            <w:tcW w:w="1417" w:type="dxa"/>
            <w:tcBorders>
              <w:top w:val="nil"/>
              <w:left w:val="nil"/>
              <w:bottom w:val="nil"/>
              <w:right w:val="nil"/>
            </w:tcBorders>
            <w:shd w:val="clear" w:color="auto" w:fill="auto"/>
            <w:noWrap/>
            <w:vAlign w:val="bottom"/>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1.08</w:t>
            </w:r>
          </w:p>
        </w:tc>
        <w:tc>
          <w:tcPr>
            <w:tcW w:w="1559" w:type="dxa"/>
            <w:gridSpan w:val="2"/>
            <w:tcBorders>
              <w:top w:val="nil"/>
              <w:left w:val="nil"/>
              <w:bottom w:val="nil"/>
              <w:right w:val="nil"/>
            </w:tcBorders>
            <w:shd w:val="clear" w:color="auto" w:fill="auto"/>
            <w:noWrap/>
            <w:vAlign w:val="bottom"/>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1.07-1.10</w:t>
            </w:r>
          </w:p>
        </w:tc>
        <w:tc>
          <w:tcPr>
            <w:tcW w:w="1560" w:type="dxa"/>
            <w:tcBorders>
              <w:top w:val="nil"/>
              <w:left w:val="nil"/>
              <w:bottom w:val="nil"/>
              <w:right w:val="nil"/>
            </w:tcBorders>
            <w:shd w:val="clear" w:color="auto" w:fill="auto"/>
            <w:noWrap/>
            <w:vAlign w:val="bottom"/>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4</w:t>
            </w:r>
          </w:p>
        </w:tc>
        <w:tc>
          <w:tcPr>
            <w:tcW w:w="1134" w:type="dxa"/>
            <w:gridSpan w:val="3"/>
            <w:tcBorders>
              <w:top w:val="nil"/>
              <w:left w:val="nil"/>
              <w:bottom w:val="nil"/>
              <w:right w:val="nil"/>
            </w:tcBorders>
            <w:shd w:val="clear" w:color="auto" w:fill="auto"/>
            <w:noWrap/>
            <w:vAlign w:val="bottom"/>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78.9</w:t>
            </w:r>
          </w:p>
        </w:tc>
        <w:tc>
          <w:tcPr>
            <w:tcW w:w="1275" w:type="dxa"/>
            <w:gridSpan w:val="2"/>
            <w:tcBorders>
              <w:top w:val="nil"/>
              <w:left w:val="nil"/>
              <w:bottom w:val="nil"/>
              <w:right w:val="nil"/>
            </w:tcBorders>
            <w:shd w:val="clear" w:color="auto" w:fill="auto"/>
            <w:noWrap/>
            <w:vAlign w:val="bottom"/>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&lt;0.001</w:t>
            </w:r>
          </w:p>
        </w:tc>
      </w:tr>
      <w:tr w:rsidR="00C049FF" w:rsidRPr="00C049FF" w:rsidTr="002B1780">
        <w:trPr>
          <w:gridAfter w:val="1"/>
          <w:wAfter w:w="327" w:type="dxa"/>
          <w:trHeight w:val="255"/>
        </w:trPr>
        <w:tc>
          <w:tcPr>
            <w:tcW w:w="2122" w:type="dxa"/>
            <w:tcBorders>
              <w:top w:val="nil"/>
              <w:left w:val="nil"/>
              <w:bottom w:val="nil"/>
              <w:right w:val="nil"/>
            </w:tcBorders>
            <w:shd w:val="clear" w:color="auto" w:fill="BFBFBF"/>
            <w:hideMark/>
          </w:tcPr>
          <w:p w:rsidR="00C049FF" w:rsidRPr="00C049FF" w:rsidRDefault="00C049FF" w:rsidP="00C049FF">
            <w:pPr>
              <w:spacing w:line="240" w:lineRule="auto"/>
              <w:rPr>
                <w:rFonts w:ascii="Arial" w:eastAsia="Calibri" w:hAnsi="Arial" w:cs="Arial"/>
                <w:sz w:val="18"/>
                <w:szCs w:val="18"/>
              </w:rPr>
            </w:pPr>
            <w:r w:rsidRPr="00C049FF">
              <w:rPr>
                <w:rFonts w:ascii="Arial" w:eastAsia="Calibri" w:hAnsi="Arial" w:cs="Arial"/>
                <w:sz w:val="18"/>
                <w:szCs w:val="18"/>
              </w:rPr>
              <w:t>Follow-up &lt;5yrs</w:t>
            </w:r>
          </w:p>
        </w:tc>
        <w:tc>
          <w:tcPr>
            <w:tcW w:w="1417" w:type="dxa"/>
            <w:tcBorders>
              <w:top w:val="nil"/>
              <w:left w:val="nil"/>
              <w:bottom w:val="nil"/>
              <w:right w:val="nil"/>
            </w:tcBorders>
            <w:shd w:val="clear" w:color="auto" w:fill="BFBFBF"/>
            <w:noWrap/>
            <w:vAlign w:val="bottom"/>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1.10</w:t>
            </w:r>
          </w:p>
        </w:tc>
        <w:tc>
          <w:tcPr>
            <w:tcW w:w="1559" w:type="dxa"/>
            <w:gridSpan w:val="2"/>
            <w:tcBorders>
              <w:top w:val="nil"/>
              <w:left w:val="nil"/>
              <w:bottom w:val="nil"/>
              <w:right w:val="nil"/>
            </w:tcBorders>
            <w:shd w:val="clear" w:color="auto" w:fill="BFBFBF"/>
            <w:noWrap/>
            <w:vAlign w:val="bottom"/>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1.07-1.13</w:t>
            </w:r>
          </w:p>
        </w:tc>
        <w:tc>
          <w:tcPr>
            <w:tcW w:w="1560" w:type="dxa"/>
            <w:tcBorders>
              <w:top w:val="nil"/>
              <w:left w:val="nil"/>
              <w:bottom w:val="nil"/>
              <w:right w:val="nil"/>
            </w:tcBorders>
            <w:shd w:val="clear" w:color="auto" w:fill="BFBFBF"/>
            <w:noWrap/>
            <w:vAlign w:val="bottom"/>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4</w:t>
            </w:r>
          </w:p>
        </w:tc>
        <w:tc>
          <w:tcPr>
            <w:tcW w:w="1134" w:type="dxa"/>
            <w:gridSpan w:val="3"/>
            <w:tcBorders>
              <w:top w:val="nil"/>
              <w:left w:val="nil"/>
              <w:bottom w:val="nil"/>
              <w:right w:val="nil"/>
            </w:tcBorders>
            <w:shd w:val="clear" w:color="auto" w:fill="BFBFBF"/>
            <w:noWrap/>
            <w:vAlign w:val="bottom"/>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48.6</w:t>
            </w:r>
          </w:p>
        </w:tc>
        <w:tc>
          <w:tcPr>
            <w:tcW w:w="1275" w:type="dxa"/>
            <w:gridSpan w:val="2"/>
            <w:tcBorders>
              <w:top w:val="nil"/>
              <w:left w:val="nil"/>
              <w:bottom w:val="nil"/>
              <w:right w:val="nil"/>
            </w:tcBorders>
            <w:shd w:val="clear" w:color="auto" w:fill="BFBFBF"/>
            <w:noWrap/>
            <w:vAlign w:val="bottom"/>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&lt;0.001</w:t>
            </w:r>
          </w:p>
        </w:tc>
      </w:tr>
      <w:tr w:rsidR="00C049FF" w:rsidRPr="00C049FF" w:rsidTr="002B1780">
        <w:trPr>
          <w:gridAfter w:val="1"/>
          <w:wAfter w:w="327" w:type="dxa"/>
          <w:trHeight w:val="255"/>
        </w:trPr>
        <w:tc>
          <w:tcPr>
            <w:tcW w:w="2122" w:type="dxa"/>
            <w:tcBorders>
              <w:top w:val="nil"/>
              <w:left w:val="nil"/>
              <w:bottom w:val="single" w:sz="4" w:space="0" w:color="auto"/>
              <w:right w:val="nil"/>
            </w:tcBorders>
            <w:shd w:val="clear" w:color="auto" w:fill="auto"/>
          </w:tcPr>
          <w:p w:rsidR="00C049FF" w:rsidRPr="00C049FF" w:rsidRDefault="00C049FF" w:rsidP="00C049FF">
            <w:pPr>
              <w:spacing w:line="240" w:lineRule="auto"/>
              <w:rPr>
                <w:rFonts w:ascii="Arial" w:eastAsia="Calibri" w:hAnsi="Arial" w:cs="Arial"/>
                <w:sz w:val="18"/>
                <w:szCs w:val="18"/>
              </w:rPr>
            </w:pPr>
            <w:r w:rsidRPr="00C049FF">
              <w:rPr>
                <w:rFonts w:ascii="Arial" w:eastAsia="Calibri" w:hAnsi="Arial" w:cs="Arial"/>
                <w:sz w:val="18"/>
                <w:szCs w:val="18"/>
              </w:rPr>
              <w:t>Studies with n&lt;10000</w:t>
            </w:r>
          </w:p>
        </w:tc>
        <w:tc>
          <w:tcPr>
            <w:tcW w:w="1417" w:type="dxa"/>
            <w:tcBorders>
              <w:top w:val="nil"/>
              <w:left w:val="nil"/>
              <w:bottom w:val="single" w:sz="4" w:space="0" w:color="auto"/>
              <w:right w:val="nil"/>
            </w:tcBorders>
            <w:shd w:val="clear" w:color="auto" w:fill="auto"/>
            <w:noWrap/>
            <w:vAlign w:val="bottom"/>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1.10</w:t>
            </w:r>
          </w:p>
        </w:tc>
        <w:tc>
          <w:tcPr>
            <w:tcW w:w="1559" w:type="dxa"/>
            <w:gridSpan w:val="2"/>
            <w:tcBorders>
              <w:top w:val="nil"/>
              <w:left w:val="nil"/>
              <w:bottom w:val="single" w:sz="4" w:space="0" w:color="auto"/>
              <w:right w:val="nil"/>
            </w:tcBorders>
            <w:shd w:val="clear" w:color="auto" w:fill="auto"/>
            <w:noWrap/>
            <w:vAlign w:val="bottom"/>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1.07-1.13</w:t>
            </w:r>
          </w:p>
        </w:tc>
        <w:tc>
          <w:tcPr>
            <w:tcW w:w="1560" w:type="dxa"/>
            <w:tcBorders>
              <w:top w:val="nil"/>
              <w:left w:val="nil"/>
              <w:bottom w:val="single" w:sz="4" w:space="0" w:color="auto"/>
              <w:right w:val="nil"/>
            </w:tcBorders>
            <w:shd w:val="clear" w:color="auto" w:fill="auto"/>
            <w:noWrap/>
            <w:vAlign w:val="bottom"/>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4</w:t>
            </w:r>
          </w:p>
        </w:tc>
        <w:tc>
          <w:tcPr>
            <w:tcW w:w="1134" w:type="dxa"/>
            <w:gridSpan w:val="3"/>
            <w:tcBorders>
              <w:top w:val="nil"/>
              <w:left w:val="nil"/>
              <w:bottom w:val="single" w:sz="4" w:space="0" w:color="auto"/>
              <w:right w:val="nil"/>
            </w:tcBorders>
            <w:shd w:val="clear" w:color="auto" w:fill="auto"/>
            <w:noWrap/>
            <w:vAlign w:val="bottom"/>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51.4</w:t>
            </w:r>
          </w:p>
        </w:tc>
        <w:tc>
          <w:tcPr>
            <w:tcW w:w="1275" w:type="dxa"/>
            <w:gridSpan w:val="2"/>
            <w:tcBorders>
              <w:top w:val="nil"/>
              <w:left w:val="nil"/>
              <w:bottom w:val="single" w:sz="4" w:space="0" w:color="auto"/>
              <w:right w:val="nil"/>
            </w:tcBorders>
            <w:shd w:val="clear" w:color="auto" w:fill="auto"/>
            <w:noWrap/>
            <w:vAlign w:val="bottom"/>
          </w:tcPr>
          <w:p w:rsidR="00C049FF" w:rsidRPr="00C049FF" w:rsidRDefault="00C049FF" w:rsidP="00C049FF">
            <w:pPr>
              <w:spacing w:line="240" w:lineRule="auto"/>
              <w:jc w:val="center"/>
              <w:rPr>
                <w:rFonts w:ascii="Arial" w:eastAsia="Calibri" w:hAnsi="Arial" w:cs="Arial"/>
                <w:sz w:val="18"/>
                <w:szCs w:val="18"/>
              </w:rPr>
            </w:pPr>
            <w:r w:rsidRPr="00C049FF">
              <w:rPr>
                <w:rFonts w:ascii="Arial" w:eastAsia="Calibri" w:hAnsi="Arial" w:cs="Arial"/>
                <w:sz w:val="18"/>
                <w:szCs w:val="18"/>
              </w:rPr>
              <w:t>&lt;0.001</w:t>
            </w:r>
          </w:p>
        </w:tc>
      </w:tr>
      <w:tr w:rsidR="00C049FF" w:rsidRPr="00C049FF" w:rsidTr="002B1780">
        <w:trPr>
          <w:gridAfter w:val="1"/>
          <w:wAfter w:w="327" w:type="dxa"/>
          <w:trHeight w:val="255"/>
        </w:trPr>
        <w:tc>
          <w:tcPr>
            <w:tcW w:w="9067" w:type="dxa"/>
            <w:gridSpan w:val="10"/>
            <w:tcBorders>
              <w:top w:val="single" w:sz="4" w:space="0" w:color="auto"/>
              <w:left w:val="nil"/>
              <w:bottom w:val="nil"/>
              <w:right w:val="nil"/>
            </w:tcBorders>
            <w:shd w:val="clear" w:color="auto" w:fill="auto"/>
          </w:tcPr>
          <w:p w:rsidR="00C049FF" w:rsidRPr="00C049FF" w:rsidRDefault="00C049FF" w:rsidP="00C049FF">
            <w:pPr>
              <w:spacing w:line="240" w:lineRule="auto"/>
              <w:rPr>
                <w:rFonts w:ascii="Arial" w:eastAsia="Calibri" w:hAnsi="Arial" w:cs="Arial"/>
                <w:sz w:val="18"/>
                <w:szCs w:val="18"/>
              </w:rPr>
            </w:pPr>
            <w:r w:rsidRPr="00C049FF">
              <w:rPr>
                <w:rFonts w:ascii="Arial" w:eastAsia="Calibri" w:hAnsi="Arial" w:cs="Arial"/>
                <w:sz w:val="18"/>
                <w:szCs w:val="18"/>
              </w:rPr>
              <w:t>*included studies might not be PA adjusted</w:t>
            </w:r>
          </w:p>
        </w:tc>
      </w:tr>
      <w:tr w:rsidR="00C049FF" w:rsidRPr="00C049FF" w:rsidTr="002B1780">
        <w:trPr>
          <w:gridAfter w:val="1"/>
          <w:wAfter w:w="327" w:type="dxa"/>
          <w:trHeight w:val="255"/>
        </w:trPr>
        <w:tc>
          <w:tcPr>
            <w:tcW w:w="9067" w:type="dxa"/>
            <w:gridSpan w:val="10"/>
            <w:tcBorders>
              <w:top w:val="nil"/>
              <w:left w:val="nil"/>
              <w:bottom w:val="nil"/>
              <w:right w:val="nil"/>
            </w:tcBorders>
          </w:tcPr>
          <w:p w:rsidR="00C049FF" w:rsidRPr="00C049FF" w:rsidRDefault="00C049FF" w:rsidP="00C049FF">
            <w:pPr>
              <w:spacing w:line="240" w:lineRule="auto"/>
              <w:rPr>
                <w:rFonts w:ascii="Arial" w:eastAsia="Calibri" w:hAnsi="Arial" w:cs="Arial"/>
                <w:sz w:val="18"/>
                <w:szCs w:val="18"/>
              </w:rPr>
            </w:pPr>
          </w:p>
        </w:tc>
      </w:tr>
    </w:tbl>
    <w:p w:rsidR="00FF227B" w:rsidRPr="009448E0" w:rsidRDefault="00FF227B" w:rsidP="00890252">
      <w:pPr>
        <w:spacing w:line="259" w:lineRule="auto"/>
        <w:rPr>
          <w:color w:val="FFFFFF" w:themeColor="background1"/>
        </w:rPr>
      </w:pPr>
      <w:r>
        <w:rPr>
          <w:noProof/>
          <w:color w:val="FFFFFF" w:themeColor="background1"/>
        </w:rPr>
        <w:t>8-71)</w:t>
      </w:r>
    </w:p>
    <w:p w:rsidR="000C79D7" w:rsidRDefault="000C79D7">
      <w:pPr>
        <w:sectPr w:rsidR="000C79D7" w:rsidSect="00C049FF">
          <w:pgSz w:w="11906" w:h="16838"/>
          <w:pgMar w:top="720" w:right="720" w:bottom="720" w:left="720" w:header="708" w:footer="708" w:gutter="0"/>
          <w:cols w:space="708"/>
          <w:docGrid w:linePitch="360"/>
        </w:sectPr>
      </w:pPr>
    </w:p>
    <w:tbl>
      <w:tblPr>
        <w:tblW w:w="13442" w:type="dxa"/>
        <w:tblLook w:val="04A0"/>
      </w:tblPr>
      <w:tblGrid>
        <w:gridCol w:w="1196"/>
        <w:gridCol w:w="666"/>
        <w:gridCol w:w="666"/>
        <w:gridCol w:w="666"/>
        <w:gridCol w:w="222"/>
        <w:gridCol w:w="1196"/>
        <w:gridCol w:w="666"/>
        <w:gridCol w:w="666"/>
        <w:gridCol w:w="666"/>
        <w:gridCol w:w="222"/>
        <w:gridCol w:w="1196"/>
        <w:gridCol w:w="666"/>
        <w:gridCol w:w="666"/>
        <w:gridCol w:w="666"/>
        <w:gridCol w:w="222"/>
        <w:gridCol w:w="1196"/>
        <w:gridCol w:w="666"/>
        <w:gridCol w:w="666"/>
        <w:gridCol w:w="666"/>
      </w:tblGrid>
      <w:tr w:rsidR="000C79D7" w:rsidRPr="00882B11" w:rsidTr="00AA2A99">
        <w:trPr>
          <w:trHeight w:val="270"/>
        </w:trPr>
        <w:tc>
          <w:tcPr>
            <w:tcW w:w="13442" w:type="dxa"/>
            <w:gridSpan w:val="19"/>
            <w:tcBorders>
              <w:top w:val="nil"/>
              <w:left w:val="nil"/>
              <w:bottom w:val="nil"/>
              <w:right w:val="nil"/>
            </w:tcBorders>
            <w:shd w:val="clear" w:color="auto" w:fill="auto"/>
            <w:noWrap/>
            <w:vAlign w:val="bottom"/>
            <w:hideMark/>
          </w:tcPr>
          <w:p w:rsidR="000C79D7" w:rsidRPr="00A81BEB" w:rsidRDefault="000C79D7" w:rsidP="000C79D7">
            <w:pPr>
              <w:spacing w:after="0" w:line="240" w:lineRule="auto"/>
              <w:rPr>
                <w:rFonts w:ascii="Calibri" w:eastAsia="Times New Roman" w:hAnsi="Calibri" w:cs="Times New Roman"/>
                <w:color w:val="000000"/>
                <w:sz w:val="20"/>
                <w:szCs w:val="20"/>
                <w:lang w:eastAsia="en-GB"/>
              </w:rPr>
            </w:pPr>
            <w:r w:rsidRPr="00A81BEB">
              <w:rPr>
                <w:rFonts w:ascii="Calibri" w:eastAsia="Times New Roman" w:hAnsi="Calibri" w:cs="Times New Roman"/>
                <w:color w:val="000000"/>
                <w:sz w:val="20"/>
                <w:szCs w:val="20"/>
                <w:lang w:eastAsia="en-GB"/>
              </w:rPr>
              <w:lastRenderedPageBreak/>
              <w:t>Appendix Table 7 - full output from the PA adjusted non-linear dose response meta-analysis for the associations of total sitting with health outcomes</w:t>
            </w:r>
            <w:r w:rsidR="00D97E28">
              <w:rPr>
                <w:rFonts w:ascii="Calibri" w:eastAsia="Times New Roman" w:hAnsi="Calibri" w:cs="Times New Roman"/>
                <w:color w:val="000000"/>
                <w:sz w:val="20"/>
                <w:szCs w:val="20"/>
                <w:lang w:eastAsia="en-GB"/>
              </w:rPr>
              <w:t>. RRs given for each dose for which there was a contributing data point.</w:t>
            </w:r>
          </w:p>
        </w:tc>
      </w:tr>
      <w:tr w:rsidR="000C79D7" w:rsidRPr="00882B11" w:rsidTr="00AA2A99">
        <w:trPr>
          <w:trHeight w:val="270"/>
        </w:trPr>
        <w:tc>
          <w:tcPr>
            <w:tcW w:w="3194" w:type="dxa"/>
            <w:gridSpan w:val="4"/>
            <w:tcBorders>
              <w:top w:val="single" w:sz="8" w:space="0" w:color="auto"/>
              <w:left w:val="nil"/>
              <w:bottom w:val="single" w:sz="8" w:space="0" w:color="auto"/>
              <w:right w:val="nil"/>
            </w:tcBorders>
            <w:shd w:val="clear" w:color="auto" w:fill="auto"/>
            <w:noWrap/>
            <w:vAlign w:val="bottom"/>
            <w:hideMark/>
          </w:tcPr>
          <w:p w:rsidR="000C79D7" w:rsidRPr="00A81BEB" w:rsidRDefault="000C79D7" w:rsidP="000C79D7">
            <w:pPr>
              <w:spacing w:after="0" w:line="240" w:lineRule="auto"/>
              <w:jc w:val="center"/>
              <w:rPr>
                <w:rFonts w:ascii="Calibri" w:eastAsia="Times New Roman" w:hAnsi="Calibri" w:cs="Times New Roman"/>
                <w:color w:val="000000"/>
                <w:sz w:val="20"/>
                <w:szCs w:val="20"/>
                <w:lang w:eastAsia="en-GB"/>
              </w:rPr>
            </w:pPr>
            <w:r w:rsidRPr="00A81BEB">
              <w:rPr>
                <w:rFonts w:ascii="Calibri" w:eastAsia="Times New Roman" w:hAnsi="Calibri" w:cs="Times New Roman"/>
                <w:color w:val="000000"/>
                <w:sz w:val="20"/>
                <w:szCs w:val="20"/>
                <w:lang w:eastAsia="en-GB"/>
              </w:rPr>
              <w:t>All-cause mortality</w:t>
            </w:r>
          </w:p>
        </w:tc>
        <w:tc>
          <w:tcPr>
            <w:tcW w:w="222" w:type="dxa"/>
            <w:tcBorders>
              <w:top w:val="nil"/>
              <w:left w:val="nil"/>
              <w:bottom w:val="nil"/>
              <w:right w:val="nil"/>
            </w:tcBorders>
            <w:shd w:val="clear" w:color="auto" w:fill="auto"/>
            <w:noWrap/>
            <w:vAlign w:val="bottom"/>
            <w:hideMark/>
          </w:tcPr>
          <w:p w:rsidR="000C79D7" w:rsidRPr="00A81BEB" w:rsidRDefault="000C79D7" w:rsidP="000C79D7">
            <w:pPr>
              <w:spacing w:after="0" w:line="240" w:lineRule="auto"/>
              <w:jc w:val="center"/>
              <w:rPr>
                <w:rFonts w:ascii="Calibri" w:eastAsia="Times New Roman" w:hAnsi="Calibri" w:cs="Times New Roman"/>
                <w:color w:val="000000"/>
                <w:sz w:val="20"/>
                <w:szCs w:val="20"/>
                <w:lang w:eastAsia="en-GB"/>
              </w:rPr>
            </w:pPr>
          </w:p>
        </w:tc>
        <w:tc>
          <w:tcPr>
            <w:tcW w:w="3194" w:type="dxa"/>
            <w:gridSpan w:val="4"/>
            <w:tcBorders>
              <w:top w:val="single" w:sz="8" w:space="0" w:color="auto"/>
              <w:left w:val="nil"/>
              <w:bottom w:val="single" w:sz="8" w:space="0" w:color="auto"/>
              <w:right w:val="nil"/>
            </w:tcBorders>
            <w:shd w:val="clear" w:color="auto" w:fill="auto"/>
            <w:noWrap/>
            <w:vAlign w:val="bottom"/>
            <w:hideMark/>
          </w:tcPr>
          <w:p w:rsidR="000C79D7" w:rsidRPr="00A81BEB" w:rsidRDefault="000C79D7" w:rsidP="000C79D7">
            <w:pPr>
              <w:spacing w:after="0" w:line="240" w:lineRule="auto"/>
              <w:jc w:val="center"/>
              <w:rPr>
                <w:rFonts w:ascii="Calibri" w:eastAsia="Times New Roman" w:hAnsi="Calibri" w:cs="Times New Roman"/>
                <w:color w:val="000000"/>
                <w:sz w:val="20"/>
                <w:szCs w:val="20"/>
                <w:lang w:eastAsia="en-GB"/>
              </w:rPr>
            </w:pPr>
            <w:r w:rsidRPr="00A81BEB">
              <w:rPr>
                <w:rFonts w:ascii="Calibri" w:eastAsia="Times New Roman" w:hAnsi="Calibri" w:cs="Times New Roman"/>
                <w:color w:val="000000"/>
                <w:sz w:val="20"/>
                <w:szCs w:val="20"/>
                <w:lang w:eastAsia="en-GB"/>
              </w:rPr>
              <w:t>CVD mortality</w:t>
            </w:r>
          </w:p>
        </w:tc>
        <w:tc>
          <w:tcPr>
            <w:tcW w:w="222" w:type="dxa"/>
            <w:tcBorders>
              <w:top w:val="nil"/>
              <w:left w:val="nil"/>
              <w:bottom w:val="nil"/>
              <w:right w:val="nil"/>
            </w:tcBorders>
            <w:shd w:val="clear" w:color="auto" w:fill="auto"/>
            <w:noWrap/>
            <w:vAlign w:val="bottom"/>
            <w:hideMark/>
          </w:tcPr>
          <w:p w:rsidR="000C79D7" w:rsidRPr="00A81BEB" w:rsidRDefault="000C79D7" w:rsidP="000C79D7">
            <w:pPr>
              <w:spacing w:after="0" w:line="240" w:lineRule="auto"/>
              <w:jc w:val="center"/>
              <w:rPr>
                <w:rFonts w:ascii="Calibri" w:eastAsia="Times New Roman" w:hAnsi="Calibri" w:cs="Times New Roman"/>
                <w:color w:val="000000"/>
                <w:sz w:val="20"/>
                <w:szCs w:val="20"/>
                <w:lang w:eastAsia="en-GB"/>
              </w:rPr>
            </w:pPr>
          </w:p>
        </w:tc>
        <w:tc>
          <w:tcPr>
            <w:tcW w:w="3194" w:type="dxa"/>
            <w:gridSpan w:val="4"/>
            <w:tcBorders>
              <w:top w:val="single" w:sz="8" w:space="0" w:color="auto"/>
              <w:left w:val="nil"/>
              <w:bottom w:val="single" w:sz="8" w:space="0" w:color="auto"/>
              <w:right w:val="nil"/>
            </w:tcBorders>
            <w:shd w:val="clear" w:color="auto" w:fill="auto"/>
            <w:noWrap/>
            <w:vAlign w:val="bottom"/>
            <w:hideMark/>
          </w:tcPr>
          <w:p w:rsidR="000C79D7" w:rsidRPr="00A81BEB" w:rsidRDefault="000C79D7" w:rsidP="000C79D7">
            <w:pPr>
              <w:spacing w:after="0" w:line="240" w:lineRule="auto"/>
              <w:jc w:val="center"/>
              <w:rPr>
                <w:rFonts w:ascii="Calibri" w:eastAsia="Times New Roman" w:hAnsi="Calibri" w:cs="Times New Roman"/>
                <w:color w:val="000000"/>
                <w:sz w:val="20"/>
                <w:szCs w:val="20"/>
                <w:lang w:eastAsia="en-GB"/>
              </w:rPr>
            </w:pPr>
            <w:r w:rsidRPr="00A81BEB">
              <w:rPr>
                <w:rFonts w:ascii="Calibri" w:eastAsia="Times New Roman" w:hAnsi="Calibri" w:cs="Times New Roman"/>
                <w:color w:val="000000"/>
                <w:sz w:val="20"/>
                <w:szCs w:val="20"/>
                <w:lang w:eastAsia="en-GB"/>
              </w:rPr>
              <w:t>Cancer mortality</w:t>
            </w:r>
          </w:p>
        </w:tc>
        <w:tc>
          <w:tcPr>
            <w:tcW w:w="222" w:type="dxa"/>
            <w:tcBorders>
              <w:top w:val="nil"/>
              <w:left w:val="nil"/>
              <w:bottom w:val="nil"/>
              <w:right w:val="nil"/>
            </w:tcBorders>
            <w:shd w:val="clear" w:color="auto" w:fill="auto"/>
            <w:noWrap/>
            <w:vAlign w:val="bottom"/>
            <w:hideMark/>
          </w:tcPr>
          <w:p w:rsidR="000C79D7" w:rsidRPr="00A81BEB" w:rsidRDefault="000C79D7" w:rsidP="000C79D7">
            <w:pPr>
              <w:spacing w:after="0" w:line="240" w:lineRule="auto"/>
              <w:jc w:val="center"/>
              <w:rPr>
                <w:rFonts w:ascii="Calibri" w:eastAsia="Times New Roman" w:hAnsi="Calibri" w:cs="Times New Roman"/>
                <w:color w:val="000000"/>
                <w:sz w:val="20"/>
                <w:szCs w:val="20"/>
                <w:lang w:eastAsia="en-GB"/>
              </w:rPr>
            </w:pPr>
          </w:p>
        </w:tc>
        <w:tc>
          <w:tcPr>
            <w:tcW w:w="3194" w:type="dxa"/>
            <w:gridSpan w:val="4"/>
            <w:tcBorders>
              <w:top w:val="single" w:sz="8" w:space="0" w:color="auto"/>
              <w:left w:val="nil"/>
              <w:bottom w:val="single" w:sz="8" w:space="0" w:color="auto"/>
              <w:right w:val="nil"/>
            </w:tcBorders>
            <w:shd w:val="clear" w:color="auto" w:fill="auto"/>
            <w:noWrap/>
            <w:vAlign w:val="bottom"/>
            <w:hideMark/>
          </w:tcPr>
          <w:p w:rsidR="000C79D7" w:rsidRPr="00A81BEB" w:rsidRDefault="000C79D7" w:rsidP="000C79D7">
            <w:pPr>
              <w:spacing w:after="0" w:line="240" w:lineRule="auto"/>
              <w:jc w:val="center"/>
              <w:rPr>
                <w:rFonts w:ascii="Calibri" w:eastAsia="Times New Roman" w:hAnsi="Calibri" w:cs="Times New Roman"/>
                <w:color w:val="000000"/>
                <w:sz w:val="20"/>
                <w:szCs w:val="20"/>
                <w:lang w:eastAsia="en-GB"/>
              </w:rPr>
            </w:pPr>
            <w:r w:rsidRPr="00A81BEB">
              <w:rPr>
                <w:rFonts w:ascii="Calibri" w:eastAsia="Times New Roman" w:hAnsi="Calibri" w:cs="Times New Roman"/>
                <w:color w:val="000000"/>
                <w:sz w:val="20"/>
                <w:szCs w:val="20"/>
                <w:lang w:eastAsia="en-GB"/>
              </w:rPr>
              <w:t>Type 2 Diabetes</w:t>
            </w:r>
          </w:p>
        </w:tc>
      </w:tr>
      <w:tr w:rsidR="000C79D7" w:rsidRPr="00882B11" w:rsidTr="00AA2A99">
        <w:trPr>
          <w:trHeight w:val="525"/>
        </w:trPr>
        <w:tc>
          <w:tcPr>
            <w:tcW w:w="1196" w:type="dxa"/>
            <w:tcBorders>
              <w:top w:val="nil"/>
              <w:left w:val="nil"/>
              <w:bottom w:val="single" w:sz="8" w:space="0" w:color="auto"/>
              <w:right w:val="nil"/>
            </w:tcBorders>
            <w:shd w:val="clear" w:color="auto" w:fill="auto"/>
            <w:vAlign w:val="bottom"/>
            <w:hideMark/>
          </w:tcPr>
          <w:p w:rsidR="000C79D7" w:rsidRPr="00A81BEB" w:rsidRDefault="000C79D7" w:rsidP="000C79D7">
            <w:pPr>
              <w:spacing w:after="0" w:line="240" w:lineRule="auto"/>
              <w:jc w:val="center"/>
              <w:rPr>
                <w:rFonts w:ascii="Calibri" w:eastAsia="Times New Roman" w:hAnsi="Calibri" w:cs="Times New Roman"/>
                <w:color w:val="000000"/>
                <w:sz w:val="20"/>
                <w:szCs w:val="20"/>
                <w:lang w:eastAsia="en-GB"/>
              </w:rPr>
            </w:pPr>
            <w:r w:rsidRPr="00A81BEB">
              <w:rPr>
                <w:rFonts w:ascii="Calibri" w:eastAsia="Times New Roman" w:hAnsi="Calibri" w:cs="Times New Roman"/>
                <w:color w:val="000000"/>
                <w:sz w:val="20"/>
                <w:szCs w:val="20"/>
                <w:lang w:eastAsia="en-GB"/>
              </w:rPr>
              <w:t>dose</w:t>
            </w:r>
            <w:r w:rsidRPr="00A81BEB">
              <w:rPr>
                <w:rFonts w:ascii="Calibri" w:eastAsia="Times New Roman" w:hAnsi="Calibri" w:cs="Times New Roman"/>
                <w:color w:val="000000"/>
                <w:sz w:val="20"/>
                <w:szCs w:val="20"/>
                <w:lang w:eastAsia="en-GB"/>
              </w:rPr>
              <w:br/>
              <w:t>h/day</w:t>
            </w:r>
          </w:p>
        </w:tc>
        <w:tc>
          <w:tcPr>
            <w:tcW w:w="666" w:type="dxa"/>
            <w:tcBorders>
              <w:top w:val="nil"/>
              <w:left w:val="nil"/>
              <w:bottom w:val="single" w:sz="8" w:space="0" w:color="auto"/>
              <w:right w:val="nil"/>
            </w:tcBorders>
            <w:shd w:val="clear" w:color="auto" w:fill="auto"/>
            <w:noWrap/>
            <w:vAlign w:val="bottom"/>
            <w:hideMark/>
          </w:tcPr>
          <w:p w:rsidR="000C79D7" w:rsidRPr="00A81BEB" w:rsidRDefault="000C79D7" w:rsidP="000C79D7">
            <w:pPr>
              <w:spacing w:after="0" w:line="240" w:lineRule="auto"/>
              <w:jc w:val="center"/>
              <w:rPr>
                <w:rFonts w:ascii="Calibri" w:eastAsia="Times New Roman" w:hAnsi="Calibri" w:cs="Times New Roman"/>
                <w:color w:val="000000"/>
                <w:sz w:val="20"/>
                <w:szCs w:val="20"/>
                <w:lang w:eastAsia="en-GB"/>
              </w:rPr>
            </w:pPr>
            <w:r w:rsidRPr="00A81BEB">
              <w:rPr>
                <w:rFonts w:ascii="Calibri" w:eastAsia="Times New Roman" w:hAnsi="Calibri" w:cs="Times New Roman"/>
                <w:color w:val="000000"/>
                <w:sz w:val="20"/>
                <w:szCs w:val="20"/>
                <w:lang w:eastAsia="en-GB"/>
              </w:rPr>
              <w:t>RR</w:t>
            </w:r>
          </w:p>
        </w:tc>
        <w:tc>
          <w:tcPr>
            <w:tcW w:w="666" w:type="dxa"/>
            <w:tcBorders>
              <w:top w:val="nil"/>
              <w:left w:val="nil"/>
              <w:bottom w:val="single" w:sz="8" w:space="0" w:color="auto"/>
              <w:right w:val="nil"/>
            </w:tcBorders>
            <w:shd w:val="clear" w:color="auto" w:fill="auto"/>
            <w:noWrap/>
            <w:vAlign w:val="bottom"/>
            <w:hideMark/>
          </w:tcPr>
          <w:p w:rsidR="000C79D7" w:rsidRPr="00A81BEB" w:rsidRDefault="000C79D7" w:rsidP="000C79D7">
            <w:pPr>
              <w:spacing w:after="0" w:line="240" w:lineRule="auto"/>
              <w:jc w:val="center"/>
              <w:rPr>
                <w:rFonts w:ascii="Calibri" w:eastAsia="Times New Roman" w:hAnsi="Calibri" w:cs="Times New Roman"/>
                <w:color w:val="000000"/>
                <w:sz w:val="20"/>
                <w:szCs w:val="20"/>
                <w:lang w:eastAsia="en-GB"/>
              </w:rPr>
            </w:pPr>
            <w:r w:rsidRPr="00A81BEB">
              <w:rPr>
                <w:rFonts w:ascii="Calibri" w:eastAsia="Times New Roman" w:hAnsi="Calibri" w:cs="Times New Roman"/>
                <w:color w:val="000000"/>
                <w:sz w:val="20"/>
                <w:szCs w:val="20"/>
                <w:lang w:eastAsia="en-GB"/>
              </w:rPr>
              <w:t>LCI</w:t>
            </w:r>
          </w:p>
        </w:tc>
        <w:tc>
          <w:tcPr>
            <w:tcW w:w="666" w:type="dxa"/>
            <w:tcBorders>
              <w:top w:val="nil"/>
              <w:left w:val="nil"/>
              <w:bottom w:val="single" w:sz="8" w:space="0" w:color="auto"/>
              <w:right w:val="nil"/>
            </w:tcBorders>
            <w:shd w:val="clear" w:color="auto" w:fill="auto"/>
            <w:noWrap/>
            <w:vAlign w:val="bottom"/>
            <w:hideMark/>
          </w:tcPr>
          <w:p w:rsidR="000C79D7" w:rsidRPr="00A81BEB" w:rsidRDefault="000C79D7" w:rsidP="000C79D7">
            <w:pPr>
              <w:spacing w:after="0" w:line="240" w:lineRule="auto"/>
              <w:jc w:val="center"/>
              <w:rPr>
                <w:rFonts w:ascii="Calibri" w:eastAsia="Times New Roman" w:hAnsi="Calibri" w:cs="Times New Roman"/>
                <w:color w:val="000000"/>
                <w:sz w:val="20"/>
                <w:szCs w:val="20"/>
                <w:lang w:eastAsia="en-GB"/>
              </w:rPr>
            </w:pPr>
            <w:r w:rsidRPr="00A81BEB">
              <w:rPr>
                <w:rFonts w:ascii="Calibri" w:eastAsia="Times New Roman" w:hAnsi="Calibri" w:cs="Times New Roman"/>
                <w:color w:val="000000"/>
                <w:sz w:val="20"/>
                <w:szCs w:val="20"/>
                <w:lang w:eastAsia="en-GB"/>
              </w:rPr>
              <w:t>UCI</w:t>
            </w:r>
          </w:p>
        </w:tc>
        <w:tc>
          <w:tcPr>
            <w:tcW w:w="222" w:type="dxa"/>
            <w:tcBorders>
              <w:top w:val="nil"/>
              <w:left w:val="nil"/>
              <w:bottom w:val="nil"/>
              <w:right w:val="nil"/>
            </w:tcBorders>
            <w:shd w:val="clear" w:color="auto" w:fill="auto"/>
            <w:noWrap/>
            <w:vAlign w:val="bottom"/>
            <w:hideMark/>
          </w:tcPr>
          <w:p w:rsidR="000C79D7" w:rsidRPr="00A81BEB" w:rsidRDefault="000C79D7" w:rsidP="000C79D7">
            <w:pPr>
              <w:spacing w:after="0" w:line="240" w:lineRule="auto"/>
              <w:rPr>
                <w:rFonts w:ascii="Calibri" w:eastAsia="Times New Roman" w:hAnsi="Calibri" w:cs="Times New Roman"/>
                <w:color w:val="000000"/>
                <w:sz w:val="20"/>
                <w:szCs w:val="20"/>
                <w:lang w:eastAsia="en-GB"/>
              </w:rPr>
            </w:pPr>
            <w:r w:rsidRPr="00A81BEB">
              <w:rPr>
                <w:rFonts w:ascii="Calibri" w:eastAsia="Times New Roman" w:hAnsi="Calibri" w:cs="Times New Roman"/>
                <w:color w:val="000000"/>
                <w:sz w:val="20"/>
                <w:szCs w:val="20"/>
                <w:lang w:eastAsia="en-GB"/>
              </w:rPr>
              <w:t xml:space="preserve"> </w:t>
            </w:r>
          </w:p>
        </w:tc>
        <w:tc>
          <w:tcPr>
            <w:tcW w:w="1196" w:type="dxa"/>
            <w:tcBorders>
              <w:top w:val="nil"/>
              <w:left w:val="nil"/>
              <w:bottom w:val="nil"/>
              <w:right w:val="nil"/>
            </w:tcBorders>
            <w:shd w:val="clear" w:color="auto" w:fill="auto"/>
            <w:vAlign w:val="bottom"/>
            <w:hideMark/>
          </w:tcPr>
          <w:p w:rsidR="000C79D7" w:rsidRPr="00A81BEB" w:rsidRDefault="000C79D7" w:rsidP="000C79D7">
            <w:pPr>
              <w:spacing w:after="0" w:line="240" w:lineRule="auto"/>
              <w:jc w:val="center"/>
              <w:rPr>
                <w:rFonts w:ascii="Calibri" w:eastAsia="Times New Roman" w:hAnsi="Calibri" w:cs="Times New Roman"/>
                <w:color w:val="000000"/>
                <w:sz w:val="20"/>
                <w:szCs w:val="20"/>
                <w:lang w:eastAsia="en-GB"/>
              </w:rPr>
            </w:pPr>
            <w:r w:rsidRPr="00A81BEB">
              <w:rPr>
                <w:rFonts w:ascii="Calibri" w:eastAsia="Times New Roman" w:hAnsi="Calibri" w:cs="Times New Roman"/>
                <w:color w:val="000000"/>
                <w:sz w:val="20"/>
                <w:szCs w:val="20"/>
                <w:lang w:eastAsia="en-GB"/>
              </w:rPr>
              <w:t>dose</w:t>
            </w:r>
            <w:r w:rsidRPr="00A81BEB">
              <w:rPr>
                <w:rFonts w:ascii="Calibri" w:eastAsia="Times New Roman" w:hAnsi="Calibri" w:cs="Times New Roman"/>
                <w:color w:val="000000"/>
                <w:sz w:val="20"/>
                <w:szCs w:val="20"/>
                <w:lang w:eastAsia="en-GB"/>
              </w:rPr>
              <w:br/>
              <w:t>h/day</w:t>
            </w:r>
          </w:p>
        </w:tc>
        <w:tc>
          <w:tcPr>
            <w:tcW w:w="666" w:type="dxa"/>
            <w:tcBorders>
              <w:top w:val="nil"/>
              <w:left w:val="nil"/>
              <w:bottom w:val="nil"/>
              <w:right w:val="nil"/>
            </w:tcBorders>
            <w:shd w:val="clear" w:color="auto" w:fill="auto"/>
            <w:noWrap/>
            <w:vAlign w:val="bottom"/>
            <w:hideMark/>
          </w:tcPr>
          <w:p w:rsidR="000C79D7" w:rsidRPr="00A81BEB" w:rsidRDefault="000C79D7" w:rsidP="000C79D7">
            <w:pPr>
              <w:spacing w:after="0" w:line="240" w:lineRule="auto"/>
              <w:jc w:val="center"/>
              <w:rPr>
                <w:rFonts w:ascii="Calibri" w:eastAsia="Times New Roman" w:hAnsi="Calibri" w:cs="Times New Roman"/>
                <w:color w:val="000000"/>
                <w:sz w:val="20"/>
                <w:szCs w:val="20"/>
                <w:lang w:eastAsia="en-GB"/>
              </w:rPr>
            </w:pPr>
            <w:r w:rsidRPr="00A81BEB">
              <w:rPr>
                <w:rFonts w:ascii="Calibri" w:eastAsia="Times New Roman" w:hAnsi="Calibri" w:cs="Times New Roman"/>
                <w:color w:val="000000"/>
                <w:sz w:val="20"/>
                <w:szCs w:val="20"/>
                <w:lang w:eastAsia="en-GB"/>
              </w:rPr>
              <w:t>RR</w:t>
            </w:r>
          </w:p>
        </w:tc>
        <w:tc>
          <w:tcPr>
            <w:tcW w:w="666" w:type="dxa"/>
            <w:tcBorders>
              <w:top w:val="nil"/>
              <w:left w:val="nil"/>
              <w:bottom w:val="nil"/>
              <w:right w:val="nil"/>
            </w:tcBorders>
            <w:shd w:val="clear" w:color="auto" w:fill="auto"/>
            <w:noWrap/>
            <w:vAlign w:val="bottom"/>
            <w:hideMark/>
          </w:tcPr>
          <w:p w:rsidR="000C79D7" w:rsidRPr="00A81BEB" w:rsidRDefault="000C79D7" w:rsidP="000C79D7">
            <w:pPr>
              <w:spacing w:after="0" w:line="240" w:lineRule="auto"/>
              <w:jc w:val="center"/>
              <w:rPr>
                <w:rFonts w:ascii="Calibri" w:eastAsia="Times New Roman" w:hAnsi="Calibri" w:cs="Times New Roman"/>
                <w:color w:val="000000"/>
                <w:sz w:val="20"/>
                <w:szCs w:val="20"/>
                <w:lang w:eastAsia="en-GB"/>
              </w:rPr>
            </w:pPr>
            <w:r w:rsidRPr="00A81BEB">
              <w:rPr>
                <w:rFonts w:ascii="Calibri" w:eastAsia="Times New Roman" w:hAnsi="Calibri" w:cs="Times New Roman"/>
                <w:color w:val="000000"/>
                <w:sz w:val="20"/>
                <w:szCs w:val="20"/>
                <w:lang w:eastAsia="en-GB"/>
              </w:rPr>
              <w:t>LCI</w:t>
            </w:r>
          </w:p>
        </w:tc>
        <w:tc>
          <w:tcPr>
            <w:tcW w:w="666" w:type="dxa"/>
            <w:tcBorders>
              <w:top w:val="nil"/>
              <w:left w:val="nil"/>
              <w:bottom w:val="nil"/>
              <w:right w:val="nil"/>
            </w:tcBorders>
            <w:shd w:val="clear" w:color="auto" w:fill="auto"/>
            <w:noWrap/>
            <w:vAlign w:val="bottom"/>
            <w:hideMark/>
          </w:tcPr>
          <w:p w:rsidR="000C79D7" w:rsidRPr="00A81BEB" w:rsidRDefault="000C79D7" w:rsidP="000C79D7">
            <w:pPr>
              <w:spacing w:after="0" w:line="240" w:lineRule="auto"/>
              <w:jc w:val="center"/>
              <w:rPr>
                <w:rFonts w:ascii="Calibri" w:eastAsia="Times New Roman" w:hAnsi="Calibri" w:cs="Times New Roman"/>
                <w:color w:val="000000"/>
                <w:sz w:val="20"/>
                <w:szCs w:val="20"/>
                <w:lang w:eastAsia="en-GB"/>
              </w:rPr>
            </w:pPr>
            <w:r w:rsidRPr="00A81BEB">
              <w:rPr>
                <w:rFonts w:ascii="Calibri" w:eastAsia="Times New Roman" w:hAnsi="Calibri" w:cs="Times New Roman"/>
                <w:color w:val="000000"/>
                <w:sz w:val="20"/>
                <w:szCs w:val="20"/>
                <w:lang w:eastAsia="en-GB"/>
              </w:rPr>
              <w:t>UCI</w:t>
            </w:r>
          </w:p>
        </w:tc>
        <w:tc>
          <w:tcPr>
            <w:tcW w:w="222" w:type="dxa"/>
            <w:tcBorders>
              <w:top w:val="nil"/>
              <w:left w:val="nil"/>
              <w:bottom w:val="nil"/>
              <w:right w:val="nil"/>
            </w:tcBorders>
            <w:shd w:val="clear" w:color="auto" w:fill="auto"/>
            <w:noWrap/>
            <w:vAlign w:val="bottom"/>
            <w:hideMark/>
          </w:tcPr>
          <w:p w:rsidR="000C79D7" w:rsidRPr="00A81BEB" w:rsidRDefault="000C79D7" w:rsidP="000C79D7">
            <w:pPr>
              <w:spacing w:after="0" w:line="240" w:lineRule="auto"/>
              <w:rPr>
                <w:rFonts w:ascii="Calibri" w:eastAsia="Times New Roman" w:hAnsi="Calibri" w:cs="Times New Roman"/>
                <w:color w:val="000000"/>
                <w:sz w:val="20"/>
                <w:szCs w:val="20"/>
                <w:lang w:eastAsia="en-GB"/>
              </w:rPr>
            </w:pPr>
            <w:r w:rsidRPr="00A81BEB">
              <w:rPr>
                <w:rFonts w:ascii="Calibri" w:eastAsia="Times New Roman" w:hAnsi="Calibri" w:cs="Times New Roman"/>
                <w:color w:val="000000"/>
                <w:sz w:val="20"/>
                <w:szCs w:val="20"/>
                <w:lang w:eastAsia="en-GB"/>
              </w:rPr>
              <w:t xml:space="preserve"> </w:t>
            </w:r>
          </w:p>
        </w:tc>
        <w:tc>
          <w:tcPr>
            <w:tcW w:w="1196" w:type="dxa"/>
            <w:tcBorders>
              <w:top w:val="nil"/>
              <w:left w:val="nil"/>
              <w:bottom w:val="single" w:sz="8" w:space="0" w:color="auto"/>
              <w:right w:val="nil"/>
            </w:tcBorders>
            <w:shd w:val="clear" w:color="auto" w:fill="auto"/>
            <w:vAlign w:val="bottom"/>
            <w:hideMark/>
          </w:tcPr>
          <w:p w:rsidR="000C79D7" w:rsidRPr="00A81BEB" w:rsidRDefault="000C79D7" w:rsidP="000C79D7">
            <w:pPr>
              <w:spacing w:after="0" w:line="240" w:lineRule="auto"/>
              <w:jc w:val="center"/>
              <w:rPr>
                <w:rFonts w:ascii="Calibri" w:eastAsia="Times New Roman" w:hAnsi="Calibri" w:cs="Times New Roman"/>
                <w:color w:val="000000"/>
                <w:sz w:val="20"/>
                <w:szCs w:val="20"/>
                <w:lang w:eastAsia="en-GB"/>
              </w:rPr>
            </w:pPr>
            <w:r w:rsidRPr="00A81BEB">
              <w:rPr>
                <w:rFonts w:ascii="Calibri" w:eastAsia="Times New Roman" w:hAnsi="Calibri" w:cs="Times New Roman"/>
                <w:color w:val="000000"/>
                <w:sz w:val="20"/>
                <w:szCs w:val="20"/>
                <w:lang w:eastAsia="en-GB"/>
              </w:rPr>
              <w:t>dose</w:t>
            </w:r>
            <w:r w:rsidRPr="00A81BEB">
              <w:rPr>
                <w:rFonts w:ascii="Calibri" w:eastAsia="Times New Roman" w:hAnsi="Calibri" w:cs="Times New Roman"/>
                <w:color w:val="000000"/>
                <w:sz w:val="20"/>
                <w:szCs w:val="20"/>
                <w:lang w:eastAsia="en-GB"/>
              </w:rPr>
              <w:br/>
              <w:t>h/day</w:t>
            </w:r>
          </w:p>
        </w:tc>
        <w:tc>
          <w:tcPr>
            <w:tcW w:w="666" w:type="dxa"/>
            <w:tcBorders>
              <w:top w:val="nil"/>
              <w:left w:val="nil"/>
              <w:bottom w:val="single" w:sz="8" w:space="0" w:color="auto"/>
              <w:right w:val="nil"/>
            </w:tcBorders>
            <w:shd w:val="clear" w:color="auto" w:fill="auto"/>
            <w:noWrap/>
            <w:vAlign w:val="bottom"/>
            <w:hideMark/>
          </w:tcPr>
          <w:p w:rsidR="000C79D7" w:rsidRPr="00A81BEB" w:rsidRDefault="000C79D7" w:rsidP="000C79D7">
            <w:pPr>
              <w:spacing w:after="0" w:line="240" w:lineRule="auto"/>
              <w:jc w:val="center"/>
              <w:rPr>
                <w:rFonts w:ascii="Calibri" w:eastAsia="Times New Roman" w:hAnsi="Calibri" w:cs="Times New Roman"/>
                <w:color w:val="000000"/>
                <w:sz w:val="20"/>
                <w:szCs w:val="20"/>
                <w:lang w:eastAsia="en-GB"/>
              </w:rPr>
            </w:pPr>
            <w:r w:rsidRPr="00A81BEB">
              <w:rPr>
                <w:rFonts w:ascii="Calibri" w:eastAsia="Times New Roman" w:hAnsi="Calibri" w:cs="Times New Roman"/>
                <w:color w:val="000000"/>
                <w:sz w:val="20"/>
                <w:szCs w:val="20"/>
                <w:lang w:eastAsia="en-GB"/>
              </w:rPr>
              <w:t>RR</w:t>
            </w:r>
          </w:p>
        </w:tc>
        <w:tc>
          <w:tcPr>
            <w:tcW w:w="666" w:type="dxa"/>
            <w:tcBorders>
              <w:top w:val="nil"/>
              <w:left w:val="nil"/>
              <w:bottom w:val="single" w:sz="8" w:space="0" w:color="auto"/>
              <w:right w:val="nil"/>
            </w:tcBorders>
            <w:shd w:val="clear" w:color="auto" w:fill="auto"/>
            <w:noWrap/>
            <w:vAlign w:val="bottom"/>
            <w:hideMark/>
          </w:tcPr>
          <w:p w:rsidR="000C79D7" w:rsidRPr="00A81BEB" w:rsidRDefault="000C79D7" w:rsidP="000C79D7">
            <w:pPr>
              <w:spacing w:after="0" w:line="240" w:lineRule="auto"/>
              <w:jc w:val="center"/>
              <w:rPr>
                <w:rFonts w:ascii="Calibri" w:eastAsia="Times New Roman" w:hAnsi="Calibri" w:cs="Times New Roman"/>
                <w:color w:val="000000"/>
                <w:sz w:val="20"/>
                <w:szCs w:val="20"/>
                <w:lang w:eastAsia="en-GB"/>
              </w:rPr>
            </w:pPr>
            <w:r w:rsidRPr="00A81BEB">
              <w:rPr>
                <w:rFonts w:ascii="Calibri" w:eastAsia="Times New Roman" w:hAnsi="Calibri" w:cs="Times New Roman"/>
                <w:color w:val="000000"/>
                <w:sz w:val="20"/>
                <w:szCs w:val="20"/>
                <w:lang w:eastAsia="en-GB"/>
              </w:rPr>
              <w:t>LCI</w:t>
            </w:r>
          </w:p>
        </w:tc>
        <w:tc>
          <w:tcPr>
            <w:tcW w:w="666" w:type="dxa"/>
            <w:tcBorders>
              <w:top w:val="nil"/>
              <w:left w:val="nil"/>
              <w:bottom w:val="single" w:sz="8" w:space="0" w:color="auto"/>
              <w:right w:val="nil"/>
            </w:tcBorders>
            <w:shd w:val="clear" w:color="auto" w:fill="auto"/>
            <w:noWrap/>
            <w:vAlign w:val="bottom"/>
            <w:hideMark/>
          </w:tcPr>
          <w:p w:rsidR="000C79D7" w:rsidRPr="00A81BEB" w:rsidRDefault="000C79D7" w:rsidP="000C79D7">
            <w:pPr>
              <w:spacing w:after="0" w:line="240" w:lineRule="auto"/>
              <w:jc w:val="center"/>
              <w:rPr>
                <w:rFonts w:ascii="Calibri" w:eastAsia="Times New Roman" w:hAnsi="Calibri" w:cs="Times New Roman"/>
                <w:color w:val="000000"/>
                <w:sz w:val="20"/>
                <w:szCs w:val="20"/>
                <w:lang w:eastAsia="en-GB"/>
              </w:rPr>
            </w:pPr>
            <w:r w:rsidRPr="00A81BEB">
              <w:rPr>
                <w:rFonts w:ascii="Calibri" w:eastAsia="Times New Roman" w:hAnsi="Calibri" w:cs="Times New Roman"/>
                <w:color w:val="000000"/>
                <w:sz w:val="20"/>
                <w:szCs w:val="20"/>
                <w:lang w:eastAsia="en-GB"/>
              </w:rPr>
              <w:t>UCI</w:t>
            </w:r>
          </w:p>
        </w:tc>
        <w:tc>
          <w:tcPr>
            <w:tcW w:w="222" w:type="dxa"/>
            <w:tcBorders>
              <w:top w:val="nil"/>
              <w:left w:val="nil"/>
              <w:bottom w:val="nil"/>
              <w:right w:val="nil"/>
            </w:tcBorders>
            <w:shd w:val="clear" w:color="auto" w:fill="auto"/>
            <w:noWrap/>
            <w:vAlign w:val="bottom"/>
            <w:hideMark/>
          </w:tcPr>
          <w:p w:rsidR="000C79D7" w:rsidRPr="00A81BEB" w:rsidRDefault="000C79D7" w:rsidP="000C79D7">
            <w:pPr>
              <w:spacing w:after="0" w:line="240" w:lineRule="auto"/>
              <w:rPr>
                <w:rFonts w:ascii="Calibri" w:eastAsia="Times New Roman" w:hAnsi="Calibri" w:cs="Times New Roman"/>
                <w:color w:val="000000"/>
                <w:sz w:val="20"/>
                <w:szCs w:val="20"/>
                <w:lang w:eastAsia="en-GB"/>
              </w:rPr>
            </w:pPr>
            <w:r w:rsidRPr="00A81BEB">
              <w:rPr>
                <w:rFonts w:ascii="Calibri" w:eastAsia="Times New Roman" w:hAnsi="Calibri" w:cs="Times New Roman"/>
                <w:color w:val="000000"/>
                <w:sz w:val="20"/>
                <w:szCs w:val="20"/>
                <w:lang w:eastAsia="en-GB"/>
              </w:rPr>
              <w:t xml:space="preserve"> </w:t>
            </w:r>
          </w:p>
        </w:tc>
        <w:tc>
          <w:tcPr>
            <w:tcW w:w="1196" w:type="dxa"/>
            <w:tcBorders>
              <w:top w:val="nil"/>
              <w:left w:val="nil"/>
              <w:bottom w:val="single" w:sz="8" w:space="0" w:color="auto"/>
              <w:right w:val="nil"/>
            </w:tcBorders>
            <w:shd w:val="clear" w:color="auto" w:fill="auto"/>
            <w:vAlign w:val="bottom"/>
            <w:hideMark/>
          </w:tcPr>
          <w:p w:rsidR="000C79D7" w:rsidRPr="00A81BEB" w:rsidRDefault="000C79D7" w:rsidP="000C79D7">
            <w:pPr>
              <w:spacing w:after="0" w:line="240" w:lineRule="auto"/>
              <w:jc w:val="center"/>
              <w:rPr>
                <w:rFonts w:ascii="Calibri" w:eastAsia="Times New Roman" w:hAnsi="Calibri" w:cs="Times New Roman"/>
                <w:color w:val="000000"/>
                <w:sz w:val="20"/>
                <w:szCs w:val="20"/>
                <w:lang w:eastAsia="en-GB"/>
              </w:rPr>
            </w:pPr>
            <w:r w:rsidRPr="00A81BEB">
              <w:rPr>
                <w:rFonts w:ascii="Calibri" w:eastAsia="Times New Roman" w:hAnsi="Calibri" w:cs="Times New Roman"/>
                <w:color w:val="000000"/>
                <w:sz w:val="20"/>
                <w:szCs w:val="20"/>
                <w:lang w:eastAsia="en-GB"/>
              </w:rPr>
              <w:t>dose</w:t>
            </w:r>
            <w:r w:rsidRPr="00A81BEB">
              <w:rPr>
                <w:rFonts w:ascii="Calibri" w:eastAsia="Times New Roman" w:hAnsi="Calibri" w:cs="Times New Roman"/>
                <w:color w:val="000000"/>
                <w:sz w:val="20"/>
                <w:szCs w:val="20"/>
                <w:lang w:eastAsia="en-GB"/>
              </w:rPr>
              <w:br/>
              <w:t>h/day</w:t>
            </w:r>
          </w:p>
        </w:tc>
        <w:tc>
          <w:tcPr>
            <w:tcW w:w="666" w:type="dxa"/>
            <w:tcBorders>
              <w:top w:val="nil"/>
              <w:left w:val="nil"/>
              <w:bottom w:val="single" w:sz="8" w:space="0" w:color="auto"/>
              <w:right w:val="nil"/>
            </w:tcBorders>
            <w:shd w:val="clear" w:color="auto" w:fill="auto"/>
            <w:noWrap/>
            <w:vAlign w:val="bottom"/>
            <w:hideMark/>
          </w:tcPr>
          <w:p w:rsidR="000C79D7" w:rsidRPr="00A81BEB" w:rsidRDefault="000C79D7" w:rsidP="000C79D7">
            <w:pPr>
              <w:spacing w:after="0" w:line="240" w:lineRule="auto"/>
              <w:jc w:val="center"/>
              <w:rPr>
                <w:rFonts w:ascii="Calibri" w:eastAsia="Times New Roman" w:hAnsi="Calibri" w:cs="Times New Roman"/>
                <w:color w:val="000000"/>
                <w:sz w:val="20"/>
                <w:szCs w:val="20"/>
                <w:lang w:eastAsia="en-GB"/>
              </w:rPr>
            </w:pPr>
            <w:r w:rsidRPr="00A81BEB">
              <w:rPr>
                <w:rFonts w:ascii="Calibri" w:eastAsia="Times New Roman" w:hAnsi="Calibri" w:cs="Times New Roman"/>
                <w:color w:val="000000"/>
                <w:sz w:val="20"/>
                <w:szCs w:val="20"/>
                <w:lang w:eastAsia="en-GB"/>
              </w:rPr>
              <w:t>RR</w:t>
            </w:r>
          </w:p>
        </w:tc>
        <w:tc>
          <w:tcPr>
            <w:tcW w:w="666" w:type="dxa"/>
            <w:tcBorders>
              <w:top w:val="nil"/>
              <w:left w:val="nil"/>
              <w:bottom w:val="single" w:sz="8" w:space="0" w:color="auto"/>
              <w:right w:val="nil"/>
            </w:tcBorders>
            <w:shd w:val="clear" w:color="auto" w:fill="auto"/>
            <w:noWrap/>
            <w:vAlign w:val="bottom"/>
            <w:hideMark/>
          </w:tcPr>
          <w:p w:rsidR="000C79D7" w:rsidRPr="00A81BEB" w:rsidRDefault="000C79D7" w:rsidP="000C79D7">
            <w:pPr>
              <w:spacing w:after="0" w:line="240" w:lineRule="auto"/>
              <w:jc w:val="center"/>
              <w:rPr>
                <w:rFonts w:ascii="Calibri" w:eastAsia="Times New Roman" w:hAnsi="Calibri" w:cs="Times New Roman"/>
                <w:color w:val="000000"/>
                <w:sz w:val="20"/>
                <w:szCs w:val="20"/>
                <w:lang w:eastAsia="en-GB"/>
              </w:rPr>
            </w:pPr>
            <w:r w:rsidRPr="00A81BEB">
              <w:rPr>
                <w:rFonts w:ascii="Calibri" w:eastAsia="Times New Roman" w:hAnsi="Calibri" w:cs="Times New Roman"/>
                <w:color w:val="000000"/>
                <w:sz w:val="20"/>
                <w:szCs w:val="20"/>
                <w:lang w:eastAsia="en-GB"/>
              </w:rPr>
              <w:t>LCI</w:t>
            </w:r>
          </w:p>
        </w:tc>
        <w:tc>
          <w:tcPr>
            <w:tcW w:w="666" w:type="dxa"/>
            <w:tcBorders>
              <w:top w:val="nil"/>
              <w:left w:val="nil"/>
              <w:bottom w:val="single" w:sz="8" w:space="0" w:color="auto"/>
              <w:right w:val="nil"/>
            </w:tcBorders>
            <w:shd w:val="clear" w:color="auto" w:fill="auto"/>
            <w:noWrap/>
            <w:vAlign w:val="bottom"/>
            <w:hideMark/>
          </w:tcPr>
          <w:p w:rsidR="000C79D7" w:rsidRPr="00A81BEB" w:rsidRDefault="000C79D7" w:rsidP="000C79D7">
            <w:pPr>
              <w:spacing w:after="0" w:line="240" w:lineRule="auto"/>
              <w:jc w:val="center"/>
              <w:rPr>
                <w:rFonts w:ascii="Calibri" w:eastAsia="Times New Roman" w:hAnsi="Calibri" w:cs="Times New Roman"/>
                <w:color w:val="000000"/>
                <w:sz w:val="20"/>
                <w:szCs w:val="20"/>
                <w:lang w:eastAsia="en-GB"/>
              </w:rPr>
            </w:pPr>
            <w:r w:rsidRPr="00A81BEB">
              <w:rPr>
                <w:rFonts w:ascii="Calibri" w:eastAsia="Times New Roman" w:hAnsi="Calibri" w:cs="Times New Roman"/>
                <w:color w:val="000000"/>
                <w:sz w:val="20"/>
                <w:szCs w:val="20"/>
                <w:lang w:eastAsia="en-GB"/>
              </w:rPr>
              <w:t>UCI</w:t>
            </w:r>
          </w:p>
        </w:tc>
      </w:tr>
      <w:tr w:rsidR="00A81BEB" w:rsidRPr="00190FFC" w:rsidTr="00190FFC">
        <w:trPr>
          <w:trHeight w:val="255"/>
        </w:trPr>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1.5</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190FFC">
              <w:rPr>
                <w:rFonts w:ascii="Calibri" w:hAnsi="Calibri"/>
                <w:color w:val="000000"/>
                <w:sz w:val="20"/>
                <w:szCs w:val="20"/>
              </w:rPr>
              <w:t>1.00</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190FFC">
              <w:rPr>
                <w:rFonts w:ascii="Calibri" w:hAnsi="Calibri"/>
                <w:color w:val="000000"/>
                <w:sz w:val="20"/>
                <w:szCs w:val="20"/>
              </w:rPr>
              <w:t>1.00</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A81BEB">
              <w:rPr>
                <w:rFonts w:ascii="Calibri" w:hAnsi="Calibri"/>
                <w:color w:val="000000"/>
                <w:sz w:val="20"/>
                <w:szCs w:val="20"/>
              </w:rPr>
              <w:t>1.00</w:t>
            </w: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A81BEB">
              <w:rPr>
                <w:rFonts w:ascii="Calibri" w:hAnsi="Calibri"/>
                <w:color w:val="000000"/>
                <w:sz w:val="20"/>
                <w:szCs w:val="20"/>
              </w:rPr>
              <w:t>0</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A81BEB">
              <w:rPr>
                <w:rFonts w:ascii="Calibri" w:hAnsi="Calibri"/>
                <w:color w:val="000000"/>
                <w:sz w:val="20"/>
                <w:szCs w:val="20"/>
              </w:rPr>
              <w:t>1.00</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A81BEB">
              <w:rPr>
                <w:rFonts w:ascii="Calibri" w:hAnsi="Calibri"/>
                <w:color w:val="000000"/>
                <w:sz w:val="20"/>
                <w:szCs w:val="20"/>
              </w:rPr>
              <w:t>1.00</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A81BEB">
              <w:rPr>
                <w:rFonts w:ascii="Calibri" w:hAnsi="Calibri"/>
                <w:color w:val="000000"/>
                <w:sz w:val="20"/>
                <w:szCs w:val="20"/>
              </w:rPr>
              <w:t>1.00</w:t>
            </w: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A81BEB">
              <w:rPr>
                <w:rFonts w:ascii="Calibri" w:hAnsi="Calibri"/>
                <w:color w:val="000000"/>
                <w:sz w:val="20"/>
                <w:szCs w:val="20"/>
              </w:rPr>
              <w:t>1.5</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A81BEB">
              <w:rPr>
                <w:rFonts w:ascii="Calibri" w:hAnsi="Calibri"/>
                <w:color w:val="000000"/>
                <w:sz w:val="20"/>
                <w:szCs w:val="20"/>
              </w:rPr>
              <w:t>1.00</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A81BEB">
              <w:rPr>
                <w:rFonts w:ascii="Calibri" w:hAnsi="Calibri"/>
                <w:color w:val="000000"/>
                <w:sz w:val="20"/>
                <w:szCs w:val="20"/>
              </w:rPr>
              <w:t>1.00</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A81BEB">
              <w:rPr>
                <w:rFonts w:ascii="Calibri" w:hAnsi="Calibri"/>
                <w:color w:val="000000"/>
                <w:sz w:val="20"/>
                <w:szCs w:val="20"/>
              </w:rPr>
              <w:t>1.00</w:t>
            </w: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A81BEB">
              <w:rPr>
                <w:rFonts w:ascii="Calibri" w:hAnsi="Calibri"/>
                <w:color w:val="000000"/>
                <w:sz w:val="20"/>
                <w:szCs w:val="20"/>
              </w:rPr>
              <w:t>3</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A81BEB">
              <w:rPr>
                <w:rFonts w:ascii="Calibri" w:hAnsi="Calibri"/>
                <w:color w:val="000000"/>
                <w:sz w:val="20"/>
                <w:szCs w:val="20"/>
              </w:rPr>
              <w:t>1.00</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A81BEB">
              <w:rPr>
                <w:rFonts w:ascii="Calibri" w:hAnsi="Calibri"/>
                <w:color w:val="000000"/>
                <w:sz w:val="20"/>
                <w:szCs w:val="20"/>
              </w:rPr>
              <w:t>1.00</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A81BEB">
              <w:rPr>
                <w:rFonts w:ascii="Calibri" w:hAnsi="Calibri"/>
                <w:color w:val="000000"/>
                <w:sz w:val="20"/>
                <w:szCs w:val="20"/>
              </w:rPr>
              <w:t>1.00</w:t>
            </w:r>
          </w:p>
        </w:tc>
      </w:tr>
      <w:tr w:rsidR="00A81BEB" w:rsidRPr="00190FFC" w:rsidTr="00AA2A99">
        <w:trPr>
          <w:trHeight w:val="255"/>
        </w:trPr>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190FFC">
              <w:rPr>
                <w:rFonts w:ascii="Calibri" w:hAnsi="Calibri"/>
                <w:color w:val="000000"/>
                <w:sz w:val="20"/>
                <w:szCs w:val="20"/>
              </w:rPr>
              <w:t>1.86</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190FFC">
              <w:rPr>
                <w:rFonts w:ascii="Calibri" w:hAnsi="Calibri"/>
                <w:color w:val="000000"/>
                <w:sz w:val="20"/>
                <w:szCs w:val="20"/>
              </w:rPr>
              <w:t>1.00</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190FFC">
              <w:rPr>
                <w:rFonts w:ascii="Calibri" w:hAnsi="Calibri"/>
                <w:color w:val="000000"/>
                <w:sz w:val="20"/>
                <w:szCs w:val="20"/>
              </w:rPr>
              <w:t>1.00</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190FFC">
              <w:rPr>
                <w:rFonts w:ascii="Calibri" w:hAnsi="Calibri"/>
                <w:color w:val="000000"/>
                <w:sz w:val="20"/>
                <w:szCs w:val="20"/>
              </w:rPr>
              <w:t>1.00</w:t>
            </w: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190FFC">
              <w:rPr>
                <w:rFonts w:ascii="Calibri" w:hAnsi="Calibri"/>
                <w:color w:val="000000"/>
                <w:sz w:val="20"/>
                <w:szCs w:val="20"/>
              </w:rPr>
              <w:t>0.5</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190FFC">
              <w:rPr>
                <w:rFonts w:ascii="Calibri" w:hAnsi="Calibri"/>
                <w:color w:val="000000"/>
                <w:sz w:val="20"/>
                <w:szCs w:val="20"/>
              </w:rPr>
              <w:t>1.00</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190FFC">
              <w:rPr>
                <w:rFonts w:ascii="Calibri" w:hAnsi="Calibri"/>
                <w:color w:val="000000"/>
                <w:sz w:val="20"/>
                <w:szCs w:val="20"/>
              </w:rPr>
              <w:t>0.99</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190FFC">
              <w:rPr>
                <w:rFonts w:ascii="Calibri" w:hAnsi="Calibri"/>
                <w:color w:val="000000"/>
                <w:sz w:val="20"/>
                <w:szCs w:val="20"/>
              </w:rPr>
              <w:t>1.01</w:t>
            </w: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190FFC">
              <w:rPr>
                <w:rFonts w:ascii="Calibri" w:hAnsi="Calibri"/>
                <w:color w:val="000000"/>
                <w:sz w:val="20"/>
                <w:szCs w:val="20"/>
              </w:rPr>
              <w:t>2</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190FFC">
              <w:rPr>
                <w:rFonts w:ascii="Calibri" w:hAnsi="Calibri"/>
                <w:color w:val="000000"/>
                <w:sz w:val="20"/>
                <w:szCs w:val="20"/>
              </w:rPr>
              <w:t>1.00</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190FFC">
              <w:rPr>
                <w:rFonts w:ascii="Calibri" w:hAnsi="Calibri"/>
                <w:color w:val="000000"/>
                <w:sz w:val="20"/>
                <w:szCs w:val="20"/>
              </w:rPr>
              <w:t>0.99</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190FFC">
              <w:rPr>
                <w:rFonts w:ascii="Calibri" w:hAnsi="Calibri"/>
                <w:color w:val="000000"/>
                <w:sz w:val="20"/>
                <w:szCs w:val="20"/>
              </w:rPr>
              <w:t>1.01</w:t>
            </w: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190FFC">
              <w:rPr>
                <w:rFonts w:ascii="Calibri" w:hAnsi="Calibri"/>
                <w:color w:val="000000"/>
                <w:sz w:val="20"/>
                <w:szCs w:val="20"/>
              </w:rPr>
              <w:t>3.5</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190FFC">
              <w:rPr>
                <w:rFonts w:ascii="Calibri" w:hAnsi="Calibri"/>
                <w:color w:val="000000"/>
                <w:sz w:val="20"/>
                <w:szCs w:val="20"/>
              </w:rPr>
              <w:t>1.01</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190FFC">
              <w:rPr>
                <w:rFonts w:ascii="Calibri" w:hAnsi="Calibri"/>
                <w:color w:val="000000"/>
                <w:sz w:val="20"/>
                <w:szCs w:val="20"/>
              </w:rPr>
              <w:t>1.00</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190FFC">
              <w:rPr>
                <w:rFonts w:ascii="Calibri" w:hAnsi="Calibri"/>
                <w:color w:val="000000"/>
                <w:sz w:val="20"/>
                <w:szCs w:val="20"/>
              </w:rPr>
              <w:t>1.02</w:t>
            </w:r>
          </w:p>
        </w:tc>
      </w:tr>
      <w:tr w:rsidR="00A81BEB" w:rsidRPr="00882B11" w:rsidTr="00AA2A99">
        <w:trPr>
          <w:trHeight w:val="255"/>
        </w:trPr>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190FFC">
              <w:rPr>
                <w:rFonts w:ascii="Calibri" w:hAnsi="Calibri"/>
                <w:color w:val="000000"/>
                <w:sz w:val="20"/>
                <w:szCs w:val="20"/>
              </w:rPr>
              <w:t>2</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190FFC">
              <w:rPr>
                <w:rFonts w:ascii="Calibri" w:hAnsi="Calibri"/>
                <w:color w:val="000000"/>
                <w:sz w:val="20"/>
                <w:szCs w:val="20"/>
              </w:rPr>
              <w:t>1.00</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190FFC">
              <w:rPr>
                <w:rFonts w:ascii="Calibri" w:hAnsi="Calibri"/>
                <w:color w:val="000000"/>
                <w:sz w:val="20"/>
                <w:szCs w:val="20"/>
              </w:rPr>
              <w:t>1.00</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190FFC">
              <w:rPr>
                <w:rFonts w:ascii="Calibri" w:hAnsi="Calibri"/>
                <w:color w:val="000000"/>
                <w:sz w:val="20"/>
                <w:szCs w:val="20"/>
              </w:rPr>
              <w:t>1.00</w:t>
            </w: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190FFC">
              <w:rPr>
                <w:rFonts w:ascii="Calibri" w:hAnsi="Calibri"/>
                <w:color w:val="000000"/>
                <w:sz w:val="20"/>
                <w:szCs w:val="20"/>
              </w:rPr>
              <w:t>1.5</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190FFC">
              <w:rPr>
                <w:rFonts w:ascii="Calibri" w:hAnsi="Calibri"/>
                <w:color w:val="000000"/>
                <w:sz w:val="20"/>
                <w:szCs w:val="20"/>
              </w:rPr>
              <w:t>1.00</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190FFC">
              <w:rPr>
                <w:rFonts w:ascii="Calibri" w:hAnsi="Calibri"/>
                <w:color w:val="000000"/>
                <w:sz w:val="20"/>
                <w:szCs w:val="20"/>
              </w:rPr>
              <w:t>0.98</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190FFC">
              <w:rPr>
                <w:rFonts w:ascii="Calibri" w:hAnsi="Calibri"/>
                <w:color w:val="000000"/>
                <w:sz w:val="20"/>
                <w:szCs w:val="20"/>
              </w:rPr>
              <w:t>1.03</w:t>
            </w: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190FFC">
              <w:rPr>
                <w:rFonts w:ascii="Calibri" w:hAnsi="Calibri"/>
                <w:color w:val="000000"/>
                <w:sz w:val="20"/>
                <w:szCs w:val="20"/>
              </w:rPr>
              <w:t>2.5</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190FFC">
              <w:rPr>
                <w:rFonts w:ascii="Calibri" w:hAnsi="Calibri"/>
                <w:color w:val="000000"/>
                <w:sz w:val="20"/>
                <w:szCs w:val="20"/>
              </w:rPr>
              <w:t>1.00</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190FFC">
              <w:rPr>
                <w:rFonts w:ascii="Calibri" w:hAnsi="Calibri"/>
                <w:color w:val="000000"/>
                <w:sz w:val="20"/>
                <w:szCs w:val="20"/>
              </w:rPr>
              <w:t>0.99</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190FFC">
              <w:rPr>
                <w:rFonts w:ascii="Calibri" w:hAnsi="Calibri"/>
                <w:color w:val="000000"/>
                <w:sz w:val="20"/>
                <w:szCs w:val="20"/>
              </w:rPr>
              <w:t>1.01</w:t>
            </w: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190FFC">
              <w:rPr>
                <w:rFonts w:ascii="Calibri" w:hAnsi="Calibri"/>
                <w:color w:val="000000"/>
                <w:sz w:val="20"/>
                <w:szCs w:val="20"/>
              </w:rPr>
              <w:t>4</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190FFC">
              <w:rPr>
                <w:rFonts w:ascii="Calibri" w:hAnsi="Calibri"/>
                <w:color w:val="000000"/>
                <w:sz w:val="20"/>
                <w:szCs w:val="20"/>
              </w:rPr>
              <w:t>1.02</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190FFC">
              <w:rPr>
                <w:rFonts w:ascii="Calibri" w:hAnsi="Calibri"/>
                <w:color w:val="000000"/>
                <w:sz w:val="20"/>
                <w:szCs w:val="20"/>
              </w:rPr>
              <w:t>0.99</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1.04</w:t>
            </w:r>
          </w:p>
        </w:tc>
      </w:tr>
      <w:tr w:rsidR="00A81BEB" w:rsidRPr="00882B11" w:rsidTr="00AA2A99">
        <w:trPr>
          <w:trHeight w:val="255"/>
        </w:trPr>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2.5</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1.00</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1.00</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1.01</w:t>
            </w: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2</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1.01</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0.97</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1.04</w:t>
            </w: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4</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1.00</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0.98</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1.03</w:t>
            </w: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7</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1.06</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0.98</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1.15</w:t>
            </w:r>
          </w:p>
        </w:tc>
      </w:tr>
      <w:tr w:rsidR="00A81BEB" w:rsidRPr="00882B11" w:rsidTr="00AA2A99">
        <w:trPr>
          <w:trHeight w:val="255"/>
        </w:trPr>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2.88</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1.00</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1.00</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1.01</w:t>
            </w: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2.5</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1.01</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0.97</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1.05</w:t>
            </w: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5.5</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1.01</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0.97</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1.05</w:t>
            </w: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8</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1.08</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0.99</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1.17</w:t>
            </w:r>
          </w:p>
        </w:tc>
      </w:tr>
      <w:tr w:rsidR="00A81BEB" w:rsidRPr="00882B11" w:rsidTr="00AA2A99">
        <w:trPr>
          <w:trHeight w:val="255"/>
        </w:trPr>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3</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1.00</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1.00</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1.01</w:t>
            </w: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4</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1.02</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0.95</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1.09</w:t>
            </w: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6</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1.01</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0.96</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1.06</w:t>
            </w: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9</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1.09</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0.99</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1.19</w:t>
            </w:r>
          </w:p>
        </w:tc>
      </w:tr>
      <w:tr w:rsidR="00A81BEB" w:rsidRPr="00882B11" w:rsidTr="00AA2A99">
        <w:trPr>
          <w:trHeight w:val="255"/>
        </w:trPr>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4</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1.01</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0.99</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1.02</w:t>
            </w: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5</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1.03</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0.95</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1.12</w:t>
            </w: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7.5</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1.02</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0.96</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1.08</w:t>
            </w: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9.5</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1.09</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1.00</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1.19</w:t>
            </w:r>
          </w:p>
        </w:tc>
      </w:tr>
      <w:tr w:rsidR="00A81BEB" w:rsidRPr="00882B11" w:rsidTr="00AA2A99">
        <w:trPr>
          <w:trHeight w:val="255"/>
        </w:trPr>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4.79</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1.01</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0.99</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1.03</w:t>
            </w: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6</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1.05</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0.96</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1.15</w:t>
            </w: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8</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1.02</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0.96</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1.08</w:t>
            </w: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11</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1.10</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1.02</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1.18</w:t>
            </w:r>
          </w:p>
        </w:tc>
      </w:tr>
      <w:tr w:rsidR="00A81BEB" w:rsidRPr="00882B11" w:rsidTr="00AA2A99">
        <w:trPr>
          <w:trHeight w:val="255"/>
        </w:trPr>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5.5</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1.02</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1.00</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1.04</w:t>
            </w: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7.5</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1.09</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0.99</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1.20</w:t>
            </w: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8.5</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1.02</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0.96</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1.09</w:t>
            </w: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12</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1.10</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1.03</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1.17</w:t>
            </w:r>
          </w:p>
        </w:tc>
      </w:tr>
      <w:tr w:rsidR="00A81BEB" w:rsidRPr="00882B11" w:rsidTr="00AA2A99">
        <w:trPr>
          <w:trHeight w:val="255"/>
        </w:trPr>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6</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1.02</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1.00</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1.05</w:t>
            </w: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8</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1.11</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1.01</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1.22</w:t>
            </w: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9.5</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1.03</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0.97</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1.10</w:t>
            </w: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12.5</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1.10</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1.04</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1.17</w:t>
            </w:r>
          </w:p>
        </w:tc>
      </w:tr>
      <w:tr w:rsidR="00A81BEB" w:rsidRPr="00882B11" w:rsidTr="00882B11">
        <w:trPr>
          <w:trHeight w:val="255"/>
        </w:trPr>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6.43</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1.03</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1.00</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1.06</w:t>
            </w: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9.5</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1.17</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1.06</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1.29</w:t>
            </w: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10.5</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1.04</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0.97</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1.12</w:t>
            </w: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13.5</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1.10</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1.03</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1.17</w:t>
            </w:r>
          </w:p>
        </w:tc>
      </w:tr>
      <w:tr w:rsidR="00A81BEB" w:rsidRPr="00882B11" w:rsidTr="00882B11">
        <w:trPr>
          <w:trHeight w:val="270"/>
        </w:trPr>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6.86</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1.04</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1.01</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1.06</w:t>
            </w: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10.5</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1.22</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1.10</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1.34</w:t>
            </w: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11.5</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1.05</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0.98</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1.14</w:t>
            </w: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r w:rsidRPr="00A81BEB">
              <w:rPr>
                <w:rFonts w:ascii="Calibri" w:eastAsia="Times New Roman" w:hAnsi="Calibri" w:cs="Times New Roman"/>
                <w:color w:val="000000"/>
                <w:sz w:val="20"/>
                <w:szCs w:val="20"/>
                <w:lang w:eastAsia="en-GB"/>
              </w:rPr>
              <w:t xml:space="preserve"> </w:t>
            </w: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p>
        </w:tc>
      </w:tr>
      <w:tr w:rsidR="00A81BEB" w:rsidRPr="00882B11" w:rsidTr="00AA2A99">
        <w:trPr>
          <w:trHeight w:val="255"/>
        </w:trPr>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7.13</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1.04</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1.01</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1.07</w:t>
            </w: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12</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1.29</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1.16</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1.44</w:t>
            </w: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12</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1.06</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0.98</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1.15</w:t>
            </w: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r w:rsidRPr="00A81BEB">
              <w:rPr>
                <w:rFonts w:ascii="Calibri" w:eastAsia="Times New Roman" w:hAnsi="Calibri" w:cs="Times New Roman"/>
                <w:color w:val="000000"/>
                <w:sz w:val="20"/>
                <w:szCs w:val="20"/>
                <w:lang w:eastAsia="en-GB"/>
              </w:rPr>
              <w:t xml:space="preserve"> </w:t>
            </w: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r>
      <w:tr w:rsidR="00A81BEB" w:rsidRPr="00882B11" w:rsidTr="00AA2A99">
        <w:trPr>
          <w:trHeight w:val="255"/>
        </w:trPr>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7.5</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1.05</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1.02</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1.08</w:t>
            </w: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12.5</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1.32</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1.18</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1.47</w:t>
            </w: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12.5</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1.07</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0.98</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1.16</w:t>
            </w: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r w:rsidRPr="00A81BEB">
              <w:rPr>
                <w:rFonts w:ascii="Calibri" w:eastAsia="Times New Roman" w:hAnsi="Calibri" w:cs="Times New Roman"/>
                <w:color w:val="000000"/>
                <w:sz w:val="20"/>
                <w:szCs w:val="20"/>
                <w:lang w:eastAsia="en-GB"/>
              </w:rPr>
              <w:t xml:space="preserve"> </w:t>
            </w: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r>
      <w:tr w:rsidR="00A81BEB" w:rsidRPr="00882B11" w:rsidTr="00AA2A99">
        <w:trPr>
          <w:trHeight w:val="255"/>
        </w:trPr>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8</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1.06</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1.03</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1.09</w:t>
            </w: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13.5</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1.38</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1.22</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1.55</w:t>
            </w: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13.5</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1.08</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0.98</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1.18</w:t>
            </w: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r w:rsidRPr="00A81BEB">
              <w:rPr>
                <w:rFonts w:ascii="Calibri" w:eastAsia="Times New Roman" w:hAnsi="Calibri" w:cs="Times New Roman"/>
                <w:color w:val="000000"/>
                <w:sz w:val="20"/>
                <w:szCs w:val="20"/>
                <w:lang w:eastAsia="en-GB"/>
              </w:rPr>
              <w:t xml:space="preserve"> </w:t>
            </w: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r>
      <w:tr w:rsidR="00A81BEB" w:rsidRPr="00882B11" w:rsidTr="00882B11">
        <w:trPr>
          <w:trHeight w:val="270"/>
        </w:trPr>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8.5</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1.07</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1.04</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1.11</w:t>
            </w: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16</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1.53</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1.32</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1.77</w:t>
            </w: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16</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1.11</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0.98</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1.25</w:t>
            </w: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r w:rsidRPr="00A81BEB">
              <w:rPr>
                <w:rFonts w:ascii="Calibri" w:eastAsia="Times New Roman" w:hAnsi="Calibri" w:cs="Times New Roman"/>
                <w:color w:val="000000"/>
                <w:sz w:val="20"/>
                <w:szCs w:val="20"/>
                <w:lang w:eastAsia="en-GB"/>
              </w:rPr>
              <w:t xml:space="preserve"> </w:t>
            </w: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r>
      <w:tr w:rsidR="00A81BEB" w:rsidRPr="00882B11" w:rsidTr="00AA2A99">
        <w:trPr>
          <w:trHeight w:val="255"/>
        </w:trPr>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8.86</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1.09</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1.05</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1.13</w:t>
            </w: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r w:rsidRPr="00A81BEB">
              <w:rPr>
                <w:rFonts w:ascii="Calibri" w:eastAsia="Times New Roman" w:hAnsi="Calibri" w:cs="Times New Roman"/>
                <w:color w:val="000000"/>
                <w:sz w:val="20"/>
                <w:szCs w:val="20"/>
                <w:lang w:eastAsia="en-GB"/>
              </w:rPr>
              <w:t xml:space="preserve"> </w:t>
            </w: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r>
      <w:tr w:rsidR="00A81BEB" w:rsidRPr="00882B11" w:rsidTr="00AA2A99">
        <w:trPr>
          <w:trHeight w:val="255"/>
        </w:trPr>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9.5</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1.11</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1.06</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1.15</w:t>
            </w: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r w:rsidRPr="00A81BEB">
              <w:rPr>
                <w:rFonts w:ascii="Calibri" w:eastAsia="Times New Roman" w:hAnsi="Calibri" w:cs="Times New Roman"/>
                <w:color w:val="000000"/>
                <w:sz w:val="20"/>
                <w:szCs w:val="20"/>
                <w:lang w:eastAsia="en-GB"/>
              </w:rPr>
              <w:t xml:space="preserve"> </w:t>
            </w: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r>
      <w:tr w:rsidR="00A81BEB" w:rsidRPr="00882B11" w:rsidTr="00AA2A99">
        <w:trPr>
          <w:trHeight w:val="255"/>
        </w:trPr>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10.26</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1.14</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1.09</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1.19</w:t>
            </w: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r w:rsidRPr="00A81BEB">
              <w:rPr>
                <w:rFonts w:ascii="Calibri" w:eastAsia="Times New Roman" w:hAnsi="Calibri" w:cs="Times New Roman"/>
                <w:color w:val="000000"/>
                <w:sz w:val="20"/>
                <w:szCs w:val="20"/>
                <w:lang w:eastAsia="en-GB"/>
              </w:rPr>
              <w:t xml:space="preserve"> </w:t>
            </w: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r>
      <w:tr w:rsidR="00A81BEB" w:rsidRPr="00882B11" w:rsidTr="00AA2A99">
        <w:trPr>
          <w:trHeight w:val="255"/>
        </w:trPr>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10.5</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1.15</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1.09</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1.20</w:t>
            </w: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r w:rsidRPr="00A81BEB">
              <w:rPr>
                <w:rFonts w:ascii="Calibri" w:eastAsia="Times New Roman" w:hAnsi="Calibri" w:cs="Times New Roman"/>
                <w:color w:val="000000"/>
                <w:sz w:val="20"/>
                <w:szCs w:val="20"/>
                <w:lang w:eastAsia="en-GB"/>
              </w:rPr>
              <w:t xml:space="preserve"> </w:t>
            </w: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r>
      <w:tr w:rsidR="00A81BEB" w:rsidRPr="00882B11" w:rsidTr="00AA2A99">
        <w:trPr>
          <w:trHeight w:val="255"/>
        </w:trPr>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11.5</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1.19</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1.13</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1.26</w:t>
            </w: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r w:rsidRPr="00A81BEB">
              <w:rPr>
                <w:rFonts w:ascii="Calibri" w:eastAsia="Times New Roman" w:hAnsi="Calibri" w:cs="Times New Roman"/>
                <w:color w:val="000000"/>
                <w:sz w:val="20"/>
                <w:szCs w:val="20"/>
                <w:lang w:eastAsia="en-GB"/>
              </w:rPr>
              <w:t xml:space="preserve"> </w:t>
            </w: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r>
      <w:tr w:rsidR="00A81BEB" w:rsidRPr="00882B11" w:rsidTr="00AA2A99">
        <w:trPr>
          <w:trHeight w:val="255"/>
        </w:trPr>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12</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1.22</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1.15</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1.29</w:t>
            </w: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r w:rsidRPr="00A81BEB">
              <w:rPr>
                <w:rFonts w:ascii="Calibri" w:eastAsia="Times New Roman" w:hAnsi="Calibri" w:cs="Times New Roman"/>
                <w:color w:val="000000"/>
                <w:sz w:val="20"/>
                <w:szCs w:val="20"/>
                <w:lang w:eastAsia="en-GB"/>
              </w:rPr>
              <w:t xml:space="preserve"> </w:t>
            </w: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r>
      <w:tr w:rsidR="00A81BEB" w:rsidRPr="00882B11" w:rsidTr="00AA2A99">
        <w:trPr>
          <w:trHeight w:val="255"/>
        </w:trPr>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12.5</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1.24</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1.16</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1.33</w:t>
            </w: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r w:rsidRPr="00A81BEB">
              <w:rPr>
                <w:rFonts w:ascii="Calibri" w:eastAsia="Times New Roman" w:hAnsi="Calibri" w:cs="Times New Roman"/>
                <w:color w:val="000000"/>
                <w:sz w:val="20"/>
                <w:szCs w:val="20"/>
                <w:lang w:eastAsia="en-GB"/>
              </w:rPr>
              <w:t xml:space="preserve"> </w:t>
            </w: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r>
      <w:tr w:rsidR="00A81BEB" w:rsidRPr="00882B11" w:rsidTr="00AA2A99">
        <w:trPr>
          <w:trHeight w:val="255"/>
        </w:trPr>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13.47</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1.30</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1.20</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1.40</w:t>
            </w: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r w:rsidRPr="00A81BEB">
              <w:rPr>
                <w:rFonts w:ascii="Calibri" w:eastAsia="Times New Roman" w:hAnsi="Calibri" w:cs="Times New Roman"/>
                <w:color w:val="000000"/>
                <w:sz w:val="20"/>
                <w:szCs w:val="20"/>
                <w:lang w:eastAsia="en-GB"/>
              </w:rPr>
              <w:t xml:space="preserve"> </w:t>
            </w: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r>
      <w:tr w:rsidR="00A81BEB" w:rsidRPr="00882B11" w:rsidTr="00AA2A99">
        <w:trPr>
          <w:trHeight w:val="255"/>
        </w:trPr>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13.5</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1.30</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1.20</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1.40</w:t>
            </w: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r w:rsidRPr="00A81BEB">
              <w:rPr>
                <w:rFonts w:ascii="Calibri" w:eastAsia="Times New Roman" w:hAnsi="Calibri" w:cs="Times New Roman"/>
                <w:color w:val="000000"/>
                <w:sz w:val="20"/>
                <w:szCs w:val="20"/>
                <w:lang w:eastAsia="en-GB"/>
              </w:rPr>
              <w:t xml:space="preserve"> </w:t>
            </w: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r>
      <w:tr w:rsidR="00A81BEB" w:rsidRPr="00882B11" w:rsidTr="00AA2A99">
        <w:trPr>
          <w:trHeight w:val="255"/>
        </w:trPr>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13.74</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1.31</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1.21</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1.42</w:t>
            </w: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r w:rsidRPr="00A81BEB">
              <w:rPr>
                <w:rFonts w:ascii="Calibri" w:eastAsia="Times New Roman" w:hAnsi="Calibri" w:cs="Times New Roman"/>
                <w:color w:val="000000"/>
                <w:sz w:val="20"/>
                <w:szCs w:val="20"/>
                <w:lang w:eastAsia="en-GB"/>
              </w:rPr>
              <w:t xml:space="preserve"> </w:t>
            </w: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r>
      <w:tr w:rsidR="00A81BEB" w:rsidRPr="00882B11" w:rsidTr="00AA2A99">
        <w:trPr>
          <w:trHeight w:val="255"/>
        </w:trPr>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14.66</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1.36</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1.25</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1.49</w:t>
            </w: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r w:rsidRPr="00A81BEB">
              <w:rPr>
                <w:rFonts w:ascii="Calibri" w:eastAsia="Times New Roman" w:hAnsi="Calibri" w:cs="Times New Roman"/>
                <w:color w:val="000000"/>
                <w:sz w:val="20"/>
                <w:szCs w:val="20"/>
                <w:lang w:eastAsia="en-GB"/>
              </w:rPr>
              <w:t xml:space="preserve"> </w:t>
            </w: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r>
      <w:tr w:rsidR="00A81BEB" w:rsidRPr="00882B11" w:rsidTr="00AA2A99">
        <w:trPr>
          <w:trHeight w:val="255"/>
        </w:trPr>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15.84</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1.43</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1.29</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1.59</w:t>
            </w: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r w:rsidRPr="00A81BEB">
              <w:rPr>
                <w:rFonts w:ascii="Calibri" w:eastAsia="Times New Roman" w:hAnsi="Calibri" w:cs="Times New Roman"/>
                <w:color w:val="000000"/>
                <w:sz w:val="20"/>
                <w:szCs w:val="20"/>
                <w:lang w:eastAsia="en-GB"/>
              </w:rPr>
              <w:t xml:space="preserve"> </w:t>
            </w: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r>
      <w:tr w:rsidR="00A81BEB" w:rsidRPr="00882B11" w:rsidTr="00882B11">
        <w:trPr>
          <w:trHeight w:val="270"/>
        </w:trPr>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16</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1.44</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1.30</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1.60</w:t>
            </w: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r w:rsidRPr="00A81BEB">
              <w:rPr>
                <w:rFonts w:ascii="Calibri" w:eastAsia="Times New Roman" w:hAnsi="Calibri" w:cs="Times New Roman"/>
                <w:color w:val="000000"/>
                <w:sz w:val="20"/>
                <w:szCs w:val="20"/>
                <w:lang w:eastAsia="en-GB"/>
              </w:rPr>
              <w:t xml:space="preserve"> </w:t>
            </w: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r>
    </w:tbl>
    <w:p w:rsidR="000C79D7" w:rsidRPr="000C79D7" w:rsidRDefault="000C79D7" w:rsidP="000C79D7">
      <w:pPr>
        <w:spacing w:line="259" w:lineRule="auto"/>
        <w:rPr>
          <w:sz w:val="18"/>
        </w:rPr>
      </w:pPr>
      <w:r w:rsidRPr="000C79D7">
        <w:rPr>
          <w:sz w:val="18"/>
        </w:rPr>
        <w:br w:type="page"/>
      </w:r>
    </w:p>
    <w:tbl>
      <w:tblPr>
        <w:tblW w:w="13442" w:type="dxa"/>
        <w:tblLook w:val="04A0"/>
      </w:tblPr>
      <w:tblGrid>
        <w:gridCol w:w="1196"/>
        <w:gridCol w:w="666"/>
        <w:gridCol w:w="666"/>
        <w:gridCol w:w="666"/>
        <w:gridCol w:w="222"/>
        <w:gridCol w:w="1196"/>
        <w:gridCol w:w="666"/>
        <w:gridCol w:w="666"/>
        <w:gridCol w:w="666"/>
        <w:gridCol w:w="222"/>
        <w:gridCol w:w="1196"/>
        <w:gridCol w:w="666"/>
        <w:gridCol w:w="666"/>
        <w:gridCol w:w="666"/>
        <w:gridCol w:w="222"/>
        <w:gridCol w:w="1196"/>
        <w:gridCol w:w="666"/>
        <w:gridCol w:w="666"/>
        <w:gridCol w:w="666"/>
      </w:tblGrid>
      <w:tr w:rsidR="000C79D7" w:rsidRPr="00882B11" w:rsidTr="00AA2A99">
        <w:trPr>
          <w:trHeight w:val="270"/>
        </w:trPr>
        <w:tc>
          <w:tcPr>
            <w:tcW w:w="13442" w:type="dxa"/>
            <w:gridSpan w:val="19"/>
            <w:tcBorders>
              <w:top w:val="nil"/>
              <w:left w:val="nil"/>
              <w:bottom w:val="nil"/>
              <w:right w:val="nil"/>
            </w:tcBorders>
            <w:shd w:val="clear" w:color="auto" w:fill="auto"/>
            <w:noWrap/>
            <w:vAlign w:val="bottom"/>
            <w:hideMark/>
          </w:tcPr>
          <w:p w:rsidR="000C79D7" w:rsidRPr="00A81BEB" w:rsidRDefault="000C79D7" w:rsidP="000C79D7">
            <w:pPr>
              <w:spacing w:after="0" w:line="240" w:lineRule="auto"/>
              <w:rPr>
                <w:rFonts w:ascii="Calibri" w:eastAsia="Times New Roman" w:hAnsi="Calibri" w:cs="Times New Roman"/>
                <w:color w:val="000000"/>
                <w:sz w:val="20"/>
                <w:szCs w:val="20"/>
                <w:lang w:eastAsia="en-GB"/>
              </w:rPr>
            </w:pPr>
            <w:r w:rsidRPr="00A81BEB">
              <w:rPr>
                <w:rFonts w:ascii="Calibri" w:eastAsia="Times New Roman" w:hAnsi="Calibri" w:cs="Times New Roman"/>
                <w:color w:val="000000"/>
                <w:sz w:val="20"/>
                <w:szCs w:val="20"/>
                <w:lang w:eastAsia="en-GB"/>
              </w:rPr>
              <w:lastRenderedPageBreak/>
              <w:t>Appendix Table 8 - full output from the PA adjusted non-linear dose response meta-analysis for the associations of TV viewing with health outcomes</w:t>
            </w:r>
            <w:r w:rsidR="00D97E28">
              <w:rPr>
                <w:rFonts w:ascii="Calibri" w:eastAsia="Times New Roman" w:hAnsi="Calibri" w:cs="Times New Roman"/>
                <w:color w:val="000000"/>
                <w:sz w:val="20"/>
                <w:szCs w:val="20"/>
                <w:lang w:eastAsia="en-GB"/>
              </w:rPr>
              <w:t>. RRs given for each dose for which there was a contributing data point.</w:t>
            </w:r>
            <w:bookmarkStart w:id="10" w:name="_GoBack"/>
            <w:bookmarkEnd w:id="10"/>
          </w:p>
        </w:tc>
      </w:tr>
      <w:tr w:rsidR="000C79D7" w:rsidRPr="00882B11" w:rsidTr="00AA2A99">
        <w:trPr>
          <w:trHeight w:val="270"/>
        </w:trPr>
        <w:tc>
          <w:tcPr>
            <w:tcW w:w="3194" w:type="dxa"/>
            <w:gridSpan w:val="4"/>
            <w:tcBorders>
              <w:top w:val="single" w:sz="8" w:space="0" w:color="auto"/>
              <w:left w:val="nil"/>
              <w:bottom w:val="single" w:sz="8" w:space="0" w:color="auto"/>
              <w:right w:val="nil"/>
            </w:tcBorders>
            <w:shd w:val="clear" w:color="auto" w:fill="auto"/>
            <w:noWrap/>
            <w:vAlign w:val="bottom"/>
            <w:hideMark/>
          </w:tcPr>
          <w:p w:rsidR="000C79D7" w:rsidRPr="00A81BEB" w:rsidRDefault="000C79D7" w:rsidP="000C79D7">
            <w:pPr>
              <w:spacing w:after="0" w:line="240" w:lineRule="auto"/>
              <w:jc w:val="center"/>
              <w:rPr>
                <w:rFonts w:ascii="Calibri" w:eastAsia="Times New Roman" w:hAnsi="Calibri" w:cs="Times New Roman"/>
                <w:color w:val="000000"/>
                <w:sz w:val="20"/>
                <w:szCs w:val="20"/>
                <w:lang w:eastAsia="en-GB"/>
              </w:rPr>
            </w:pPr>
            <w:r w:rsidRPr="00A81BEB">
              <w:rPr>
                <w:rFonts w:ascii="Calibri" w:eastAsia="Times New Roman" w:hAnsi="Calibri" w:cs="Times New Roman"/>
                <w:color w:val="000000"/>
                <w:sz w:val="20"/>
                <w:szCs w:val="20"/>
                <w:lang w:eastAsia="en-GB"/>
              </w:rPr>
              <w:t>All-cause mortality</w:t>
            </w:r>
          </w:p>
        </w:tc>
        <w:tc>
          <w:tcPr>
            <w:tcW w:w="222" w:type="dxa"/>
            <w:tcBorders>
              <w:top w:val="nil"/>
              <w:left w:val="nil"/>
              <w:bottom w:val="nil"/>
              <w:right w:val="nil"/>
            </w:tcBorders>
            <w:shd w:val="clear" w:color="auto" w:fill="auto"/>
            <w:noWrap/>
            <w:vAlign w:val="bottom"/>
            <w:hideMark/>
          </w:tcPr>
          <w:p w:rsidR="000C79D7" w:rsidRPr="00A81BEB" w:rsidRDefault="000C79D7" w:rsidP="000C79D7">
            <w:pPr>
              <w:spacing w:after="0" w:line="240" w:lineRule="auto"/>
              <w:jc w:val="center"/>
              <w:rPr>
                <w:rFonts w:ascii="Calibri" w:eastAsia="Times New Roman" w:hAnsi="Calibri" w:cs="Times New Roman"/>
                <w:color w:val="000000"/>
                <w:sz w:val="20"/>
                <w:szCs w:val="20"/>
                <w:lang w:eastAsia="en-GB"/>
              </w:rPr>
            </w:pPr>
          </w:p>
        </w:tc>
        <w:tc>
          <w:tcPr>
            <w:tcW w:w="3194" w:type="dxa"/>
            <w:gridSpan w:val="4"/>
            <w:tcBorders>
              <w:top w:val="single" w:sz="8" w:space="0" w:color="auto"/>
              <w:left w:val="nil"/>
              <w:bottom w:val="single" w:sz="8" w:space="0" w:color="auto"/>
              <w:right w:val="nil"/>
            </w:tcBorders>
            <w:shd w:val="clear" w:color="auto" w:fill="auto"/>
            <w:noWrap/>
            <w:vAlign w:val="bottom"/>
            <w:hideMark/>
          </w:tcPr>
          <w:p w:rsidR="000C79D7" w:rsidRPr="00A81BEB" w:rsidRDefault="000C79D7" w:rsidP="000C79D7">
            <w:pPr>
              <w:spacing w:after="0" w:line="240" w:lineRule="auto"/>
              <w:jc w:val="center"/>
              <w:rPr>
                <w:rFonts w:ascii="Calibri" w:eastAsia="Times New Roman" w:hAnsi="Calibri" w:cs="Times New Roman"/>
                <w:color w:val="000000"/>
                <w:sz w:val="20"/>
                <w:szCs w:val="20"/>
                <w:lang w:eastAsia="en-GB"/>
              </w:rPr>
            </w:pPr>
            <w:r w:rsidRPr="00A81BEB">
              <w:rPr>
                <w:rFonts w:ascii="Calibri" w:eastAsia="Times New Roman" w:hAnsi="Calibri" w:cs="Times New Roman"/>
                <w:color w:val="000000"/>
                <w:sz w:val="20"/>
                <w:szCs w:val="20"/>
                <w:lang w:eastAsia="en-GB"/>
              </w:rPr>
              <w:t>CVD mortality</w:t>
            </w:r>
          </w:p>
        </w:tc>
        <w:tc>
          <w:tcPr>
            <w:tcW w:w="222" w:type="dxa"/>
            <w:tcBorders>
              <w:top w:val="nil"/>
              <w:left w:val="nil"/>
              <w:bottom w:val="nil"/>
              <w:right w:val="nil"/>
            </w:tcBorders>
            <w:shd w:val="clear" w:color="auto" w:fill="auto"/>
            <w:noWrap/>
            <w:vAlign w:val="bottom"/>
            <w:hideMark/>
          </w:tcPr>
          <w:p w:rsidR="000C79D7" w:rsidRPr="00A81BEB" w:rsidRDefault="000C79D7" w:rsidP="000C79D7">
            <w:pPr>
              <w:spacing w:after="0" w:line="240" w:lineRule="auto"/>
              <w:jc w:val="center"/>
              <w:rPr>
                <w:rFonts w:ascii="Calibri" w:eastAsia="Times New Roman" w:hAnsi="Calibri" w:cs="Times New Roman"/>
                <w:color w:val="000000"/>
                <w:sz w:val="20"/>
                <w:szCs w:val="20"/>
                <w:lang w:eastAsia="en-GB"/>
              </w:rPr>
            </w:pPr>
          </w:p>
        </w:tc>
        <w:tc>
          <w:tcPr>
            <w:tcW w:w="3194" w:type="dxa"/>
            <w:gridSpan w:val="4"/>
            <w:tcBorders>
              <w:top w:val="single" w:sz="8" w:space="0" w:color="auto"/>
              <w:left w:val="nil"/>
              <w:bottom w:val="single" w:sz="8" w:space="0" w:color="auto"/>
              <w:right w:val="nil"/>
            </w:tcBorders>
            <w:shd w:val="clear" w:color="auto" w:fill="auto"/>
            <w:noWrap/>
            <w:vAlign w:val="bottom"/>
            <w:hideMark/>
          </w:tcPr>
          <w:p w:rsidR="000C79D7" w:rsidRPr="00A81BEB" w:rsidRDefault="000C79D7" w:rsidP="000C79D7">
            <w:pPr>
              <w:spacing w:after="0" w:line="240" w:lineRule="auto"/>
              <w:jc w:val="center"/>
              <w:rPr>
                <w:rFonts w:ascii="Calibri" w:eastAsia="Times New Roman" w:hAnsi="Calibri" w:cs="Times New Roman"/>
                <w:color w:val="000000"/>
                <w:sz w:val="20"/>
                <w:szCs w:val="20"/>
                <w:lang w:eastAsia="en-GB"/>
              </w:rPr>
            </w:pPr>
            <w:r w:rsidRPr="00A81BEB">
              <w:rPr>
                <w:rFonts w:ascii="Calibri" w:eastAsia="Times New Roman" w:hAnsi="Calibri" w:cs="Times New Roman"/>
                <w:color w:val="000000"/>
                <w:sz w:val="20"/>
                <w:szCs w:val="20"/>
                <w:lang w:eastAsia="en-GB"/>
              </w:rPr>
              <w:t>Cancer mortality</w:t>
            </w:r>
          </w:p>
        </w:tc>
        <w:tc>
          <w:tcPr>
            <w:tcW w:w="222" w:type="dxa"/>
            <w:tcBorders>
              <w:top w:val="nil"/>
              <w:left w:val="nil"/>
              <w:bottom w:val="nil"/>
              <w:right w:val="nil"/>
            </w:tcBorders>
            <w:shd w:val="clear" w:color="auto" w:fill="auto"/>
            <w:noWrap/>
            <w:vAlign w:val="bottom"/>
            <w:hideMark/>
          </w:tcPr>
          <w:p w:rsidR="000C79D7" w:rsidRPr="00A81BEB" w:rsidRDefault="000C79D7" w:rsidP="000C79D7">
            <w:pPr>
              <w:spacing w:after="0" w:line="240" w:lineRule="auto"/>
              <w:jc w:val="center"/>
              <w:rPr>
                <w:rFonts w:ascii="Calibri" w:eastAsia="Times New Roman" w:hAnsi="Calibri" w:cs="Times New Roman"/>
                <w:color w:val="000000"/>
                <w:sz w:val="20"/>
                <w:szCs w:val="20"/>
                <w:lang w:eastAsia="en-GB"/>
              </w:rPr>
            </w:pPr>
          </w:p>
        </w:tc>
        <w:tc>
          <w:tcPr>
            <w:tcW w:w="3194" w:type="dxa"/>
            <w:gridSpan w:val="4"/>
            <w:tcBorders>
              <w:top w:val="single" w:sz="8" w:space="0" w:color="auto"/>
              <w:left w:val="nil"/>
              <w:bottom w:val="single" w:sz="8" w:space="0" w:color="auto"/>
              <w:right w:val="nil"/>
            </w:tcBorders>
            <w:shd w:val="clear" w:color="auto" w:fill="auto"/>
            <w:noWrap/>
            <w:vAlign w:val="bottom"/>
            <w:hideMark/>
          </w:tcPr>
          <w:p w:rsidR="000C79D7" w:rsidRPr="00A81BEB" w:rsidRDefault="000C79D7" w:rsidP="000C79D7">
            <w:pPr>
              <w:spacing w:after="0" w:line="240" w:lineRule="auto"/>
              <w:jc w:val="center"/>
              <w:rPr>
                <w:rFonts w:ascii="Calibri" w:eastAsia="Times New Roman" w:hAnsi="Calibri" w:cs="Times New Roman"/>
                <w:color w:val="000000"/>
                <w:sz w:val="20"/>
                <w:szCs w:val="20"/>
                <w:lang w:eastAsia="en-GB"/>
              </w:rPr>
            </w:pPr>
            <w:r w:rsidRPr="00A81BEB">
              <w:rPr>
                <w:rFonts w:ascii="Calibri" w:eastAsia="Times New Roman" w:hAnsi="Calibri" w:cs="Times New Roman"/>
                <w:color w:val="000000"/>
                <w:sz w:val="20"/>
                <w:szCs w:val="20"/>
                <w:lang w:eastAsia="en-GB"/>
              </w:rPr>
              <w:t>Type 2 Diabetes</w:t>
            </w:r>
          </w:p>
        </w:tc>
      </w:tr>
      <w:tr w:rsidR="000C79D7" w:rsidRPr="00882B11" w:rsidTr="00AA2A99">
        <w:trPr>
          <w:trHeight w:val="525"/>
        </w:trPr>
        <w:tc>
          <w:tcPr>
            <w:tcW w:w="1196" w:type="dxa"/>
            <w:tcBorders>
              <w:top w:val="nil"/>
              <w:left w:val="nil"/>
              <w:bottom w:val="nil"/>
              <w:right w:val="nil"/>
            </w:tcBorders>
            <w:shd w:val="clear" w:color="auto" w:fill="auto"/>
            <w:vAlign w:val="bottom"/>
            <w:hideMark/>
          </w:tcPr>
          <w:p w:rsidR="000C79D7" w:rsidRPr="00A81BEB" w:rsidRDefault="000C79D7" w:rsidP="000C79D7">
            <w:pPr>
              <w:spacing w:after="0" w:line="240" w:lineRule="auto"/>
              <w:jc w:val="center"/>
              <w:rPr>
                <w:rFonts w:ascii="Calibri" w:eastAsia="Times New Roman" w:hAnsi="Calibri" w:cs="Times New Roman"/>
                <w:color w:val="000000"/>
                <w:sz w:val="20"/>
                <w:szCs w:val="20"/>
                <w:lang w:eastAsia="en-GB"/>
              </w:rPr>
            </w:pPr>
            <w:r w:rsidRPr="00A81BEB">
              <w:rPr>
                <w:rFonts w:ascii="Calibri" w:eastAsia="Times New Roman" w:hAnsi="Calibri" w:cs="Times New Roman"/>
                <w:color w:val="000000"/>
                <w:sz w:val="20"/>
                <w:szCs w:val="20"/>
                <w:lang w:eastAsia="en-GB"/>
              </w:rPr>
              <w:t>dose</w:t>
            </w:r>
            <w:r w:rsidRPr="00A81BEB">
              <w:rPr>
                <w:rFonts w:ascii="Calibri" w:eastAsia="Times New Roman" w:hAnsi="Calibri" w:cs="Times New Roman"/>
                <w:color w:val="000000"/>
                <w:sz w:val="20"/>
                <w:szCs w:val="20"/>
                <w:lang w:eastAsia="en-GB"/>
              </w:rPr>
              <w:br/>
              <w:t>h/day</w:t>
            </w:r>
          </w:p>
        </w:tc>
        <w:tc>
          <w:tcPr>
            <w:tcW w:w="666" w:type="dxa"/>
            <w:tcBorders>
              <w:top w:val="nil"/>
              <w:left w:val="nil"/>
              <w:bottom w:val="nil"/>
              <w:right w:val="nil"/>
            </w:tcBorders>
            <w:shd w:val="clear" w:color="auto" w:fill="auto"/>
            <w:noWrap/>
            <w:vAlign w:val="bottom"/>
            <w:hideMark/>
          </w:tcPr>
          <w:p w:rsidR="000C79D7" w:rsidRPr="00A81BEB" w:rsidRDefault="000C79D7" w:rsidP="000C79D7">
            <w:pPr>
              <w:spacing w:after="0" w:line="240" w:lineRule="auto"/>
              <w:jc w:val="center"/>
              <w:rPr>
                <w:rFonts w:ascii="Calibri" w:eastAsia="Times New Roman" w:hAnsi="Calibri" w:cs="Times New Roman"/>
                <w:color w:val="000000"/>
                <w:sz w:val="20"/>
                <w:szCs w:val="20"/>
                <w:lang w:eastAsia="en-GB"/>
              </w:rPr>
            </w:pPr>
            <w:r w:rsidRPr="00A81BEB">
              <w:rPr>
                <w:rFonts w:ascii="Calibri" w:eastAsia="Times New Roman" w:hAnsi="Calibri" w:cs="Times New Roman"/>
                <w:color w:val="000000"/>
                <w:sz w:val="20"/>
                <w:szCs w:val="20"/>
                <w:lang w:eastAsia="en-GB"/>
              </w:rPr>
              <w:t>RR</w:t>
            </w:r>
          </w:p>
        </w:tc>
        <w:tc>
          <w:tcPr>
            <w:tcW w:w="666" w:type="dxa"/>
            <w:tcBorders>
              <w:top w:val="nil"/>
              <w:left w:val="nil"/>
              <w:bottom w:val="nil"/>
              <w:right w:val="nil"/>
            </w:tcBorders>
            <w:shd w:val="clear" w:color="auto" w:fill="auto"/>
            <w:noWrap/>
            <w:vAlign w:val="bottom"/>
            <w:hideMark/>
          </w:tcPr>
          <w:p w:rsidR="000C79D7" w:rsidRPr="00A81BEB" w:rsidRDefault="000C79D7" w:rsidP="000C79D7">
            <w:pPr>
              <w:spacing w:after="0" w:line="240" w:lineRule="auto"/>
              <w:jc w:val="center"/>
              <w:rPr>
                <w:rFonts w:ascii="Calibri" w:eastAsia="Times New Roman" w:hAnsi="Calibri" w:cs="Times New Roman"/>
                <w:color w:val="000000"/>
                <w:sz w:val="20"/>
                <w:szCs w:val="20"/>
                <w:lang w:eastAsia="en-GB"/>
              </w:rPr>
            </w:pPr>
            <w:r w:rsidRPr="00A81BEB">
              <w:rPr>
                <w:rFonts w:ascii="Calibri" w:eastAsia="Times New Roman" w:hAnsi="Calibri" w:cs="Times New Roman"/>
                <w:color w:val="000000"/>
                <w:sz w:val="20"/>
                <w:szCs w:val="20"/>
                <w:lang w:eastAsia="en-GB"/>
              </w:rPr>
              <w:t>LCI</w:t>
            </w:r>
          </w:p>
        </w:tc>
        <w:tc>
          <w:tcPr>
            <w:tcW w:w="666" w:type="dxa"/>
            <w:tcBorders>
              <w:top w:val="nil"/>
              <w:left w:val="nil"/>
              <w:bottom w:val="nil"/>
              <w:right w:val="nil"/>
            </w:tcBorders>
            <w:shd w:val="clear" w:color="auto" w:fill="auto"/>
            <w:noWrap/>
            <w:vAlign w:val="bottom"/>
            <w:hideMark/>
          </w:tcPr>
          <w:p w:rsidR="000C79D7" w:rsidRPr="00A81BEB" w:rsidRDefault="000C79D7" w:rsidP="000C79D7">
            <w:pPr>
              <w:spacing w:after="0" w:line="240" w:lineRule="auto"/>
              <w:jc w:val="center"/>
              <w:rPr>
                <w:rFonts w:ascii="Calibri" w:eastAsia="Times New Roman" w:hAnsi="Calibri" w:cs="Times New Roman"/>
                <w:color w:val="000000"/>
                <w:sz w:val="20"/>
                <w:szCs w:val="20"/>
                <w:lang w:eastAsia="en-GB"/>
              </w:rPr>
            </w:pPr>
            <w:r w:rsidRPr="00A81BEB">
              <w:rPr>
                <w:rFonts w:ascii="Calibri" w:eastAsia="Times New Roman" w:hAnsi="Calibri" w:cs="Times New Roman"/>
                <w:color w:val="000000"/>
                <w:sz w:val="20"/>
                <w:szCs w:val="20"/>
                <w:lang w:eastAsia="en-GB"/>
              </w:rPr>
              <w:t>UCI</w:t>
            </w:r>
          </w:p>
        </w:tc>
        <w:tc>
          <w:tcPr>
            <w:tcW w:w="222" w:type="dxa"/>
            <w:tcBorders>
              <w:top w:val="nil"/>
              <w:left w:val="nil"/>
              <w:bottom w:val="nil"/>
              <w:right w:val="nil"/>
            </w:tcBorders>
            <w:shd w:val="clear" w:color="auto" w:fill="auto"/>
            <w:noWrap/>
            <w:vAlign w:val="bottom"/>
            <w:hideMark/>
          </w:tcPr>
          <w:p w:rsidR="000C79D7" w:rsidRPr="00A81BEB" w:rsidRDefault="000C79D7" w:rsidP="000C79D7">
            <w:pPr>
              <w:spacing w:after="0" w:line="240" w:lineRule="auto"/>
              <w:rPr>
                <w:rFonts w:ascii="Calibri" w:eastAsia="Times New Roman" w:hAnsi="Calibri" w:cs="Times New Roman"/>
                <w:color w:val="000000"/>
                <w:sz w:val="20"/>
                <w:szCs w:val="20"/>
                <w:lang w:eastAsia="en-GB"/>
              </w:rPr>
            </w:pPr>
            <w:r w:rsidRPr="00A81BEB">
              <w:rPr>
                <w:rFonts w:ascii="Calibri" w:eastAsia="Times New Roman" w:hAnsi="Calibri" w:cs="Times New Roman"/>
                <w:color w:val="000000"/>
                <w:sz w:val="20"/>
                <w:szCs w:val="20"/>
                <w:lang w:eastAsia="en-GB"/>
              </w:rPr>
              <w:t xml:space="preserve"> </w:t>
            </w:r>
          </w:p>
        </w:tc>
        <w:tc>
          <w:tcPr>
            <w:tcW w:w="1196" w:type="dxa"/>
            <w:tcBorders>
              <w:top w:val="nil"/>
              <w:left w:val="nil"/>
              <w:bottom w:val="nil"/>
              <w:right w:val="nil"/>
            </w:tcBorders>
            <w:shd w:val="clear" w:color="auto" w:fill="auto"/>
            <w:vAlign w:val="bottom"/>
            <w:hideMark/>
          </w:tcPr>
          <w:p w:rsidR="000C79D7" w:rsidRPr="00A81BEB" w:rsidRDefault="000C79D7" w:rsidP="000C79D7">
            <w:pPr>
              <w:spacing w:after="0" w:line="240" w:lineRule="auto"/>
              <w:jc w:val="center"/>
              <w:rPr>
                <w:rFonts w:ascii="Calibri" w:eastAsia="Times New Roman" w:hAnsi="Calibri" w:cs="Times New Roman"/>
                <w:color w:val="000000"/>
                <w:sz w:val="20"/>
                <w:szCs w:val="20"/>
                <w:lang w:eastAsia="en-GB"/>
              </w:rPr>
            </w:pPr>
            <w:r w:rsidRPr="00A81BEB">
              <w:rPr>
                <w:rFonts w:ascii="Calibri" w:eastAsia="Times New Roman" w:hAnsi="Calibri" w:cs="Times New Roman"/>
                <w:color w:val="000000"/>
                <w:sz w:val="20"/>
                <w:szCs w:val="20"/>
                <w:lang w:eastAsia="en-GB"/>
              </w:rPr>
              <w:t>dose</w:t>
            </w:r>
            <w:r w:rsidRPr="00A81BEB">
              <w:rPr>
                <w:rFonts w:ascii="Calibri" w:eastAsia="Times New Roman" w:hAnsi="Calibri" w:cs="Times New Roman"/>
                <w:color w:val="000000"/>
                <w:sz w:val="20"/>
                <w:szCs w:val="20"/>
                <w:lang w:eastAsia="en-GB"/>
              </w:rPr>
              <w:br/>
              <w:t>h/day</w:t>
            </w:r>
          </w:p>
        </w:tc>
        <w:tc>
          <w:tcPr>
            <w:tcW w:w="666" w:type="dxa"/>
            <w:tcBorders>
              <w:top w:val="nil"/>
              <w:left w:val="nil"/>
              <w:bottom w:val="nil"/>
              <w:right w:val="nil"/>
            </w:tcBorders>
            <w:shd w:val="clear" w:color="auto" w:fill="auto"/>
            <w:noWrap/>
            <w:vAlign w:val="bottom"/>
            <w:hideMark/>
          </w:tcPr>
          <w:p w:rsidR="000C79D7" w:rsidRPr="00A81BEB" w:rsidRDefault="000C79D7" w:rsidP="000C79D7">
            <w:pPr>
              <w:spacing w:after="0" w:line="240" w:lineRule="auto"/>
              <w:jc w:val="center"/>
              <w:rPr>
                <w:rFonts w:ascii="Calibri" w:eastAsia="Times New Roman" w:hAnsi="Calibri" w:cs="Times New Roman"/>
                <w:color w:val="000000"/>
                <w:sz w:val="20"/>
                <w:szCs w:val="20"/>
                <w:lang w:eastAsia="en-GB"/>
              </w:rPr>
            </w:pPr>
            <w:r w:rsidRPr="00A81BEB">
              <w:rPr>
                <w:rFonts w:ascii="Calibri" w:eastAsia="Times New Roman" w:hAnsi="Calibri" w:cs="Times New Roman"/>
                <w:color w:val="000000"/>
                <w:sz w:val="20"/>
                <w:szCs w:val="20"/>
                <w:lang w:eastAsia="en-GB"/>
              </w:rPr>
              <w:t>RR</w:t>
            </w:r>
          </w:p>
        </w:tc>
        <w:tc>
          <w:tcPr>
            <w:tcW w:w="666" w:type="dxa"/>
            <w:tcBorders>
              <w:top w:val="nil"/>
              <w:left w:val="nil"/>
              <w:bottom w:val="nil"/>
              <w:right w:val="nil"/>
            </w:tcBorders>
            <w:shd w:val="clear" w:color="auto" w:fill="auto"/>
            <w:noWrap/>
            <w:vAlign w:val="bottom"/>
            <w:hideMark/>
          </w:tcPr>
          <w:p w:rsidR="000C79D7" w:rsidRPr="00A81BEB" w:rsidRDefault="000C79D7" w:rsidP="000C79D7">
            <w:pPr>
              <w:spacing w:after="0" w:line="240" w:lineRule="auto"/>
              <w:jc w:val="center"/>
              <w:rPr>
                <w:rFonts w:ascii="Calibri" w:eastAsia="Times New Roman" w:hAnsi="Calibri" w:cs="Times New Roman"/>
                <w:color w:val="000000"/>
                <w:sz w:val="20"/>
                <w:szCs w:val="20"/>
                <w:lang w:eastAsia="en-GB"/>
              </w:rPr>
            </w:pPr>
            <w:r w:rsidRPr="00A81BEB">
              <w:rPr>
                <w:rFonts w:ascii="Calibri" w:eastAsia="Times New Roman" w:hAnsi="Calibri" w:cs="Times New Roman"/>
                <w:color w:val="000000"/>
                <w:sz w:val="20"/>
                <w:szCs w:val="20"/>
                <w:lang w:eastAsia="en-GB"/>
              </w:rPr>
              <w:t>LCI</w:t>
            </w:r>
          </w:p>
        </w:tc>
        <w:tc>
          <w:tcPr>
            <w:tcW w:w="666" w:type="dxa"/>
            <w:tcBorders>
              <w:top w:val="nil"/>
              <w:left w:val="nil"/>
              <w:bottom w:val="nil"/>
              <w:right w:val="nil"/>
            </w:tcBorders>
            <w:shd w:val="clear" w:color="auto" w:fill="auto"/>
            <w:noWrap/>
            <w:vAlign w:val="bottom"/>
            <w:hideMark/>
          </w:tcPr>
          <w:p w:rsidR="000C79D7" w:rsidRPr="00A81BEB" w:rsidRDefault="000C79D7" w:rsidP="000C79D7">
            <w:pPr>
              <w:spacing w:after="0" w:line="240" w:lineRule="auto"/>
              <w:jc w:val="center"/>
              <w:rPr>
                <w:rFonts w:ascii="Calibri" w:eastAsia="Times New Roman" w:hAnsi="Calibri" w:cs="Times New Roman"/>
                <w:color w:val="000000"/>
                <w:sz w:val="20"/>
                <w:szCs w:val="20"/>
                <w:lang w:eastAsia="en-GB"/>
              </w:rPr>
            </w:pPr>
            <w:r w:rsidRPr="00A81BEB">
              <w:rPr>
                <w:rFonts w:ascii="Calibri" w:eastAsia="Times New Roman" w:hAnsi="Calibri" w:cs="Times New Roman"/>
                <w:color w:val="000000"/>
                <w:sz w:val="20"/>
                <w:szCs w:val="20"/>
                <w:lang w:eastAsia="en-GB"/>
              </w:rPr>
              <w:t>UCI</w:t>
            </w:r>
          </w:p>
        </w:tc>
        <w:tc>
          <w:tcPr>
            <w:tcW w:w="222" w:type="dxa"/>
            <w:tcBorders>
              <w:top w:val="nil"/>
              <w:left w:val="nil"/>
              <w:bottom w:val="nil"/>
              <w:right w:val="nil"/>
            </w:tcBorders>
            <w:shd w:val="clear" w:color="auto" w:fill="auto"/>
            <w:noWrap/>
            <w:vAlign w:val="bottom"/>
            <w:hideMark/>
          </w:tcPr>
          <w:p w:rsidR="000C79D7" w:rsidRPr="00A81BEB" w:rsidRDefault="000C79D7" w:rsidP="000C79D7">
            <w:pPr>
              <w:spacing w:after="0" w:line="240" w:lineRule="auto"/>
              <w:rPr>
                <w:rFonts w:ascii="Calibri" w:eastAsia="Times New Roman" w:hAnsi="Calibri" w:cs="Times New Roman"/>
                <w:color w:val="000000"/>
                <w:sz w:val="20"/>
                <w:szCs w:val="20"/>
                <w:lang w:eastAsia="en-GB"/>
              </w:rPr>
            </w:pPr>
            <w:r w:rsidRPr="00A81BEB">
              <w:rPr>
                <w:rFonts w:ascii="Calibri" w:eastAsia="Times New Roman" w:hAnsi="Calibri" w:cs="Times New Roman"/>
                <w:color w:val="000000"/>
                <w:sz w:val="20"/>
                <w:szCs w:val="20"/>
                <w:lang w:eastAsia="en-GB"/>
              </w:rPr>
              <w:t xml:space="preserve"> </w:t>
            </w:r>
          </w:p>
        </w:tc>
        <w:tc>
          <w:tcPr>
            <w:tcW w:w="1196" w:type="dxa"/>
            <w:tcBorders>
              <w:top w:val="nil"/>
              <w:left w:val="nil"/>
              <w:bottom w:val="nil"/>
              <w:right w:val="nil"/>
            </w:tcBorders>
            <w:shd w:val="clear" w:color="auto" w:fill="auto"/>
            <w:vAlign w:val="bottom"/>
            <w:hideMark/>
          </w:tcPr>
          <w:p w:rsidR="000C79D7" w:rsidRPr="00A81BEB" w:rsidRDefault="000C79D7" w:rsidP="000C79D7">
            <w:pPr>
              <w:spacing w:after="0" w:line="240" w:lineRule="auto"/>
              <w:jc w:val="center"/>
              <w:rPr>
                <w:rFonts w:ascii="Calibri" w:eastAsia="Times New Roman" w:hAnsi="Calibri" w:cs="Times New Roman"/>
                <w:color w:val="000000"/>
                <w:sz w:val="20"/>
                <w:szCs w:val="20"/>
                <w:lang w:eastAsia="en-GB"/>
              </w:rPr>
            </w:pPr>
            <w:r w:rsidRPr="00A81BEB">
              <w:rPr>
                <w:rFonts w:ascii="Calibri" w:eastAsia="Times New Roman" w:hAnsi="Calibri" w:cs="Times New Roman"/>
                <w:color w:val="000000"/>
                <w:sz w:val="20"/>
                <w:szCs w:val="20"/>
                <w:lang w:eastAsia="en-GB"/>
              </w:rPr>
              <w:t>dose</w:t>
            </w:r>
            <w:r w:rsidRPr="00A81BEB">
              <w:rPr>
                <w:rFonts w:ascii="Calibri" w:eastAsia="Times New Roman" w:hAnsi="Calibri" w:cs="Times New Roman"/>
                <w:color w:val="000000"/>
                <w:sz w:val="20"/>
                <w:szCs w:val="20"/>
                <w:lang w:eastAsia="en-GB"/>
              </w:rPr>
              <w:br/>
              <w:t>h/day</w:t>
            </w:r>
          </w:p>
        </w:tc>
        <w:tc>
          <w:tcPr>
            <w:tcW w:w="666" w:type="dxa"/>
            <w:tcBorders>
              <w:top w:val="nil"/>
              <w:left w:val="nil"/>
              <w:bottom w:val="nil"/>
              <w:right w:val="nil"/>
            </w:tcBorders>
            <w:shd w:val="clear" w:color="auto" w:fill="auto"/>
            <w:noWrap/>
            <w:vAlign w:val="bottom"/>
            <w:hideMark/>
          </w:tcPr>
          <w:p w:rsidR="000C79D7" w:rsidRPr="00A81BEB" w:rsidRDefault="000C79D7" w:rsidP="000C79D7">
            <w:pPr>
              <w:spacing w:after="0" w:line="240" w:lineRule="auto"/>
              <w:jc w:val="center"/>
              <w:rPr>
                <w:rFonts w:ascii="Calibri" w:eastAsia="Times New Roman" w:hAnsi="Calibri" w:cs="Times New Roman"/>
                <w:color w:val="000000"/>
                <w:sz w:val="20"/>
                <w:szCs w:val="20"/>
                <w:lang w:eastAsia="en-GB"/>
              </w:rPr>
            </w:pPr>
            <w:r w:rsidRPr="00A81BEB">
              <w:rPr>
                <w:rFonts w:ascii="Calibri" w:eastAsia="Times New Roman" w:hAnsi="Calibri" w:cs="Times New Roman"/>
                <w:color w:val="000000"/>
                <w:sz w:val="20"/>
                <w:szCs w:val="20"/>
                <w:lang w:eastAsia="en-GB"/>
              </w:rPr>
              <w:t>RR</w:t>
            </w:r>
          </w:p>
        </w:tc>
        <w:tc>
          <w:tcPr>
            <w:tcW w:w="666" w:type="dxa"/>
            <w:tcBorders>
              <w:top w:val="nil"/>
              <w:left w:val="nil"/>
              <w:bottom w:val="nil"/>
              <w:right w:val="nil"/>
            </w:tcBorders>
            <w:shd w:val="clear" w:color="auto" w:fill="auto"/>
            <w:noWrap/>
            <w:vAlign w:val="bottom"/>
            <w:hideMark/>
          </w:tcPr>
          <w:p w:rsidR="000C79D7" w:rsidRPr="00A81BEB" w:rsidRDefault="000C79D7" w:rsidP="000C79D7">
            <w:pPr>
              <w:spacing w:after="0" w:line="240" w:lineRule="auto"/>
              <w:jc w:val="center"/>
              <w:rPr>
                <w:rFonts w:ascii="Calibri" w:eastAsia="Times New Roman" w:hAnsi="Calibri" w:cs="Times New Roman"/>
                <w:color w:val="000000"/>
                <w:sz w:val="20"/>
                <w:szCs w:val="20"/>
                <w:lang w:eastAsia="en-GB"/>
              </w:rPr>
            </w:pPr>
            <w:r w:rsidRPr="00A81BEB">
              <w:rPr>
                <w:rFonts w:ascii="Calibri" w:eastAsia="Times New Roman" w:hAnsi="Calibri" w:cs="Times New Roman"/>
                <w:color w:val="000000"/>
                <w:sz w:val="20"/>
                <w:szCs w:val="20"/>
                <w:lang w:eastAsia="en-GB"/>
              </w:rPr>
              <w:t>LCI</w:t>
            </w:r>
          </w:p>
        </w:tc>
        <w:tc>
          <w:tcPr>
            <w:tcW w:w="666" w:type="dxa"/>
            <w:tcBorders>
              <w:top w:val="nil"/>
              <w:left w:val="nil"/>
              <w:bottom w:val="nil"/>
              <w:right w:val="nil"/>
            </w:tcBorders>
            <w:shd w:val="clear" w:color="auto" w:fill="auto"/>
            <w:noWrap/>
            <w:vAlign w:val="bottom"/>
            <w:hideMark/>
          </w:tcPr>
          <w:p w:rsidR="000C79D7" w:rsidRPr="00A81BEB" w:rsidRDefault="000C79D7" w:rsidP="000C79D7">
            <w:pPr>
              <w:spacing w:after="0" w:line="240" w:lineRule="auto"/>
              <w:jc w:val="center"/>
              <w:rPr>
                <w:rFonts w:ascii="Calibri" w:eastAsia="Times New Roman" w:hAnsi="Calibri" w:cs="Times New Roman"/>
                <w:color w:val="000000"/>
                <w:sz w:val="20"/>
                <w:szCs w:val="20"/>
                <w:lang w:eastAsia="en-GB"/>
              </w:rPr>
            </w:pPr>
            <w:r w:rsidRPr="00A81BEB">
              <w:rPr>
                <w:rFonts w:ascii="Calibri" w:eastAsia="Times New Roman" w:hAnsi="Calibri" w:cs="Times New Roman"/>
                <w:color w:val="000000"/>
                <w:sz w:val="20"/>
                <w:szCs w:val="20"/>
                <w:lang w:eastAsia="en-GB"/>
              </w:rPr>
              <w:t>UCI</w:t>
            </w:r>
          </w:p>
        </w:tc>
        <w:tc>
          <w:tcPr>
            <w:tcW w:w="222" w:type="dxa"/>
            <w:tcBorders>
              <w:top w:val="nil"/>
              <w:left w:val="nil"/>
              <w:bottom w:val="nil"/>
              <w:right w:val="nil"/>
            </w:tcBorders>
            <w:shd w:val="clear" w:color="auto" w:fill="auto"/>
            <w:noWrap/>
            <w:vAlign w:val="bottom"/>
            <w:hideMark/>
          </w:tcPr>
          <w:p w:rsidR="000C79D7" w:rsidRPr="00A81BEB" w:rsidRDefault="000C79D7" w:rsidP="000C79D7">
            <w:pPr>
              <w:spacing w:after="0" w:line="240" w:lineRule="auto"/>
              <w:rPr>
                <w:rFonts w:ascii="Calibri" w:eastAsia="Times New Roman" w:hAnsi="Calibri" w:cs="Times New Roman"/>
                <w:color w:val="000000"/>
                <w:sz w:val="20"/>
                <w:szCs w:val="20"/>
                <w:lang w:eastAsia="en-GB"/>
              </w:rPr>
            </w:pPr>
            <w:r w:rsidRPr="00A81BEB">
              <w:rPr>
                <w:rFonts w:ascii="Calibri" w:eastAsia="Times New Roman" w:hAnsi="Calibri" w:cs="Times New Roman"/>
                <w:color w:val="000000"/>
                <w:sz w:val="20"/>
                <w:szCs w:val="20"/>
                <w:lang w:eastAsia="en-GB"/>
              </w:rPr>
              <w:t xml:space="preserve"> </w:t>
            </w:r>
          </w:p>
        </w:tc>
        <w:tc>
          <w:tcPr>
            <w:tcW w:w="1196" w:type="dxa"/>
            <w:tcBorders>
              <w:top w:val="nil"/>
              <w:left w:val="nil"/>
              <w:bottom w:val="nil"/>
              <w:right w:val="nil"/>
            </w:tcBorders>
            <w:shd w:val="clear" w:color="auto" w:fill="auto"/>
            <w:vAlign w:val="bottom"/>
            <w:hideMark/>
          </w:tcPr>
          <w:p w:rsidR="000C79D7" w:rsidRPr="00A81BEB" w:rsidRDefault="000C79D7" w:rsidP="000C79D7">
            <w:pPr>
              <w:spacing w:after="0" w:line="240" w:lineRule="auto"/>
              <w:jc w:val="center"/>
              <w:rPr>
                <w:rFonts w:ascii="Calibri" w:eastAsia="Times New Roman" w:hAnsi="Calibri" w:cs="Times New Roman"/>
                <w:color w:val="000000"/>
                <w:sz w:val="20"/>
                <w:szCs w:val="20"/>
                <w:lang w:eastAsia="en-GB"/>
              </w:rPr>
            </w:pPr>
            <w:r w:rsidRPr="00A81BEB">
              <w:rPr>
                <w:rFonts w:ascii="Calibri" w:eastAsia="Times New Roman" w:hAnsi="Calibri" w:cs="Times New Roman"/>
                <w:color w:val="000000"/>
                <w:sz w:val="20"/>
                <w:szCs w:val="20"/>
                <w:lang w:eastAsia="en-GB"/>
              </w:rPr>
              <w:t>dose</w:t>
            </w:r>
            <w:r w:rsidRPr="00A81BEB">
              <w:rPr>
                <w:rFonts w:ascii="Calibri" w:eastAsia="Times New Roman" w:hAnsi="Calibri" w:cs="Times New Roman"/>
                <w:color w:val="000000"/>
                <w:sz w:val="20"/>
                <w:szCs w:val="20"/>
                <w:lang w:eastAsia="en-GB"/>
              </w:rPr>
              <w:br/>
              <w:t>h/day</w:t>
            </w:r>
          </w:p>
        </w:tc>
        <w:tc>
          <w:tcPr>
            <w:tcW w:w="666" w:type="dxa"/>
            <w:tcBorders>
              <w:top w:val="nil"/>
              <w:left w:val="nil"/>
              <w:bottom w:val="nil"/>
              <w:right w:val="nil"/>
            </w:tcBorders>
            <w:shd w:val="clear" w:color="auto" w:fill="auto"/>
            <w:noWrap/>
            <w:vAlign w:val="bottom"/>
            <w:hideMark/>
          </w:tcPr>
          <w:p w:rsidR="000C79D7" w:rsidRPr="00A81BEB" w:rsidRDefault="000C79D7" w:rsidP="000C79D7">
            <w:pPr>
              <w:spacing w:after="0" w:line="240" w:lineRule="auto"/>
              <w:jc w:val="center"/>
              <w:rPr>
                <w:rFonts w:ascii="Calibri" w:eastAsia="Times New Roman" w:hAnsi="Calibri" w:cs="Times New Roman"/>
                <w:color w:val="000000"/>
                <w:sz w:val="20"/>
                <w:szCs w:val="20"/>
                <w:lang w:eastAsia="en-GB"/>
              </w:rPr>
            </w:pPr>
            <w:r w:rsidRPr="00A81BEB">
              <w:rPr>
                <w:rFonts w:ascii="Calibri" w:eastAsia="Times New Roman" w:hAnsi="Calibri" w:cs="Times New Roman"/>
                <w:color w:val="000000"/>
                <w:sz w:val="20"/>
                <w:szCs w:val="20"/>
                <w:lang w:eastAsia="en-GB"/>
              </w:rPr>
              <w:t>RR</w:t>
            </w:r>
          </w:p>
        </w:tc>
        <w:tc>
          <w:tcPr>
            <w:tcW w:w="666" w:type="dxa"/>
            <w:tcBorders>
              <w:top w:val="nil"/>
              <w:left w:val="nil"/>
              <w:bottom w:val="nil"/>
              <w:right w:val="nil"/>
            </w:tcBorders>
            <w:shd w:val="clear" w:color="auto" w:fill="auto"/>
            <w:noWrap/>
            <w:vAlign w:val="bottom"/>
            <w:hideMark/>
          </w:tcPr>
          <w:p w:rsidR="000C79D7" w:rsidRPr="00A81BEB" w:rsidRDefault="000C79D7" w:rsidP="000C79D7">
            <w:pPr>
              <w:spacing w:after="0" w:line="240" w:lineRule="auto"/>
              <w:jc w:val="center"/>
              <w:rPr>
                <w:rFonts w:ascii="Calibri" w:eastAsia="Times New Roman" w:hAnsi="Calibri" w:cs="Times New Roman"/>
                <w:color w:val="000000"/>
                <w:sz w:val="20"/>
                <w:szCs w:val="20"/>
                <w:lang w:eastAsia="en-GB"/>
              </w:rPr>
            </w:pPr>
            <w:r w:rsidRPr="00A81BEB">
              <w:rPr>
                <w:rFonts w:ascii="Calibri" w:eastAsia="Times New Roman" w:hAnsi="Calibri" w:cs="Times New Roman"/>
                <w:color w:val="000000"/>
                <w:sz w:val="20"/>
                <w:szCs w:val="20"/>
                <w:lang w:eastAsia="en-GB"/>
              </w:rPr>
              <w:t>LCI</w:t>
            </w:r>
          </w:p>
        </w:tc>
        <w:tc>
          <w:tcPr>
            <w:tcW w:w="666" w:type="dxa"/>
            <w:tcBorders>
              <w:top w:val="nil"/>
              <w:left w:val="nil"/>
              <w:bottom w:val="nil"/>
              <w:right w:val="nil"/>
            </w:tcBorders>
            <w:shd w:val="clear" w:color="auto" w:fill="auto"/>
            <w:noWrap/>
            <w:vAlign w:val="bottom"/>
            <w:hideMark/>
          </w:tcPr>
          <w:p w:rsidR="000C79D7" w:rsidRPr="00A81BEB" w:rsidRDefault="000C79D7" w:rsidP="000C79D7">
            <w:pPr>
              <w:spacing w:after="0" w:line="240" w:lineRule="auto"/>
              <w:jc w:val="center"/>
              <w:rPr>
                <w:rFonts w:ascii="Calibri" w:eastAsia="Times New Roman" w:hAnsi="Calibri" w:cs="Times New Roman"/>
                <w:color w:val="000000"/>
                <w:sz w:val="20"/>
                <w:szCs w:val="20"/>
                <w:lang w:eastAsia="en-GB"/>
              </w:rPr>
            </w:pPr>
            <w:r w:rsidRPr="00A81BEB">
              <w:rPr>
                <w:rFonts w:ascii="Calibri" w:eastAsia="Times New Roman" w:hAnsi="Calibri" w:cs="Times New Roman"/>
                <w:color w:val="000000"/>
                <w:sz w:val="20"/>
                <w:szCs w:val="20"/>
                <w:lang w:eastAsia="en-GB"/>
              </w:rPr>
              <w:t>UCI</w:t>
            </w:r>
          </w:p>
        </w:tc>
      </w:tr>
      <w:tr w:rsidR="00A81BEB" w:rsidRPr="00882B11" w:rsidTr="00882B11">
        <w:trPr>
          <w:trHeight w:val="255"/>
        </w:trPr>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0.5</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1.00</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1.00</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1.00</w:t>
            </w: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0.5</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1.00</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1.00</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1.00</w:t>
            </w: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0.5</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1.00</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1.00</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1.00</w:t>
            </w: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0.07</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1.00</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1.00</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1.00</w:t>
            </w:r>
          </w:p>
        </w:tc>
      </w:tr>
      <w:tr w:rsidR="00A81BEB" w:rsidRPr="00882B11" w:rsidTr="00AA2A99">
        <w:trPr>
          <w:trHeight w:val="255"/>
        </w:trPr>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0.57</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1.00</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1.00</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1.00</w:t>
            </w: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1.00</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0.99</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1.01</w:t>
            </w: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1.01</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1.00</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1.02</w:t>
            </w: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0.5</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1.06</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1.04</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1.08</w:t>
            </w:r>
          </w:p>
        </w:tc>
      </w:tr>
      <w:tr w:rsidR="00A81BEB" w:rsidRPr="00882B11" w:rsidTr="00AA2A99">
        <w:trPr>
          <w:trHeight w:val="255"/>
        </w:trPr>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1.01</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1.00</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1.02</w:t>
            </w: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1.25</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1.00</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0.98</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1.02</w:t>
            </w: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1.25</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1.01</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0.99</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1.03</w:t>
            </w: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0.57</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1.07</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1.04</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1.10</w:t>
            </w:r>
          </w:p>
        </w:tc>
      </w:tr>
      <w:tr w:rsidR="00A81BEB" w:rsidRPr="00882B11" w:rsidTr="00AA2A99">
        <w:trPr>
          <w:trHeight w:val="255"/>
        </w:trPr>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1.25</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1.01</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1.00</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1.03</w:t>
            </w: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2</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1.00</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0.96</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1.05</w:t>
            </w: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2</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1.03</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0.99</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1.06</w:t>
            </w: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0.79</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1.10</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1.06</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1.14</w:t>
            </w:r>
          </w:p>
        </w:tc>
      </w:tr>
      <w:tr w:rsidR="00A81BEB" w:rsidRPr="00882B11" w:rsidTr="00AA2A99">
        <w:trPr>
          <w:trHeight w:val="255"/>
        </w:trPr>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1.5</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1.02</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1.00</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1.04</w:t>
            </w: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3</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1.02</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0.96</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1.09</w:t>
            </w: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3</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1.05</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0.99</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1.10</w:t>
            </w: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1.13</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1.08</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1.19</w:t>
            </w:r>
          </w:p>
        </w:tc>
      </w:tr>
      <w:tr w:rsidR="00A81BEB" w:rsidRPr="00882B11" w:rsidTr="00AA2A99">
        <w:trPr>
          <w:trHeight w:val="255"/>
        </w:trPr>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1.64</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1.02</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1.00</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1.04</w:t>
            </w: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3.05</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1.02</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0.96</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1.10</w:t>
            </w: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3.05</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1.05</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0.99</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1.10</w:t>
            </w: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1.5</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1.21</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1.13</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1.30</w:t>
            </w:r>
          </w:p>
        </w:tc>
      </w:tr>
      <w:tr w:rsidR="00A81BEB" w:rsidRPr="00882B11" w:rsidTr="00AA2A99">
        <w:trPr>
          <w:trHeight w:val="255"/>
        </w:trPr>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2</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1.03</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1.01</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1.06</w:t>
            </w: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4</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1.06</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0.97</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1.16</w:t>
            </w: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4</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1.07</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1.01</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1.13</w:t>
            </w: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1.79</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1.25</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1.16</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1.36</w:t>
            </w:r>
          </w:p>
        </w:tc>
      </w:tr>
      <w:tr w:rsidR="00A81BEB" w:rsidRPr="00882B11" w:rsidTr="00AA2A99">
        <w:trPr>
          <w:trHeight w:val="255"/>
        </w:trPr>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2.21</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1.04</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1.01</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1.07</w:t>
            </w: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4.15</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1.07</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0.98</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1.18</w:t>
            </w: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4.15</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1.07</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1.01</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1.14</w:t>
            </w: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2</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1.29</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1.18</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1.41</w:t>
            </w:r>
          </w:p>
        </w:tc>
      </w:tr>
      <w:tr w:rsidR="00A81BEB" w:rsidRPr="00882B11" w:rsidTr="00AA2A99">
        <w:trPr>
          <w:trHeight w:val="255"/>
        </w:trPr>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2.36</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1.04</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1.01</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1.08</w:t>
            </w: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5</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1.13</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1.01</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1.26</w:t>
            </w: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5</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1.09</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1.02</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1.17</w:t>
            </w: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2.14</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1.31</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1.19</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1.44</w:t>
            </w:r>
          </w:p>
        </w:tc>
      </w:tr>
      <w:tr w:rsidR="00A81BEB" w:rsidRPr="00882B11" w:rsidTr="00AA2A99">
        <w:trPr>
          <w:trHeight w:val="255"/>
        </w:trPr>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2.5</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1.05</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1.02</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1.08</w:t>
            </w: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6</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1.21</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1.05</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1.39</w:t>
            </w: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6</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1.12</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1.04</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1.20</w:t>
            </w: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2.5</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1.36</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1.23</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1.51</w:t>
            </w:r>
          </w:p>
        </w:tc>
      </w:tr>
      <w:tr w:rsidR="00A81BEB" w:rsidRPr="00882B11" w:rsidTr="00AA2A99">
        <w:trPr>
          <w:trHeight w:val="255"/>
        </w:trPr>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3</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1.07</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1.03</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1.11</w:t>
            </w: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6.5</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1.26</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1.08</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1.47</w:t>
            </w: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7</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1.15</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1.06</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1.25</w:t>
            </w: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2.7</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1.39</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1.25</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1.55</w:t>
            </w:r>
          </w:p>
        </w:tc>
      </w:tr>
      <w:tr w:rsidR="00A81BEB" w:rsidRPr="00882B11" w:rsidTr="00AA2A99">
        <w:trPr>
          <w:trHeight w:val="270"/>
        </w:trPr>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3.05</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1.07</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1.03</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1.12</w:t>
            </w: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7</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1.31</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1.11</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1.56</w:t>
            </w: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8</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1.18</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1.07</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1.29</w:t>
            </w: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3</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1.43</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1.28</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1.61</w:t>
            </w:r>
          </w:p>
        </w:tc>
      </w:tr>
      <w:tr w:rsidR="00A81BEB" w:rsidRPr="00882B11" w:rsidTr="00882B11">
        <w:trPr>
          <w:trHeight w:val="255"/>
        </w:trPr>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3.5</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1.09</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1.04</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1.14</w:t>
            </w: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8</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1.43</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1.16</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1.76</w:t>
            </w: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r w:rsidRPr="00A81BEB">
              <w:rPr>
                <w:rFonts w:ascii="Calibri" w:eastAsia="Times New Roman" w:hAnsi="Calibri" w:cs="Times New Roman"/>
                <w:color w:val="000000"/>
                <w:sz w:val="20"/>
                <w:szCs w:val="20"/>
                <w:lang w:eastAsia="en-GB"/>
              </w:rPr>
              <w:t xml:space="preserve"> </w:t>
            </w:r>
          </w:p>
        </w:tc>
        <w:tc>
          <w:tcPr>
            <w:tcW w:w="1196" w:type="dxa"/>
            <w:tcBorders>
              <w:top w:val="single" w:sz="8" w:space="0" w:color="auto"/>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r w:rsidRPr="00A81BEB">
              <w:rPr>
                <w:rFonts w:ascii="Calibri" w:eastAsia="Times New Roman" w:hAnsi="Calibri" w:cs="Times New Roman"/>
                <w:color w:val="000000"/>
                <w:sz w:val="20"/>
                <w:szCs w:val="20"/>
                <w:lang w:eastAsia="en-GB"/>
              </w:rPr>
              <w:t> </w:t>
            </w:r>
          </w:p>
        </w:tc>
        <w:tc>
          <w:tcPr>
            <w:tcW w:w="666" w:type="dxa"/>
            <w:tcBorders>
              <w:top w:val="single" w:sz="8" w:space="0" w:color="auto"/>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r w:rsidRPr="00A81BEB">
              <w:rPr>
                <w:rFonts w:ascii="Calibri" w:eastAsia="Times New Roman" w:hAnsi="Calibri" w:cs="Times New Roman"/>
                <w:color w:val="000000"/>
                <w:sz w:val="20"/>
                <w:szCs w:val="20"/>
                <w:lang w:eastAsia="en-GB"/>
              </w:rPr>
              <w:t> </w:t>
            </w:r>
          </w:p>
        </w:tc>
        <w:tc>
          <w:tcPr>
            <w:tcW w:w="666" w:type="dxa"/>
            <w:tcBorders>
              <w:top w:val="single" w:sz="8" w:space="0" w:color="auto"/>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r w:rsidRPr="00A81BEB">
              <w:rPr>
                <w:rFonts w:ascii="Calibri" w:eastAsia="Times New Roman" w:hAnsi="Calibri" w:cs="Times New Roman"/>
                <w:color w:val="000000"/>
                <w:sz w:val="20"/>
                <w:szCs w:val="20"/>
                <w:lang w:eastAsia="en-GB"/>
              </w:rPr>
              <w:t> </w:t>
            </w:r>
          </w:p>
        </w:tc>
        <w:tc>
          <w:tcPr>
            <w:tcW w:w="666" w:type="dxa"/>
            <w:tcBorders>
              <w:top w:val="single" w:sz="8" w:space="0" w:color="auto"/>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r w:rsidRPr="00A81BEB">
              <w:rPr>
                <w:rFonts w:ascii="Calibri" w:eastAsia="Times New Roman" w:hAnsi="Calibri" w:cs="Times New Roman"/>
                <w:color w:val="000000"/>
                <w:sz w:val="20"/>
                <w:szCs w:val="20"/>
                <w:lang w:eastAsia="en-GB"/>
              </w:rPr>
              <w:t> </w:t>
            </w: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3.5</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1.50</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1.33</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1.69</w:t>
            </w:r>
          </w:p>
        </w:tc>
      </w:tr>
      <w:tr w:rsidR="00A81BEB" w:rsidRPr="00882B11" w:rsidTr="00AA2A99">
        <w:trPr>
          <w:trHeight w:val="255"/>
        </w:trPr>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4</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1.12</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1.06</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1.18</w:t>
            </w: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r w:rsidRPr="00A81BEB">
              <w:rPr>
                <w:rFonts w:ascii="Calibri" w:eastAsia="Times New Roman" w:hAnsi="Calibri" w:cs="Times New Roman"/>
                <w:color w:val="000000"/>
                <w:sz w:val="20"/>
                <w:szCs w:val="20"/>
                <w:lang w:eastAsia="en-GB"/>
              </w:rPr>
              <w:t xml:space="preserve"> </w:t>
            </w: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4</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1.56</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1.38</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1.77</w:t>
            </w:r>
          </w:p>
        </w:tc>
      </w:tr>
      <w:tr w:rsidR="00A81BEB" w:rsidRPr="00882B11" w:rsidTr="00AA2A99">
        <w:trPr>
          <w:trHeight w:val="270"/>
        </w:trPr>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4.15</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1.13</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1.07</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1.19</w:t>
            </w: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r w:rsidRPr="00A81BEB">
              <w:rPr>
                <w:rFonts w:ascii="Calibri" w:eastAsia="Times New Roman" w:hAnsi="Calibri" w:cs="Times New Roman"/>
                <w:color w:val="000000"/>
                <w:sz w:val="20"/>
                <w:szCs w:val="20"/>
                <w:lang w:eastAsia="en-GB"/>
              </w:rPr>
              <w:t xml:space="preserve"> </w:t>
            </w: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4.29</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1.59</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1.41</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1.80</w:t>
            </w:r>
          </w:p>
        </w:tc>
      </w:tr>
      <w:tr w:rsidR="00A81BEB" w:rsidRPr="00882B11" w:rsidTr="00615BDB">
        <w:trPr>
          <w:trHeight w:val="255"/>
        </w:trPr>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5</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1.18</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1.11</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1.26</w:t>
            </w: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r w:rsidRPr="00A81BEB">
              <w:rPr>
                <w:rFonts w:ascii="Calibri" w:eastAsia="Times New Roman" w:hAnsi="Calibri" w:cs="Times New Roman"/>
                <w:color w:val="000000"/>
                <w:sz w:val="20"/>
                <w:szCs w:val="20"/>
                <w:lang w:eastAsia="en-GB"/>
              </w:rPr>
              <w:t xml:space="preserve"> </w:t>
            </w: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4.5</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1.62</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1.43</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1.83</w:t>
            </w:r>
          </w:p>
        </w:tc>
      </w:tr>
      <w:tr w:rsidR="00A81BEB" w:rsidRPr="00882B11" w:rsidTr="00AA2A99">
        <w:trPr>
          <w:trHeight w:val="255"/>
        </w:trPr>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6</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1.26</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1.16</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1.37</w:t>
            </w: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r w:rsidRPr="00A81BEB">
              <w:rPr>
                <w:rFonts w:ascii="Calibri" w:eastAsia="Times New Roman" w:hAnsi="Calibri" w:cs="Times New Roman"/>
                <w:color w:val="000000"/>
                <w:sz w:val="20"/>
                <w:szCs w:val="20"/>
                <w:lang w:eastAsia="en-GB"/>
              </w:rPr>
              <w:t xml:space="preserve"> </w:t>
            </w: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4.8</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1.65</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1.45</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1.86</w:t>
            </w:r>
          </w:p>
        </w:tc>
      </w:tr>
      <w:tr w:rsidR="00A81BEB" w:rsidRPr="00882B11" w:rsidTr="00AA2A99">
        <w:trPr>
          <w:trHeight w:val="255"/>
        </w:trPr>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7</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1.35</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1.22</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1.48</w:t>
            </w: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r w:rsidRPr="00A81BEB">
              <w:rPr>
                <w:rFonts w:ascii="Calibri" w:eastAsia="Times New Roman" w:hAnsi="Calibri" w:cs="Times New Roman"/>
                <w:color w:val="000000"/>
                <w:sz w:val="20"/>
                <w:szCs w:val="20"/>
                <w:lang w:eastAsia="en-GB"/>
              </w:rPr>
              <w:t xml:space="preserve"> </w:t>
            </w: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5</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1.67</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1.47</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1.89</w:t>
            </w:r>
          </w:p>
        </w:tc>
      </w:tr>
      <w:tr w:rsidR="00A81BEB" w:rsidRPr="00882B11" w:rsidTr="00AA2A99">
        <w:trPr>
          <w:trHeight w:val="270"/>
        </w:trPr>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8</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1.44</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1.28</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1.62</w:t>
            </w: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r w:rsidRPr="00A81BEB">
              <w:rPr>
                <w:rFonts w:ascii="Calibri" w:eastAsia="Times New Roman" w:hAnsi="Calibri" w:cs="Times New Roman"/>
                <w:color w:val="000000"/>
                <w:sz w:val="20"/>
                <w:szCs w:val="20"/>
                <w:lang w:eastAsia="en-GB"/>
              </w:rPr>
              <w:t xml:space="preserve"> </w:t>
            </w: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6</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1.75</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1.53</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2.01</w:t>
            </w:r>
          </w:p>
        </w:tc>
      </w:tr>
      <w:tr w:rsidR="00A81BEB" w:rsidRPr="00882B11" w:rsidTr="00AA2A99">
        <w:trPr>
          <w:trHeight w:val="255"/>
        </w:trPr>
        <w:tc>
          <w:tcPr>
            <w:tcW w:w="1196" w:type="dxa"/>
            <w:tcBorders>
              <w:top w:val="single" w:sz="8" w:space="0" w:color="auto"/>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r w:rsidRPr="00A81BEB">
              <w:rPr>
                <w:rFonts w:ascii="Calibri" w:eastAsia="Times New Roman" w:hAnsi="Calibri" w:cs="Times New Roman"/>
                <w:color w:val="000000"/>
                <w:sz w:val="20"/>
                <w:szCs w:val="20"/>
                <w:lang w:eastAsia="en-GB"/>
              </w:rPr>
              <w:t> </w:t>
            </w:r>
          </w:p>
        </w:tc>
        <w:tc>
          <w:tcPr>
            <w:tcW w:w="666" w:type="dxa"/>
            <w:tcBorders>
              <w:top w:val="single" w:sz="8" w:space="0" w:color="auto"/>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r w:rsidRPr="00A81BEB">
              <w:rPr>
                <w:rFonts w:ascii="Calibri" w:eastAsia="Times New Roman" w:hAnsi="Calibri" w:cs="Times New Roman"/>
                <w:color w:val="000000"/>
                <w:sz w:val="20"/>
                <w:szCs w:val="20"/>
                <w:lang w:eastAsia="en-GB"/>
              </w:rPr>
              <w:t> </w:t>
            </w:r>
          </w:p>
        </w:tc>
        <w:tc>
          <w:tcPr>
            <w:tcW w:w="666" w:type="dxa"/>
            <w:tcBorders>
              <w:top w:val="single" w:sz="8" w:space="0" w:color="auto"/>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r w:rsidRPr="00A81BEB">
              <w:rPr>
                <w:rFonts w:ascii="Calibri" w:eastAsia="Times New Roman" w:hAnsi="Calibri" w:cs="Times New Roman"/>
                <w:color w:val="000000"/>
                <w:sz w:val="20"/>
                <w:szCs w:val="20"/>
                <w:lang w:eastAsia="en-GB"/>
              </w:rPr>
              <w:t> </w:t>
            </w:r>
          </w:p>
        </w:tc>
        <w:tc>
          <w:tcPr>
            <w:tcW w:w="666" w:type="dxa"/>
            <w:tcBorders>
              <w:top w:val="single" w:sz="8" w:space="0" w:color="auto"/>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r w:rsidRPr="00A81BEB">
              <w:rPr>
                <w:rFonts w:ascii="Calibri" w:eastAsia="Times New Roman" w:hAnsi="Calibri" w:cs="Times New Roman"/>
                <w:color w:val="000000"/>
                <w:sz w:val="20"/>
                <w:szCs w:val="20"/>
                <w:lang w:eastAsia="en-GB"/>
              </w:rPr>
              <w:t> </w:t>
            </w: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Calibri" w:eastAsia="Times New Roman" w:hAnsi="Calibri" w:cs="Times New Roman"/>
                <w:color w:val="000000"/>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7</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1.83</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1.56</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2.16</w:t>
            </w:r>
          </w:p>
        </w:tc>
      </w:tr>
      <w:tr w:rsidR="00A81BEB" w:rsidRPr="00882B11" w:rsidTr="00AA2A99">
        <w:trPr>
          <w:trHeight w:val="255"/>
        </w:trPr>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7.14</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1.85</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1.56</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2.19</w:t>
            </w:r>
          </w:p>
        </w:tc>
      </w:tr>
      <w:tr w:rsidR="00A81BEB" w:rsidRPr="00882B11" w:rsidTr="00AA2A99">
        <w:trPr>
          <w:trHeight w:val="270"/>
        </w:trPr>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222"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rPr>
                <w:rFonts w:ascii="Times New Roman" w:eastAsia="Times New Roman" w:hAnsi="Times New Roman" w:cs="Times New Roman"/>
                <w:sz w:val="20"/>
                <w:szCs w:val="20"/>
                <w:lang w:eastAsia="en-GB"/>
              </w:rPr>
            </w:pPr>
          </w:p>
        </w:tc>
        <w:tc>
          <w:tcPr>
            <w:tcW w:w="119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7.8</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1.90</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1.56</w:t>
            </w:r>
          </w:p>
        </w:tc>
        <w:tc>
          <w:tcPr>
            <w:tcW w:w="666" w:type="dxa"/>
            <w:tcBorders>
              <w:top w:val="nil"/>
              <w:left w:val="nil"/>
              <w:bottom w:val="nil"/>
              <w:right w:val="nil"/>
            </w:tcBorders>
            <w:shd w:val="clear" w:color="auto" w:fill="auto"/>
            <w:noWrap/>
            <w:vAlign w:val="bottom"/>
            <w:hideMark/>
          </w:tcPr>
          <w:p w:rsidR="00A81BEB" w:rsidRPr="00A81BEB" w:rsidRDefault="00A81BEB" w:rsidP="00A81BEB">
            <w:pPr>
              <w:spacing w:after="0" w:line="240" w:lineRule="auto"/>
              <w:jc w:val="center"/>
              <w:rPr>
                <w:rFonts w:ascii="Calibri" w:eastAsia="Times New Roman" w:hAnsi="Calibri" w:cs="Times New Roman"/>
                <w:color w:val="000000"/>
                <w:sz w:val="20"/>
                <w:szCs w:val="20"/>
                <w:lang w:eastAsia="en-GB"/>
              </w:rPr>
            </w:pPr>
            <w:r w:rsidRPr="00882B11">
              <w:rPr>
                <w:rFonts w:ascii="Calibri" w:hAnsi="Calibri"/>
                <w:color w:val="000000"/>
                <w:sz w:val="20"/>
                <w:szCs w:val="20"/>
              </w:rPr>
              <w:t>2.31</w:t>
            </w:r>
          </w:p>
        </w:tc>
      </w:tr>
    </w:tbl>
    <w:p w:rsidR="00890252" w:rsidRDefault="00890252"/>
    <w:sectPr w:rsidR="00890252" w:rsidSect="00882B11">
      <w:pgSz w:w="16838" w:h="11906" w:orient="landscape"/>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1BEB" w:rsidRDefault="00A81BEB">
      <w:pPr>
        <w:spacing w:after="0" w:line="240" w:lineRule="auto"/>
      </w:pPr>
      <w:r>
        <w:separator/>
      </w:r>
    </w:p>
  </w:endnote>
  <w:endnote w:type="continuationSeparator" w:id="0">
    <w:p w:rsidR="00A81BEB" w:rsidRDefault="00A81BE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83" w:usb1="10000000" w:usb2="00000000" w:usb3="00000000" w:csb0="80000009"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14179636"/>
      <w:docPartObj>
        <w:docPartGallery w:val="Page Numbers (Bottom of Page)"/>
        <w:docPartUnique/>
      </w:docPartObj>
    </w:sdtPr>
    <w:sdtEndPr>
      <w:rPr>
        <w:noProof/>
      </w:rPr>
    </w:sdtEndPr>
    <w:sdtContent>
      <w:p w:rsidR="00A81BEB" w:rsidRDefault="00407E45">
        <w:pPr>
          <w:pStyle w:val="Footer"/>
          <w:jc w:val="center"/>
        </w:pPr>
        <w:r>
          <w:fldChar w:fldCharType="begin"/>
        </w:r>
        <w:r w:rsidR="00A81BEB">
          <w:instrText xml:space="preserve"> PAGE   \* MERGEFORMAT </w:instrText>
        </w:r>
        <w:r>
          <w:fldChar w:fldCharType="separate"/>
        </w:r>
        <w:r w:rsidR="00075BC2">
          <w:rPr>
            <w:noProof/>
          </w:rPr>
          <w:t>33</w:t>
        </w:r>
        <w:r>
          <w:rPr>
            <w:noProof/>
          </w:rPr>
          <w:fldChar w:fldCharType="end"/>
        </w:r>
      </w:p>
    </w:sdtContent>
  </w:sdt>
  <w:p w:rsidR="00A81BEB" w:rsidRDefault="00A81BE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18694395"/>
      <w:docPartObj>
        <w:docPartGallery w:val="Page Numbers (Bottom of Page)"/>
        <w:docPartUnique/>
      </w:docPartObj>
    </w:sdtPr>
    <w:sdtEndPr>
      <w:rPr>
        <w:noProof/>
      </w:rPr>
    </w:sdtEndPr>
    <w:sdtContent>
      <w:p w:rsidR="00A81BEB" w:rsidRDefault="00407E45">
        <w:pPr>
          <w:pStyle w:val="Footer"/>
          <w:jc w:val="center"/>
        </w:pPr>
        <w:r>
          <w:fldChar w:fldCharType="begin"/>
        </w:r>
        <w:r w:rsidR="00A81BEB">
          <w:instrText xml:space="preserve"> PAGE   \* MERGEFORMAT </w:instrText>
        </w:r>
        <w:r>
          <w:fldChar w:fldCharType="separate"/>
        </w:r>
        <w:r w:rsidR="00075BC2">
          <w:rPr>
            <w:noProof/>
          </w:rPr>
          <w:t>39</w:t>
        </w:r>
        <w:r>
          <w:rPr>
            <w:noProof/>
          </w:rPr>
          <w:fldChar w:fldCharType="end"/>
        </w:r>
      </w:p>
    </w:sdtContent>
  </w:sdt>
  <w:p w:rsidR="00A81BEB" w:rsidRDefault="00A81BE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1BEB" w:rsidRDefault="00A81BEB">
      <w:pPr>
        <w:spacing w:after="0" w:line="240" w:lineRule="auto"/>
      </w:pPr>
      <w:r>
        <w:separator/>
      </w:r>
    </w:p>
  </w:footnote>
  <w:footnote w:type="continuationSeparator" w:id="0">
    <w:p w:rsidR="00A81BEB" w:rsidRDefault="00A81BE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402B13"/>
    <w:multiLevelType w:val="hybridMultilevel"/>
    <w:tmpl w:val="6C1279D6"/>
    <w:lvl w:ilvl="0" w:tplc="4D645CCE">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B6064F9"/>
    <w:multiLevelType w:val="hybridMultilevel"/>
    <w:tmpl w:val="F0AEE6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2117756"/>
    <w:multiLevelType w:val="hybridMultilevel"/>
    <w:tmpl w:val="64AEE3CA"/>
    <w:lvl w:ilvl="0" w:tplc="9014E950">
      <w:start w:val="6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269240C"/>
    <w:multiLevelType w:val="hybridMultilevel"/>
    <w:tmpl w:val="B5D4FFFA"/>
    <w:lvl w:ilvl="0" w:tplc="05EA6178">
      <w:start w:val="1"/>
      <w:numFmt w:val="decimal"/>
      <w:lvlText w:val="%1."/>
      <w:lvlJc w:val="left"/>
      <w:pPr>
        <w:ind w:left="720" w:hanging="360"/>
      </w:pPr>
      <w:rPr>
        <w:rFonts w:ascii="Arial" w:hAnsi="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5B47C9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43CA6F13"/>
    <w:multiLevelType w:val="hybridMultilevel"/>
    <w:tmpl w:val="D15E7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7C0769C8"/>
    <w:multiLevelType w:val="hybridMultilevel"/>
    <w:tmpl w:val="FB8813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
  </w:num>
  <w:num w:numId="2">
    <w:abstractNumId w:val="2"/>
  </w:num>
  <w:num w:numId="3">
    <w:abstractNumId w:val="1"/>
  </w:num>
  <w:num w:numId="4">
    <w:abstractNumId w:val="5"/>
  </w:num>
  <w:num w:numId="5">
    <w:abstractNumId w:val="6"/>
  </w:num>
  <w:num w:numId="6">
    <w:abstractNumId w:val="4"/>
  </w:num>
  <w:num w:numId="7">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atterson, Richard A">
    <w15:presenceInfo w15:providerId="AD" w15:userId="S-1-5-21-243037206-41955558-561332275-830548"/>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docVars>
    <w:docVar w:name="EN.InstantFormat" w:val="&lt;ENInstantFormat&gt;&lt;Enabled&gt;1&lt;/Enabled&gt;&lt;ScanUnformatted&gt;1&lt;/ScanUnformatted&gt;&lt;ScanChanges&gt;1&lt;/ScanChanges&gt;&lt;Suspended&gt;1&lt;/Suspended&gt;&lt;/ENInstantFormat&gt;"/>
  </w:docVars>
  <w:rsids>
    <w:rsidRoot w:val="00FF227B"/>
    <w:rsid w:val="00075BC2"/>
    <w:rsid w:val="000C79D7"/>
    <w:rsid w:val="0010169F"/>
    <w:rsid w:val="00190FFC"/>
    <w:rsid w:val="0020213B"/>
    <w:rsid w:val="002B1780"/>
    <w:rsid w:val="00331AD1"/>
    <w:rsid w:val="003B3E1C"/>
    <w:rsid w:val="00407E45"/>
    <w:rsid w:val="005F0D2A"/>
    <w:rsid w:val="00615BDB"/>
    <w:rsid w:val="00681668"/>
    <w:rsid w:val="00716AD3"/>
    <w:rsid w:val="0074622F"/>
    <w:rsid w:val="00830EE0"/>
    <w:rsid w:val="0084628B"/>
    <w:rsid w:val="00882B11"/>
    <w:rsid w:val="00890252"/>
    <w:rsid w:val="008C44C5"/>
    <w:rsid w:val="00911EBD"/>
    <w:rsid w:val="009901A9"/>
    <w:rsid w:val="00A81BEB"/>
    <w:rsid w:val="00AA2A99"/>
    <w:rsid w:val="00BA1A41"/>
    <w:rsid w:val="00C049FF"/>
    <w:rsid w:val="00C30502"/>
    <w:rsid w:val="00C3311B"/>
    <w:rsid w:val="00C7798A"/>
    <w:rsid w:val="00CC7E5F"/>
    <w:rsid w:val="00D51316"/>
    <w:rsid w:val="00D97E28"/>
    <w:rsid w:val="00FC4711"/>
    <w:rsid w:val="00FF227B"/>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227B"/>
    <w:pPr>
      <w:spacing w:line="480" w:lineRule="auto"/>
    </w:pPr>
  </w:style>
  <w:style w:type="paragraph" w:styleId="Heading1">
    <w:name w:val="heading 1"/>
    <w:basedOn w:val="Normal"/>
    <w:next w:val="Normal"/>
    <w:link w:val="Heading1Char"/>
    <w:uiPriority w:val="9"/>
    <w:qFormat/>
    <w:rsid w:val="00FF227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F227B"/>
    <w:pPr>
      <w:keepNext/>
      <w:keepLines/>
      <w:spacing w:before="40" w:after="0" w:line="360" w:lineRule="auto"/>
      <w:outlineLvl w:val="1"/>
    </w:pPr>
    <w:rPr>
      <w:rFonts w:asciiTheme="majorHAnsi" w:eastAsiaTheme="majorEastAsia" w:hAnsiTheme="majorHAnsi" w:cs="Arial"/>
      <w:b/>
      <w:sz w:val="26"/>
      <w:szCs w:val="26"/>
    </w:rPr>
  </w:style>
  <w:style w:type="paragraph" w:styleId="Heading3">
    <w:name w:val="heading 3"/>
    <w:basedOn w:val="Normal"/>
    <w:next w:val="Normal"/>
    <w:link w:val="Heading3Char"/>
    <w:uiPriority w:val="9"/>
    <w:unhideWhenUsed/>
    <w:qFormat/>
    <w:rsid w:val="00FF227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FF227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0C79D7"/>
    <w:pPr>
      <w:keepNext/>
      <w:keepLines/>
      <w:spacing w:before="40" w:after="0" w:line="259" w:lineRule="auto"/>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0C79D7"/>
    <w:pPr>
      <w:keepNext/>
      <w:keepLines/>
      <w:spacing w:before="40" w:after="0" w:line="259" w:lineRule="auto"/>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227B"/>
    <w:rPr>
      <w:rFonts w:asciiTheme="majorHAnsi" w:eastAsiaTheme="majorEastAsia" w:hAnsiTheme="majorHAnsi" w:cstheme="majorBidi"/>
      <w:color w:val="2E74B5" w:themeColor="accent1" w:themeShade="BF"/>
      <w:sz w:val="32"/>
      <w:szCs w:val="32"/>
    </w:rPr>
  </w:style>
  <w:style w:type="paragraph" w:styleId="Title">
    <w:name w:val="Title"/>
    <w:basedOn w:val="Normal"/>
    <w:next w:val="Normal"/>
    <w:link w:val="TitleChar"/>
    <w:uiPriority w:val="10"/>
    <w:qFormat/>
    <w:rsid w:val="00FF227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227B"/>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FF227B"/>
    <w:rPr>
      <w:rFonts w:asciiTheme="majorHAnsi" w:eastAsiaTheme="majorEastAsia" w:hAnsiTheme="majorHAnsi" w:cs="Arial"/>
      <w:b/>
      <w:sz w:val="26"/>
      <w:szCs w:val="26"/>
    </w:rPr>
  </w:style>
  <w:style w:type="character" w:customStyle="1" w:styleId="Heading3Char">
    <w:name w:val="Heading 3 Char"/>
    <w:basedOn w:val="DefaultParagraphFont"/>
    <w:link w:val="Heading3"/>
    <w:uiPriority w:val="9"/>
    <w:rsid w:val="00FF227B"/>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FF227B"/>
    <w:rPr>
      <w:rFonts w:asciiTheme="majorHAnsi" w:eastAsiaTheme="majorEastAsia" w:hAnsiTheme="majorHAnsi" w:cstheme="majorBidi"/>
      <w:i/>
      <w:iCs/>
      <w:color w:val="2E74B5" w:themeColor="accent1" w:themeShade="BF"/>
    </w:rPr>
  </w:style>
  <w:style w:type="paragraph" w:customStyle="1" w:styleId="EndNoteBibliographyTitle">
    <w:name w:val="EndNote Bibliography Title"/>
    <w:basedOn w:val="Normal"/>
    <w:link w:val="EndNoteBibliographyTitleChar"/>
    <w:rsid w:val="00FF227B"/>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FF227B"/>
    <w:rPr>
      <w:rFonts w:ascii="Calibri" w:hAnsi="Calibri"/>
      <w:noProof/>
      <w:lang w:val="en-US"/>
    </w:rPr>
  </w:style>
  <w:style w:type="paragraph" w:customStyle="1" w:styleId="EndNoteBibliography">
    <w:name w:val="EndNote Bibliography"/>
    <w:basedOn w:val="Normal"/>
    <w:link w:val="EndNoteBibliographyChar"/>
    <w:rsid w:val="00FF227B"/>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FF227B"/>
    <w:rPr>
      <w:rFonts w:ascii="Calibri" w:hAnsi="Calibri"/>
      <w:noProof/>
      <w:lang w:val="en-US"/>
    </w:rPr>
  </w:style>
  <w:style w:type="character" w:styleId="Hyperlink">
    <w:name w:val="Hyperlink"/>
    <w:basedOn w:val="DefaultParagraphFont"/>
    <w:uiPriority w:val="99"/>
    <w:unhideWhenUsed/>
    <w:rsid w:val="00FF227B"/>
    <w:rPr>
      <w:color w:val="0563C1" w:themeColor="hyperlink"/>
      <w:u w:val="single"/>
    </w:rPr>
  </w:style>
  <w:style w:type="character" w:styleId="CommentReference">
    <w:name w:val="annotation reference"/>
    <w:basedOn w:val="DefaultParagraphFont"/>
    <w:uiPriority w:val="99"/>
    <w:semiHidden/>
    <w:unhideWhenUsed/>
    <w:rsid w:val="00FF227B"/>
    <w:rPr>
      <w:sz w:val="16"/>
      <w:szCs w:val="16"/>
    </w:rPr>
  </w:style>
  <w:style w:type="paragraph" w:styleId="CommentText">
    <w:name w:val="annotation text"/>
    <w:basedOn w:val="Normal"/>
    <w:link w:val="CommentTextChar"/>
    <w:uiPriority w:val="99"/>
    <w:unhideWhenUsed/>
    <w:rsid w:val="00FF227B"/>
    <w:pPr>
      <w:spacing w:line="240" w:lineRule="auto"/>
    </w:pPr>
    <w:rPr>
      <w:sz w:val="20"/>
      <w:szCs w:val="20"/>
    </w:rPr>
  </w:style>
  <w:style w:type="character" w:customStyle="1" w:styleId="CommentTextChar">
    <w:name w:val="Comment Text Char"/>
    <w:basedOn w:val="DefaultParagraphFont"/>
    <w:link w:val="CommentText"/>
    <w:uiPriority w:val="99"/>
    <w:rsid w:val="00FF227B"/>
    <w:rPr>
      <w:sz w:val="20"/>
      <w:szCs w:val="20"/>
    </w:rPr>
  </w:style>
  <w:style w:type="paragraph" w:styleId="CommentSubject">
    <w:name w:val="annotation subject"/>
    <w:basedOn w:val="CommentText"/>
    <w:next w:val="CommentText"/>
    <w:link w:val="CommentSubjectChar"/>
    <w:uiPriority w:val="99"/>
    <w:semiHidden/>
    <w:unhideWhenUsed/>
    <w:rsid w:val="00FF227B"/>
    <w:rPr>
      <w:b/>
      <w:bCs/>
    </w:rPr>
  </w:style>
  <w:style w:type="character" w:customStyle="1" w:styleId="CommentSubjectChar">
    <w:name w:val="Comment Subject Char"/>
    <w:basedOn w:val="CommentTextChar"/>
    <w:link w:val="CommentSubject"/>
    <w:uiPriority w:val="99"/>
    <w:semiHidden/>
    <w:rsid w:val="00FF227B"/>
    <w:rPr>
      <w:b/>
      <w:bCs/>
      <w:sz w:val="20"/>
      <w:szCs w:val="20"/>
    </w:rPr>
  </w:style>
  <w:style w:type="paragraph" w:styleId="BalloonText">
    <w:name w:val="Balloon Text"/>
    <w:basedOn w:val="Normal"/>
    <w:link w:val="BalloonTextChar"/>
    <w:uiPriority w:val="99"/>
    <w:semiHidden/>
    <w:unhideWhenUsed/>
    <w:rsid w:val="00FF22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227B"/>
    <w:rPr>
      <w:rFonts w:ascii="Segoe UI" w:hAnsi="Segoe UI" w:cs="Segoe UI"/>
      <w:sz w:val="18"/>
      <w:szCs w:val="18"/>
    </w:rPr>
  </w:style>
  <w:style w:type="paragraph" w:styleId="Caption">
    <w:name w:val="caption"/>
    <w:basedOn w:val="Normal"/>
    <w:next w:val="Normal"/>
    <w:uiPriority w:val="35"/>
    <w:unhideWhenUsed/>
    <w:qFormat/>
    <w:rsid w:val="00FF227B"/>
    <w:pPr>
      <w:spacing w:after="120" w:line="240" w:lineRule="auto"/>
    </w:pPr>
    <w:rPr>
      <w:rFonts w:ascii="Arial" w:hAnsi="Arial" w:cstheme="minorHAnsi"/>
      <w:iCs/>
      <w:sz w:val="18"/>
      <w:szCs w:val="18"/>
    </w:rPr>
  </w:style>
  <w:style w:type="table" w:customStyle="1" w:styleId="TableGrid1">
    <w:name w:val="Table Grid1"/>
    <w:basedOn w:val="TableNormal"/>
    <w:next w:val="TableGrid"/>
    <w:uiPriority w:val="39"/>
    <w:rsid w:val="00FF227B"/>
    <w:pPr>
      <w:spacing w:after="0" w:line="240" w:lineRule="auto"/>
    </w:pPr>
    <w:rPr>
      <w:rFonts w:ascii="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FF22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FF227B"/>
    <w:rPr>
      <w:color w:val="808080"/>
    </w:rPr>
  </w:style>
  <w:style w:type="paragraph" w:styleId="Revision">
    <w:name w:val="Revision"/>
    <w:hidden/>
    <w:uiPriority w:val="99"/>
    <w:semiHidden/>
    <w:rsid w:val="00FF227B"/>
    <w:pPr>
      <w:spacing w:after="0" w:line="240" w:lineRule="auto"/>
    </w:pPr>
  </w:style>
  <w:style w:type="paragraph" w:styleId="ListParagraph">
    <w:name w:val="List Paragraph"/>
    <w:basedOn w:val="Normal"/>
    <w:uiPriority w:val="34"/>
    <w:qFormat/>
    <w:rsid w:val="00FF227B"/>
    <w:pPr>
      <w:ind w:left="720"/>
      <w:contextualSpacing/>
    </w:pPr>
  </w:style>
  <w:style w:type="paragraph" w:styleId="Header">
    <w:name w:val="header"/>
    <w:basedOn w:val="Normal"/>
    <w:link w:val="HeaderChar"/>
    <w:uiPriority w:val="99"/>
    <w:unhideWhenUsed/>
    <w:rsid w:val="00FF22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227B"/>
  </w:style>
  <w:style w:type="paragraph" w:styleId="Footer">
    <w:name w:val="footer"/>
    <w:basedOn w:val="Normal"/>
    <w:link w:val="FooterChar"/>
    <w:uiPriority w:val="99"/>
    <w:unhideWhenUsed/>
    <w:rsid w:val="00FF22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227B"/>
  </w:style>
  <w:style w:type="character" w:styleId="Emphasis">
    <w:name w:val="Emphasis"/>
    <w:basedOn w:val="DefaultParagraphFont"/>
    <w:uiPriority w:val="20"/>
    <w:qFormat/>
    <w:rsid w:val="00FF227B"/>
    <w:rPr>
      <w:i/>
      <w:iCs/>
    </w:rPr>
  </w:style>
  <w:style w:type="table" w:customStyle="1" w:styleId="GridTable2-Accent11">
    <w:name w:val="Grid Table 2 - Accent 11"/>
    <w:basedOn w:val="TableNormal"/>
    <w:uiPriority w:val="47"/>
    <w:rsid w:val="00FF227B"/>
    <w:pPr>
      <w:spacing w:after="0" w:line="240" w:lineRule="auto"/>
    </w:pPr>
    <w:tblPr>
      <w:tblStyleRowBandSize w:val="1"/>
      <w:tblStyleColBandSize w:val="1"/>
      <w:tblInd w:w="0" w:type="dxa"/>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CellMar>
        <w:top w:w="0" w:type="dxa"/>
        <w:left w:w="108" w:type="dxa"/>
        <w:bottom w:w="0" w:type="dxa"/>
        <w:right w:w="108" w:type="dxa"/>
      </w:tblCellMar>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numbering" w:customStyle="1" w:styleId="NoList1">
    <w:name w:val="No List1"/>
    <w:next w:val="NoList"/>
    <w:uiPriority w:val="99"/>
    <w:semiHidden/>
    <w:unhideWhenUsed/>
    <w:rsid w:val="00FF227B"/>
  </w:style>
  <w:style w:type="paragraph" w:styleId="IntenseQuote">
    <w:name w:val="Intense Quote"/>
    <w:basedOn w:val="Normal"/>
    <w:next w:val="Normal"/>
    <w:link w:val="IntenseQuoteChar"/>
    <w:uiPriority w:val="30"/>
    <w:qFormat/>
    <w:rsid w:val="00FF227B"/>
    <w:pPr>
      <w:pBdr>
        <w:top w:val="single" w:sz="4" w:space="10" w:color="5B9BD5" w:themeColor="accent1"/>
        <w:bottom w:val="single" w:sz="4" w:space="10" w:color="5B9BD5" w:themeColor="accent1"/>
      </w:pBdr>
      <w:spacing w:before="360" w:after="360" w:line="259" w:lineRule="auto"/>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FF227B"/>
    <w:rPr>
      <w:i/>
      <w:iCs/>
      <w:color w:val="5B9BD5" w:themeColor="accent1"/>
    </w:rPr>
  </w:style>
  <w:style w:type="table" w:customStyle="1" w:styleId="PlainTable31">
    <w:name w:val="Plain Table 31"/>
    <w:basedOn w:val="TableNormal"/>
    <w:uiPriority w:val="43"/>
    <w:rsid w:val="00FF227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TOCHeading">
    <w:name w:val="TOC Heading"/>
    <w:basedOn w:val="Heading1"/>
    <w:next w:val="Normal"/>
    <w:uiPriority w:val="39"/>
    <w:unhideWhenUsed/>
    <w:qFormat/>
    <w:rsid w:val="00FF227B"/>
    <w:pPr>
      <w:spacing w:line="259" w:lineRule="auto"/>
      <w:outlineLvl w:val="9"/>
    </w:pPr>
    <w:rPr>
      <w:rFonts w:eastAsia="Times New Roman"/>
      <w:bCs/>
      <w:caps/>
      <w:lang w:val="en-US" w:eastAsia="en-GB"/>
    </w:rPr>
  </w:style>
  <w:style w:type="paragraph" w:styleId="TOC1">
    <w:name w:val="toc 1"/>
    <w:basedOn w:val="Normal"/>
    <w:next w:val="Normal"/>
    <w:autoRedefine/>
    <w:uiPriority w:val="39"/>
    <w:unhideWhenUsed/>
    <w:rsid w:val="00FF227B"/>
    <w:pPr>
      <w:spacing w:after="100" w:line="259" w:lineRule="auto"/>
    </w:pPr>
  </w:style>
  <w:style w:type="numbering" w:customStyle="1" w:styleId="NoList2">
    <w:name w:val="No List2"/>
    <w:next w:val="NoList"/>
    <w:uiPriority w:val="99"/>
    <w:semiHidden/>
    <w:unhideWhenUsed/>
    <w:rsid w:val="00FF227B"/>
  </w:style>
  <w:style w:type="paragraph" w:styleId="TOC2">
    <w:name w:val="toc 2"/>
    <w:basedOn w:val="Normal"/>
    <w:next w:val="Normal"/>
    <w:autoRedefine/>
    <w:uiPriority w:val="39"/>
    <w:unhideWhenUsed/>
    <w:rsid w:val="00FF227B"/>
    <w:pPr>
      <w:spacing w:after="100"/>
      <w:ind w:left="220"/>
    </w:pPr>
  </w:style>
  <w:style w:type="paragraph" w:styleId="TOC3">
    <w:name w:val="toc 3"/>
    <w:basedOn w:val="Normal"/>
    <w:next w:val="Normal"/>
    <w:autoRedefine/>
    <w:uiPriority w:val="39"/>
    <w:unhideWhenUsed/>
    <w:rsid w:val="00FF227B"/>
    <w:pPr>
      <w:spacing w:after="100"/>
      <w:ind w:left="440"/>
    </w:pPr>
  </w:style>
  <w:style w:type="paragraph" w:styleId="NoSpacing">
    <w:name w:val="No Spacing"/>
    <w:uiPriority w:val="1"/>
    <w:qFormat/>
    <w:rsid w:val="00830EE0"/>
    <w:pPr>
      <w:spacing w:after="0" w:line="240" w:lineRule="auto"/>
    </w:pPr>
  </w:style>
  <w:style w:type="table" w:customStyle="1" w:styleId="TableGrid21">
    <w:name w:val="Table Grid21"/>
    <w:basedOn w:val="TableNormal"/>
    <w:next w:val="TableGrid"/>
    <w:uiPriority w:val="39"/>
    <w:rsid w:val="00C049FF"/>
    <w:pPr>
      <w:spacing w:after="0" w:line="240" w:lineRule="auto"/>
    </w:pPr>
    <w:rPr>
      <w:rFonts w:ascii="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5Char">
    <w:name w:val="Heading 5 Char"/>
    <w:basedOn w:val="DefaultParagraphFont"/>
    <w:link w:val="Heading5"/>
    <w:uiPriority w:val="9"/>
    <w:rsid w:val="000C79D7"/>
    <w:rPr>
      <w:rFonts w:asciiTheme="majorHAnsi" w:eastAsiaTheme="majorEastAsia" w:hAnsiTheme="majorHAnsi" w:cstheme="majorBidi"/>
    </w:rPr>
  </w:style>
  <w:style w:type="character" w:customStyle="1" w:styleId="Heading6Char">
    <w:name w:val="Heading 6 Char"/>
    <w:basedOn w:val="DefaultParagraphFont"/>
    <w:link w:val="Heading6"/>
    <w:uiPriority w:val="9"/>
    <w:rsid w:val="000C79D7"/>
    <w:rPr>
      <w:rFonts w:asciiTheme="majorHAnsi" w:eastAsiaTheme="majorEastAsia" w:hAnsiTheme="majorHAnsi" w:cstheme="majorBidi"/>
      <w:color w:val="1F4D78" w:themeColor="accent1" w:themeShade="7F"/>
    </w:rPr>
  </w:style>
  <w:style w:type="numbering" w:customStyle="1" w:styleId="NoList3">
    <w:name w:val="No List3"/>
    <w:next w:val="NoList"/>
    <w:uiPriority w:val="99"/>
    <w:semiHidden/>
    <w:unhideWhenUsed/>
    <w:rsid w:val="000C79D7"/>
  </w:style>
  <w:style w:type="character" w:styleId="FollowedHyperlink">
    <w:name w:val="FollowedHyperlink"/>
    <w:basedOn w:val="DefaultParagraphFont"/>
    <w:uiPriority w:val="99"/>
    <w:semiHidden/>
    <w:unhideWhenUsed/>
    <w:rsid w:val="000C79D7"/>
    <w:rPr>
      <w:color w:val="954F72" w:themeColor="followedHyperlink"/>
      <w:u w:val="single"/>
    </w:rPr>
  </w:style>
  <w:style w:type="paragraph" w:styleId="Quote">
    <w:name w:val="Quote"/>
    <w:basedOn w:val="Normal"/>
    <w:next w:val="Normal"/>
    <w:link w:val="QuoteChar"/>
    <w:uiPriority w:val="29"/>
    <w:qFormat/>
    <w:rsid w:val="000C79D7"/>
    <w:pPr>
      <w:spacing w:before="200" w:line="259" w:lineRule="auto"/>
      <w:ind w:left="864" w:right="864"/>
    </w:pPr>
    <w:rPr>
      <w:i/>
      <w:iCs/>
      <w:color w:val="404040" w:themeColor="text1" w:themeTint="BF"/>
    </w:rPr>
  </w:style>
  <w:style w:type="character" w:customStyle="1" w:styleId="QuoteChar">
    <w:name w:val="Quote Char"/>
    <w:basedOn w:val="DefaultParagraphFont"/>
    <w:link w:val="Quote"/>
    <w:uiPriority w:val="29"/>
    <w:rsid w:val="000C79D7"/>
    <w:rPr>
      <w:i/>
      <w:iCs/>
      <w:color w:val="404040" w:themeColor="text1" w:themeTint="BF"/>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5.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2.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39</Pages>
  <Words>12870</Words>
  <Characters>73359</Characters>
  <Application>Microsoft Office Word</Application>
  <DocSecurity>0</DocSecurity>
  <Lines>611</Lines>
  <Paragraphs>172</Paragraphs>
  <ScaleCrop>false</ScaleCrop>
  <HeadingPairs>
    <vt:vector size="2" baseType="variant">
      <vt:variant>
        <vt:lpstr>Title</vt:lpstr>
      </vt:variant>
      <vt:variant>
        <vt:i4>1</vt:i4>
      </vt:variant>
    </vt:vector>
  </HeadingPairs>
  <TitlesOfParts>
    <vt:vector size="1" baseType="lpstr">
      <vt:lpstr/>
    </vt:vector>
  </TitlesOfParts>
  <Company>Imperial College London</Company>
  <LinksUpToDate>false</LinksUpToDate>
  <CharactersWithSpaces>86057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Patterson, Richard A</dc:creator>
  <cp:keywords/>
  <dc:description/>
  <cp:lastModifiedBy>0009510</cp:lastModifiedBy>
  <cp:revision>4</cp:revision>
  <dcterms:created xsi:type="dcterms:W3CDTF">2018-02-07T12:20:00Z</dcterms:created>
  <dcterms:modified xsi:type="dcterms:W3CDTF">2018-03-20T06:19:00Z</dcterms:modified>
</cp:coreProperties>
</file>