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80" w:rsidRPr="001F0951" w:rsidRDefault="00ED7080" w:rsidP="00ED7080">
      <w:pPr>
        <w:rPr>
          <w:rFonts w:ascii="Cambria" w:hAnsi="Cambria"/>
          <w:b/>
          <w:bCs/>
          <w:lang w:val="en-US"/>
        </w:rPr>
      </w:pPr>
      <w:r w:rsidRPr="001F0951">
        <w:rPr>
          <w:rFonts w:ascii="Cambria" w:hAnsi="Cambria"/>
          <w:b/>
          <w:bCs/>
          <w:lang w:val="en-US"/>
        </w:rPr>
        <w:t>Supplementa</w:t>
      </w:r>
      <w:r w:rsidR="000A218B" w:rsidRPr="001F0951">
        <w:rPr>
          <w:rFonts w:ascii="Cambria" w:hAnsi="Cambria"/>
          <w:b/>
          <w:bCs/>
          <w:lang w:val="en-US"/>
        </w:rPr>
        <w:t>ry</w:t>
      </w:r>
      <w:r w:rsidRPr="001F0951">
        <w:rPr>
          <w:rFonts w:ascii="Cambria" w:hAnsi="Cambria"/>
          <w:b/>
          <w:bCs/>
          <w:lang w:val="en-US"/>
        </w:rPr>
        <w:t xml:space="preserve"> </w:t>
      </w:r>
      <w:r w:rsidR="002E1ECD" w:rsidRPr="001F0951">
        <w:rPr>
          <w:rFonts w:ascii="Cambria" w:hAnsi="Cambria"/>
          <w:b/>
          <w:bCs/>
          <w:lang w:val="en-US"/>
        </w:rPr>
        <w:t xml:space="preserve">Information </w:t>
      </w:r>
      <w:proofErr w:type="spellStart"/>
      <w:r w:rsidR="002E1ECD" w:rsidRPr="001F0951">
        <w:rPr>
          <w:rFonts w:ascii="Cambria" w:hAnsi="Cambria"/>
          <w:b/>
          <w:bCs/>
          <w:lang w:val="en-US"/>
        </w:rPr>
        <w:t>S</w:t>
      </w:r>
      <w:r w:rsidRPr="001F0951">
        <w:rPr>
          <w:rFonts w:ascii="Cambria" w:hAnsi="Cambria"/>
          <w:b/>
          <w:bCs/>
          <w:lang w:val="en-US"/>
        </w:rPr>
        <w:t>3</w:t>
      </w:r>
      <w:proofErr w:type="spellEnd"/>
      <w:r w:rsidR="007C3684" w:rsidRPr="001F0951">
        <w:rPr>
          <w:rFonts w:ascii="Cambria" w:hAnsi="Cambria"/>
          <w:b/>
          <w:bCs/>
          <w:lang w:val="en-US"/>
        </w:rPr>
        <w:t xml:space="preserve"> </w:t>
      </w:r>
      <w:bookmarkStart w:id="0" w:name="_GoBack"/>
      <w:bookmarkEnd w:id="0"/>
    </w:p>
    <w:p w:rsidR="00ED7080" w:rsidRPr="001F0951" w:rsidRDefault="00ED7080" w:rsidP="00ED7080">
      <w:pPr>
        <w:rPr>
          <w:rFonts w:ascii="Cambria" w:hAnsi="Cambria"/>
          <w:b/>
          <w:bCs/>
          <w:lang w:val="en-US"/>
        </w:rPr>
      </w:pPr>
      <w:r w:rsidRPr="001F0951">
        <w:rPr>
          <w:rFonts w:ascii="Cambria" w:hAnsi="Cambria"/>
          <w:b/>
          <w:bCs/>
          <w:lang w:val="en-US"/>
        </w:rPr>
        <w:t>Conditional regression models</w:t>
      </w:r>
    </w:p>
    <w:p w:rsidR="00ED7080" w:rsidRPr="001F0951" w:rsidRDefault="00ED7080" w:rsidP="00ED7080">
      <w:pPr>
        <w:spacing w:line="480" w:lineRule="auto"/>
        <w:rPr>
          <w:rFonts w:ascii="Cambria" w:hAnsi="Cambria"/>
          <w:lang w:val="en-US"/>
        </w:rPr>
      </w:pPr>
      <w:r w:rsidRPr="001F0951">
        <w:rPr>
          <w:rFonts w:ascii="Cambria" w:hAnsi="Cambria"/>
          <w:lang w:val="en-US"/>
        </w:rPr>
        <w:t>Conditional regression models were used to examine the independent associations of maternal blood pressure</w:t>
      </w:r>
      <w:r w:rsidR="00E074CE" w:rsidRPr="001F0951">
        <w:rPr>
          <w:rFonts w:ascii="Cambria" w:hAnsi="Cambria"/>
          <w:lang w:val="en-US"/>
        </w:rPr>
        <w:t xml:space="preserve"> (BP)</w:t>
      </w:r>
      <w:r w:rsidRPr="001F0951">
        <w:rPr>
          <w:rFonts w:ascii="Cambria" w:hAnsi="Cambria"/>
          <w:lang w:val="en-US"/>
        </w:rPr>
        <w:t xml:space="preserve"> development in each period of pregnancy with </w:t>
      </w:r>
      <w:r w:rsidR="00E074CE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, cardiovascular outcomes and the risk of hypertension six years after index pregnancy, taking into account the correlation between maternal </w:t>
      </w:r>
      <w:r w:rsidR="00E074CE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in early, mid- and late pregnancy.(1) For these analyses, we constructed new systolic and diastolic </w:t>
      </w:r>
      <w:r w:rsidR="00E074CE" w:rsidRPr="001F0951">
        <w:rPr>
          <w:rFonts w:ascii="Cambria" w:hAnsi="Cambria"/>
          <w:lang w:val="en-US"/>
        </w:rPr>
        <w:t xml:space="preserve">BP </w:t>
      </w:r>
      <w:r w:rsidRPr="001F0951">
        <w:rPr>
          <w:rFonts w:ascii="Cambria" w:hAnsi="Cambria"/>
          <w:lang w:val="en-US"/>
        </w:rPr>
        <w:t xml:space="preserve">variables, which are statistically independent from each other, by using standardized residuals obtained from linear regression models of maternal systolic and diastolic </w:t>
      </w:r>
      <w:r w:rsidR="00E074CE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regressed on all prior corresponding </w:t>
      </w:r>
      <w:r w:rsidR="00E074CE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measurement</w:t>
      </w:r>
      <w:r w:rsidR="00E074CE" w:rsidRPr="001F0951">
        <w:rPr>
          <w:rFonts w:ascii="Cambria" w:hAnsi="Cambria"/>
          <w:lang w:val="en-US"/>
        </w:rPr>
        <w:t>s: systolic BP is used as an example.</w:t>
      </w:r>
      <w:r w:rsidRPr="001F0951">
        <w:rPr>
          <w:rFonts w:ascii="Cambria" w:hAnsi="Cambria"/>
          <w:lang w:val="en-US"/>
        </w:rPr>
        <w:t>(1)</w:t>
      </w:r>
      <w:r w:rsidR="00E074CE" w:rsidRPr="001F0951">
        <w:rPr>
          <w:rFonts w:ascii="Cambria" w:hAnsi="Cambria"/>
          <w:lang w:val="en-US"/>
        </w:rPr>
        <w:t xml:space="preserve"> Systolic BP in early pregnancy is the starting point. Conditional change in systolic BP from early to mid-pregnancy is equivalent to the standardized residuals resulting from the linear regression model of mid-pregnancy BP</w:t>
      </w:r>
      <w:r w:rsidR="000A218B" w:rsidRPr="001F0951">
        <w:rPr>
          <w:rFonts w:ascii="Cambria" w:hAnsi="Cambria"/>
          <w:lang w:val="en-US"/>
        </w:rPr>
        <w:t xml:space="preserve"> on early pregnancy BP. Accordingly, the conditional change in mid-pregnancy BP to late pregnancy BP is given as the standardized residuals obtained from regressing late pregnancy BP on both mid-pregnancy BP and early pregnancy BP simultaneously.</w:t>
      </w:r>
      <w:r w:rsidR="007F0078" w:rsidRPr="001F0951">
        <w:rPr>
          <w:rFonts w:ascii="Cambria" w:hAnsi="Cambria"/>
          <w:noProof/>
          <w:lang w:val="en-US"/>
        </w:rPr>
        <w:t>(2</w:t>
      </w:r>
      <w:r w:rsidR="00787889" w:rsidRPr="001F0951">
        <w:rPr>
          <w:rFonts w:ascii="Cambria" w:hAnsi="Cambria"/>
          <w:noProof/>
          <w:lang w:val="en-US"/>
        </w:rPr>
        <w:t>)</w:t>
      </w:r>
      <w:r w:rsidR="000A218B" w:rsidRPr="001F0951">
        <w:rPr>
          <w:rFonts w:ascii="Cambria" w:hAnsi="Cambria"/>
          <w:lang w:val="en-US"/>
        </w:rPr>
        <w:t xml:space="preserve"> By this approach, </w:t>
      </w:r>
      <w:r w:rsidRPr="001F0951">
        <w:rPr>
          <w:rFonts w:ascii="Cambria" w:hAnsi="Cambria"/>
          <w:lang w:val="en-US"/>
        </w:rPr>
        <w:t>strong correlation</w:t>
      </w:r>
      <w:r w:rsidR="000A218B" w:rsidRPr="001F0951">
        <w:rPr>
          <w:rFonts w:ascii="Cambria" w:hAnsi="Cambria"/>
          <w:lang w:val="en-US"/>
        </w:rPr>
        <w:t>s are removed</w:t>
      </w:r>
      <w:r w:rsidRPr="001F0951">
        <w:rPr>
          <w:rFonts w:ascii="Cambria" w:hAnsi="Cambria"/>
          <w:lang w:val="en-US"/>
        </w:rPr>
        <w:t xml:space="preserve"> between systolic or diastolic </w:t>
      </w:r>
      <w:r w:rsidR="000A218B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measures in different periods in pregnancy </w:t>
      </w:r>
      <w:r w:rsidR="000A218B" w:rsidRPr="001F0951">
        <w:rPr>
          <w:rFonts w:ascii="Cambria" w:hAnsi="Cambria"/>
          <w:lang w:val="en-US"/>
        </w:rPr>
        <w:t xml:space="preserve">which </w:t>
      </w:r>
      <w:r w:rsidRPr="001F0951">
        <w:rPr>
          <w:rFonts w:ascii="Cambria" w:hAnsi="Cambria"/>
          <w:lang w:val="en-US"/>
        </w:rPr>
        <w:t xml:space="preserve">allows simultaneous inclusion of these related variables into one regression model. Subsequently, the influence of systolic or diastolic </w:t>
      </w:r>
      <w:r w:rsidR="000A218B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in specific periods in pregnancy can then be assessed in comparison with, and adjusted for, systolic or diastolic </w:t>
      </w:r>
      <w:r w:rsidR="000A218B" w:rsidRPr="001F0951">
        <w:rPr>
          <w:rFonts w:ascii="Cambria" w:hAnsi="Cambria"/>
          <w:lang w:val="en-US"/>
        </w:rPr>
        <w:t>BP</w:t>
      </w:r>
      <w:r w:rsidRPr="001F0951">
        <w:rPr>
          <w:rFonts w:ascii="Cambria" w:hAnsi="Cambria"/>
          <w:lang w:val="en-US"/>
        </w:rPr>
        <w:t xml:space="preserve"> in the other pregnancy intervals.</w:t>
      </w:r>
    </w:p>
    <w:p w:rsidR="00787889" w:rsidRPr="001F0951" w:rsidRDefault="00787889" w:rsidP="00787889">
      <w:pPr>
        <w:pStyle w:val="ListParagraph"/>
        <w:spacing w:after="0" w:line="240" w:lineRule="auto"/>
        <w:ind w:left="0"/>
        <w:rPr>
          <w:rFonts w:ascii="Cambria" w:hAnsi="Cambria"/>
          <w:i/>
          <w:lang w:val="en-US"/>
        </w:rPr>
      </w:pPr>
      <w:r w:rsidRPr="001F0951">
        <w:rPr>
          <w:rFonts w:ascii="Cambria" w:hAnsi="Cambria"/>
          <w:i/>
        </w:rPr>
        <w:t>1.</w:t>
      </w:r>
      <w:r w:rsidR="00ED7080" w:rsidRPr="001F0951">
        <w:rPr>
          <w:rFonts w:ascii="Cambria" w:hAnsi="Cambria"/>
          <w:i/>
        </w:rPr>
        <w:t xml:space="preserve">Keijzer-Veen MG, Euser AM, van Montfoort N, Dekker FW, Vandenbroucke JP, Van Houwelingen HC. </w:t>
      </w:r>
      <w:r w:rsidR="00ED7080" w:rsidRPr="001F0951">
        <w:rPr>
          <w:rFonts w:ascii="Cambria" w:hAnsi="Cambria"/>
          <w:i/>
          <w:lang w:val="en-US"/>
        </w:rPr>
        <w:t xml:space="preserve">A regression model with unexplained residuals was preferred in the analysis of the fetal origins of adult diseases hypothesis. </w:t>
      </w:r>
      <w:proofErr w:type="gramStart"/>
      <w:r w:rsidR="00ED7080" w:rsidRPr="001F0951">
        <w:rPr>
          <w:rFonts w:ascii="Cambria" w:hAnsi="Cambria"/>
          <w:i/>
          <w:lang w:val="en-US"/>
        </w:rPr>
        <w:t xml:space="preserve">J </w:t>
      </w:r>
      <w:proofErr w:type="spellStart"/>
      <w:r w:rsidR="00ED7080" w:rsidRPr="001F0951">
        <w:rPr>
          <w:rFonts w:ascii="Cambria" w:hAnsi="Cambria"/>
          <w:i/>
          <w:lang w:val="en-US"/>
        </w:rPr>
        <w:t>Clin</w:t>
      </w:r>
      <w:proofErr w:type="spellEnd"/>
      <w:r w:rsidR="00ED7080" w:rsidRPr="001F0951">
        <w:rPr>
          <w:rFonts w:ascii="Cambria" w:hAnsi="Cambria"/>
          <w:i/>
          <w:lang w:val="en-US"/>
        </w:rPr>
        <w:t xml:space="preserve"> </w:t>
      </w:r>
      <w:proofErr w:type="spellStart"/>
      <w:r w:rsidR="00ED7080" w:rsidRPr="001F0951">
        <w:rPr>
          <w:rFonts w:ascii="Cambria" w:hAnsi="Cambria"/>
          <w:i/>
          <w:lang w:val="en-US"/>
        </w:rPr>
        <w:t>Epidemiol</w:t>
      </w:r>
      <w:proofErr w:type="spellEnd"/>
      <w:r w:rsidR="00ED7080" w:rsidRPr="001F0951">
        <w:rPr>
          <w:rFonts w:ascii="Cambria" w:hAnsi="Cambria"/>
          <w:i/>
          <w:lang w:val="en-US"/>
        </w:rPr>
        <w:t>.</w:t>
      </w:r>
      <w:proofErr w:type="gramEnd"/>
      <w:r w:rsidR="00ED7080" w:rsidRPr="001F0951">
        <w:rPr>
          <w:rFonts w:ascii="Cambria" w:hAnsi="Cambria"/>
          <w:i/>
          <w:lang w:val="en-US"/>
        </w:rPr>
        <w:t xml:space="preserve"> 2005</w:t>
      </w:r>
      <w:proofErr w:type="gramStart"/>
      <w:r w:rsidR="00ED7080" w:rsidRPr="001F0951">
        <w:rPr>
          <w:rFonts w:ascii="Cambria" w:hAnsi="Cambria"/>
          <w:i/>
          <w:lang w:val="en-US"/>
        </w:rPr>
        <w:t>;58:1320</w:t>
      </w:r>
      <w:proofErr w:type="gramEnd"/>
      <w:r w:rsidR="00ED7080" w:rsidRPr="001F0951">
        <w:rPr>
          <w:rFonts w:ascii="Cambria" w:hAnsi="Cambria"/>
          <w:i/>
          <w:lang w:val="en-US"/>
        </w:rPr>
        <w:t xml:space="preserve">-4. </w:t>
      </w:r>
    </w:p>
    <w:p w:rsidR="00787889" w:rsidRPr="001F0951" w:rsidRDefault="00787889" w:rsidP="00787889">
      <w:pPr>
        <w:pStyle w:val="EndNoteBibliography"/>
        <w:rPr>
          <w:rFonts w:ascii="Cambria" w:hAnsi="Cambria"/>
          <w:i/>
        </w:rPr>
      </w:pPr>
      <w:r w:rsidRPr="001F0951">
        <w:rPr>
          <w:rFonts w:ascii="Cambria" w:hAnsi="Cambria"/>
          <w:i/>
        </w:rPr>
        <w:t xml:space="preserve">2.Harvey NC, Mahon PA, Kim M, et al. Intrauterine growth and postnatal skeletal development: findings from the Southampton Women's Survey. Paediatr Perinat Epidemiol. 2012;26:34-44. </w:t>
      </w:r>
    </w:p>
    <w:p w:rsidR="00ED7080" w:rsidRPr="00897ECF" w:rsidRDefault="00ED7080" w:rsidP="00787889">
      <w:pPr>
        <w:spacing w:line="240" w:lineRule="auto"/>
        <w:rPr>
          <w:rFonts w:ascii="Cambria" w:hAnsi="Cambria"/>
        </w:rPr>
      </w:pPr>
    </w:p>
    <w:sectPr w:rsidR="00ED7080" w:rsidRPr="00897ECF" w:rsidSect="00ED708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EB0" w:rsidRDefault="00C16EB0" w:rsidP="00A318D7">
      <w:pPr>
        <w:spacing w:after="0" w:line="240" w:lineRule="auto"/>
      </w:pPr>
      <w:r>
        <w:separator/>
      </w:r>
    </w:p>
  </w:endnote>
  <w:endnote w:type="continuationSeparator" w:id="0">
    <w:p w:rsidR="00C16EB0" w:rsidRDefault="00C16EB0" w:rsidP="00A3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EB0" w:rsidRDefault="00C16EB0" w:rsidP="00A318D7">
      <w:pPr>
        <w:spacing w:after="0" w:line="240" w:lineRule="auto"/>
      </w:pPr>
      <w:r>
        <w:separator/>
      </w:r>
    </w:p>
  </w:footnote>
  <w:footnote w:type="continuationSeparator" w:id="0">
    <w:p w:rsidR="00C16EB0" w:rsidRDefault="00C16EB0" w:rsidP="00A31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6D60"/>
    <w:multiLevelType w:val="hybridMultilevel"/>
    <w:tmpl w:val="0628A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A11F7"/>
    <w:multiLevelType w:val="hybridMultilevel"/>
    <w:tmpl w:val="A59CF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Epidem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9a2axz4ptzxlew2r8p2rr8rx2s0ze5zzev&quot;&gt;My EndNote Library&lt;record-ids&gt;&lt;item&gt;925&lt;/item&gt;&lt;/record-ids&gt;&lt;/item&gt;&lt;/Libraries&gt;"/>
  </w:docVars>
  <w:rsids>
    <w:rsidRoot w:val="00A318D7"/>
    <w:rsid w:val="000A218B"/>
    <w:rsid w:val="001E5BC5"/>
    <w:rsid w:val="001F0951"/>
    <w:rsid w:val="00276C49"/>
    <w:rsid w:val="002951D0"/>
    <w:rsid w:val="002E1ECD"/>
    <w:rsid w:val="004E0E92"/>
    <w:rsid w:val="00601C28"/>
    <w:rsid w:val="00612B11"/>
    <w:rsid w:val="006D5F91"/>
    <w:rsid w:val="0073575A"/>
    <w:rsid w:val="00787889"/>
    <w:rsid w:val="007C3684"/>
    <w:rsid w:val="007F0078"/>
    <w:rsid w:val="007F1BFF"/>
    <w:rsid w:val="00840F23"/>
    <w:rsid w:val="00897ECF"/>
    <w:rsid w:val="008F152B"/>
    <w:rsid w:val="00920721"/>
    <w:rsid w:val="00946EB4"/>
    <w:rsid w:val="00A318D7"/>
    <w:rsid w:val="00A870B1"/>
    <w:rsid w:val="00AE704C"/>
    <w:rsid w:val="00C16EB0"/>
    <w:rsid w:val="00C94391"/>
    <w:rsid w:val="00D11360"/>
    <w:rsid w:val="00DD2BBB"/>
    <w:rsid w:val="00E074CE"/>
    <w:rsid w:val="00E57B3A"/>
    <w:rsid w:val="00ED7080"/>
    <w:rsid w:val="00EF0F6F"/>
    <w:rsid w:val="00F3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11"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A2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1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A218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1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218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18B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87889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787889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78788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787889"/>
    <w:rPr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A2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21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A218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1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218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18B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87889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787889"/>
    <w:rPr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78788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787889"/>
    <w:rPr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99F5-C27E-4443-B094-75811815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</dc:creator>
  <cp:lastModifiedBy>0013009</cp:lastModifiedBy>
  <cp:revision>3</cp:revision>
  <dcterms:created xsi:type="dcterms:W3CDTF">2018-04-09T14:06:00Z</dcterms:created>
  <dcterms:modified xsi:type="dcterms:W3CDTF">2018-04-26T11:19:00Z</dcterms:modified>
</cp:coreProperties>
</file>