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660" w:rsidRPr="002A509D" w:rsidRDefault="005E7AC7" w:rsidP="00EE5460">
      <w:pPr>
        <w:spacing w:after="0" w:line="480" w:lineRule="auto"/>
        <w:rPr>
          <w:rFonts w:ascii="Cambria" w:hAnsi="Cambria"/>
          <w:color w:val="000000"/>
          <w:lang w:val="en-US"/>
        </w:rPr>
      </w:pPr>
      <w:r w:rsidRPr="002A509D">
        <w:rPr>
          <w:rFonts w:ascii="Cambria" w:hAnsi="Cambria"/>
          <w:b/>
          <w:lang w:val="en-US"/>
        </w:rPr>
        <w:t>Supplementary I</w:t>
      </w:r>
      <w:r w:rsidR="007610A3" w:rsidRPr="002A509D">
        <w:rPr>
          <w:rFonts w:ascii="Cambria" w:hAnsi="Cambria"/>
          <w:b/>
          <w:lang w:val="en-US"/>
        </w:rPr>
        <w:t>nformation</w:t>
      </w:r>
      <w:r w:rsidR="00673EDA" w:rsidRPr="002A509D">
        <w:rPr>
          <w:rFonts w:ascii="Cambria" w:hAnsi="Cambria"/>
          <w:b/>
          <w:lang w:val="en-US"/>
        </w:rPr>
        <w:t xml:space="preserve"> S4 </w:t>
      </w:r>
      <w:r w:rsidR="00673EDA" w:rsidRPr="002A509D">
        <w:rPr>
          <w:rFonts w:ascii="Cambria" w:hAnsi="Cambria"/>
          <w:color w:val="000000"/>
          <w:lang w:val="en-US"/>
        </w:rPr>
        <w:t>Associations of systolic (</w:t>
      </w:r>
      <w:proofErr w:type="spellStart"/>
      <w:r w:rsidR="00673EDA" w:rsidRPr="002A509D">
        <w:rPr>
          <w:rFonts w:ascii="Cambria" w:hAnsi="Cambria"/>
          <w:color w:val="000000"/>
          <w:lang w:val="en-US"/>
        </w:rPr>
        <w:t>a,b</w:t>
      </w:r>
      <w:proofErr w:type="spellEnd"/>
      <w:r w:rsidR="00673EDA" w:rsidRPr="002A509D">
        <w:rPr>
          <w:rFonts w:ascii="Cambria" w:hAnsi="Cambria"/>
          <w:color w:val="000000"/>
          <w:lang w:val="en-US"/>
        </w:rPr>
        <w:t>) and diastolic (</w:t>
      </w:r>
      <w:proofErr w:type="spellStart"/>
      <w:r w:rsidR="00673EDA" w:rsidRPr="002A509D">
        <w:rPr>
          <w:rFonts w:ascii="Cambria" w:hAnsi="Cambria"/>
          <w:color w:val="000000"/>
          <w:lang w:val="en-US"/>
        </w:rPr>
        <w:t>c,d</w:t>
      </w:r>
      <w:proofErr w:type="spellEnd"/>
      <w:r w:rsidR="00673EDA" w:rsidRPr="002A509D">
        <w:rPr>
          <w:rFonts w:ascii="Cambria" w:hAnsi="Cambria"/>
          <w:color w:val="000000"/>
          <w:lang w:val="en-US"/>
        </w:rPr>
        <w:t xml:space="preserve">) blood pressure measures in pregnancy with cardiovascular outcomes six years after </w:t>
      </w:r>
      <w:bookmarkStart w:id="0" w:name="_GoBack"/>
      <w:r w:rsidR="00673EDA" w:rsidRPr="002A509D">
        <w:rPr>
          <w:rFonts w:ascii="Cambria" w:hAnsi="Cambria"/>
          <w:color w:val="000000"/>
          <w:lang w:val="en-US"/>
        </w:rPr>
        <w:t xml:space="preserve">pregnancy </w:t>
      </w:r>
      <w:r w:rsidR="00D70CC2" w:rsidRPr="002A509D">
        <w:rPr>
          <w:rFonts w:ascii="Cambria" w:hAnsi="Cambria"/>
          <w:color w:val="000000"/>
          <w:lang w:val="en-US"/>
        </w:rPr>
        <w:t xml:space="preserve">from conditional analyses </w:t>
      </w:r>
      <w:r w:rsidR="00673EDA" w:rsidRPr="002A509D">
        <w:rPr>
          <w:rFonts w:ascii="Cambria" w:hAnsi="Cambria"/>
          <w:color w:val="000000"/>
          <w:lang w:val="en-US"/>
        </w:rPr>
        <w:t>(n = 3551)</w:t>
      </w:r>
    </w:p>
    <w:bookmarkEnd w:id="0"/>
    <w:p w:rsidR="00673EDA" w:rsidRPr="002A509D" w:rsidRDefault="00FA5040">
      <w:pPr>
        <w:rPr>
          <w:rFonts w:ascii="Cambria" w:hAnsi="Cambria"/>
          <w:color w:val="000000"/>
          <w:lang w:val="en-US"/>
        </w:rPr>
      </w:pPr>
      <w:r w:rsidRPr="002A509D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361D205F" wp14:editId="166FA09E">
            <wp:simplePos x="0" y="0"/>
            <wp:positionH relativeFrom="column">
              <wp:posOffset>-28575</wp:posOffset>
            </wp:positionH>
            <wp:positionV relativeFrom="paragraph">
              <wp:posOffset>41275</wp:posOffset>
            </wp:positionV>
            <wp:extent cx="4745355" cy="2602230"/>
            <wp:effectExtent l="0" t="0" r="0" b="762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09D">
        <w:rPr>
          <w:noProof/>
          <w:lang w:val="en-US"/>
        </w:rPr>
        <w:drawing>
          <wp:inline distT="0" distB="0" distL="0" distR="0" wp14:anchorId="53719867" wp14:editId="47F07A70">
            <wp:extent cx="4867275" cy="2667000"/>
            <wp:effectExtent l="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DA" w:rsidRPr="002A509D" w:rsidRDefault="00FA5040">
      <w:pPr>
        <w:rPr>
          <w:rFonts w:ascii="Cambria" w:hAnsi="Cambria"/>
          <w:color w:val="000000"/>
          <w:lang w:val="en-US"/>
        </w:rPr>
      </w:pPr>
      <w:r w:rsidRPr="002A509D">
        <w:rPr>
          <w:noProof/>
          <w:lang w:val="en-US"/>
        </w:rPr>
        <w:drawing>
          <wp:inline distT="0" distB="0" distL="0" distR="0" wp14:anchorId="6F95FE6A" wp14:editId="684E1FA4">
            <wp:extent cx="4752975" cy="2600325"/>
            <wp:effectExtent l="0" t="0" r="9525" b="9525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09D">
        <w:rPr>
          <w:noProof/>
          <w:lang w:val="en-US"/>
        </w:rPr>
        <w:drawing>
          <wp:inline distT="0" distB="0" distL="0" distR="0" wp14:anchorId="1820CF71" wp14:editId="3DC2D501">
            <wp:extent cx="4943475" cy="2705100"/>
            <wp:effectExtent l="0" t="0" r="9525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95" w:rsidRPr="005A0E95" w:rsidRDefault="005A0E95" w:rsidP="00EE5460">
      <w:pPr>
        <w:pStyle w:val="EndNoteBibliography"/>
        <w:spacing w:line="480" w:lineRule="auto"/>
        <w:rPr>
          <w:rFonts w:ascii="Cambria" w:hAnsi="Cambria"/>
          <w:i/>
          <w:sz w:val="22"/>
          <w:szCs w:val="22"/>
          <w:lang w:val="en-US"/>
        </w:rPr>
      </w:pP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lastRenderedPageBreak/>
        <w:t>Values are regression coefficients  (95% Confidence Interval) from multivariable linear regression models and reflect the difference in cardiovascular outcomes per  SD</w:t>
      </w:r>
      <w:r w:rsidR="007E47E9" w:rsidRPr="002A509D">
        <w:rPr>
          <w:rFonts w:ascii="Cambria" w:hAnsi="Cambria"/>
          <w:i/>
          <w:color w:val="000000"/>
          <w:sz w:val="22"/>
          <w:szCs w:val="22"/>
          <w:lang w:val="en-US"/>
        </w:rPr>
        <w:t>S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 </w:t>
      </w:r>
      <w:r w:rsidR="007E47E9" w:rsidRPr="002A509D">
        <w:rPr>
          <w:rFonts w:ascii="Cambria" w:hAnsi="Cambria"/>
          <w:i/>
          <w:color w:val="000000"/>
          <w:sz w:val="22"/>
          <w:szCs w:val="22"/>
          <w:lang w:val="en-US"/>
        </w:rPr>
        <w:t>change in early pregnancy systolic and diastolic blood pressure and per SDS change in standardised residual change in systolic and diastolic blood pressure in mid- and late pregnancy from conditional regression analyses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 (see </w:t>
      </w:r>
      <w:r w:rsidR="007E47E9"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for 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>details</w:t>
      </w:r>
      <w:r w:rsidR="007E47E9"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 of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 conditional regression models  </w:t>
      </w:r>
      <w:r w:rsidRPr="002A509D">
        <w:rPr>
          <w:rFonts w:ascii="Cambria" w:hAnsi="Cambria"/>
          <w:b/>
          <w:i/>
          <w:color w:val="000000"/>
          <w:sz w:val="22"/>
          <w:szCs w:val="22"/>
          <w:lang w:val="en-US"/>
        </w:rPr>
        <w:t xml:space="preserve">Supplementary </w:t>
      </w:r>
      <w:r w:rsidR="007E47E9" w:rsidRPr="002A509D">
        <w:rPr>
          <w:rFonts w:ascii="Cambria" w:hAnsi="Cambria"/>
          <w:b/>
          <w:i/>
          <w:color w:val="000000"/>
          <w:sz w:val="22"/>
          <w:szCs w:val="22"/>
          <w:lang w:val="en-US"/>
        </w:rPr>
        <w:t>Information</w:t>
      </w:r>
      <w:r w:rsidRPr="002A509D">
        <w:rPr>
          <w:rFonts w:ascii="Cambria" w:hAnsi="Cambria"/>
          <w:b/>
          <w:i/>
          <w:color w:val="000000"/>
          <w:sz w:val="22"/>
          <w:szCs w:val="22"/>
          <w:lang w:val="en-US"/>
        </w:rPr>
        <w:t xml:space="preserve"> </w:t>
      </w:r>
      <w:r w:rsidR="007E47E9" w:rsidRPr="002A509D">
        <w:rPr>
          <w:rFonts w:ascii="Cambria" w:hAnsi="Cambria"/>
          <w:b/>
          <w:i/>
          <w:color w:val="000000"/>
          <w:sz w:val="22"/>
          <w:szCs w:val="22"/>
          <w:lang w:val="en-US"/>
        </w:rPr>
        <w:t>S</w:t>
      </w:r>
      <w:r w:rsidRPr="002A509D">
        <w:rPr>
          <w:rFonts w:ascii="Cambria" w:hAnsi="Cambria"/>
          <w:b/>
          <w:i/>
          <w:color w:val="000000"/>
          <w:sz w:val="22"/>
          <w:szCs w:val="22"/>
          <w:lang w:val="en-US"/>
        </w:rPr>
        <w:t>3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). Women using anti-hypertensive medication are excluded from these analysis (n = 52). Models are adjusted for maternal age, visit interval, ethnicity, educational level, smoking, </w:t>
      </w:r>
      <w:r w:rsidRPr="002A509D">
        <w:rPr>
          <w:rFonts w:ascii="Cambria" w:eastAsia="Arial Unicode MS" w:hAnsi="Cambria"/>
          <w:i/>
          <w:color w:val="000000"/>
          <w:sz w:val="22"/>
          <w:szCs w:val="22"/>
          <w:lang w:val="en-US"/>
        </w:rPr>
        <w:t>subsequent pregnancies between index and follow-up</w:t>
      </w:r>
      <w:r w:rsidRPr="002A509D">
        <w:rPr>
          <w:rFonts w:ascii="Cambria" w:hAnsi="Cambria"/>
          <w:i/>
          <w:color w:val="000000"/>
          <w:sz w:val="22"/>
          <w:szCs w:val="22"/>
          <w:lang w:val="en-US"/>
        </w:rPr>
        <w:t xml:space="preserve"> and child’s sex.</w:t>
      </w:r>
      <w:r w:rsidRPr="005A0E95">
        <w:rPr>
          <w:rFonts w:ascii="Cambria" w:hAnsi="Cambria"/>
          <w:i/>
          <w:color w:val="000000"/>
          <w:sz w:val="22"/>
          <w:szCs w:val="22"/>
          <w:lang w:val="en-US"/>
        </w:rPr>
        <w:t xml:space="preserve"> </w:t>
      </w:r>
    </w:p>
    <w:p w:rsidR="005A0E95" w:rsidRPr="005A0E95" w:rsidRDefault="005A0E95" w:rsidP="005A0E95">
      <w:pPr>
        <w:spacing w:line="480" w:lineRule="auto"/>
        <w:rPr>
          <w:rFonts w:ascii="Cambria" w:hAnsi="Cambria"/>
          <w:color w:val="000000"/>
          <w:lang w:val="en-US"/>
        </w:rPr>
      </w:pPr>
    </w:p>
    <w:p w:rsidR="00673EDA" w:rsidRPr="00673EDA" w:rsidRDefault="00673EDA">
      <w:pPr>
        <w:rPr>
          <w:lang w:val="en-US"/>
        </w:rPr>
      </w:pPr>
    </w:p>
    <w:sectPr w:rsidR="00673EDA" w:rsidRPr="00673EDA" w:rsidSect="00532442">
      <w:pgSz w:w="16838" w:h="11906" w:orient="landscape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DA"/>
    <w:rsid w:val="00165660"/>
    <w:rsid w:val="002A509D"/>
    <w:rsid w:val="00532442"/>
    <w:rsid w:val="00595391"/>
    <w:rsid w:val="005A0E95"/>
    <w:rsid w:val="005E7AC7"/>
    <w:rsid w:val="00673EDA"/>
    <w:rsid w:val="007610A3"/>
    <w:rsid w:val="007E47E9"/>
    <w:rsid w:val="008A7F50"/>
    <w:rsid w:val="00A05C36"/>
    <w:rsid w:val="00D70CC2"/>
    <w:rsid w:val="00EE5460"/>
    <w:rsid w:val="00F21B12"/>
    <w:rsid w:val="00F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EDA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5A0E95"/>
    <w:pPr>
      <w:spacing w:after="0" w:line="240" w:lineRule="auto"/>
    </w:pPr>
    <w:rPr>
      <w:rFonts w:ascii="Times New Roman" w:eastAsia="Times New Roman" w:hAnsi="Times New Roman"/>
      <w:noProof/>
      <w:sz w:val="24"/>
      <w:szCs w:val="24"/>
      <w:lang w:eastAsia="nl-NL"/>
    </w:rPr>
  </w:style>
  <w:style w:type="character" w:customStyle="1" w:styleId="EndNoteBibliographyChar">
    <w:name w:val="EndNote Bibliography Char"/>
    <w:link w:val="EndNoteBibliography"/>
    <w:rsid w:val="005A0E95"/>
    <w:rPr>
      <w:rFonts w:ascii="Times New Roman" w:eastAsia="Times New Roman" w:hAnsi="Times New Roman"/>
      <w:noProof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EDA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5A0E95"/>
    <w:pPr>
      <w:spacing w:after="0" w:line="240" w:lineRule="auto"/>
    </w:pPr>
    <w:rPr>
      <w:rFonts w:ascii="Times New Roman" w:eastAsia="Times New Roman" w:hAnsi="Times New Roman"/>
      <w:noProof/>
      <w:sz w:val="24"/>
      <w:szCs w:val="24"/>
      <w:lang w:eastAsia="nl-NL"/>
    </w:rPr>
  </w:style>
  <w:style w:type="character" w:customStyle="1" w:styleId="EndNoteBibliographyChar">
    <w:name w:val="EndNote Bibliography Char"/>
    <w:link w:val="EndNoteBibliography"/>
    <w:rsid w:val="005A0E95"/>
    <w:rPr>
      <w:rFonts w:ascii="Times New Roman" w:eastAsia="Times New Roman" w:hAnsi="Times New Roman"/>
      <w:noProof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</dc:creator>
  <cp:lastModifiedBy>N.E. Bergen</cp:lastModifiedBy>
  <cp:revision>2</cp:revision>
  <dcterms:created xsi:type="dcterms:W3CDTF">2018-04-09T14:06:00Z</dcterms:created>
  <dcterms:modified xsi:type="dcterms:W3CDTF">2018-04-09T14:06:00Z</dcterms:modified>
</cp:coreProperties>
</file>