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39BAF" w14:textId="77777777" w:rsidR="002501EE" w:rsidRDefault="002501EE" w:rsidP="002501EE">
      <w:pPr>
        <w:pStyle w:val="Heading1"/>
        <w:spacing w:line="480" w:lineRule="auto"/>
        <w:jc w:val="left"/>
        <w:rPr>
          <w:rFonts w:ascii="Arial" w:hAnsi="Arial" w:cs="Arial"/>
          <w:b/>
          <w:color w:val="1F3864" w:themeColor="accent1" w:themeShade="80"/>
          <w:sz w:val="28"/>
          <w:szCs w:val="24"/>
          <w:lang w:eastAsia="zh-TW"/>
        </w:rPr>
      </w:pPr>
      <w:r>
        <w:rPr>
          <w:rFonts w:ascii="Arial" w:hAnsi="Arial" w:cs="Arial"/>
          <w:b/>
          <w:color w:val="1F3864" w:themeColor="accent1" w:themeShade="80"/>
          <w:sz w:val="28"/>
          <w:szCs w:val="24"/>
          <w:lang w:eastAsia="zh-TW"/>
        </w:rPr>
        <w:t>Supplementary Materials</w:t>
      </w:r>
    </w:p>
    <w:p w14:paraId="09986DE2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Table 1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Search terms </w:t>
      </w:r>
    </w:p>
    <w:p w14:paraId="37BC1A65" w14:textId="77777777" w:rsidR="002501EE" w:rsidRDefault="002501EE" w:rsidP="002501EE"/>
    <w:tbl>
      <w:tblPr>
        <w:tblStyle w:val="GridTable6Colorful-Accent3"/>
        <w:tblW w:w="0" w:type="auto"/>
        <w:tblLook w:val="04A0" w:firstRow="1" w:lastRow="0" w:firstColumn="1" w:lastColumn="0" w:noHBand="0" w:noVBand="1"/>
      </w:tblPr>
      <w:tblGrid>
        <w:gridCol w:w="4855"/>
        <w:gridCol w:w="4155"/>
      </w:tblGrid>
      <w:tr w:rsidR="002501EE" w:rsidRPr="000D00B5" w14:paraId="2DB604B2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64D5D5F" w14:textId="77777777" w:rsidR="002501EE" w:rsidRPr="000D00B5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en-US"/>
              </w:rPr>
              <w:t>PubMed</w:t>
            </w:r>
          </w:p>
        </w:tc>
        <w:tc>
          <w:tcPr>
            <w:tcW w:w="4155" w:type="dxa"/>
          </w:tcPr>
          <w:p w14:paraId="2103E6B2" w14:textId="77777777" w:rsidR="002501EE" w:rsidRPr="000D00B5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Embase</w:t>
            </w:r>
          </w:p>
        </w:tc>
      </w:tr>
      <w:tr w:rsidR="002501EE" w:rsidRPr="00D551C6" w14:paraId="6A60872B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ADEE5D3" w14:textId="77777777" w:rsidR="002501EE" w:rsidRPr="00D551C6" w:rsidRDefault="002501EE" w:rsidP="00D106FB">
            <w:pP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zh-CN"/>
              </w:rPr>
            </w:pPr>
            <w:r w:rsidRPr="00D551C6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eastAsia="zh-CN"/>
              </w:rPr>
              <w:t>(“blood pressure” OR blood pressure[MeSH] OR hypertension OR hypertension[MeSH]) AND (“cardiac arrest” OR cardiac arrest[MeSH] OR “sudden cardiac death” OR sudden cardiac death[MeSH]) AND (“case-control” OR cohort OR cohorts OR prospective OR longitudinal OR “followed up” OR “follow-up” OR “cross-sectional” OR “hazard ratio” OR “relative risk” OR “odds ratio” OR “odds ratios” OR prevalence OR incidence)</w:t>
            </w:r>
          </w:p>
          <w:p w14:paraId="14239C3B" w14:textId="77777777" w:rsidR="002501EE" w:rsidRPr="00D551C6" w:rsidRDefault="002501EE" w:rsidP="00D106FB">
            <w:pP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155" w:type="dxa"/>
          </w:tcPr>
          <w:p w14:paraId="352D4F56" w14:textId="77777777" w:rsidR="002501EE" w:rsidRPr="00D551C6" w:rsidRDefault="002501EE" w:rsidP="00D10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D551C6">
              <w:rPr>
                <w:rFonts w:ascii="Arial" w:hAnsi="Arial" w:cs="Arial"/>
                <w:color w:val="000000" w:themeColor="text1"/>
                <w:sz w:val="24"/>
                <w:szCs w:val="24"/>
                <w:lang w:eastAsia="zh-CN"/>
              </w:rPr>
              <w:t>(blood pressure OR hypertension OR blood pressure/ OR hypertension/) AND (cardiac arrest OR sudden cardiac death OR cardiac arrest/ OR sudden cardiac death/) AND (case-control OR cohort OR cohorts OR prospective OR longitudinal OR followed up OR follow-up OR cross-sectional OR hazard ratio OR relative risk OR odds ratio OR prevalence OR incidence).</w:t>
            </w:r>
          </w:p>
          <w:p w14:paraId="26497028" w14:textId="77777777" w:rsidR="002501EE" w:rsidRPr="00D551C6" w:rsidRDefault="002501EE" w:rsidP="00D106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42E7841" w14:textId="77777777" w:rsidR="002501EE" w:rsidRPr="00D551C6" w:rsidRDefault="002501EE" w:rsidP="002501EE">
      <w:pPr>
        <w:rPr>
          <w:lang w:eastAsia="zh-TW"/>
        </w:rPr>
      </w:pPr>
    </w:p>
    <w:p w14:paraId="55C82436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  <w:sz w:val="20"/>
          <w:szCs w:val="24"/>
          <w:lang w:eastAsia="zh-TW"/>
        </w:rPr>
        <w:sectPr w:rsidR="002501EE" w:rsidSect="00D3373D">
          <w:pgSz w:w="11900" w:h="16840"/>
          <w:pgMar w:top="1440" w:right="1440" w:bottom="1440" w:left="1440" w:header="720" w:footer="720" w:gutter="0"/>
          <w:cols w:space="720"/>
          <w:docGrid w:linePitch="400"/>
        </w:sectPr>
      </w:pPr>
    </w:p>
    <w:p w14:paraId="7A221A35" w14:textId="40354BC0" w:rsidR="002501EE" w:rsidRPr="00CE21D0" w:rsidRDefault="002501EE" w:rsidP="002501EE">
      <w:pPr>
        <w:spacing w:line="360" w:lineRule="auto"/>
        <w:ind w:hanging="90"/>
        <w:jc w:val="left"/>
        <w:rPr>
          <w:rFonts w:ascii="Arial" w:hAnsi="Arial" w:cs="Arial"/>
          <w:b/>
          <w:color w:val="8496B0" w:themeColor="text2" w:themeTint="99"/>
          <w:sz w:val="24"/>
          <w:szCs w:val="24"/>
          <w:lang w:eastAsia="zh-TW"/>
        </w:rPr>
      </w:pPr>
      <w:r w:rsidRPr="00CE21D0">
        <w:rPr>
          <w:rFonts w:ascii="Arial" w:hAnsi="Arial" w:cs="Arial"/>
          <w:b/>
          <w:color w:val="8496B0" w:themeColor="text2" w:themeTint="99"/>
          <w:sz w:val="24"/>
          <w:szCs w:val="24"/>
          <w:lang w:eastAsia="zh-TW"/>
        </w:rPr>
        <w:lastRenderedPageBreak/>
        <w:t xml:space="preserve">Supplementary Table 2. Cohort studies of hypertension and the risk of sudden cardiac </w:t>
      </w:r>
      <w:r>
        <w:rPr>
          <w:rFonts w:ascii="Arial" w:hAnsi="Arial" w:cs="Arial"/>
          <w:b/>
          <w:color w:val="8496B0" w:themeColor="text2" w:themeTint="99"/>
          <w:sz w:val="24"/>
          <w:szCs w:val="24"/>
          <w:lang w:eastAsia="zh-TW"/>
        </w:rPr>
        <w:t>death</w:t>
      </w:r>
    </w:p>
    <w:tbl>
      <w:tblPr>
        <w:tblStyle w:val="GridTable6Colorful-Accent3"/>
        <w:tblW w:w="15550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710"/>
        <w:gridCol w:w="1890"/>
        <w:gridCol w:w="1890"/>
        <w:gridCol w:w="1710"/>
        <w:gridCol w:w="1800"/>
        <w:gridCol w:w="3310"/>
      </w:tblGrid>
      <w:tr w:rsidR="002501EE" w:rsidRPr="00BD2F2C" w14:paraId="3B145FDA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954675B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First author, publication year, country</w:t>
            </w:r>
          </w:p>
        </w:tc>
        <w:tc>
          <w:tcPr>
            <w:tcW w:w="1620" w:type="dxa"/>
          </w:tcPr>
          <w:p w14:paraId="060DCA88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710" w:type="dxa"/>
          </w:tcPr>
          <w:p w14:paraId="5A1F66EC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1890" w:type="dxa"/>
          </w:tcPr>
          <w:p w14:paraId="01BC4953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890" w:type="dxa"/>
          </w:tcPr>
          <w:p w14:paraId="2F55A39C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710" w:type="dxa"/>
          </w:tcPr>
          <w:p w14:paraId="037262D5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800" w:type="dxa"/>
          </w:tcPr>
          <w:p w14:paraId="5646309D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Relative risk (95% confidence interval)</w:t>
            </w:r>
          </w:p>
        </w:tc>
        <w:tc>
          <w:tcPr>
            <w:tcW w:w="3310" w:type="dxa"/>
          </w:tcPr>
          <w:p w14:paraId="5DC3C974" w14:textId="77777777" w:rsidR="002501EE" w:rsidRPr="00BD2F2C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BD2F2C" w14:paraId="33FE0279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7ADF993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Shaper AG et al., 1993, the United Kingdom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1620" w:type="dxa"/>
          </w:tcPr>
          <w:p w14:paraId="084C4BE8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British Regional Heart Study (BRHS)</w:t>
            </w:r>
          </w:p>
        </w:tc>
        <w:tc>
          <w:tcPr>
            <w:tcW w:w="1710" w:type="dxa"/>
          </w:tcPr>
          <w:p w14:paraId="7208AC0A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1978–1980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 xml:space="preserve">–NA, 8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51BCF4A4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5813 men without prior CHD, age 40-59 years: 44 SCDs</w:t>
            </w:r>
          </w:p>
        </w:tc>
        <w:tc>
          <w:tcPr>
            <w:tcW w:w="1890" w:type="dxa"/>
          </w:tcPr>
          <w:p w14:paraId="59021EE7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41687044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5EA7AD34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2.4 (1.2-4.9)</w:t>
            </w:r>
          </w:p>
        </w:tc>
        <w:tc>
          <w:tcPr>
            <w:tcW w:w="3310" w:type="dxa"/>
          </w:tcPr>
          <w:p w14:paraId="61AC8F30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social class, smoking, heavy drinking, physical activity, blood cholesterol, blood glucose</w:t>
            </w:r>
          </w:p>
        </w:tc>
      </w:tr>
      <w:tr w:rsidR="002501EE" w:rsidRPr="00BD2F2C" w14:paraId="09F35884" w14:textId="77777777" w:rsidTr="00D106FB">
        <w:trPr>
          <w:trHeight w:val="2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2B1B439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Weijenberg MP et al., 1996, the Netherlands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  <w:p w14:paraId="665BC77F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A013657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Zutphen Elderly Study</w:t>
            </w:r>
          </w:p>
        </w:tc>
        <w:tc>
          <w:tcPr>
            <w:tcW w:w="1710" w:type="dxa"/>
          </w:tcPr>
          <w:p w14:paraId="4B8E9453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1985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 xml:space="preserve">–1990, 5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37DD237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885 men, age 64-84 years: 44 SCDs</w:t>
            </w:r>
          </w:p>
        </w:tc>
        <w:tc>
          <w:tcPr>
            <w:tcW w:w="1890" w:type="dxa"/>
          </w:tcPr>
          <w:p w14:paraId="39A795D4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Antihypertensive use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Borderline isolated systolic hypertension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(140 mmHg ≤ SBP &lt; 160 mmHg)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Definite isolated systolic hypertension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(SBP ≥160 mmHg)</w:t>
            </w:r>
          </w:p>
        </w:tc>
        <w:tc>
          <w:tcPr>
            <w:tcW w:w="1710" w:type="dxa"/>
          </w:tcPr>
          <w:p w14:paraId="6D2BC5EC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vs. no 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(and DBP &lt;75 mmHg)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Yes vs. no 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(and SBP &lt;140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mmHg)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Yes vs. no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Yes vs. no</w:t>
            </w:r>
          </w:p>
        </w:tc>
        <w:tc>
          <w:tcPr>
            <w:tcW w:w="1800" w:type="dxa"/>
          </w:tcPr>
          <w:p w14:paraId="4354DBC1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4.32 (1.01-18.40)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8.70 (2.11-35.90)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4.23 (0.86-20.76)</w:t>
            </w:r>
          </w:p>
          <w:p w14:paraId="297F600B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94532D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479C45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9.20 (1.76-47.97)</w:t>
            </w:r>
          </w:p>
        </w:tc>
        <w:tc>
          <w:tcPr>
            <w:tcW w:w="3310" w:type="dxa"/>
          </w:tcPr>
          <w:p w14:paraId="7D42E25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BMI, serum total and high-density lipoprotein cholesterol, cigarette smoking, alcohol consumption, use of medications known to lower blood pressure levels without an indication for hypertension, physician who measured the blood pressure</w:t>
            </w:r>
          </w:p>
        </w:tc>
      </w:tr>
      <w:tr w:rsidR="002501EE" w:rsidRPr="00BD2F2C" w14:paraId="2E611695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797791F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Albert CM et al., 2003, the United States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1620" w:type="dxa"/>
          </w:tcPr>
          <w:p w14:paraId="690E8ACD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Nurses’ Health Study (NHS)</w:t>
            </w:r>
          </w:p>
        </w:tc>
        <w:tc>
          <w:tcPr>
            <w:tcW w:w="1710" w:type="dxa"/>
          </w:tcPr>
          <w:p w14:paraId="6DEFD3EE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1976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softHyphen/>
              <w:t xml:space="preserve">–1998, 22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1890" w:type="dxa"/>
          </w:tcPr>
          <w:p w14:paraId="24A23C29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121701 female registered nurses, age 30-55 years: 244 SCDs</w:t>
            </w:r>
          </w:p>
        </w:tc>
        <w:tc>
          <w:tcPr>
            <w:tcW w:w="1890" w:type="dxa"/>
          </w:tcPr>
          <w:p w14:paraId="7EEABD8B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Hypertension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Hypertension, age ≤60 years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ja-JP"/>
              </w:rPr>
              <w:t>b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Hypertension, age &gt;60 years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ja-JP"/>
              </w:rPr>
              <w:t>b</w:t>
            </w:r>
          </w:p>
        </w:tc>
        <w:tc>
          <w:tcPr>
            <w:tcW w:w="1710" w:type="dxa"/>
          </w:tcPr>
          <w:p w14:paraId="0E7676BC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Yes vs. no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Yes vs. no</w:t>
            </w:r>
          </w:p>
          <w:p w14:paraId="71B5B9E0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Yes vs. no</w:t>
            </w:r>
          </w:p>
        </w:tc>
        <w:tc>
          <w:tcPr>
            <w:tcW w:w="1800" w:type="dxa"/>
          </w:tcPr>
          <w:p w14:paraId="63A8AD53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2.49 (1.87-3.32)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1.94 (1.26-2.98)</w:t>
            </w:r>
          </w:p>
          <w:p w14:paraId="590E392B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3.07 (2.06-4.57)</w:t>
            </w:r>
          </w:p>
          <w:p w14:paraId="11B415AB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310" w:type="dxa"/>
          </w:tcPr>
          <w:p w14:paraId="44AFFBF1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diabetes, smoking, hypercholesterolemia, parental history of MI b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efore age 60 years, parental history of MI age ≥60 years, BMI, menopausal status, postmenopausal hormone use, prior report of CHD</w:t>
            </w:r>
          </w:p>
        </w:tc>
      </w:tr>
      <w:tr w:rsidR="002501EE" w:rsidRPr="00BD2F2C" w14:paraId="1B0EA570" w14:textId="77777777" w:rsidTr="00D106F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AC1749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Straus SMJM et al., 2006, the Netherlands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1620" w:type="dxa"/>
          </w:tcPr>
          <w:p w14:paraId="2E063E76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Rotterdam Study</w:t>
            </w:r>
          </w:p>
        </w:tc>
        <w:tc>
          <w:tcPr>
            <w:tcW w:w="1710" w:type="dxa"/>
          </w:tcPr>
          <w:p w14:paraId="57A7D1A0" w14:textId="77777777" w:rsidR="002501EE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1990–1993–2000, 6.7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  <w:p w14:paraId="409700C5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C055F7A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6134 men and women, age ≥55 years: 125 SCDs</w:t>
            </w:r>
          </w:p>
        </w:tc>
        <w:tc>
          <w:tcPr>
            <w:tcW w:w="1890" w:type="dxa"/>
          </w:tcPr>
          <w:p w14:paraId="752CCA52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525AA77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7AD888C7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2.4 (1.7-3.5)</w:t>
            </w:r>
          </w:p>
        </w:tc>
        <w:tc>
          <w:tcPr>
            <w:tcW w:w="3310" w:type="dxa"/>
          </w:tcPr>
          <w:p w14:paraId="60042BBC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gender</w:t>
            </w:r>
          </w:p>
        </w:tc>
      </w:tr>
      <w:tr w:rsidR="002501EE" w:rsidRPr="00BD2F2C" w14:paraId="393E39A9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ED80DF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First author, publication year, country</w:t>
            </w:r>
          </w:p>
        </w:tc>
        <w:tc>
          <w:tcPr>
            <w:tcW w:w="1620" w:type="dxa"/>
          </w:tcPr>
          <w:p w14:paraId="0175B3EC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710" w:type="dxa"/>
          </w:tcPr>
          <w:p w14:paraId="1B840E19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1890" w:type="dxa"/>
          </w:tcPr>
          <w:p w14:paraId="341D92C0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890" w:type="dxa"/>
          </w:tcPr>
          <w:p w14:paraId="6D93A188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710" w:type="dxa"/>
          </w:tcPr>
          <w:p w14:paraId="53A8D56E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800" w:type="dxa"/>
          </w:tcPr>
          <w:p w14:paraId="0F7B2590" w14:textId="180B3D5A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Relative risk (95% confidence interval)</w:t>
            </w:r>
          </w:p>
        </w:tc>
        <w:tc>
          <w:tcPr>
            <w:tcW w:w="3310" w:type="dxa"/>
          </w:tcPr>
          <w:p w14:paraId="025CB2A6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BD2F2C" w14:paraId="6B5CB093" w14:textId="77777777" w:rsidTr="00D106FB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336DA72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Bertoia ML et al., 2012, the United States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620" w:type="dxa"/>
          </w:tcPr>
          <w:p w14:paraId="0A670DED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Women’s Health Initiative (WHI)</w:t>
            </w:r>
          </w:p>
        </w:tc>
        <w:tc>
          <w:tcPr>
            <w:tcW w:w="1710" w:type="dxa"/>
          </w:tcPr>
          <w:p w14:paraId="2E8DEDA7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1993–1998–2009, 10.8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1890" w:type="dxa"/>
          </w:tcPr>
          <w:p w14:paraId="15E2EE1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160291 post-menopausal women, age 50-79 years: 418 SCDs</w:t>
            </w:r>
          </w:p>
        </w:tc>
        <w:tc>
          <w:tcPr>
            <w:tcW w:w="1890" w:type="dxa"/>
          </w:tcPr>
          <w:p w14:paraId="3DD5D58E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Hypertension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Hypertension, without prior CHD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eastAsia="ja-JP"/>
              </w:rPr>
              <w:t>c</w:t>
            </w:r>
          </w:p>
        </w:tc>
        <w:tc>
          <w:tcPr>
            <w:tcW w:w="1710" w:type="dxa"/>
          </w:tcPr>
          <w:p w14:paraId="4F6E8E90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Yes vs. no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Yes vs. no</w:t>
            </w:r>
          </w:p>
        </w:tc>
        <w:tc>
          <w:tcPr>
            <w:tcW w:w="1800" w:type="dxa"/>
          </w:tcPr>
          <w:p w14:paraId="5F600C51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1.46 (1.11-1.93)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  <w:t>1.55 (1.12-2.14)</w:t>
            </w:r>
          </w:p>
        </w:tc>
        <w:tc>
          <w:tcPr>
            <w:tcW w:w="3310" w:type="dxa"/>
          </w:tcPr>
          <w:p w14:paraId="023D597A" w14:textId="77777777" w:rsidR="002501EE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race, total family income, smoking, resting pulse, BMI, waist-to-hip ratio, WBC, CHD (excluding MI), MI, heart fai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lure, self-reported atrial fibrillation, diabetes mellitus, carotid artery disease</w:t>
            </w:r>
          </w:p>
          <w:p w14:paraId="02C56FB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BD2F2C" w14:paraId="63A920F6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EEEE77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</w:pPr>
            <w:r w:rsidRPr="00D551C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/>
              </w:rPr>
              <w:t>Ohira T et al., 2012, Japan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  <w:t>11</w:t>
            </w:r>
          </w:p>
        </w:tc>
        <w:tc>
          <w:tcPr>
            <w:tcW w:w="1620" w:type="dxa"/>
          </w:tcPr>
          <w:p w14:paraId="323F2DC3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Circulatory Risk in Communities Study (CIRCS)</w:t>
            </w:r>
          </w:p>
        </w:tc>
        <w:tc>
          <w:tcPr>
            <w:tcW w:w="1710" w:type="dxa"/>
          </w:tcPr>
          <w:p w14:paraId="3CCB6636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1975/1981–2005, 3.5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621CED52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26870 men and women, age 30-84 years: nested case-control study: 239 SCD cases, 717 controls</w:t>
            </w:r>
          </w:p>
        </w:tc>
        <w:tc>
          <w:tcPr>
            <w:tcW w:w="1890" w:type="dxa"/>
          </w:tcPr>
          <w:p w14:paraId="0AC95C7A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69ED6732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539CCFD1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1.52 (1.05-2.19)</w:t>
            </w:r>
          </w:p>
        </w:tc>
        <w:tc>
          <w:tcPr>
            <w:tcW w:w="3310" w:type="dxa"/>
          </w:tcPr>
          <w:p w14:paraId="069E3E25" w14:textId="77777777" w:rsidR="002501EE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sex, examination year, follow-up time, study area, BMI, excess ethanol intake, diabetes mellitus, current smoking, heart rate, atrial fibrillation, SVPC/VPC, major ST-T abnormalities, minor ST-T abnormalities, wide QRS, left high amplitude R wave, abnormal Q wave</w:t>
            </w:r>
          </w:p>
          <w:p w14:paraId="41DD58EC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BD2F2C" w14:paraId="7020F69E" w14:textId="77777777" w:rsidTr="00D106FB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62654A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/>
              </w:rPr>
              <w:t>Karppi J et al., 2013, Finland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  <w:t>13</w:t>
            </w:r>
          </w:p>
        </w:tc>
        <w:tc>
          <w:tcPr>
            <w:tcW w:w="1620" w:type="dxa"/>
          </w:tcPr>
          <w:p w14:paraId="5BD4C59C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Kuopio Ischemic Heart Disease Risk Factor Study (KIHD)</w:t>
            </w:r>
          </w:p>
        </w:tc>
        <w:tc>
          <w:tcPr>
            <w:tcW w:w="1710" w:type="dxa"/>
          </w:tcPr>
          <w:p w14:paraId="0CADE9E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1991–1993–2008, 15.9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06F43DC2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1031 men, age 46-64 years: 59 SCDs</w:t>
            </w:r>
          </w:p>
        </w:tc>
        <w:tc>
          <w:tcPr>
            <w:tcW w:w="1890" w:type="dxa"/>
          </w:tcPr>
          <w:p w14:paraId="62F1FD56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Drug for hypertension</w:t>
            </w:r>
          </w:p>
        </w:tc>
        <w:tc>
          <w:tcPr>
            <w:tcW w:w="1710" w:type="dxa"/>
          </w:tcPr>
          <w:p w14:paraId="7890BF7B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640EB975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3.82 (2.22-6.56)</w:t>
            </w:r>
          </w:p>
        </w:tc>
        <w:tc>
          <w:tcPr>
            <w:tcW w:w="3310" w:type="dxa"/>
          </w:tcPr>
          <w:p w14:paraId="7FC2B3FB" w14:textId="77777777" w:rsidR="002501EE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Age, SBP, waist circumference, current smoking, alcohol intake, years of education, prevalent CHD, congestive heart failure, diabetes, previous MI, serum </w:t>
            </w:r>
            <w:r w:rsidRPr="00BD2F2C">
              <w:rPr>
                <w:rFonts w:ascii="Cambria Math" w:eastAsia="Cambria Math" w:hAnsi="Cambria Math" w:cs="Cambria Math"/>
                <w:color w:val="000000" w:themeColor="text1"/>
                <w:sz w:val="20"/>
                <w:szCs w:val="20"/>
              </w:rPr>
              <w:t>𝛃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-carotene, serum low-density lipoprotein cholesterol, serum triglycerides, serum hs-CRP</w:t>
            </w:r>
          </w:p>
          <w:p w14:paraId="23EDAD60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BD2F2C" w14:paraId="3FFFEE61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BA1F4D3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Rapsomaniki E et al., 2014, the United Kingdom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34,d</w:t>
            </w:r>
            <w:proofErr w:type="gramEnd"/>
          </w:p>
        </w:tc>
        <w:tc>
          <w:tcPr>
            <w:tcW w:w="1620" w:type="dxa"/>
          </w:tcPr>
          <w:p w14:paraId="4F3A0C02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CALIBER programme </w:t>
            </w:r>
          </w:p>
          <w:p w14:paraId="00EB7BE7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4FCF1DB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1997–2010–NA, 5.2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56D74D74" w14:textId="77777777" w:rsidR="002501EE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1258006 men and women free of baseline CVDs, age ≥ 30 years: 2355 cardiac arrest/SCD cases</w:t>
            </w:r>
          </w:p>
          <w:p w14:paraId="1CC339DA" w14:textId="77777777" w:rsidR="002501EE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5C57D7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CA2B9AF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79BA3BAC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78903229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1.20 (1.15-1.25)</w:t>
            </w:r>
          </w:p>
          <w:p w14:paraId="4EE158B0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10" w:type="dxa"/>
          </w:tcPr>
          <w:p w14:paraId="36143347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competing risk of other cardiovascular diseases and non-cardiovascular disease mortality</w:t>
            </w:r>
          </w:p>
        </w:tc>
      </w:tr>
      <w:tr w:rsidR="002501EE" w:rsidRPr="00BD2F2C" w14:paraId="34A8B475" w14:textId="77777777" w:rsidTr="00D106F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868D2EF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First author, publication year, country</w:t>
            </w:r>
          </w:p>
        </w:tc>
        <w:tc>
          <w:tcPr>
            <w:tcW w:w="1620" w:type="dxa"/>
          </w:tcPr>
          <w:p w14:paraId="4870F08B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710" w:type="dxa"/>
          </w:tcPr>
          <w:p w14:paraId="2FC8D68B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1890" w:type="dxa"/>
          </w:tcPr>
          <w:p w14:paraId="46DB685D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890" w:type="dxa"/>
          </w:tcPr>
          <w:p w14:paraId="6A3F97C4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710" w:type="dxa"/>
          </w:tcPr>
          <w:p w14:paraId="24AE2E32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800" w:type="dxa"/>
          </w:tcPr>
          <w:p w14:paraId="2881C45B" w14:textId="6B7FB143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Relative risk (95% confidence interval)</w:t>
            </w:r>
          </w:p>
        </w:tc>
        <w:tc>
          <w:tcPr>
            <w:tcW w:w="3310" w:type="dxa"/>
          </w:tcPr>
          <w:p w14:paraId="15568E95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BD2F2C" w14:paraId="11728D86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1FCD89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Mannsverk J et al., 2016, Norway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33</w:t>
            </w:r>
          </w:p>
          <w:p w14:paraId="2A1CE33A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145F579" w14:textId="77777777" w:rsidR="002501EE" w:rsidRPr="00BD2F2C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3E6EEC8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Tromsø Study</w:t>
            </w:r>
          </w:p>
        </w:tc>
        <w:tc>
          <w:tcPr>
            <w:tcW w:w="1710" w:type="dxa"/>
          </w:tcPr>
          <w:p w14:paraId="2D6367F7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1994–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1995/2001–2002/2007–2008–2010, 12.7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1890" w:type="dxa"/>
          </w:tcPr>
          <w:p w14:paraId="59984B7E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29582 men and women, age ≥25 years: 332 out-of-hospital sudden deaths</w:t>
            </w:r>
          </w:p>
        </w:tc>
        <w:tc>
          <w:tcPr>
            <w:tcW w:w="1890" w:type="dxa"/>
          </w:tcPr>
          <w:p w14:paraId="4294F5AB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67A1733E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37CEEE5C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1.75 (1.33-2.29)</w:t>
            </w:r>
          </w:p>
        </w:tc>
        <w:tc>
          <w:tcPr>
            <w:tcW w:w="3310" w:type="dxa"/>
          </w:tcPr>
          <w:p w14:paraId="189B1B49" w14:textId="77777777" w:rsidR="002501EE" w:rsidRPr="00BD2F2C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</w:t>
            </w:r>
          </w:p>
        </w:tc>
      </w:tr>
      <w:tr w:rsidR="002501EE" w:rsidRPr="00BD2F2C" w14:paraId="2F8263A3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2AC0486" w14:textId="77777777" w:rsidR="002501EE" w:rsidRPr="00A37DC2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BD2F2C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Waks JW et al., 2016, the United States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620" w:type="dxa"/>
          </w:tcPr>
          <w:p w14:paraId="4C368762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Atherosclerosis Risk in Communities study (ARIC), Cardiovascular Health Study (CHS)</w:t>
            </w:r>
          </w:p>
        </w:tc>
        <w:tc>
          <w:tcPr>
            <w:tcW w:w="1710" w:type="dxa"/>
          </w:tcPr>
          <w:p w14:paraId="62F49A6F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ARIC 1987–1989–2001, 14.1 </w:t>
            </w:r>
            <w:proofErr w:type="gramStart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follow-up; CHS 1989–1990/1992–1993–2006, 13.1 years follow-up; combined 14.0 years follow-up</w:t>
            </w:r>
          </w:p>
        </w:tc>
        <w:tc>
          <w:tcPr>
            <w:tcW w:w="1890" w:type="dxa"/>
          </w:tcPr>
          <w:p w14:paraId="5CD57A60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ARIC 14609 men and women, age 45-64 years: 291 SCDs; CHS 5568 men and women, age 65-100 years: 195 SCDs; combined 20177 men and women, age 4</w:t>
            </w: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5-100 years: 486 SCDs</w:t>
            </w:r>
          </w:p>
        </w:tc>
        <w:tc>
          <w:tcPr>
            <w:tcW w:w="1890" w:type="dxa"/>
          </w:tcPr>
          <w:p w14:paraId="04C49DDA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710" w:type="dxa"/>
          </w:tcPr>
          <w:p w14:paraId="05E87A08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Yes vs. no</w:t>
            </w:r>
          </w:p>
        </w:tc>
        <w:tc>
          <w:tcPr>
            <w:tcW w:w="1800" w:type="dxa"/>
          </w:tcPr>
          <w:p w14:paraId="429E4379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2.329 (1.439-3.769)</w:t>
            </w:r>
          </w:p>
        </w:tc>
        <w:tc>
          <w:tcPr>
            <w:tcW w:w="3310" w:type="dxa"/>
          </w:tcPr>
          <w:p w14:paraId="4C8F4622" w14:textId="77777777" w:rsidR="002501EE" w:rsidRPr="00BD2F2C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F2C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sex, race, diabetes mellitus, CHD, stroke, SQRT SVG elevation, QRS-T angle, SAI QRST, SAI QRST*age, QRS-T angle*age, QRS-T angle*race, QRS-T angle*diabetes mellitus, QRS-T angle*hypertension, SQRT SVG azimuth*sex</w:t>
            </w:r>
          </w:p>
        </w:tc>
      </w:tr>
    </w:tbl>
    <w:p w14:paraId="38354386" w14:textId="77777777" w:rsidR="002501EE" w:rsidRDefault="002501EE" w:rsidP="002501EE">
      <w:pPr>
        <w:spacing w:line="360" w:lineRule="auto"/>
        <w:ind w:left="-450" w:right="-472"/>
        <w:rPr>
          <w:rFonts w:ascii="Arial" w:hAnsi="Arial" w:cs="Arial"/>
        </w:rPr>
      </w:pPr>
    </w:p>
    <w:p w14:paraId="6E6C4751" w14:textId="77777777" w:rsidR="002501EE" w:rsidRPr="00CE21D0" w:rsidRDefault="002501EE" w:rsidP="002501EE">
      <w:pPr>
        <w:spacing w:line="360" w:lineRule="auto"/>
        <w:ind w:left="-90" w:right="-80"/>
        <w:rPr>
          <w:rFonts w:ascii="Arial" w:hAnsi="Arial" w:cs="Arial"/>
        </w:rPr>
      </w:pPr>
      <w:r w:rsidRPr="00CE21D0">
        <w:rPr>
          <w:rFonts w:ascii="Arial" w:hAnsi="Arial" w:cs="Arial"/>
        </w:rPr>
        <w:t xml:space="preserve">NA, not available; CHD, coronary heart disease; SCD, sudden cardiac death; DBP, diastolic blood pressure; SBP, systolic blood pressure; BMI, body mass index; MI, myocardial infarction; WBC, white blood cell count; SVPC/VPC, supraventricular premature contraction/ventricular premature contraction; ST-T, ST-segment and T-wave; hs-CRP, high sensitivity C-reactive protein; SVG, spatial ventricular gradient; SAI QRST, sum absolute QRST integral. </w:t>
      </w:r>
      <w:proofErr w:type="gramStart"/>
      <w:r w:rsidRPr="00CE21D0">
        <w:rPr>
          <w:rFonts w:ascii="Arial" w:hAnsi="Arial" w:cs="Arial"/>
          <w:vertAlign w:val="superscript"/>
        </w:rPr>
        <w:t>a</w:t>
      </w:r>
      <w:proofErr w:type="gramEnd"/>
      <w:r w:rsidRPr="00CE21D0">
        <w:rPr>
          <w:rFonts w:ascii="Arial" w:hAnsi="Arial" w:cs="Arial"/>
        </w:rPr>
        <w:t xml:space="preserve"> Excluded from the meta-analysis considering the extreme relative risk &amp; the very large range of the confidence interval. </w:t>
      </w:r>
      <w:r w:rsidRPr="00CE21D0">
        <w:rPr>
          <w:rFonts w:ascii="Arial" w:hAnsi="Arial" w:cs="Arial"/>
          <w:vertAlign w:val="superscript"/>
        </w:rPr>
        <w:t>b</w:t>
      </w:r>
      <w:r w:rsidRPr="00CE21D0">
        <w:rPr>
          <w:rFonts w:ascii="Arial" w:hAnsi="Arial" w:cs="Arial"/>
        </w:rPr>
        <w:t xml:space="preserve"> Unique exposures/subgroups excluded from the meta-analysis. </w:t>
      </w:r>
      <w:r w:rsidRPr="00CE21D0">
        <w:rPr>
          <w:rFonts w:ascii="Arial" w:hAnsi="Arial" w:cs="Arial"/>
          <w:vertAlign w:val="superscript"/>
        </w:rPr>
        <w:t>c</w:t>
      </w:r>
      <w:r w:rsidRPr="00CE21D0">
        <w:rPr>
          <w:rFonts w:ascii="Arial" w:hAnsi="Arial" w:cs="Arial"/>
        </w:rPr>
        <w:t xml:space="preserve"> Subgroup estimates excluded from the primary analysis and used in subgroup and sensitivity analyses. </w:t>
      </w:r>
      <w:r w:rsidRPr="00CE21D0">
        <w:rPr>
          <w:rFonts w:ascii="Arial" w:hAnsi="Arial" w:cs="Arial"/>
          <w:vertAlign w:val="superscript"/>
        </w:rPr>
        <w:t>d</w:t>
      </w:r>
      <w:r w:rsidRPr="00CE21D0">
        <w:rPr>
          <w:rFonts w:ascii="Arial" w:hAnsi="Arial" w:cs="Arial"/>
        </w:rPr>
        <w:t xml:space="preserve"> Study only included in sensitivity analysis as it assessed a combined outcome of sudden cardiac arrest/sudden cardiac death.</w:t>
      </w:r>
    </w:p>
    <w:p w14:paraId="4AF8CDE2" w14:textId="77777777" w:rsidR="002501EE" w:rsidRDefault="002501EE" w:rsidP="002501EE">
      <w:pPr>
        <w:spacing w:after="0" w:line="240" w:lineRule="auto"/>
        <w:ind w:hanging="90"/>
        <w:jc w:val="left"/>
        <w:rPr>
          <w:rFonts w:ascii="Arial" w:hAnsi="Arial" w:cs="Arial"/>
        </w:rPr>
      </w:pPr>
    </w:p>
    <w:p w14:paraId="45FF40D3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  <w:b/>
          <w:szCs w:val="24"/>
          <w:lang w:eastAsia="zh-TW"/>
        </w:rPr>
      </w:pPr>
      <w:r>
        <w:rPr>
          <w:rFonts w:ascii="Arial" w:hAnsi="Arial" w:cs="Arial"/>
          <w:b/>
          <w:szCs w:val="24"/>
          <w:lang w:eastAsia="zh-TW"/>
        </w:rPr>
        <w:br w:type="page"/>
      </w:r>
    </w:p>
    <w:p w14:paraId="6C66C3CE" w14:textId="7819539E" w:rsidR="002501EE" w:rsidRPr="00CE21D0" w:rsidRDefault="002501EE" w:rsidP="002501EE">
      <w:pPr>
        <w:spacing w:line="360" w:lineRule="auto"/>
        <w:ind w:hanging="90"/>
        <w:jc w:val="left"/>
        <w:rPr>
          <w:rFonts w:ascii="Arial" w:hAnsi="Arial" w:cs="Arial"/>
          <w:b/>
          <w:sz w:val="24"/>
          <w:szCs w:val="24"/>
          <w:lang w:eastAsia="zh-TW"/>
        </w:rPr>
      </w:pPr>
      <w:r w:rsidRPr="00CE21D0">
        <w:rPr>
          <w:rFonts w:ascii="Arial" w:hAnsi="Arial" w:cs="Arial"/>
          <w:b/>
          <w:color w:val="8496B0" w:themeColor="text2" w:themeTint="99"/>
          <w:sz w:val="24"/>
          <w:szCs w:val="24"/>
          <w:lang w:eastAsia="zh-TW"/>
        </w:rPr>
        <w:t>Supplementary Table 3. Cohort studies of blood pressure and the risk of sudden cardiac death</w:t>
      </w:r>
    </w:p>
    <w:tbl>
      <w:tblPr>
        <w:tblStyle w:val="GridTable6Colorful-Accent3"/>
        <w:tblW w:w="15382" w:type="dxa"/>
        <w:tblLook w:val="04A0" w:firstRow="1" w:lastRow="0" w:firstColumn="1" w:lastColumn="0" w:noHBand="0" w:noVBand="1"/>
      </w:tblPr>
      <w:tblGrid>
        <w:gridCol w:w="1517"/>
        <w:gridCol w:w="1584"/>
        <w:gridCol w:w="1477"/>
        <w:gridCol w:w="2520"/>
        <w:gridCol w:w="1530"/>
        <w:gridCol w:w="1620"/>
        <w:gridCol w:w="1980"/>
        <w:gridCol w:w="3154"/>
      </w:tblGrid>
      <w:tr w:rsidR="002501EE" w:rsidRPr="00362EAE" w14:paraId="657082FB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3D7297EB" w14:textId="77777777" w:rsidR="002501EE" w:rsidRPr="00362EAE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First author, publication year, country</w:t>
            </w:r>
          </w:p>
        </w:tc>
        <w:tc>
          <w:tcPr>
            <w:tcW w:w="1584" w:type="dxa"/>
          </w:tcPr>
          <w:p w14:paraId="703AE35E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477" w:type="dxa"/>
          </w:tcPr>
          <w:p w14:paraId="1E31748D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2520" w:type="dxa"/>
          </w:tcPr>
          <w:p w14:paraId="6A51122C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530" w:type="dxa"/>
          </w:tcPr>
          <w:p w14:paraId="433310BB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620" w:type="dxa"/>
          </w:tcPr>
          <w:p w14:paraId="19159B3F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980" w:type="dxa"/>
          </w:tcPr>
          <w:p w14:paraId="6CF17409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Relative risk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(95% confidence interval)</w:t>
            </w:r>
          </w:p>
        </w:tc>
        <w:tc>
          <w:tcPr>
            <w:tcW w:w="3154" w:type="dxa"/>
          </w:tcPr>
          <w:p w14:paraId="05FD674C" w14:textId="77777777" w:rsidR="002501EE" w:rsidRPr="00362EAE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362EAE" w14:paraId="3F0A7F33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285DD61D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Kannel WB et al., 1975, the United States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584" w:type="dxa"/>
          </w:tcPr>
          <w:p w14:paraId="32EBE4D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Albany Study &amp; Framingham Heart Study</w:t>
            </w:r>
          </w:p>
        </w:tc>
        <w:tc>
          <w:tcPr>
            <w:tcW w:w="1477" w:type="dxa"/>
          </w:tcPr>
          <w:p w14:paraId="1EB6B877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Albany 1953–NA, Framingham 1948–1952–NA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16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62CF751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4120 men free of baseline CHD: Albany – 1838 civil servants, age 39-55 years, Framingham – 2282, age 30-62 years: 109 sudden deaths</w:t>
            </w:r>
          </w:p>
        </w:tc>
        <w:tc>
          <w:tcPr>
            <w:tcW w:w="1530" w:type="dxa"/>
          </w:tcPr>
          <w:p w14:paraId="4BCBAE40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</w:p>
        </w:tc>
        <w:tc>
          <w:tcPr>
            <w:tcW w:w="1620" w:type="dxa"/>
          </w:tcPr>
          <w:p w14:paraId="5FE89E3F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mmHg</w:t>
            </w:r>
          </w:p>
        </w:tc>
        <w:tc>
          <w:tcPr>
            <w:tcW w:w="1980" w:type="dxa"/>
          </w:tcPr>
          <w:p w14:paraId="7A0BBE49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1.0126 (1.0039-1.0213)</w:t>
            </w:r>
          </w:p>
        </w:tc>
        <w:tc>
          <w:tcPr>
            <w:tcW w:w="3154" w:type="dxa"/>
          </w:tcPr>
          <w:p w14:paraId="2F8FE9D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ECG-LVH, metropolitan relative weight, cigarettes/day, cholesterol</w:t>
            </w:r>
          </w:p>
        </w:tc>
      </w:tr>
      <w:tr w:rsidR="002501EE" w:rsidRPr="00362EAE" w14:paraId="7342C248" w14:textId="77777777" w:rsidTr="00D106FB">
        <w:trPr>
          <w:trHeight w:val="8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10BE93CF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Schatzkin A et al., 1984, the United States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27,a</w:t>
            </w:r>
            <w:proofErr w:type="gramEnd"/>
          </w:p>
        </w:tc>
        <w:tc>
          <w:tcPr>
            <w:tcW w:w="1584" w:type="dxa"/>
          </w:tcPr>
          <w:p w14:paraId="7A391C3A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Framingham Heart Study</w:t>
            </w:r>
          </w:p>
        </w:tc>
        <w:tc>
          <w:tcPr>
            <w:tcW w:w="1477" w:type="dxa"/>
          </w:tcPr>
          <w:p w14:paraId="7BFCC777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1948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softHyphen/>
              <w:t>–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1952–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NA, 26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2B7D1DB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2336 men and 2873 women (total 5209)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with &amp; without prior CHD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, age 30-62 years: 103 sudden unexpected deaths (69 men 34 women)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among those without prior CHD</w:t>
            </w:r>
          </w:p>
        </w:tc>
        <w:tc>
          <w:tcPr>
            <w:tcW w:w="1530" w:type="dxa"/>
          </w:tcPr>
          <w:p w14:paraId="79EA98B9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SBP, male, without prior CHD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SBP, female, without prior CHD</w:t>
            </w:r>
          </w:p>
        </w:tc>
        <w:tc>
          <w:tcPr>
            <w:tcW w:w="1620" w:type="dxa"/>
          </w:tcPr>
          <w:p w14:paraId="37F1F2D5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mmHg</w:t>
            </w:r>
          </w:p>
        </w:tc>
        <w:tc>
          <w:tcPr>
            <w:tcW w:w="1980" w:type="dxa"/>
          </w:tcPr>
          <w:p w14:paraId="57FDB882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1.0106 (1.0004-1.0209)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1.0019 (0.9879-1.0161)</w:t>
            </w:r>
          </w:p>
        </w:tc>
        <w:tc>
          <w:tcPr>
            <w:tcW w:w="3154" w:type="dxa"/>
          </w:tcPr>
          <w:p w14:paraId="3B9C38FB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Age, 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cigarettes, glucose, cholesterol, Framingham relative weight, haematocrit, vital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capacity, LVH-ECG, cholesterol*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 interaction (male only)</w:t>
            </w:r>
          </w:p>
        </w:tc>
      </w:tr>
      <w:tr w:rsidR="002501EE" w:rsidRPr="00362EAE" w14:paraId="1E3EF1BC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632440D6" w14:textId="77777777" w:rsidR="002501EE" w:rsidRPr="00CE21D0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Wannamethee G et al., 1995, the United Kingdom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16,b</w:t>
            </w:r>
            <w:proofErr w:type="gramEnd"/>
          </w:p>
        </w:tc>
        <w:tc>
          <w:tcPr>
            <w:tcW w:w="1584" w:type="dxa"/>
          </w:tcPr>
          <w:p w14:paraId="00D8352D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British Regional Heart Study (BRHS)</w:t>
            </w:r>
          </w:p>
        </w:tc>
        <w:tc>
          <w:tcPr>
            <w:tcW w:w="1477" w:type="dxa"/>
          </w:tcPr>
          <w:p w14:paraId="017CB440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1978–1980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 xml:space="preserve">–NA, 8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281BB7DF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7735 men, age 40-59 years: 117 SCDs</w:t>
            </w:r>
          </w:p>
        </w:tc>
        <w:tc>
          <w:tcPr>
            <w:tcW w:w="1530" w:type="dxa"/>
          </w:tcPr>
          <w:p w14:paraId="4A69A2F7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</w:p>
        </w:tc>
        <w:tc>
          <w:tcPr>
            <w:tcW w:w="1620" w:type="dxa"/>
          </w:tcPr>
          <w:p w14:paraId="519DAAB8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≥161 vs. &lt;128 mmHg</w:t>
            </w:r>
          </w:p>
        </w:tc>
        <w:tc>
          <w:tcPr>
            <w:tcW w:w="1980" w:type="dxa"/>
          </w:tcPr>
          <w:p w14:paraId="28AB33D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2.2 (1.2-3.9)</w:t>
            </w:r>
          </w:p>
        </w:tc>
        <w:tc>
          <w:tcPr>
            <w:tcW w:w="3154" w:type="dxa"/>
          </w:tcPr>
          <w:p w14:paraId="4AF11852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</w:t>
            </w:r>
          </w:p>
        </w:tc>
      </w:tr>
      <w:tr w:rsidR="002501EE" w:rsidRPr="00362EAE" w14:paraId="07EF2D94" w14:textId="77777777" w:rsidTr="00D106FB">
        <w:trPr>
          <w:trHeight w:val="1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6FCC7B02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Weijenberg MP et al., 1996, the Netherlands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584" w:type="dxa"/>
          </w:tcPr>
          <w:p w14:paraId="1297E108" w14:textId="77777777" w:rsidR="002501EE" w:rsidRPr="00362EAE" w:rsidRDefault="002501EE" w:rsidP="00D106FB">
            <w:pPr>
              <w:ind w:right="-6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Zutphen Elderly Study</w:t>
            </w:r>
          </w:p>
        </w:tc>
        <w:tc>
          <w:tcPr>
            <w:tcW w:w="1477" w:type="dxa"/>
          </w:tcPr>
          <w:p w14:paraId="67A0B98F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1985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softHyphen/>
              <w:t xml:space="preserve">–1990, 5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1BFB91FF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885 men, age 64-84 years: 44 SCDs</w:t>
            </w:r>
          </w:p>
        </w:tc>
        <w:tc>
          <w:tcPr>
            <w:tcW w:w="1530" w:type="dxa"/>
          </w:tcPr>
          <w:p w14:paraId="1D1C9E75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BP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D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BP</w:t>
            </w:r>
          </w:p>
          <w:p w14:paraId="6DF7B888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6F24E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&lt;140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140-159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≥160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&lt;75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75-84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85-94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≥95 mmHg</w:t>
            </w:r>
          </w:p>
        </w:tc>
        <w:tc>
          <w:tcPr>
            <w:tcW w:w="1980" w:type="dxa"/>
          </w:tcPr>
          <w:p w14:paraId="69E88B1C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4.80 (1.36-16.95)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5.56 (1.54-20.08)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1.42 (0.37-5.51)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2.03 (0.53-7.73)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3.04 (0.75-12.37)</w:t>
            </w:r>
          </w:p>
        </w:tc>
        <w:tc>
          <w:tcPr>
            <w:tcW w:w="3154" w:type="dxa"/>
          </w:tcPr>
          <w:p w14:paraId="192DAA69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BMI, serum total and high-density lipoprotein cholesterol, cigarette smoking, alcohol consumption, use of medications known to lower blood pressure levels without an indication for hypertension, physician who measured the blood pressure</w:t>
            </w:r>
          </w:p>
        </w:tc>
      </w:tr>
      <w:tr w:rsidR="002501EE" w:rsidRPr="00362EAE" w14:paraId="3E2C95CC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7DB4396A" w14:textId="77777777" w:rsidR="002501EE" w:rsidRPr="00362EAE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First author, publication year, country</w:t>
            </w:r>
          </w:p>
        </w:tc>
        <w:tc>
          <w:tcPr>
            <w:tcW w:w="1584" w:type="dxa"/>
          </w:tcPr>
          <w:p w14:paraId="060B8F9F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Study name or description</w:t>
            </w:r>
          </w:p>
        </w:tc>
        <w:tc>
          <w:tcPr>
            <w:tcW w:w="1477" w:type="dxa"/>
          </w:tcPr>
          <w:p w14:paraId="049180D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Study period</w:t>
            </w:r>
          </w:p>
        </w:tc>
        <w:tc>
          <w:tcPr>
            <w:tcW w:w="2520" w:type="dxa"/>
          </w:tcPr>
          <w:p w14:paraId="5D083C73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Number of participants, number of cases</w:t>
            </w:r>
          </w:p>
        </w:tc>
        <w:tc>
          <w:tcPr>
            <w:tcW w:w="1530" w:type="dxa"/>
          </w:tcPr>
          <w:p w14:paraId="2003F62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Exposure, subgroup</w:t>
            </w:r>
          </w:p>
        </w:tc>
        <w:tc>
          <w:tcPr>
            <w:tcW w:w="1620" w:type="dxa"/>
          </w:tcPr>
          <w:p w14:paraId="5306D8A2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Comparison</w:t>
            </w:r>
          </w:p>
        </w:tc>
        <w:tc>
          <w:tcPr>
            <w:tcW w:w="1980" w:type="dxa"/>
          </w:tcPr>
          <w:p w14:paraId="48B1ADF8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 xml:space="preserve">Relative risk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br/>
            </w: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(95% confidence interval)</w:t>
            </w:r>
          </w:p>
        </w:tc>
        <w:tc>
          <w:tcPr>
            <w:tcW w:w="3154" w:type="dxa"/>
          </w:tcPr>
          <w:p w14:paraId="636BEB3E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ja-JP"/>
              </w:rPr>
              <w:t>Adjustment for confounders</w:t>
            </w:r>
          </w:p>
        </w:tc>
      </w:tr>
      <w:tr w:rsidR="002501EE" w:rsidRPr="00362EAE" w14:paraId="4CCF2E09" w14:textId="77777777" w:rsidTr="00D106F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4F7B78A4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</w:pPr>
            <w:r w:rsidRPr="00B97F6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/>
              </w:rPr>
              <w:t>Jouven X et al., 2001, France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  <w:t>17</w:t>
            </w:r>
          </w:p>
        </w:tc>
        <w:tc>
          <w:tcPr>
            <w:tcW w:w="1584" w:type="dxa"/>
          </w:tcPr>
          <w:p w14:paraId="4ED01AFF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Paris Prospective Study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477" w:type="dxa"/>
          </w:tcPr>
          <w:p w14:paraId="20A8864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1967–1972–1994, 23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7C34ED65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7079 male civil servants free of baseline CHD, age 42-53 years: 118 sudden deaths</w:t>
            </w:r>
          </w:p>
        </w:tc>
        <w:tc>
          <w:tcPr>
            <w:tcW w:w="1530" w:type="dxa"/>
          </w:tcPr>
          <w:p w14:paraId="15842917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</w:t>
            </w:r>
          </w:p>
        </w:tc>
        <w:tc>
          <w:tcPr>
            <w:tcW w:w="1620" w:type="dxa"/>
          </w:tcPr>
          <w:p w14:paraId="0A291254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20 mmHg</w:t>
            </w:r>
          </w:p>
        </w:tc>
        <w:tc>
          <w:tcPr>
            <w:tcW w:w="1980" w:type="dxa"/>
          </w:tcPr>
          <w:p w14:paraId="64B0D21E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1.21 (1.06-1.37)</w:t>
            </w:r>
          </w:p>
        </w:tc>
        <w:tc>
          <w:tcPr>
            <w:tcW w:w="3154" w:type="dxa"/>
          </w:tcPr>
          <w:p w14:paraId="7EA9DD24" w14:textId="77777777" w:rsidR="002501E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parental sudden death, parental MI, sport activity, diabetic status, tobacco consumption, BMI, resting heart rate, total cholesterol</w:t>
            </w:r>
          </w:p>
          <w:p w14:paraId="6E79AC2D" w14:textId="77777777" w:rsidR="001F60A2" w:rsidRPr="00362EAE" w:rsidRDefault="001F60A2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2501EE" w:rsidRPr="00362EAE" w14:paraId="287E4022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4325FA7E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</w:pP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Lahtinen AM et al., 2012, Finland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  <w:t>18</w:t>
            </w:r>
          </w:p>
        </w:tc>
        <w:tc>
          <w:tcPr>
            <w:tcW w:w="1584" w:type="dxa"/>
          </w:tcPr>
          <w:p w14:paraId="23078AD8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FINRISK 1992</w:t>
            </w:r>
          </w:p>
        </w:tc>
        <w:tc>
          <w:tcPr>
            <w:tcW w:w="1477" w:type="dxa"/>
          </w:tcPr>
          <w:p w14:paraId="7366367D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1992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softHyphen/>
              <w:t xml:space="preserve">–2008, 16.8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33455831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5345 men and women, age 25-74 years: 129 SCDs</w:t>
            </w:r>
          </w:p>
        </w:tc>
        <w:tc>
          <w:tcPr>
            <w:tcW w:w="1530" w:type="dxa"/>
          </w:tcPr>
          <w:p w14:paraId="0655102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</w:t>
            </w:r>
          </w:p>
        </w:tc>
        <w:tc>
          <w:tcPr>
            <w:tcW w:w="1620" w:type="dxa"/>
          </w:tcPr>
          <w:p w14:paraId="0859F639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10 mmHg</w:t>
            </w:r>
          </w:p>
        </w:tc>
        <w:tc>
          <w:tcPr>
            <w:tcW w:w="1980" w:type="dxa"/>
          </w:tcPr>
          <w:p w14:paraId="7E47AFCF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1.17 (1.08-1.26)</w:t>
            </w:r>
          </w:p>
        </w:tc>
        <w:tc>
          <w:tcPr>
            <w:tcW w:w="3154" w:type="dxa"/>
          </w:tcPr>
          <w:p w14:paraId="55959AF3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sex, geographic region, HDL/TC ratio, prevalent diabetes, BMI, current smoker, former smoker, physical activity, prevalent CHD</w:t>
            </w:r>
          </w:p>
          <w:p w14:paraId="1F30A6DD" w14:textId="77777777" w:rsidR="001F60A2" w:rsidRPr="00362EAE" w:rsidRDefault="001F60A2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2501EE" w:rsidRPr="00362EAE" w14:paraId="7419AC44" w14:textId="77777777" w:rsidTr="00D106FB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0E6F15A5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</w:pP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Lahtinen AM et al., 2012, Finland</w:t>
            </w: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  <w:t>18</w:t>
            </w:r>
          </w:p>
        </w:tc>
        <w:tc>
          <w:tcPr>
            <w:tcW w:w="1584" w:type="dxa"/>
          </w:tcPr>
          <w:p w14:paraId="569E24BF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FINRISK 1997</w:t>
            </w:r>
          </w:p>
        </w:tc>
        <w:tc>
          <w:tcPr>
            <w:tcW w:w="1477" w:type="dxa"/>
          </w:tcPr>
          <w:p w14:paraId="0BF48A02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1997–2008, 11.8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3F5F214E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7672 men and women, age 25-74 years: 178 SCDs</w:t>
            </w:r>
          </w:p>
        </w:tc>
        <w:tc>
          <w:tcPr>
            <w:tcW w:w="1530" w:type="dxa"/>
          </w:tcPr>
          <w:p w14:paraId="3F8D781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</w:t>
            </w:r>
          </w:p>
        </w:tc>
        <w:tc>
          <w:tcPr>
            <w:tcW w:w="1620" w:type="dxa"/>
          </w:tcPr>
          <w:p w14:paraId="3145D504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10 mmHg</w:t>
            </w:r>
          </w:p>
        </w:tc>
        <w:tc>
          <w:tcPr>
            <w:tcW w:w="1980" w:type="dxa"/>
          </w:tcPr>
          <w:p w14:paraId="5F09C42E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1.06 (0.98-1.13)</w:t>
            </w:r>
          </w:p>
        </w:tc>
        <w:tc>
          <w:tcPr>
            <w:tcW w:w="3154" w:type="dxa"/>
          </w:tcPr>
          <w:p w14:paraId="67663344" w14:textId="77777777" w:rsidR="002501E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sex, geographic region, HDL/TC ratio, prevalent diabetes, BMI, current smoker, former smoker, physical activity, prevalent CHD, QT-prolonging drug, Digoxin</w:t>
            </w:r>
          </w:p>
          <w:p w14:paraId="14B80EBA" w14:textId="77777777" w:rsidR="001F60A2" w:rsidRPr="00362EAE" w:rsidRDefault="001F60A2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2501EE" w:rsidRPr="00362EAE" w14:paraId="248404E7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17F29D79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</w:pP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Lahtinen AM et al., 2012, Finland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  <w:t>18</w:t>
            </w:r>
          </w:p>
        </w:tc>
        <w:tc>
          <w:tcPr>
            <w:tcW w:w="1584" w:type="dxa"/>
          </w:tcPr>
          <w:p w14:paraId="518FECA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FINRISK 2002</w:t>
            </w:r>
          </w:p>
        </w:tc>
        <w:tc>
          <w:tcPr>
            <w:tcW w:w="1477" w:type="dxa"/>
          </w:tcPr>
          <w:p w14:paraId="1977416D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2002–2008, 6.8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0F15BC41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8212 men and women, age 25-74 years: 75 SCDs</w:t>
            </w:r>
          </w:p>
        </w:tc>
        <w:tc>
          <w:tcPr>
            <w:tcW w:w="1530" w:type="dxa"/>
          </w:tcPr>
          <w:p w14:paraId="4FE3D24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</w:t>
            </w:r>
          </w:p>
        </w:tc>
        <w:tc>
          <w:tcPr>
            <w:tcW w:w="1620" w:type="dxa"/>
          </w:tcPr>
          <w:p w14:paraId="7207686D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10 mmHg</w:t>
            </w:r>
          </w:p>
        </w:tc>
        <w:tc>
          <w:tcPr>
            <w:tcW w:w="1980" w:type="dxa"/>
          </w:tcPr>
          <w:p w14:paraId="213E0DFE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1.12 (1.02-1.24)</w:t>
            </w:r>
          </w:p>
        </w:tc>
        <w:tc>
          <w:tcPr>
            <w:tcW w:w="3154" w:type="dxa"/>
          </w:tcPr>
          <w:p w14:paraId="56C9B37C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sex, geographic region, HDL/TC ratio, prevalent diabetes, BMI, current smoker, former smoker, physical activity, prevalent CHD, QT-prolonging drug, Digoxin</w:t>
            </w:r>
          </w:p>
          <w:p w14:paraId="64AB8E6E" w14:textId="77777777" w:rsidR="001F60A2" w:rsidRPr="00362EAE" w:rsidRDefault="001F60A2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2501EE" w:rsidRPr="00362EAE" w14:paraId="7ACA7843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77BCDDD1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</w:pP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Lahtinen AM et al., 2012, Finland</w:t>
            </w:r>
            <w:r w:rsidRPr="00CE21D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  <w:t>18</w:t>
            </w:r>
          </w:p>
        </w:tc>
        <w:tc>
          <w:tcPr>
            <w:tcW w:w="1584" w:type="dxa"/>
          </w:tcPr>
          <w:p w14:paraId="23969B34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Health 2000</w:t>
            </w:r>
          </w:p>
        </w:tc>
        <w:tc>
          <w:tcPr>
            <w:tcW w:w="1477" w:type="dxa"/>
          </w:tcPr>
          <w:p w14:paraId="63CCF287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2000–2001–2008, 8.0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 xml:space="preserve"> follow-up</w:t>
            </w:r>
          </w:p>
        </w:tc>
        <w:tc>
          <w:tcPr>
            <w:tcW w:w="2520" w:type="dxa"/>
          </w:tcPr>
          <w:p w14:paraId="488120A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6400 men and women, age ≥30 years: 112 SCDs</w:t>
            </w:r>
          </w:p>
        </w:tc>
        <w:tc>
          <w:tcPr>
            <w:tcW w:w="1530" w:type="dxa"/>
          </w:tcPr>
          <w:p w14:paraId="1CCF5B73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SBP</w:t>
            </w:r>
          </w:p>
        </w:tc>
        <w:tc>
          <w:tcPr>
            <w:tcW w:w="1620" w:type="dxa"/>
          </w:tcPr>
          <w:p w14:paraId="59F41302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Per 10 mmHg</w:t>
            </w:r>
          </w:p>
        </w:tc>
        <w:tc>
          <w:tcPr>
            <w:tcW w:w="1980" w:type="dxa"/>
          </w:tcPr>
          <w:p w14:paraId="038A1177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1.06 (0.97-1.16)</w:t>
            </w:r>
          </w:p>
        </w:tc>
        <w:tc>
          <w:tcPr>
            <w:tcW w:w="3154" w:type="dxa"/>
          </w:tcPr>
          <w:p w14:paraId="687C11F9" w14:textId="12F77896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Age, sex, geographic region, HDL/TC ratio, prevalent diabetes, BMI, current smoker, former smoker, physical activity, prevalent CHD, QT-prolonging drug, Digoxin</w:t>
            </w:r>
          </w:p>
        </w:tc>
      </w:tr>
      <w:tr w:rsidR="002501EE" w:rsidRPr="00362EAE" w14:paraId="2A8BB72F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44749761" w14:textId="77777777" w:rsidR="002501EE" w:rsidRPr="00362EAE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First author, publication year, countr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584" w:type="dxa"/>
          </w:tcPr>
          <w:p w14:paraId="47E0339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477" w:type="dxa"/>
          </w:tcPr>
          <w:p w14:paraId="7F27E90A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2520" w:type="dxa"/>
          </w:tcPr>
          <w:p w14:paraId="392425E3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530" w:type="dxa"/>
          </w:tcPr>
          <w:p w14:paraId="3ACE35AE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620" w:type="dxa"/>
          </w:tcPr>
          <w:p w14:paraId="13EE213E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980" w:type="dxa"/>
          </w:tcPr>
          <w:p w14:paraId="317DF083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Relative risk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(95% confidence interval)</w:t>
            </w:r>
          </w:p>
        </w:tc>
        <w:tc>
          <w:tcPr>
            <w:tcW w:w="3154" w:type="dxa"/>
          </w:tcPr>
          <w:p w14:paraId="478092C7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362EAE" w14:paraId="74DAC826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4CFF4636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</w:pPr>
            <w:r w:rsidRPr="00D551C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Laukkanen JA et al., 2012, Finland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 w:eastAsia="ja-JP"/>
              </w:rPr>
              <w:t>32,c</w:t>
            </w:r>
            <w:proofErr w:type="gramEnd"/>
          </w:p>
        </w:tc>
        <w:tc>
          <w:tcPr>
            <w:tcW w:w="1584" w:type="dxa"/>
          </w:tcPr>
          <w:p w14:paraId="78357209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Kuopio Ischemic Heart Disease Risk Factor Study (KIHD)</w:t>
            </w:r>
          </w:p>
        </w:tc>
        <w:tc>
          <w:tcPr>
            <w:tcW w:w="1477" w:type="dxa"/>
          </w:tcPr>
          <w:p w14:paraId="3564BD1B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1984–1989–2008, 18.9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74B775C5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2666 men, age 42-61 years: 213 SCDs</w:t>
            </w:r>
          </w:p>
        </w:tc>
        <w:tc>
          <w:tcPr>
            <w:tcW w:w="1530" w:type="dxa"/>
          </w:tcPr>
          <w:p w14:paraId="3D2DF2EA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1620" w:type="dxa"/>
          </w:tcPr>
          <w:p w14:paraId="26CCC7A9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10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10 mmHg</w:t>
            </w:r>
          </w:p>
        </w:tc>
        <w:tc>
          <w:tcPr>
            <w:tcW w:w="1980" w:type="dxa"/>
          </w:tcPr>
          <w:p w14:paraId="19147145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1.15 (1.07-1.25)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1.17 (1.02-1.35)</w:t>
            </w:r>
          </w:p>
        </w:tc>
        <w:tc>
          <w:tcPr>
            <w:tcW w:w="3154" w:type="dxa"/>
          </w:tcPr>
          <w:p w14:paraId="3AD9D27B" w14:textId="77777777" w:rsidR="002501E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alcohol consumption, cigarette smoking, serum low-density lipoprotein cholesterol, type 2 diabetes, BMI, left ventricular hypertrophy, previous MI, family history of CHD, use of antihypertensive medications</w:t>
            </w:r>
          </w:p>
          <w:p w14:paraId="404A137F" w14:textId="77777777" w:rsidR="001F60A2" w:rsidRPr="00362EAE" w:rsidRDefault="001F60A2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362EAE" w14:paraId="4C502E3A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083D51EB" w14:textId="77777777" w:rsidR="002501EE" w:rsidRPr="005506AD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/>
              </w:rPr>
            </w:pPr>
            <w:r w:rsidRPr="00462E8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fr-FR" w:eastAsia="ja-JP"/>
              </w:rPr>
              <w:t>Laukkanen JA et al., 2012, Finland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  <w:lang w:val="fr-FR"/>
              </w:rPr>
              <w:t>32,d</w:t>
            </w:r>
            <w:proofErr w:type="gramEnd"/>
          </w:p>
        </w:tc>
        <w:tc>
          <w:tcPr>
            <w:tcW w:w="1584" w:type="dxa"/>
          </w:tcPr>
          <w:p w14:paraId="337C5E71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Kuopio Ischemic Heart Disease Risk Factor Study (KIHD)</w:t>
            </w:r>
          </w:p>
        </w:tc>
        <w:tc>
          <w:tcPr>
            <w:tcW w:w="1477" w:type="dxa"/>
          </w:tcPr>
          <w:p w14:paraId="453FE620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1984–1989–2008, 18.9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3F6C21A2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2666 men, age 42-61 years: 213 SCDs</w:t>
            </w:r>
          </w:p>
        </w:tc>
        <w:tc>
          <w:tcPr>
            <w:tcW w:w="1530" w:type="dxa"/>
          </w:tcPr>
          <w:p w14:paraId="32530CAF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371A5E55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1620" w:type="dxa"/>
          </w:tcPr>
          <w:p w14:paraId="09A1A4AB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&lt;123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123-132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133-145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&gt;145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  <w:p w14:paraId="1936FA08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&lt;82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82-88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88-95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&gt;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95 mmHg</w:t>
            </w:r>
          </w:p>
        </w:tc>
        <w:tc>
          <w:tcPr>
            <w:tcW w:w="1980" w:type="dxa"/>
          </w:tcPr>
          <w:p w14:paraId="6D22CA70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0.96 (0.61-1.50)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1.25 (0.82-1.92)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2.04 (1.37-3.03)</w:t>
            </w:r>
          </w:p>
          <w:p w14:paraId="6ABD1A1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1.03 (0.68-1.56)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1.24 (0.82-1.85)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1.60 (1.06-2.41)</w:t>
            </w:r>
          </w:p>
        </w:tc>
        <w:tc>
          <w:tcPr>
            <w:tcW w:w="3154" w:type="dxa"/>
          </w:tcPr>
          <w:p w14:paraId="739F5B8B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alcohol consumption, cigarette smoking, serum low-density lipoprotein cholesterol, type 2 diabetes, BMI, left ventricular hypertrophy, previous MI, family history of CHD, use of antihypertensive medications</w:t>
            </w:r>
          </w:p>
          <w:p w14:paraId="4387C640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CD6EAC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1BAC21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A73A31" w14:textId="77777777" w:rsidR="002501E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703939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362EAE" w14:paraId="428AFA39" w14:textId="77777777" w:rsidTr="00D106FB">
        <w:trPr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3B0A3DD7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Rapsomaniki E et al., 2014, the United Kingdom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34,c</w:t>
            </w:r>
            <w:proofErr w:type="gram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,e</w:t>
            </w:r>
          </w:p>
        </w:tc>
        <w:tc>
          <w:tcPr>
            <w:tcW w:w="1584" w:type="dxa"/>
          </w:tcPr>
          <w:p w14:paraId="12F3219F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CALIBER programme </w:t>
            </w:r>
          </w:p>
          <w:p w14:paraId="145D934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7" w:type="dxa"/>
          </w:tcPr>
          <w:p w14:paraId="64E8AFD6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1997–2010–NA, 5.2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4DAE8DCB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1258006 men and women free of baseline CVDs, age ≥ 30 years: 2355 cardiac arrest/SCD cases</w:t>
            </w:r>
          </w:p>
        </w:tc>
        <w:tc>
          <w:tcPr>
            <w:tcW w:w="1530" w:type="dxa"/>
          </w:tcPr>
          <w:p w14:paraId="3C82718C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1620" w:type="dxa"/>
          </w:tcPr>
          <w:p w14:paraId="734AE8AA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20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10 mmHg</w:t>
            </w:r>
          </w:p>
        </w:tc>
        <w:tc>
          <w:tcPr>
            <w:tcW w:w="1980" w:type="dxa"/>
          </w:tcPr>
          <w:p w14:paraId="1BCCB5AD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1.08 (0.99-1.18)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1.11 (1.03-1.21)</w:t>
            </w:r>
          </w:p>
        </w:tc>
        <w:tc>
          <w:tcPr>
            <w:tcW w:w="3154" w:type="dxa"/>
          </w:tcPr>
          <w:p w14:paraId="17626154" w14:textId="77777777" w:rsidR="002501E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sex, primary care practice, smoking, diabetes, total and high-density lipoprotein cholesterol, BMI, blood pressure lowering medications</w:t>
            </w:r>
          </w:p>
          <w:p w14:paraId="343C7ED3" w14:textId="77777777" w:rsidR="002501E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DA3E0C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501EE" w:rsidRPr="00362EAE" w14:paraId="107AB377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68AE2875" w14:textId="77777777" w:rsidR="002501EE" w:rsidRPr="00362EAE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  <w:lang w:eastAsia="ja-JP"/>
              </w:rPr>
              <w:t>First author, publication year, countr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584" w:type="dxa"/>
          </w:tcPr>
          <w:p w14:paraId="7C5302D7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name or description</w:t>
            </w:r>
          </w:p>
        </w:tc>
        <w:tc>
          <w:tcPr>
            <w:tcW w:w="1477" w:type="dxa"/>
          </w:tcPr>
          <w:p w14:paraId="17A0F95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Study period</w:t>
            </w:r>
          </w:p>
        </w:tc>
        <w:tc>
          <w:tcPr>
            <w:tcW w:w="2520" w:type="dxa"/>
          </w:tcPr>
          <w:p w14:paraId="158AC64B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Number of participants, number of cases</w:t>
            </w:r>
          </w:p>
        </w:tc>
        <w:tc>
          <w:tcPr>
            <w:tcW w:w="1530" w:type="dxa"/>
          </w:tcPr>
          <w:p w14:paraId="07E5E17F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Exposure, subgroup</w:t>
            </w:r>
          </w:p>
        </w:tc>
        <w:tc>
          <w:tcPr>
            <w:tcW w:w="1620" w:type="dxa"/>
          </w:tcPr>
          <w:p w14:paraId="19088C19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1980" w:type="dxa"/>
          </w:tcPr>
          <w:p w14:paraId="77F34F14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Relative risk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(95% confidence interval)</w:t>
            </w:r>
          </w:p>
        </w:tc>
        <w:tc>
          <w:tcPr>
            <w:tcW w:w="3154" w:type="dxa"/>
          </w:tcPr>
          <w:p w14:paraId="4C2DB4B7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Adjustment for confounders</w:t>
            </w:r>
          </w:p>
        </w:tc>
      </w:tr>
      <w:tr w:rsidR="002501EE" w:rsidRPr="00362EAE" w14:paraId="32684864" w14:textId="77777777" w:rsidTr="00D106FB">
        <w:trPr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4E438DAF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Rapsomaniki E et al., 2014, the United Kingdom</w:t>
            </w:r>
            <w:proofErr w:type="gramStart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34,d</w:t>
            </w:r>
            <w:proofErr w:type="gramEnd"/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,e</w:t>
            </w:r>
          </w:p>
        </w:tc>
        <w:tc>
          <w:tcPr>
            <w:tcW w:w="1584" w:type="dxa"/>
          </w:tcPr>
          <w:p w14:paraId="109F47EC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CALIBER programme </w:t>
            </w:r>
          </w:p>
          <w:p w14:paraId="4996D7F0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7" w:type="dxa"/>
          </w:tcPr>
          <w:p w14:paraId="3AE6FCA9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1997–2010–NA, 5.2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4A77BD81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1258006 men and women free of baseline CVDs, age ≥ 30 years: 2355 cardiac arrest/SCD cases</w:t>
            </w:r>
          </w:p>
        </w:tc>
        <w:tc>
          <w:tcPr>
            <w:tcW w:w="1530" w:type="dxa"/>
          </w:tcPr>
          <w:p w14:paraId="6EADDD18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</w:t>
            </w:r>
          </w:p>
        </w:tc>
        <w:tc>
          <w:tcPr>
            <w:tcW w:w="1620" w:type="dxa"/>
          </w:tcPr>
          <w:p w14:paraId="1F07DCC1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90-114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115-129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130-139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140-159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160-179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≥180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60-74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75-84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85-89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90-94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95-99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≥100 mmHg</w:t>
            </w:r>
          </w:p>
        </w:tc>
        <w:tc>
          <w:tcPr>
            <w:tcW w:w="1980" w:type="dxa"/>
          </w:tcPr>
          <w:p w14:paraId="0BAC957C" w14:textId="77777777" w:rsidR="002501EE" w:rsidRPr="009E4649" w:rsidRDefault="002501EE" w:rsidP="00D106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E4649">
              <w:rPr>
                <w:rFonts w:ascii="Arial" w:hAnsi="Arial" w:cs="Arial"/>
                <w:color w:val="000000" w:themeColor="text1"/>
                <w:sz w:val="20"/>
                <w:szCs w:val="20"/>
              </w:rPr>
              <w:t>(0.87-1.18)</w:t>
            </w:r>
          </w:p>
          <w:p w14:paraId="76EF6074" w14:textId="77777777" w:rsidR="002501EE" w:rsidRPr="009E4649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1.00 (0.94-1.06)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1.08 (0.94-1.26)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1.37 (1.15-1.64)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1.67 (1.33-2.10)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2.05 (1.51-2.78)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0.96 (0.81-1.13)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1.04 (1.00-1.08)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1.22 (1.12-1.34)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1.41 (1.24-1.60)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1.63 (1.35-1.96)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2.03 (1.54-2.68)</w:t>
            </w:r>
          </w:p>
        </w:tc>
        <w:tc>
          <w:tcPr>
            <w:tcW w:w="3154" w:type="dxa"/>
          </w:tcPr>
          <w:p w14:paraId="58543B00" w14:textId="77777777" w:rsidR="002501EE" w:rsidRPr="00362EAE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sex, primary care practice, smoking, diabetes, total and high-density lipoprotein cholesterol, BMI, blood pressure lowering medications</w:t>
            </w:r>
          </w:p>
        </w:tc>
      </w:tr>
      <w:tr w:rsidR="002501EE" w:rsidRPr="00362EAE" w14:paraId="009FC2CF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</w:tcPr>
          <w:p w14:paraId="65ADF28D" w14:textId="77777777" w:rsidR="002501EE" w:rsidRPr="00CE21D0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Bogle BM et al., 2018, the United States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584" w:type="dxa"/>
          </w:tcPr>
          <w:p w14:paraId="5D3EFD56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Atherosclerosis Risk in Commun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ities study (ARIC - derivation)</w:t>
            </w:r>
          </w:p>
        </w:tc>
        <w:tc>
          <w:tcPr>
            <w:tcW w:w="1477" w:type="dxa"/>
          </w:tcPr>
          <w:p w14:paraId="5489BE95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ARIC 1987–1989–NA,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 </w:t>
            </w:r>
            <w:proofErr w:type="gramStart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years</w:t>
            </w:r>
            <w:proofErr w:type="gramEnd"/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follow-up</w:t>
            </w:r>
          </w:p>
        </w:tc>
        <w:tc>
          <w:tcPr>
            <w:tcW w:w="2520" w:type="dxa"/>
          </w:tcPr>
          <w:p w14:paraId="43613B03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11335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men and women, age 45-64 years: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95 SCDs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3780 black men and women, age 45-64 years: 50 SCDs</w:t>
            </w:r>
          </w:p>
        </w:tc>
        <w:tc>
          <w:tcPr>
            <w:tcW w:w="1530" w:type="dxa"/>
          </w:tcPr>
          <w:p w14:paraId="0421B69D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SBP, white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f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DBP, white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f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SBP, black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f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DBP, black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620" w:type="dxa"/>
          </w:tcPr>
          <w:p w14:paraId="1C675451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mmHg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Per mmHg</w:t>
            </w:r>
          </w:p>
        </w:tc>
        <w:tc>
          <w:tcPr>
            <w:tcW w:w="1980" w:type="dxa"/>
          </w:tcPr>
          <w:p w14:paraId="431A7281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1.025 (1.016-1.035)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0.976 (0.957-0.996)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1.017 (1.005-1.029)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0.995 (0.973-1.017)</w:t>
            </w:r>
          </w:p>
        </w:tc>
        <w:tc>
          <w:tcPr>
            <w:tcW w:w="3154" w:type="dxa"/>
          </w:tcPr>
          <w:p w14:paraId="68A798DA" w14:textId="77777777" w:rsidR="002501EE" w:rsidRPr="00362EAE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Age, sex</w:t>
            </w:r>
            <w:r w:rsidRPr="00362EAE">
              <w:rPr>
                <w:rFonts w:ascii="Arial" w:hAnsi="Arial" w:cs="Arial"/>
                <w:color w:val="000000" w:themeColor="text1"/>
                <w:sz w:val="20"/>
                <w:szCs w:val="20"/>
              </w:rPr>
              <w:t>, total cholesterol, lipid-lowering medication use, hypertension medication use, current smoker, diabetes, BMI</w:t>
            </w:r>
          </w:p>
        </w:tc>
      </w:tr>
    </w:tbl>
    <w:p w14:paraId="0C0129FD" w14:textId="77777777" w:rsidR="002501EE" w:rsidRDefault="002501EE" w:rsidP="002501EE">
      <w:pPr>
        <w:spacing w:line="360" w:lineRule="auto"/>
        <w:ind w:right="10"/>
        <w:rPr>
          <w:rFonts w:ascii="Arial" w:hAnsi="Arial" w:cs="Arial"/>
        </w:rPr>
      </w:pPr>
    </w:p>
    <w:p w14:paraId="23B47786" w14:textId="77777777" w:rsidR="002501EE" w:rsidRPr="00CE21D0" w:rsidRDefault="002501EE" w:rsidP="002501EE">
      <w:pPr>
        <w:spacing w:line="360" w:lineRule="auto"/>
        <w:ind w:right="10"/>
        <w:rPr>
          <w:rFonts w:ascii="Arial" w:hAnsi="Arial" w:cs="Arial"/>
        </w:rPr>
      </w:pPr>
      <w:r w:rsidRPr="00CE21D0">
        <w:rPr>
          <w:rFonts w:ascii="Arial" w:hAnsi="Arial" w:cs="Arial"/>
        </w:rPr>
        <w:t xml:space="preserve">NA, not available; CHD, coronary heart disease; SBP, systolic blood pressure; ECG-LVH, electrocardiographic evidence of left ventricular hypertrophy; SCD, sudden cardiac death; DBP, diastolic blood pressure; BMI, body mass index; MI, myocardial infarction; HDL/TC ratio, high-density lipoprotein-total cholesterol concentration ratio. </w:t>
      </w:r>
      <w:r w:rsidRPr="00CE21D0">
        <w:rPr>
          <w:rFonts w:ascii="Arial" w:hAnsi="Arial" w:cs="Arial"/>
          <w:vertAlign w:val="superscript"/>
        </w:rPr>
        <w:t>a</w:t>
      </w:r>
      <w:r w:rsidRPr="00CE21D0">
        <w:rPr>
          <w:rFonts w:ascii="Arial" w:hAnsi="Arial" w:cs="Arial"/>
        </w:rPr>
        <w:t xml:space="preserve"> Study only included in subgroup analyses by sex. </w:t>
      </w:r>
      <w:r w:rsidRPr="00CE21D0">
        <w:rPr>
          <w:rFonts w:ascii="Arial" w:hAnsi="Arial" w:cs="Arial"/>
          <w:vertAlign w:val="superscript"/>
        </w:rPr>
        <w:t>b</w:t>
      </w:r>
      <w:r w:rsidRPr="00CE21D0">
        <w:rPr>
          <w:rFonts w:ascii="Arial" w:hAnsi="Arial" w:cs="Arial"/>
        </w:rPr>
        <w:t xml:space="preserve"> Study excluded from the meta-analysis due to inadequate data (insufficient blood pressure categories for data analysis). </w:t>
      </w:r>
      <w:r w:rsidRPr="00CE21D0">
        <w:rPr>
          <w:rFonts w:ascii="Arial" w:hAnsi="Arial" w:cs="Arial"/>
          <w:vertAlign w:val="superscript"/>
        </w:rPr>
        <w:t>c</w:t>
      </w:r>
      <w:r w:rsidRPr="00CE21D0">
        <w:rPr>
          <w:rFonts w:ascii="Arial" w:hAnsi="Arial" w:cs="Arial"/>
        </w:rPr>
        <w:t xml:space="preserve"> Data used for linear dose-response analysis. </w:t>
      </w:r>
      <w:r w:rsidRPr="00CE21D0">
        <w:rPr>
          <w:rFonts w:ascii="Arial" w:hAnsi="Arial" w:cs="Arial"/>
          <w:vertAlign w:val="superscript"/>
        </w:rPr>
        <w:t>d</w:t>
      </w:r>
      <w:r w:rsidRPr="00CE21D0">
        <w:rPr>
          <w:rFonts w:ascii="Arial" w:hAnsi="Arial" w:cs="Arial"/>
        </w:rPr>
        <w:t xml:space="preserve"> Data used for nonlinear dose-response analysis. </w:t>
      </w:r>
      <w:r w:rsidRPr="00CE21D0">
        <w:rPr>
          <w:rFonts w:ascii="Arial" w:hAnsi="Arial" w:cs="Arial"/>
          <w:vertAlign w:val="superscript"/>
        </w:rPr>
        <w:t>e</w:t>
      </w:r>
      <w:r w:rsidRPr="00CE21D0">
        <w:rPr>
          <w:rFonts w:ascii="Arial" w:hAnsi="Arial" w:cs="Arial"/>
        </w:rPr>
        <w:t xml:space="preserve"> Study only included in sensitivity analysis as it assessed a combined outcome of sudden cardiac arrest/sudden cardiac death. </w:t>
      </w:r>
      <w:r w:rsidRPr="00CE21D0">
        <w:rPr>
          <w:rFonts w:ascii="Arial" w:hAnsi="Arial" w:cs="Arial"/>
          <w:vertAlign w:val="superscript"/>
        </w:rPr>
        <w:t>f</w:t>
      </w:r>
      <w:r w:rsidRPr="00CE21D0">
        <w:rPr>
          <w:rFonts w:ascii="Arial" w:hAnsi="Arial" w:cs="Arial"/>
        </w:rPr>
        <w:t xml:space="preserve"> Race-specific estimates pooled using the fixed effect model before proceeding to the meta-analysis.</w:t>
      </w:r>
    </w:p>
    <w:p w14:paraId="5D5A1FE4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</w:rPr>
      </w:pPr>
    </w:p>
    <w:p w14:paraId="6586459B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</w:rPr>
      </w:pPr>
    </w:p>
    <w:p w14:paraId="6B29304F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  <w:sz w:val="20"/>
          <w:szCs w:val="24"/>
          <w:lang w:eastAsia="zh-TW"/>
        </w:rPr>
        <w:sectPr w:rsidR="002501EE" w:rsidSect="0092025E">
          <w:pgSz w:w="16840" w:h="11900" w:orient="landscape"/>
          <w:pgMar w:top="720" w:right="720" w:bottom="720" w:left="720" w:header="720" w:footer="720" w:gutter="0"/>
          <w:cols w:space="720"/>
          <w:docGrid w:linePitch="400"/>
        </w:sectPr>
      </w:pPr>
    </w:p>
    <w:p w14:paraId="262F4135" w14:textId="20523743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Table 4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Relative risks and 95% confidence intervals from the nonlinear dose-response analysis of cohort studies on systolic blood pressure and the risk of sudden cardiac death</w:t>
      </w:r>
    </w:p>
    <w:p w14:paraId="7DE5677D" w14:textId="77777777" w:rsidR="002501EE" w:rsidRPr="00AC6B46" w:rsidRDefault="002501EE" w:rsidP="002501EE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GridTable6Colorful-Accent3"/>
        <w:tblW w:w="0" w:type="auto"/>
        <w:tblLook w:val="04A0" w:firstRow="1" w:lastRow="0" w:firstColumn="1" w:lastColumn="0" w:noHBand="0" w:noVBand="1"/>
      </w:tblPr>
      <w:tblGrid>
        <w:gridCol w:w="3955"/>
        <w:gridCol w:w="5055"/>
      </w:tblGrid>
      <w:tr w:rsidR="002501EE" w:rsidRPr="000D00B5" w14:paraId="56664230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4C0336C" w14:textId="77777777" w:rsidR="002501EE" w:rsidRPr="000D00B5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4"/>
                <w:lang w:val="en-US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  <w:lang w:val="en-US"/>
              </w:rPr>
              <w:t>Systolic Blood Pressure (mmHg)</w:t>
            </w:r>
          </w:p>
        </w:tc>
        <w:tc>
          <w:tcPr>
            <w:tcW w:w="5055" w:type="dxa"/>
          </w:tcPr>
          <w:p w14:paraId="3C81B0BE" w14:textId="77777777" w:rsidR="002501EE" w:rsidRPr="000D00B5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Relative Risks (95% Confidence Intervals)</w:t>
            </w:r>
          </w:p>
        </w:tc>
      </w:tr>
      <w:tr w:rsidR="002501EE" w:rsidRPr="000D00B5" w14:paraId="44E16017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C060B1F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118</w:t>
            </w:r>
          </w:p>
        </w:tc>
        <w:tc>
          <w:tcPr>
            <w:tcW w:w="5055" w:type="dxa"/>
          </w:tcPr>
          <w:p w14:paraId="7EE57C60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1.00</w:t>
            </w:r>
          </w:p>
        </w:tc>
      </w:tr>
      <w:tr w:rsidR="002501EE" w:rsidRPr="000D00B5" w14:paraId="257FC855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5303DE1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120</w:t>
            </w:r>
          </w:p>
        </w:tc>
        <w:tc>
          <w:tcPr>
            <w:tcW w:w="5055" w:type="dxa"/>
          </w:tcPr>
          <w:p w14:paraId="76C2AD50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1.01 (0.91-1.11)</w:t>
            </w:r>
          </w:p>
        </w:tc>
      </w:tr>
      <w:tr w:rsidR="002501EE" w:rsidRPr="000D00B5" w14:paraId="43F1AF1B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32351881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125</w:t>
            </w:r>
          </w:p>
        </w:tc>
        <w:tc>
          <w:tcPr>
            <w:tcW w:w="5055" w:type="dxa"/>
          </w:tcPr>
          <w:p w14:paraId="39F9EC79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1.05 (0.84-1.33)</w:t>
            </w:r>
          </w:p>
        </w:tc>
      </w:tr>
      <w:tr w:rsidR="002501EE" w:rsidRPr="000D00B5" w14:paraId="100CDB11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9D76DC9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130</w:t>
            </w:r>
          </w:p>
        </w:tc>
        <w:tc>
          <w:tcPr>
            <w:tcW w:w="5055" w:type="dxa"/>
          </w:tcPr>
          <w:p w14:paraId="489B7CBB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1.15 (0.84-1.57)</w:t>
            </w:r>
          </w:p>
        </w:tc>
      </w:tr>
      <w:tr w:rsidR="002501EE" w:rsidRPr="000D00B5" w14:paraId="7B58A93F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583CD971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135</w:t>
            </w:r>
          </w:p>
        </w:tc>
        <w:tc>
          <w:tcPr>
            <w:tcW w:w="5055" w:type="dxa"/>
          </w:tcPr>
          <w:p w14:paraId="316E9BB8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1.28 (0.90-1.84)</w:t>
            </w:r>
          </w:p>
        </w:tc>
      </w:tr>
      <w:tr w:rsidR="002501EE" w:rsidRPr="000D00B5" w14:paraId="4B718C23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361DA10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140</w:t>
            </w:r>
          </w:p>
        </w:tc>
        <w:tc>
          <w:tcPr>
            <w:tcW w:w="5055" w:type="dxa"/>
          </w:tcPr>
          <w:p w14:paraId="2BF75B2D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1.46 (1.01-2.12)</w:t>
            </w:r>
          </w:p>
        </w:tc>
      </w:tr>
      <w:tr w:rsidR="002501EE" w:rsidRPr="000D00B5" w14:paraId="7FF5E656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5E19FCCB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145</w:t>
            </w:r>
          </w:p>
        </w:tc>
        <w:tc>
          <w:tcPr>
            <w:tcW w:w="5055" w:type="dxa"/>
          </w:tcPr>
          <w:p w14:paraId="2603EF09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1.71 (1.18-2.48)</w:t>
            </w:r>
          </w:p>
        </w:tc>
      </w:tr>
      <w:tr w:rsidR="002501EE" w:rsidRPr="000D00B5" w14:paraId="6D7623EA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79268AE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150</w:t>
            </w:r>
          </w:p>
        </w:tc>
        <w:tc>
          <w:tcPr>
            <w:tcW w:w="5055" w:type="dxa"/>
          </w:tcPr>
          <w:p w14:paraId="66C6A35D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2.00 (1.38-2.91)</w:t>
            </w:r>
          </w:p>
        </w:tc>
      </w:tr>
      <w:tr w:rsidR="002501EE" w:rsidRPr="000D00B5" w14:paraId="3F42AE19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84CAEE2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155</w:t>
            </w:r>
          </w:p>
        </w:tc>
        <w:tc>
          <w:tcPr>
            <w:tcW w:w="5055" w:type="dxa"/>
          </w:tcPr>
          <w:p w14:paraId="60DDFD13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2.39 (1.62-3.53)</w:t>
            </w:r>
          </w:p>
        </w:tc>
      </w:tr>
      <w:tr w:rsidR="002501EE" w:rsidRPr="000D00B5" w14:paraId="09C97824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C1DDA02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160</w:t>
            </w:r>
          </w:p>
        </w:tc>
        <w:tc>
          <w:tcPr>
            <w:tcW w:w="5055" w:type="dxa"/>
          </w:tcPr>
          <w:p w14:paraId="20417245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2.87 (1.85-4.44)</w:t>
            </w:r>
          </w:p>
        </w:tc>
      </w:tr>
      <w:tr w:rsidR="002501EE" w:rsidRPr="000D00B5" w14:paraId="1B09240D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112C3F7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165</w:t>
            </w:r>
          </w:p>
        </w:tc>
        <w:tc>
          <w:tcPr>
            <w:tcW w:w="5055" w:type="dxa"/>
          </w:tcPr>
          <w:p w14:paraId="17F487C4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3.43 (2.07-5.70)</w:t>
            </w:r>
          </w:p>
        </w:tc>
      </w:tr>
      <w:tr w:rsidR="002501EE" w:rsidRPr="000D00B5" w14:paraId="334B613C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8B8C2E4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170</w:t>
            </w:r>
          </w:p>
        </w:tc>
        <w:tc>
          <w:tcPr>
            <w:tcW w:w="5055" w:type="dxa"/>
          </w:tcPr>
          <w:p w14:paraId="73197932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4.15 (2.27-7.59)</w:t>
            </w:r>
          </w:p>
        </w:tc>
      </w:tr>
      <w:tr w:rsidR="002501EE" w:rsidRPr="000D00B5" w14:paraId="17648543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DDE0E31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175</w:t>
            </w:r>
          </w:p>
        </w:tc>
        <w:tc>
          <w:tcPr>
            <w:tcW w:w="5055" w:type="dxa"/>
          </w:tcPr>
          <w:p w14:paraId="7AD34E01" w14:textId="77777777" w:rsidR="002501EE" w:rsidRPr="000D00B5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4.99 (2.44-10.18)</w:t>
            </w:r>
          </w:p>
        </w:tc>
      </w:tr>
      <w:tr w:rsidR="002501EE" w:rsidRPr="000D00B5" w14:paraId="30D2B3D8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0659096D" w14:textId="77777777" w:rsidR="002501EE" w:rsidRPr="000D00B5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b w:val="0"/>
                <w:color w:val="000000" w:themeColor="text1"/>
                <w:sz w:val="24"/>
              </w:rPr>
              <w:t>180</w:t>
            </w:r>
          </w:p>
        </w:tc>
        <w:tc>
          <w:tcPr>
            <w:tcW w:w="5055" w:type="dxa"/>
          </w:tcPr>
          <w:p w14:paraId="20CB42E9" w14:textId="77777777" w:rsidR="002501EE" w:rsidRPr="000D00B5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6.04 (2.60-14.03)</w:t>
            </w:r>
          </w:p>
        </w:tc>
      </w:tr>
    </w:tbl>
    <w:p w14:paraId="1E4A3F16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</w:p>
    <w:p w14:paraId="2162EBC3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</w:p>
    <w:p w14:paraId="6AFB573A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4E3F89" w14:textId="0D1EC0E9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Table 5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>.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Relative risks and 95% confidence intervals from the nonlinear dose-response analysis of cohort studies on diastolic blood pressure and the risk of sudden cardiac death</w:t>
      </w:r>
    </w:p>
    <w:p w14:paraId="1FE8412A" w14:textId="77777777" w:rsidR="002501EE" w:rsidRPr="00AC6B46" w:rsidRDefault="002501EE" w:rsidP="002501EE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GridTable6Colorful-Accent3"/>
        <w:tblW w:w="0" w:type="auto"/>
        <w:tblLook w:val="04A0" w:firstRow="1" w:lastRow="0" w:firstColumn="1" w:lastColumn="0" w:noHBand="0" w:noVBand="1"/>
      </w:tblPr>
      <w:tblGrid>
        <w:gridCol w:w="3797"/>
        <w:gridCol w:w="5213"/>
      </w:tblGrid>
      <w:tr w:rsidR="002501EE" w:rsidRPr="000D00B5" w14:paraId="302E0952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2C18AC4B" w14:textId="77777777" w:rsidR="002501EE" w:rsidRPr="000D00B5" w:rsidRDefault="002501EE" w:rsidP="00D106FB">
            <w:pPr>
              <w:jc w:val="left"/>
              <w:rPr>
                <w:rFonts w:ascii="Arial" w:hAnsi="Arial" w:cs="Arial"/>
                <w:color w:val="000000" w:themeColor="text1"/>
                <w:sz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lang w:val="en-US"/>
              </w:rPr>
              <w:t>Dias</w:t>
            </w:r>
            <w:r w:rsidRPr="000D00B5">
              <w:rPr>
                <w:rFonts w:ascii="Arial" w:hAnsi="Arial" w:cs="Arial"/>
                <w:color w:val="000000" w:themeColor="text1"/>
                <w:sz w:val="24"/>
                <w:lang w:val="en-US"/>
              </w:rPr>
              <w:t>tolic Blood Pressure (mmHg)</w:t>
            </w:r>
          </w:p>
        </w:tc>
        <w:tc>
          <w:tcPr>
            <w:tcW w:w="5566" w:type="dxa"/>
          </w:tcPr>
          <w:p w14:paraId="49969063" w14:textId="77777777" w:rsidR="002501EE" w:rsidRPr="000D00B5" w:rsidRDefault="002501EE" w:rsidP="00D106F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D00B5">
              <w:rPr>
                <w:rFonts w:ascii="Arial" w:hAnsi="Arial" w:cs="Arial"/>
                <w:color w:val="000000" w:themeColor="text1"/>
                <w:sz w:val="24"/>
              </w:rPr>
              <w:t>Relative Risks (95% Confidence Intervals)</w:t>
            </w:r>
          </w:p>
        </w:tc>
      </w:tr>
      <w:tr w:rsidR="002501EE" w:rsidRPr="000530FA" w14:paraId="5891F460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71286315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 w:rsidRPr="000530FA">
              <w:rPr>
                <w:rFonts w:ascii="Arial" w:hAnsi="Arial" w:cs="Arial"/>
                <w:b w:val="0"/>
                <w:color w:val="000000" w:themeColor="text1"/>
                <w:sz w:val="24"/>
              </w:rPr>
              <w:t>70</w:t>
            </w:r>
          </w:p>
        </w:tc>
        <w:tc>
          <w:tcPr>
            <w:tcW w:w="5566" w:type="dxa"/>
          </w:tcPr>
          <w:p w14:paraId="356E03BB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0530FA">
              <w:rPr>
                <w:rFonts w:ascii="Arial" w:hAnsi="Arial" w:cs="Arial"/>
                <w:color w:val="000000" w:themeColor="text1"/>
                <w:sz w:val="24"/>
              </w:rPr>
              <w:t>1.00</w:t>
            </w:r>
          </w:p>
        </w:tc>
      </w:tr>
      <w:tr w:rsidR="002501EE" w:rsidRPr="000530FA" w14:paraId="5D79B70D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7258DFBD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75</w:t>
            </w:r>
          </w:p>
        </w:tc>
        <w:tc>
          <w:tcPr>
            <w:tcW w:w="5566" w:type="dxa"/>
          </w:tcPr>
          <w:p w14:paraId="568C3FD5" w14:textId="77777777" w:rsidR="002501EE" w:rsidRPr="000530FA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1.07 (0.73-1.57)</w:t>
            </w:r>
          </w:p>
        </w:tc>
      </w:tr>
      <w:tr w:rsidR="002501EE" w:rsidRPr="000530FA" w14:paraId="08274CD8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21706469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80</w:t>
            </w:r>
          </w:p>
        </w:tc>
        <w:tc>
          <w:tcPr>
            <w:tcW w:w="5566" w:type="dxa"/>
          </w:tcPr>
          <w:p w14:paraId="6FC8DF31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1.16 (0.61-2.21)</w:t>
            </w:r>
          </w:p>
        </w:tc>
      </w:tr>
      <w:tr w:rsidR="002501EE" w:rsidRPr="000530FA" w14:paraId="39136814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66BBBFA0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85</w:t>
            </w:r>
          </w:p>
        </w:tc>
        <w:tc>
          <w:tcPr>
            <w:tcW w:w="5566" w:type="dxa"/>
          </w:tcPr>
          <w:p w14:paraId="4BB35011" w14:textId="77777777" w:rsidR="002501EE" w:rsidRPr="000530FA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1.29 (0.57-2.93)</w:t>
            </w:r>
          </w:p>
        </w:tc>
      </w:tr>
      <w:tr w:rsidR="002501EE" w:rsidRPr="000530FA" w14:paraId="379B63F7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388CA12E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90</w:t>
            </w:r>
          </w:p>
        </w:tc>
        <w:tc>
          <w:tcPr>
            <w:tcW w:w="5566" w:type="dxa"/>
          </w:tcPr>
          <w:p w14:paraId="06103A5B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1.47 (0.61-3.56)</w:t>
            </w:r>
          </w:p>
        </w:tc>
      </w:tr>
      <w:tr w:rsidR="002501EE" w:rsidRPr="000530FA" w14:paraId="219D31E9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5F56C954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95</w:t>
            </w:r>
          </w:p>
        </w:tc>
        <w:tc>
          <w:tcPr>
            <w:tcW w:w="5566" w:type="dxa"/>
          </w:tcPr>
          <w:p w14:paraId="1F768A1D" w14:textId="77777777" w:rsidR="002501EE" w:rsidRPr="000530FA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1.73 (0.74-4.01)</w:t>
            </w:r>
          </w:p>
        </w:tc>
      </w:tr>
      <w:tr w:rsidR="002501EE" w:rsidRPr="000530FA" w14:paraId="062AC435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2690740A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100</w:t>
            </w:r>
          </w:p>
        </w:tc>
        <w:tc>
          <w:tcPr>
            <w:tcW w:w="5566" w:type="dxa"/>
          </w:tcPr>
          <w:p w14:paraId="0EC0668C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2.09 (1.01-4.29)</w:t>
            </w:r>
          </w:p>
        </w:tc>
      </w:tr>
      <w:tr w:rsidR="002501EE" w:rsidRPr="000530FA" w14:paraId="7554FE91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31B5D356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105</w:t>
            </w:r>
          </w:p>
        </w:tc>
        <w:tc>
          <w:tcPr>
            <w:tcW w:w="5566" w:type="dxa"/>
          </w:tcPr>
          <w:p w14:paraId="277958EB" w14:textId="77777777" w:rsidR="002501EE" w:rsidRPr="000530FA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2.60 (1.39-4.89)</w:t>
            </w:r>
          </w:p>
        </w:tc>
      </w:tr>
      <w:tr w:rsidR="002501EE" w:rsidRPr="000530FA" w14:paraId="5B361CDC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58B700A7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110</w:t>
            </w:r>
          </w:p>
        </w:tc>
        <w:tc>
          <w:tcPr>
            <w:tcW w:w="5566" w:type="dxa"/>
          </w:tcPr>
          <w:p w14:paraId="7FA0E9CB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3.39 (1.44-7.98)</w:t>
            </w:r>
          </w:p>
        </w:tc>
      </w:tr>
      <w:tr w:rsidR="002501EE" w:rsidRPr="000530FA" w14:paraId="20B50C5F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45FE1789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115</w:t>
            </w:r>
          </w:p>
        </w:tc>
        <w:tc>
          <w:tcPr>
            <w:tcW w:w="5566" w:type="dxa"/>
          </w:tcPr>
          <w:p w14:paraId="3FD9C706" w14:textId="77777777" w:rsidR="002501EE" w:rsidRPr="000530FA" w:rsidRDefault="002501EE" w:rsidP="00D106F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4.54 (1.06-19.51)</w:t>
            </w:r>
          </w:p>
        </w:tc>
      </w:tr>
      <w:tr w:rsidR="002501EE" w:rsidRPr="000530FA" w14:paraId="76CEFE58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2" w:type="dxa"/>
          </w:tcPr>
          <w:p w14:paraId="5CA84E29" w14:textId="77777777" w:rsidR="002501EE" w:rsidRPr="000530FA" w:rsidRDefault="002501EE" w:rsidP="00D106FB">
            <w:pPr>
              <w:jc w:val="left"/>
              <w:rPr>
                <w:rFonts w:ascii="Arial" w:hAnsi="Arial" w:cs="Arial"/>
                <w:b w:val="0"/>
                <w:color w:val="000000" w:themeColor="text1"/>
                <w:sz w:val="24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</w:rPr>
              <w:t>120</w:t>
            </w:r>
          </w:p>
        </w:tc>
        <w:tc>
          <w:tcPr>
            <w:tcW w:w="5566" w:type="dxa"/>
          </w:tcPr>
          <w:p w14:paraId="3FCB56D5" w14:textId="77777777" w:rsidR="002501EE" w:rsidRPr="000530FA" w:rsidRDefault="002501EE" w:rsidP="00D106F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6.34 (0.62-65.29)</w:t>
            </w:r>
          </w:p>
        </w:tc>
      </w:tr>
    </w:tbl>
    <w:p w14:paraId="7E00756B" w14:textId="77777777" w:rsidR="002501EE" w:rsidRPr="00601B3F" w:rsidRDefault="002501EE" w:rsidP="002501E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2A58906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</w:p>
    <w:p w14:paraId="53868E75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</w:p>
    <w:p w14:paraId="6C141244" w14:textId="77777777" w:rsidR="002501EE" w:rsidRDefault="002501EE" w:rsidP="002501EE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90DACE5" w14:textId="6FDB6DA1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Table 6</w:t>
      </w:r>
      <w:r w:rsidRPr="008512B6">
        <w:rPr>
          <w:rFonts w:ascii="Arial" w:hAnsi="Arial" w:cs="Arial"/>
          <w:b/>
          <w:color w:val="8496B0" w:themeColor="text2" w:themeTint="99"/>
          <w:sz w:val="24"/>
          <w:szCs w:val="24"/>
        </w:rPr>
        <w:t>. Quality Assessment of Individual Studies using the Newcastle-Ottawa Quality Assessment Scale</w:t>
      </w:r>
    </w:p>
    <w:p w14:paraId="7CAEA022" w14:textId="77777777" w:rsidR="002501EE" w:rsidRDefault="002501EE" w:rsidP="002501EE">
      <w:pPr>
        <w:rPr>
          <w:rFonts w:ascii="Arial" w:hAnsi="Arial" w:cs="Arial"/>
          <w:sz w:val="24"/>
          <w:szCs w:val="24"/>
        </w:rPr>
      </w:pPr>
    </w:p>
    <w:tbl>
      <w:tblPr>
        <w:tblStyle w:val="GridTable6Colorful-Accent3"/>
        <w:tblW w:w="9638" w:type="dxa"/>
        <w:tblLook w:val="04A0" w:firstRow="1" w:lastRow="0" w:firstColumn="1" w:lastColumn="0" w:noHBand="0" w:noVBand="1"/>
      </w:tblPr>
      <w:tblGrid>
        <w:gridCol w:w="3055"/>
        <w:gridCol w:w="1530"/>
        <w:gridCol w:w="1890"/>
        <w:gridCol w:w="1496"/>
        <w:gridCol w:w="1667"/>
      </w:tblGrid>
      <w:tr w:rsidR="002501EE" w:rsidRPr="00A42B69" w14:paraId="398C788E" w14:textId="77777777" w:rsidTr="00D1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52423B7A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color w:val="auto"/>
              </w:rPr>
            </w:pPr>
            <w:r w:rsidRPr="00A42B69">
              <w:rPr>
                <w:rFonts w:ascii="Arial" w:hAnsi="Arial" w:cs="Arial"/>
                <w:color w:val="auto"/>
              </w:rPr>
              <w:t>Study</w:t>
            </w:r>
          </w:p>
        </w:tc>
        <w:tc>
          <w:tcPr>
            <w:tcW w:w="1530" w:type="dxa"/>
            <w:vAlign w:val="center"/>
          </w:tcPr>
          <w:p w14:paraId="51F08C5D" w14:textId="77777777" w:rsidR="002501EE" w:rsidRPr="00A42B69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Arial" w:hAnsi="Arial" w:cs="Arial"/>
                <w:color w:val="auto"/>
              </w:rPr>
              <w:t>Selection</w:t>
            </w:r>
          </w:p>
        </w:tc>
        <w:tc>
          <w:tcPr>
            <w:tcW w:w="1890" w:type="dxa"/>
            <w:vAlign w:val="center"/>
          </w:tcPr>
          <w:p w14:paraId="1445ABD9" w14:textId="77777777" w:rsidR="002501EE" w:rsidRPr="00A42B69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Arial" w:hAnsi="Arial" w:cs="Arial"/>
                <w:color w:val="auto"/>
              </w:rPr>
              <w:t>Comparability</w:t>
            </w:r>
          </w:p>
        </w:tc>
        <w:tc>
          <w:tcPr>
            <w:tcW w:w="1496" w:type="dxa"/>
            <w:vAlign w:val="center"/>
          </w:tcPr>
          <w:p w14:paraId="4FDE5210" w14:textId="77777777" w:rsidR="002501EE" w:rsidRPr="00A42B69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Arial" w:hAnsi="Arial" w:cs="Arial"/>
                <w:color w:val="auto"/>
              </w:rPr>
              <w:t>Outcome</w:t>
            </w:r>
          </w:p>
        </w:tc>
        <w:tc>
          <w:tcPr>
            <w:tcW w:w="1667" w:type="dxa"/>
            <w:vAlign w:val="center"/>
          </w:tcPr>
          <w:p w14:paraId="1EFF0C6D" w14:textId="77777777" w:rsidR="002501EE" w:rsidRPr="00A42B69" w:rsidRDefault="002501EE" w:rsidP="00D106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Arial" w:hAnsi="Arial" w:cs="Arial"/>
                <w:color w:val="auto"/>
              </w:rPr>
              <w:t>Total Score</w:t>
            </w:r>
          </w:p>
        </w:tc>
      </w:tr>
      <w:tr w:rsidR="002501EE" w:rsidRPr="00A42B69" w14:paraId="049A7F44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CF9B9F3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Kannel WB et al., 1975</w:t>
            </w:r>
          </w:p>
        </w:tc>
        <w:tc>
          <w:tcPr>
            <w:tcW w:w="1530" w:type="dxa"/>
            <w:vAlign w:val="center"/>
          </w:tcPr>
          <w:p w14:paraId="735F7B5D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✕☆☆☆</w:t>
            </w:r>
          </w:p>
        </w:tc>
        <w:tc>
          <w:tcPr>
            <w:tcW w:w="1890" w:type="dxa"/>
            <w:vAlign w:val="center"/>
          </w:tcPr>
          <w:p w14:paraId="310C81B1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47D83426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4C556F45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429AC032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610F4F9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Schatzkin A et al., 1984</w:t>
            </w:r>
          </w:p>
        </w:tc>
        <w:tc>
          <w:tcPr>
            <w:tcW w:w="1530" w:type="dxa"/>
            <w:vAlign w:val="center"/>
          </w:tcPr>
          <w:p w14:paraId="4392C0CF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☆☆☆☆</w:t>
            </w:r>
          </w:p>
        </w:tc>
        <w:tc>
          <w:tcPr>
            <w:tcW w:w="1890" w:type="dxa"/>
            <w:vAlign w:val="center"/>
          </w:tcPr>
          <w:p w14:paraId="6FFBA28F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23982E3A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20323EAA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9</w:t>
            </w:r>
          </w:p>
        </w:tc>
      </w:tr>
      <w:tr w:rsidR="002501EE" w:rsidRPr="00A42B69" w14:paraId="79C123D3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5CC2018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Shaper AG et al., 1993</w:t>
            </w:r>
          </w:p>
        </w:tc>
        <w:tc>
          <w:tcPr>
            <w:tcW w:w="1530" w:type="dxa"/>
            <w:vAlign w:val="center"/>
          </w:tcPr>
          <w:p w14:paraId="42F82211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☆☆☆☆</w:t>
            </w:r>
          </w:p>
        </w:tc>
        <w:tc>
          <w:tcPr>
            <w:tcW w:w="1890" w:type="dxa"/>
            <w:vAlign w:val="center"/>
          </w:tcPr>
          <w:p w14:paraId="443FCEDA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5EEF5184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1E172A5E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2D23BD67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1884107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Wannamethee G et al., 1995</w:t>
            </w:r>
          </w:p>
        </w:tc>
        <w:tc>
          <w:tcPr>
            <w:tcW w:w="1530" w:type="dxa"/>
            <w:vAlign w:val="center"/>
          </w:tcPr>
          <w:p w14:paraId="6333684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46338717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☆✕</w:t>
            </w:r>
          </w:p>
        </w:tc>
        <w:tc>
          <w:tcPr>
            <w:tcW w:w="1496" w:type="dxa"/>
            <w:vAlign w:val="center"/>
          </w:tcPr>
          <w:p w14:paraId="41D25DDD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3E67BF54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2501EE" w:rsidRPr="00A42B69" w14:paraId="11DA18EC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4F25E19F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Weijenberg MP et al., 1996</w:t>
            </w:r>
          </w:p>
        </w:tc>
        <w:tc>
          <w:tcPr>
            <w:tcW w:w="1530" w:type="dxa"/>
            <w:vAlign w:val="center"/>
          </w:tcPr>
          <w:p w14:paraId="7B4D7C5B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66A8A8F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6F66F9F3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5C8FC088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29604EC4" w14:textId="77777777" w:rsidTr="00D106FB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6FABE58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Jouven X et al., 2001</w:t>
            </w:r>
          </w:p>
        </w:tc>
        <w:tc>
          <w:tcPr>
            <w:tcW w:w="1530" w:type="dxa"/>
            <w:vAlign w:val="center"/>
          </w:tcPr>
          <w:p w14:paraId="0C65210B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✕☆☆☆</w:t>
            </w:r>
          </w:p>
        </w:tc>
        <w:tc>
          <w:tcPr>
            <w:tcW w:w="1890" w:type="dxa"/>
            <w:vAlign w:val="center"/>
          </w:tcPr>
          <w:p w14:paraId="1EB16C34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1790CC21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28F3BB2C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17FE07A1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EBA8F7D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Albert CM et al., 2003</w:t>
            </w:r>
          </w:p>
        </w:tc>
        <w:tc>
          <w:tcPr>
            <w:tcW w:w="1530" w:type="dxa"/>
            <w:vAlign w:val="center"/>
          </w:tcPr>
          <w:p w14:paraId="061FA9E5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✕☆✕✕</w:t>
            </w:r>
          </w:p>
        </w:tc>
        <w:tc>
          <w:tcPr>
            <w:tcW w:w="1890" w:type="dxa"/>
            <w:vAlign w:val="center"/>
          </w:tcPr>
          <w:p w14:paraId="07C576DC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3D6D8008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2CD58FE5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6</w:t>
            </w:r>
          </w:p>
        </w:tc>
      </w:tr>
      <w:tr w:rsidR="002501EE" w:rsidRPr="00A42B69" w14:paraId="34F608D8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7777140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Straus SMJM et al., 2006</w:t>
            </w:r>
          </w:p>
        </w:tc>
        <w:tc>
          <w:tcPr>
            <w:tcW w:w="1530" w:type="dxa"/>
            <w:vAlign w:val="center"/>
          </w:tcPr>
          <w:p w14:paraId="0C405BDA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1C10652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3C047FE6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13AB7D63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6ECAB334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DBE240D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Bertoia ML et al., 2012</w:t>
            </w:r>
          </w:p>
        </w:tc>
        <w:tc>
          <w:tcPr>
            <w:tcW w:w="1530" w:type="dxa"/>
            <w:vAlign w:val="center"/>
          </w:tcPr>
          <w:p w14:paraId="627A01E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7DA7EC6E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2E263F48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0C5688CC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2501EE" w:rsidRPr="00A42B69" w14:paraId="7A974F0C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149BB76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Lahtinen AM et al., 2012</w:t>
            </w:r>
          </w:p>
        </w:tc>
        <w:tc>
          <w:tcPr>
            <w:tcW w:w="1530" w:type="dxa"/>
            <w:vAlign w:val="center"/>
          </w:tcPr>
          <w:p w14:paraId="34A99B86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69C02EAE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0CCBC299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7FF524F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36678DAB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9C0785F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Lahtinen AM et al., 2012</w:t>
            </w:r>
          </w:p>
        </w:tc>
        <w:tc>
          <w:tcPr>
            <w:tcW w:w="1530" w:type="dxa"/>
            <w:vAlign w:val="center"/>
          </w:tcPr>
          <w:p w14:paraId="07D6957A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4E312F4E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4FF08FD6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5ACAF00A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600BAD95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DB2B163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Lahtinen AM et al., 2012</w:t>
            </w:r>
          </w:p>
        </w:tc>
        <w:tc>
          <w:tcPr>
            <w:tcW w:w="1530" w:type="dxa"/>
            <w:vAlign w:val="center"/>
          </w:tcPr>
          <w:p w14:paraId="0B4BFBC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7D05FE51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69FA5625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43C7B8DC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2256543E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B0F08EB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Lahtinen AM et al., 2012</w:t>
            </w:r>
          </w:p>
        </w:tc>
        <w:tc>
          <w:tcPr>
            <w:tcW w:w="1530" w:type="dxa"/>
            <w:vAlign w:val="center"/>
          </w:tcPr>
          <w:p w14:paraId="4AD5E66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0AF4DEC1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6F1243B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2ABCA6C3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47C13F99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4EA9A59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Laukkanen et al., 2012</w:t>
            </w:r>
          </w:p>
        </w:tc>
        <w:tc>
          <w:tcPr>
            <w:tcW w:w="1530" w:type="dxa"/>
            <w:vAlign w:val="center"/>
          </w:tcPr>
          <w:p w14:paraId="173041A5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✕☆☆✕</w:t>
            </w:r>
          </w:p>
        </w:tc>
        <w:tc>
          <w:tcPr>
            <w:tcW w:w="1890" w:type="dxa"/>
            <w:vAlign w:val="center"/>
          </w:tcPr>
          <w:p w14:paraId="31530D57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5A33977F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0847DBA0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2501EE" w:rsidRPr="00A42B69" w14:paraId="1E2F1977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BB1AC71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Ohira T et al., 2012</w:t>
            </w:r>
          </w:p>
        </w:tc>
        <w:tc>
          <w:tcPr>
            <w:tcW w:w="1530" w:type="dxa"/>
            <w:vAlign w:val="center"/>
          </w:tcPr>
          <w:p w14:paraId="4A315F6A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632642B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4DDA652F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☆✕✕</w:t>
            </w:r>
          </w:p>
        </w:tc>
        <w:tc>
          <w:tcPr>
            <w:tcW w:w="1667" w:type="dxa"/>
            <w:vAlign w:val="center"/>
          </w:tcPr>
          <w:p w14:paraId="4E689BD5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6</w:t>
            </w:r>
          </w:p>
        </w:tc>
      </w:tr>
      <w:tr w:rsidR="002501EE" w:rsidRPr="00A42B69" w14:paraId="279E0C87" w14:textId="77777777" w:rsidTr="00D106FB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FF0B0F7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Karppi J et al., 2013</w:t>
            </w:r>
          </w:p>
        </w:tc>
        <w:tc>
          <w:tcPr>
            <w:tcW w:w="1530" w:type="dxa"/>
            <w:vAlign w:val="center"/>
          </w:tcPr>
          <w:p w14:paraId="1FC1B931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65EA4EE3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68E13C3E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23D1184D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22AFF041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553669D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Rapsomaniki E et al., 2014</w:t>
            </w:r>
          </w:p>
        </w:tc>
        <w:tc>
          <w:tcPr>
            <w:tcW w:w="1530" w:type="dxa"/>
            <w:vAlign w:val="center"/>
          </w:tcPr>
          <w:p w14:paraId="1B94917E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☆☆☆☆</w:t>
            </w:r>
          </w:p>
        </w:tc>
        <w:tc>
          <w:tcPr>
            <w:tcW w:w="1890" w:type="dxa"/>
            <w:vAlign w:val="center"/>
          </w:tcPr>
          <w:p w14:paraId="2D9E5D60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2F70F41B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1B518D8C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57903C10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2A0B086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Mannsverk J et al., 2016</w:t>
            </w:r>
          </w:p>
        </w:tc>
        <w:tc>
          <w:tcPr>
            <w:tcW w:w="1530" w:type="dxa"/>
            <w:vAlign w:val="center"/>
          </w:tcPr>
          <w:p w14:paraId="79A0E66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☆☆☆☆</w:t>
            </w:r>
          </w:p>
        </w:tc>
        <w:tc>
          <w:tcPr>
            <w:tcW w:w="1890" w:type="dxa"/>
            <w:vAlign w:val="center"/>
          </w:tcPr>
          <w:p w14:paraId="2CB33869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7287E2E4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</w:t>
            </w:r>
          </w:p>
        </w:tc>
        <w:tc>
          <w:tcPr>
            <w:tcW w:w="1667" w:type="dxa"/>
            <w:vAlign w:val="center"/>
          </w:tcPr>
          <w:p w14:paraId="6218415B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9</w:t>
            </w:r>
          </w:p>
        </w:tc>
      </w:tr>
      <w:tr w:rsidR="002501EE" w:rsidRPr="00A42B69" w14:paraId="4764B624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35D2341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Waks JW et al., 2016</w:t>
            </w:r>
          </w:p>
        </w:tc>
        <w:tc>
          <w:tcPr>
            <w:tcW w:w="1530" w:type="dxa"/>
            <w:vAlign w:val="center"/>
          </w:tcPr>
          <w:p w14:paraId="371E4E9A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20BA498E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25A49DBC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37440446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  <w:tr w:rsidR="002501EE" w:rsidRPr="00A42B69" w14:paraId="0F1C96A2" w14:textId="77777777" w:rsidTr="00D106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DAC4C34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Khosravi A et al., 2017</w:t>
            </w:r>
          </w:p>
        </w:tc>
        <w:tc>
          <w:tcPr>
            <w:tcW w:w="1530" w:type="dxa"/>
            <w:vAlign w:val="center"/>
          </w:tcPr>
          <w:p w14:paraId="55F471E2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☆☆☆☆</w:t>
            </w:r>
          </w:p>
        </w:tc>
        <w:tc>
          <w:tcPr>
            <w:tcW w:w="1890" w:type="dxa"/>
            <w:vAlign w:val="center"/>
          </w:tcPr>
          <w:p w14:paraId="1DC1C2D8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2D5CA6D8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56798628" w14:textId="77777777" w:rsidR="002501EE" w:rsidRPr="00A42B69" w:rsidRDefault="002501EE" w:rsidP="00D106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8</w:t>
            </w:r>
          </w:p>
        </w:tc>
      </w:tr>
      <w:tr w:rsidR="002501EE" w:rsidRPr="00A42B69" w14:paraId="2ABB391E" w14:textId="77777777" w:rsidTr="00D106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6CB801E" w14:textId="77777777" w:rsidR="002501EE" w:rsidRPr="00A42B69" w:rsidRDefault="002501EE" w:rsidP="00D106FB">
            <w:pPr>
              <w:spacing w:line="240" w:lineRule="auto"/>
              <w:jc w:val="left"/>
              <w:rPr>
                <w:rFonts w:ascii="Arial" w:hAnsi="Arial" w:cs="Arial"/>
                <w:b w:val="0"/>
                <w:color w:val="auto"/>
              </w:rPr>
            </w:pPr>
            <w:r w:rsidRPr="00A42B69">
              <w:rPr>
                <w:rFonts w:ascii="Arial" w:hAnsi="Arial" w:cs="Arial"/>
                <w:b w:val="0"/>
                <w:color w:val="auto"/>
              </w:rPr>
              <w:t>Bogle BM et al., 2018</w:t>
            </w:r>
          </w:p>
        </w:tc>
        <w:tc>
          <w:tcPr>
            <w:tcW w:w="1530" w:type="dxa"/>
            <w:vAlign w:val="center"/>
          </w:tcPr>
          <w:p w14:paraId="57FEF2BD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☆☆☆✕</w:t>
            </w:r>
          </w:p>
        </w:tc>
        <w:tc>
          <w:tcPr>
            <w:tcW w:w="1890" w:type="dxa"/>
            <w:vAlign w:val="center"/>
          </w:tcPr>
          <w:p w14:paraId="6AB30F74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</w:t>
            </w:r>
          </w:p>
        </w:tc>
        <w:tc>
          <w:tcPr>
            <w:tcW w:w="1496" w:type="dxa"/>
            <w:vAlign w:val="center"/>
          </w:tcPr>
          <w:p w14:paraId="7264CA53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2B69">
              <w:rPr>
                <w:rFonts w:ascii="MS Mincho" w:eastAsia="MS Mincho" w:hAnsi="MS Mincho" w:cs="MS Mincho"/>
                <w:color w:val="auto"/>
              </w:rPr>
              <w:t>☆☆✕</w:t>
            </w:r>
          </w:p>
        </w:tc>
        <w:tc>
          <w:tcPr>
            <w:tcW w:w="1667" w:type="dxa"/>
            <w:vAlign w:val="center"/>
          </w:tcPr>
          <w:p w14:paraId="1FB2D5A7" w14:textId="77777777" w:rsidR="002501EE" w:rsidRPr="00A42B69" w:rsidRDefault="002501EE" w:rsidP="00D106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A42B69">
              <w:rPr>
                <w:rFonts w:ascii="Arial" w:hAnsi="Arial" w:cs="Arial"/>
                <w:b/>
                <w:color w:val="auto"/>
              </w:rPr>
              <w:t>7</w:t>
            </w:r>
          </w:p>
        </w:tc>
      </w:tr>
    </w:tbl>
    <w:p w14:paraId="6B8AF861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</w:p>
    <w:p w14:paraId="4D67A230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</w:p>
    <w:p w14:paraId="1BC5FC82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</w:p>
    <w:p w14:paraId="1574BE60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</w:p>
    <w:p w14:paraId="3AB836BA" w14:textId="77777777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</w:p>
    <w:p w14:paraId="48184CD8" w14:textId="77777777" w:rsidR="002501EE" w:rsidRDefault="002501EE" w:rsidP="002501EE">
      <w:pPr>
        <w:spacing w:after="0" w:line="240" w:lineRule="auto"/>
        <w:jc w:val="left"/>
        <w:rPr>
          <w:rFonts w:ascii="Arial" w:eastAsiaTheme="majorEastAsia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br w:type="page"/>
      </w:r>
    </w:p>
    <w:p w14:paraId="6748DB0D" w14:textId="1C9EF5A9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Supplementary Fig. 1 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>Funnel plot of the meta-analysis of cohort studies on hyp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ertension and </w:t>
      </w:r>
      <w:r w:rsidR="00B2079F">
        <w:rPr>
          <w:rFonts w:ascii="Arial" w:hAnsi="Arial" w:cs="Arial"/>
          <w:b/>
          <w:color w:val="8496B0" w:themeColor="text2" w:themeTint="99"/>
          <w:sz w:val="24"/>
          <w:szCs w:val="24"/>
        </w:rPr>
        <w:t>sudden cardiac death</w:t>
      </w:r>
    </w:p>
    <w:p w14:paraId="710860BB" w14:textId="77777777" w:rsidR="002501EE" w:rsidRDefault="002501EE" w:rsidP="002501EE"/>
    <w:p w14:paraId="6973CC0F" w14:textId="77777777" w:rsidR="002501EE" w:rsidRDefault="002501EE" w:rsidP="002501EE">
      <w:pPr>
        <w:jc w:val="center"/>
      </w:pPr>
      <w:r w:rsidRPr="0066314F"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5BB5545E" wp14:editId="56727FFA">
            <wp:extent cx="50292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4B78" w14:textId="77777777" w:rsidR="002501EE" w:rsidRDefault="002501EE" w:rsidP="002501EE">
      <w:pPr>
        <w:jc w:val="center"/>
      </w:pPr>
    </w:p>
    <w:p w14:paraId="2E240347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69E759D" w14:textId="3AFF2E48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Fig. 2</w:t>
      </w:r>
      <w:r w:rsidRPr="00806779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Influence analysis excluding one study at a time for the meta-analysis of cohort studies on hypert</w:t>
      </w:r>
      <w:r w:rsidR="00B2079F">
        <w:rPr>
          <w:rFonts w:ascii="Arial" w:hAnsi="Arial" w:cs="Arial"/>
          <w:b/>
          <w:color w:val="8496B0" w:themeColor="text2" w:themeTint="99"/>
          <w:sz w:val="24"/>
          <w:szCs w:val="24"/>
        </w:rPr>
        <w:t>ension and sudden cardiac death</w:t>
      </w:r>
    </w:p>
    <w:p w14:paraId="7812D210" w14:textId="77777777" w:rsidR="002501EE" w:rsidRPr="00B47B6F" w:rsidRDefault="002501EE" w:rsidP="002501EE"/>
    <w:p w14:paraId="05119B57" w14:textId="77777777" w:rsidR="002501EE" w:rsidRPr="008601FA" w:rsidRDefault="002501EE" w:rsidP="002501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B3675"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01A46DE5" wp14:editId="1C189607">
            <wp:extent cx="4978182" cy="3318789"/>
            <wp:effectExtent l="0" t="0" r="63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4475" cy="333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0FEE6" w14:textId="77777777" w:rsidR="002501EE" w:rsidRPr="00AD5380" w:rsidRDefault="002501EE" w:rsidP="002501EE">
      <w:pPr>
        <w:jc w:val="center"/>
        <w:rPr>
          <w:rFonts w:ascii="Arial" w:eastAsiaTheme="majorEastAsia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764047FB" wp14:editId="1B1671CB">
            <wp:extent cx="4034376" cy="4160747"/>
            <wp:effectExtent l="0" t="0" r="4445" b="5080"/>
            <wp:docPr id="30" name="Picture 30" descr="../../../../../Desktop/HTN%20inf%20anal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../../Desktop/HTN%20inf%20analy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596" cy="420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F6A0F" w14:textId="77777777" w:rsidR="002501EE" w:rsidRDefault="002501EE" w:rsidP="002501EE">
      <w:pPr>
        <w:jc w:val="left"/>
        <w:rPr>
          <w:rFonts w:ascii="Arial" w:eastAsiaTheme="majorEastAsia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br w:type="page"/>
      </w:r>
    </w:p>
    <w:p w14:paraId="6454BD9A" w14:textId="7B3BA09C" w:rsidR="002501EE" w:rsidRPr="00C014D4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Fig. 3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Funnel plot of the meta-ana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>lysis of cohort studies on systolic blood pressure</w:t>
      </w:r>
      <w:r w:rsidR="00B2079F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and sudden cardiac death</w:t>
      </w:r>
    </w:p>
    <w:p w14:paraId="21FABC53" w14:textId="77777777" w:rsidR="002501EE" w:rsidRDefault="002501EE" w:rsidP="002501EE">
      <w:pPr>
        <w:spacing w:line="360" w:lineRule="auto"/>
        <w:rPr>
          <w:rFonts w:ascii="Arial" w:hAnsi="Arial" w:cs="Arial"/>
          <w:sz w:val="24"/>
          <w:szCs w:val="24"/>
        </w:rPr>
      </w:pPr>
    </w:p>
    <w:p w14:paraId="2B178DE7" w14:textId="77777777" w:rsidR="002501EE" w:rsidRDefault="002501EE" w:rsidP="002501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73668"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47182F85" wp14:editId="05E3D2B1">
            <wp:extent cx="5029200" cy="3657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90EA" w14:textId="77777777" w:rsidR="002501EE" w:rsidRDefault="002501EE" w:rsidP="002501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DE32B1C" w14:textId="77777777" w:rsidR="002501EE" w:rsidRDefault="002501EE" w:rsidP="002501EE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F9C3AA" w14:textId="0664AE3B" w:rsidR="002501EE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Fig. 4</w:t>
      </w:r>
      <w:r w:rsidRPr="00806779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Influence analysis excluding one study at a time for the meta-analysis o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>f cohort studies on systolic blood pressure (per 20 mmHg)</w:t>
      </w:r>
      <w:r w:rsidRPr="00806779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and 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sudden </w:t>
      </w:r>
      <w:r w:rsidR="00B2079F">
        <w:rPr>
          <w:rFonts w:ascii="Arial" w:hAnsi="Arial" w:cs="Arial"/>
          <w:b/>
          <w:color w:val="8496B0" w:themeColor="text2" w:themeTint="99"/>
          <w:sz w:val="24"/>
          <w:szCs w:val="24"/>
        </w:rPr>
        <w:t>cardiac death</w:t>
      </w:r>
      <w:bookmarkStart w:id="0" w:name="_GoBack"/>
      <w:bookmarkEnd w:id="0"/>
    </w:p>
    <w:p w14:paraId="0ED41938" w14:textId="77777777" w:rsidR="002501EE" w:rsidRDefault="002501EE" w:rsidP="002501EE">
      <w:pPr>
        <w:jc w:val="center"/>
        <w:rPr>
          <w:rFonts w:ascii="Arial" w:hAnsi="Arial" w:cs="Arial"/>
          <w:sz w:val="24"/>
          <w:szCs w:val="24"/>
        </w:rPr>
      </w:pPr>
      <w:r w:rsidRPr="00E73668"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10168DD2" wp14:editId="4C4B69A2">
            <wp:extent cx="5486400" cy="3657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81F41" w14:textId="77777777" w:rsidR="002501EE" w:rsidRDefault="002501EE" w:rsidP="002501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04205C79" wp14:editId="688841A8">
            <wp:extent cx="5029200" cy="3990340"/>
            <wp:effectExtent l="0" t="0" r="0" b="0"/>
            <wp:docPr id="45" name="Picture 45" descr="../../../../../Desktop/SBP%20inf%20anal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../../../Desktop/SBP%20inf%20analy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3FD5E" w14:textId="77777777" w:rsidR="002501EE" w:rsidRDefault="002501EE" w:rsidP="002501EE">
      <w:pPr>
        <w:jc w:val="center"/>
        <w:rPr>
          <w:rFonts w:ascii="Arial" w:hAnsi="Arial" w:cs="Arial"/>
          <w:sz w:val="24"/>
          <w:szCs w:val="24"/>
        </w:rPr>
      </w:pPr>
    </w:p>
    <w:p w14:paraId="2C8BE9A0" w14:textId="77777777" w:rsidR="002501EE" w:rsidRPr="00C014D4" w:rsidRDefault="002501EE" w:rsidP="002501EE">
      <w:pPr>
        <w:pStyle w:val="Heading2"/>
        <w:spacing w:line="360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>
        <w:rPr>
          <w:rFonts w:ascii="Arial" w:hAnsi="Arial" w:cs="Arial"/>
          <w:b/>
          <w:color w:val="8496B0" w:themeColor="text2" w:themeTint="99"/>
          <w:sz w:val="24"/>
          <w:szCs w:val="24"/>
        </w:rPr>
        <w:t>Supplementary Fig. 5</w:t>
      </w:r>
      <w:r w:rsidRPr="00C014D4">
        <w:rPr>
          <w:rFonts w:ascii="Arial" w:hAnsi="Arial" w:cs="Arial"/>
          <w:b/>
          <w:color w:val="8496B0" w:themeColor="text2" w:themeTint="99"/>
          <w:sz w:val="24"/>
          <w:szCs w:val="24"/>
        </w:rPr>
        <w:t xml:space="preserve"> Funnel plot of the meta-ana</w:t>
      </w:r>
      <w:r>
        <w:rPr>
          <w:rFonts w:ascii="Arial" w:hAnsi="Arial" w:cs="Arial"/>
          <w:b/>
          <w:color w:val="8496B0" w:themeColor="text2" w:themeTint="99"/>
          <w:sz w:val="24"/>
          <w:szCs w:val="24"/>
        </w:rPr>
        <w:t>lysis of cohort studies on diastolic blood pressure and sudden cardiac death</w:t>
      </w:r>
    </w:p>
    <w:p w14:paraId="0E8E56F3" w14:textId="77777777" w:rsidR="002501EE" w:rsidRDefault="002501EE" w:rsidP="002501EE">
      <w:pPr>
        <w:spacing w:line="360" w:lineRule="auto"/>
        <w:rPr>
          <w:rFonts w:ascii="Arial" w:hAnsi="Arial" w:cs="Arial"/>
          <w:sz w:val="24"/>
          <w:szCs w:val="24"/>
        </w:rPr>
      </w:pPr>
    </w:p>
    <w:p w14:paraId="05AA681F" w14:textId="77777777" w:rsidR="002501EE" w:rsidRDefault="002501EE" w:rsidP="002501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69C0">
        <w:rPr>
          <w:rFonts w:ascii="Arial" w:hAnsi="Arial" w:cs="Arial"/>
          <w:noProof/>
          <w:sz w:val="24"/>
          <w:szCs w:val="24"/>
          <w:lang w:eastAsia="zh-CN"/>
        </w:rPr>
        <w:drawing>
          <wp:inline distT="0" distB="0" distL="0" distR="0" wp14:anchorId="4E4BB09C" wp14:editId="48C31DB3">
            <wp:extent cx="5029200" cy="3657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1772" w14:textId="77777777" w:rsidR="002501EE" w:rsidRPr="00AD7271" w:rsidRDefault="002501EE" w:rsidP="002501EE">
      <w:pPr>
        <w:spacing w:after="0" w:line="240" w:lineRule="auto"/>
        <w:jc w:val="left"/>
        <w:rPr>
          <w:rFonts w:ascii="Arial" w:hAnsi="Arial" w:cs="Arial"/>
          <w:sz w:val="24"/>
          <w:szCs w:val="24"/>
          <w:lang w:val="en-US"/>
        </w:rPr>
      </w:pPr>
    </w:p>
    <w:p w14:paraId="6B443A73" w14:textId="77777777" w:rsidR="009279AE" w:rsidRPr="000E2123" w:rsidRDefault="00B2079F">
      <w:pPr>
        <w:rPr>
          <w:lang w:val="en-US"/>
        </w:rPr>
      </w:pPr>
    </w:p>
    <w:sectPr w:rsidR="009279AE" w:rsidRPr="000E2123" w:rsidSect="00C5066B">
      <w:pgSz w:w="11900" w:h="16840"/>
      <w:pgMar w:top="1440" w:right="1440" w:bottom="1440" w:left="1440" w:header="720" w:footer="720" w:gutter="0"/>
      <w:cols w:space="720"/>
      <w:titlePg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3612B3"/>
    <w:multiLevelType w:val="multilevel"/>
    <w:tmpl w:val="FF4804F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23"/>
    <w:rsid w:val="000E2123"/>
    <w:rsid w:val="00141496"/>
    <w:rsid w:val="001F60A2"/>
    <w:rsid w:val="002501EE"/>
    <w:rsid w:val="00516EB2"/>
    <w:rsid w:val="00B2079F"/>
    <w:rsid w:val="00D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6D1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2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01EE"/>
    <w:pPr>
      <w:spacing w:after="160" w:line="259" w:lineRule="auto"/>
      <w:jc w:val="both"/>
    </w:pPr>
    <w:rPr>
      <w:rFonts w:ascii="Times New Roman" w:hAnsi="Times New Roman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1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1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1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01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GridTable6Colorful-Accent3">
    <w:name w:val="Grid Table 6 Colorful Accent 3"/>
    <w:basedOn w:val="TableNormal"/>
    <w:uiPriority w:val="51"/>
    <w:rsid w:val="002501EE"/>
    <w:rPr>
      <w:rFonts w:asciiTheme="minorHAnsi" w:hAnsiTheme="minorHAnsi"/>
      <w:color w:val="7B7B7B" w:themeColor="accent3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250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png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2608</Words>
  <Characters>14870</Characters>
  <Application>Microsoft Macintosh Word</Application>
  <DocSecurity>0</DocSecurity>
  <Lines>123</Lines>
  <Paragraphs>34</Paragraphs>
  <ScaleCrop>false</ScaleCrop>
  <LinksUpToDate>false</LinksUpToDate>
  <CharactersWithSpaces>17444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Pan, Zoe</dc:creator>
  <cp:keywords/>
  <dc:description/>
  <cp:lastModifiedBy>Pan, Zoe</cp:lastModifiedBy>
  <cp:revision>4</cp:revision>
  <dcterms:created xsi:type="dcterms:W3CDTF">2019-03-28T10:38:00Z</dcterms:created>
  <dcterms:modified xsi:type="dcterms:W3CDTF">2019-03-28T10:40:00Z</dcterms:modified>
</cp:coreProperties>
</file>