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A7178" w14:textId="77777777" w:rsidR="00670CB0" w:rsidRDefault="00670CB0" w:rsidP="00670CB0">
      <w:pPr>
        <w:rPr>
          <w:rFonts w:ascii="Times New Roman" w:hAnsi="Times New Roman"/>
          <w:b/>
          <w:sz w:val="24"/>
          <w:szCs w:val="24"/>
          <w:lang w:val="en-US"/>
        </w:rPr>
      </w:pPr>
      <w:r>
        <w:rPr>
          <w:rFonts w:ascii="Times New Roman" w:hAnsi="Times New Roman"/>
          <w:b/>
          <w:sz w:val="24"/>
          <w:szCs w:val="24"/>
          <w:lang w:val="en-US"/>
        </w:rPr>
        <w:t>Supplementary material</w:t>
      </w:r>
    </w:p>
    <w:p w14:paraId="172FF5EB" w14:textId="77777777" w:rsidR="00670CB0" w:rsidRDefault="00670CB0" w:rsidP="00670CB0">
      <w:pPr>
        <w:rPr>
          <w:rFonts w:ascii="Times New Roman" w:hAnsi="Times New Roman"/>
          <w:i/>
          <w:sz w:val="24"/>
          <w:szCs w:val="24"/>
          <w:u w:val="single"/>
          <w:lang w:val="en-US"/>
        </w:rPr>
      </w:pPr>
      <w:r>
        <w:rPr>
          <w:rFonts w:ascii="Times New Roman" w:hAnsi="Times New Roman"/>
          <w:i/>
          <w:sz w:val="24"/>
          <w:szCs w:val="24"/>
          <w:u w:val="single"/>
          <w:lang w:val="en-US"/>
        </w:rPr>
        <w:t>Survival models</w:t>
      </w:r>
    </w:p>
    <w:p w14:paraId="25F9EC60" w14:textId="53A574F3" w:rsidR="00670CB0" w:rsidRPr="0023626A" w:rsidRDefault="00670CB0" w:rsidP="00670CB0">
      <w:pPr>
        <w:rPr>
          <w:rFonts w:ascii="Times New Roman" w:hAnsi="Times New Roman"/>
          <w:sz w:val="24"/>
          <w:szCs w:val="24"/>
          <w:lang w:val="en-US"/>
        </w:rPr>
      </w:pPr>
      <w:r w:rsidRPr="00D46E91">
        <w:rPr>
          <w:rFonts w:ascii="Times New Roman" w:hAnsi="Times New Roman"/>
          <w:sz w:val="24"/>
          <w:szCs w:val="24"/>
          <w:lang w:val="en-US"/>
        </w:rPr>
        <w:t>Hazard ratios (HR) and 95% confidence intervals (CI) to assess the association</w:t>
      </w:r>
      <w:r w:rsidR="007C58A2">
        <w:rPr>
          <w:rFonts w:ascii="Times New Roman" w:hAnsi="Times New Roman"/>
          <w:sz w:val="24"/>
          <w:szCs w:val="24"/>
          <w:lang w:val="en-US"/>
        </w:rPr>
        <w:t>s</w:t>
      </w:r>
      <w:r w:rsidRPr="00D46E91">
        <w:rPr>
          <w:rFonts w:ascii="Times New Roman" w:hAnsi="Times New Roman"/>
          <w:sz w:val="24"/>
          <w:szCs w:val="24"/>
          <w:lang w:val="en-US"/>
        </w:rPr>
        <w:t xml:space="preserve"> between the exposures </w:t>
      </w:r>
      <w:r w:rsidR="007C58A2">
        <w:rPr>
          <w:rFonts w:ascii="Times New Roman" w:hAnsi="Times New Roman"/>
          <w:sz w:val="24"/>
          <w:szCs w:val="24"/>
          <w:lang w:val="en-US"/>
        </w:rPr>
        <w:t xml:space="preserve">(anthropometric measures used as markers of body fatness) </w:t>
      </w:r>
      <w:r w:rsidRPr="00D46E91">
        <w:rPr>
          <w:rFonts w:ascii="Times New Roman" w:hAnsi="Times New Roman"/>
          <w:sz w:val="24"/>
          <w:szCs w:val="24"/>
          <w:lang w:val="en-US"/>
        </w:rPr>
        <w:t>and mortality outcomes were derived from multivariate Cox proportional hazards (PH) regression model</w:t>
      </w:r>
      <w:r w:rsidR="007C58A2">
        <w:rPr>
          <w:rFonts w:ascii="Times New Roman" w:hAnsi="Times New Roman"/>
          <w:sz w:val="24"/>
          <w:szCs w:val="24"/>
          <w:lang w:val="en-US"/>
        </w:rPr>
        <w:t>s</w:t>
      </w:r>
      <w:r w:rsidRPr="00D46E91">
        <w:rPr>
          <w:rFonts w:ascii="Times New Roman" w:hAnsi="Times New Roman"/>
          <w:sz w:val="24"/>
          <w:szCs w:val="24"/>
          <w:lang w:val="en-US"/>
        </w:rPr>
        <w:t xml:space="preserve"> for overall mortality, and </w:t>
      </w:r>
      <w:r w:rsidR="007C58A2">
        <w:rPr>
          <w:rFonts w:ascii="Times New Roman" w:hAnsi="Times New Roman"/>
          <w:sz w:val="24"/>
          <w:szCs w:val="24"/>
          <w:lang w:val="en-US"/>
        </w:rPr>
        <w:t xml:space="preserve">from </w:t>
      </w:r>
      <w:r w:rsidRPr="00D46E91">
        <w:rPr>
          <w:rFonts w:ascii="Times New Roman" w:hAnsi="Times New Roman"/>
          <w:sz w:val="24"/>
          <w:szCs w:val="24"/>
          <w:lang w:val="en-US"/>
        </w:rPr>
        <w:t>Fine-Gray competing risk model</w:t>
      </w:r>
      <w:r w:rsidR="007C58A2">
        <w:rPr>
          <w:rFonts w:ascii="Times New Roman" w:hAnsi="Times New Roman"/>
          <w:sz w:val="24"/>
          <w:szCs w:val="24"/>
          <w:lang w:val="en-US"/>
        </w:rPr>
        <w:t>s</w:t>
      </w:r>
      <w:r w:rsidRPr="00D46E91">
        <w:rPr>
          <w:rFonts w:ascii="Times New Roman" w:hAnsi="Times New Roman"/>
          <w:sz w:val="24"/>
          <w:szCs w:val="24"/>
          <w:lang w:val="en-US"/>
        </w:rPr>
        <w:t xml:space="preserve"> for </w:t>
      </w:r>
      <w:r>
        <w:rPr>
          <w:rFonts w:ascii="Times New Roman" w:hAnsi="Times New Roman"/>
          <w:sz w:val="24"/>
          <w:szCs w:val="24"/>
          <w:lang w:val="en-US"/>
        </w:rPr>
        <w:t>breast cancer-specific</w:t>
      </w:r>
      <w:r w:rsidRPr="00D46E91">
        <w:rPr>
          <w:rFonts w:ascii="Times New Roman" w:hAnsi="Times New Roman"/>
          <w:sz w:val="24"/>
          <w:szCs w:val="24"/>
          <w:lang w:val="en-US"/>
        </w:rPr>
        <w:t xml:space="preserve"> mortality. </w:t>
      </w:r>
      <w:r w:rsidR="00F02352">
        <w:rPr>
          <w:rFonts w:ascii="Times New Roman" w:hAnsi="Times New Roman"/>
          <w:sz w:val="24"/>
          <w:szCs w:val="24"/>
          <w:lang w:val="en-US"/>
        </w:rPr>
        <w:t xml:space="preserve">Depending </w:t>
      </w:r>
      <w:r w:rsidR="00433EE2" w:rsidRPr="00433EE2">
        <w:rPr>
          <w:rFonts w:ascii="Times New Roman" w:hAnsi="Times New Roman"/>
          <w:sz w:val="24"/>
          <w:szCs w:val="24"/>
          <w:lang w:val="en-US"/>
        </w:rPr>
        <w:t>on whether</w:t>
      </w:r>
      <w:r w:rsidR="00F02352">
        <w:rPr>
          <w:rFonts w:ascii="Times New Roman" w:hAnsi="Times New Roman"/>
          <w:sz w:val="24"/>
          <w:szCs w:val="24"/>
          <w:lang w:val="en-US"/>
        </w:rPr>
        <w:t xml:space="preserve"> the anthropometric data </w:t>
      </w:r>
      <w:r w:rsidR="003255CC">
        <w:rPr>
          <w:rFonts w:ascii="Times New Roman" w:hAnsi="Times New Roman"/>
          <w:sz w:val="24"/>
          <w:szCs w:val="24"/>
          <w:lang w:val="en-US"/>
        </w:rPr>
        <w:t>under analysis</w:t>
      </w:r>
      <w:r w:rsidR="00F02352">
        <w:rPr>
          <w:rFonts w:ascii="Times New Roman" w:hAnsi="Times New Roman"/>
          <w:sz w:val="24"/>
          <w:szCs w:val="24"/>
          <w:lang w:val="en-US"/>
        </w:rPr>
        <w:t xml:space="preserve"> were measured at baseline or </w:t>
      </w:r>
      <w:r w:rsidR="003255CC">
        <w:rPr>
          <w:rFonts w:ascii="Times New Roman" w:hAnsi="Times New Roman"/>
          <w:sz w:val="24"/>
          <w:szCs w:val="24"/>
          <w:lang w:val="en-US"/>
        </w:rPr>
        <w:t xml:space="preserve">after </w:t>
      </w:r>
      <w:r w:rsidR="00F02352">
        <w:rPr>
          <w:rFonts w:ascii="Times New Roman" w:hAnsi="Times New Roman"/>
          <w:sz w:val="24"/>
          <w:szCs w:val="24"/>
          <w:lang w:val="en-US"/>
        </w:rPr>
        <w:t xml:space="preserve">diagnosis, </w:t>
      </w:r>
      <w:r w:rsidR="00D23F44">
        <w:rPr>
          <w:rFonts w:ascii="Times New Roman" w:hAnsi="Times New Roman"/>
          <w:sz w:val="24"/>
          <w:szCs w:val="24"/>
          <w:lang w:val="en-US"/>
        </w:rPr>
        <w:t xml:space="preserve">the considered time-scale was time since diagnosis </w:t>
      </w:r>
      <w:r w:rsidR="00D23F44" w:rsidRPr="00D46E91">
        <w:rPr>
          <w:rFonts w:ascii="Times New Roman" w:hAnsi="Times New Roman"/>
          <w:sz w:val="24"/>
          <w:szCs w:val="24"/>
          <w:lang w:val="en-US"/>
        </w:rPr>
        <w:t xml:space="preserve">of breast cancer </w:t>
      </w:r>
      <w:r w:rsidR="00D23F44">
        <w:rPr>
          <w:rFonts w:ascii="Times New Roman" w:hAnsi="Times New Roman"/>
          <w:sz w:val="24"/>
          <w:szCs w:val="24"/>
          <w:lang w:val="en-US"/>
        </w:rPr>
        <w:t>(</w:t>
      </w:r>
      <w:r w:rsidR="00D23F44" w:rsidRPr="00D46E91">
        <w:rPr>
          <w:rFonts w:ascii="Times New Roman" w:hAnsi="Times New Roman"/>
          <w:sz w:val="24"/>
          <w:szCs w:val="24"/>
          <w:lang w:val="en-US"/>
        </w:rPr>
        <w:t>BC)</w:t>
      </w:r>
      <w:r w:rsidR="00D23F44">
        <w:rPr>
          <w:rFonts w:ascii="Times New Roman" w:hAnsi="Times New Roman"/>
          <w:sz w:val="24"/>
          <w:szCs w:val="24"/>
          <w:lang w:val="en-US"/>
        </w:rPr>
        <w:t xml:space="preserve"> or time since </w:t>
      </w:r>
      <w:r w:rsidR="00F02352">
        <w:rPr>
          <w:rFonts w:ascii="Times New Roman" w:hAnsi="Times New Roman"/>
          <w:sz w:val="24"/>
          <w:szCs w:val="24"/>
          <w:lang w:val="en-US"/>
        </w:rPr>
        <w:t>the second anthropometric assessment;</w:t>
      </w:r>
      <w:r w:rsidR="00D23F44">
        <w:rPr>
          <w:rFonts w:ascii="Times New Roman" w:hAnsi="Times New Roman"/>
          <w:sz w:val="24"/>
          <w:szCs w:val="24"/>
          <w:lang w:val="en-US"/>
        </w:rPr>
        <w:t xml:space="preserve"> in both cases,</w:t>
      </w:r>
      <w:r w:rsidRPr="00D46E91">
        <w:rPr>
          <w:rFonts w:ascii="Times New Roman" w:hAnsi="Times New Roman"/>
          <w:sz w:val="24"/>
          <w:szCs w:val="24"/>
          <w:lang w:val="en-US"/>
        </w:rPr>
        <w:t xml:space="preserve"> exit time was </w:t>
      </w:r>
      <w:r w:rsidR="007C58A2">
        <w:rPr>
          <w:rFonts w:ascii="Times New Roman" w:hAnsi="Times New Roman"/>
          <w:sz w:val="24"/>
          <w:szCs w:val="24"/>
          <w:lang w:val="en-US"/>
        </w:rPr>
        <w:t xml:space="preserve">the </w:t>
      </w:r>
      <w:r w:rsidRPr="00D46E91">
        <w:rPr>
          <w:rFonts w:ascii="Times New Roman" w:hAnsi="Times New Roman"/>
          <w:sz w:val="24"/>
          <w:szCs w:val="24"/>
          <w:lang w:val="en-US"/>
        </w:rPr>
        <w:t>date of death</w:t>
      </w:r>
      <w:r w:rsidR="00F02352">
        <w:rPr>
          <w:rFonts w:ascii="Times New Roman" w:hAnsi="Times New Roman"/>
          <w:sz w:val="24"/>
          <w:szCs w:val="24"/>
          <w:lang w:val="en-US"/>
        </w:rPr>
        <w:t>, emigration</w:t>
      </w:r>
      <w:r w:rsidRPr="00D46E91">
        <w:rPr>
          <w:rFonts w:ascii="Times New Roman" w:hAnsi="Times New Roman"/>
          <w:sz w:val="24"/>
          <w:szCs w:val="24"/>
          <w:lang w:val="en-US"/>
        </w:rPr>
        <w:t xml:space="preserve"> or end of follow-up</w:t>
      </w:r>
      <w:r w:rsidR="00433EE2">
        <w:rPr>
          <w:rFonts w:ascii="Times New Roman" w:hAnsi="Times New Roman"/>
          <w:sz w:val="24"/>
          <w:szCs w:val="24"/>
          <w:lang w:val="en-US"/>
        </w:rPr>
        <w:t xml:space="preserve">, </w:t>
      </w:r>
      <w:r w:rsidR="00433EE2" w:rsidRPr="00433EE2">
        <w:rPr>
          <w:rFonts w:ascii="Times New Roman" w:hAnsi="Times New Roman"/>
          <w:sz w:val="24"/>
          <w:szCs w:val="24"/>
          <w:lang w:val="en-US"/>
        </w:rPr>
        <w:t>whichever came first</w:t>
      </w:r>
      <w:r w:rsidRPr="00D46E91">
        <w:rPr>
          <w:rFonts w:ascii="Times New Roman" w:hAnsi="Times New Roman"/>
          <w:sz w:val="24"/>
          <w:szCs w:val="24"/>
          <w:lang w:val="en-US"/>
        </w:rPr>
        <w:t xml:space="preserve">. The survival models were stratified by country and menopausal status at diagnosis. Menopausal </w:t>
      </w:r>
      <w:r w:rsidR="007C58A2">
        <w:rPr>
          <w:rFonts w:ascii="Times New Roman" w:hAnsi="Times New Roman"/>
          <w:sz w:val="24"/>
          <w:szCs w:val="24"/>
          <w:lang w:val="en-US"/>
        </w:rPr>
        <w:t xml:space="preserve">status </w:t>
      </w:r>
      <w:r w:rsidRPr="00D46E91">
        <w:rPr>
          <w:rFonts w:ascii="Times New Roman" w:hAnsi="Times New Roman"/>
          <w:sz w:val="24"/>
          <w:szCs w:val="24"/>
          <w:lang w:val="en-US"/>
        </w:rPr>
        <w:t xml:space="preserve">at diagnosis was derived from the information collected at baseline updated with the information </w:t>
      </w:r>
      <w:r w:rsidR="007C58A2">
        <w:rPr>
          <w:rFonts w:ascii="Times New Roman" w:hAnsi="Times New Roman"/>
          <w:sz w:val="24"/>
          <w:szCs w:val="24"/>
          <w:lang w:val="en-US"/>
        </w:rPr>
        <w:t>of the second assessment gathered during</w:t>
      </w:r>
      <w:r w:rsidR="007C58A2" w:rsidRPr="00D46E91">
        <w:rPr>
          <w:rFonts w:ascii="Times New Roman" w:hAnsi="Times New Roman"/>
          <w:sz w:val="24"/>
          <w:szCs w:val="24"/>
          <w:lang w:val="en-US"/>
        </w:rPr>
        <w:t xml:space="preserve"> </w:t>
      </w:r>
      <w:r w:rsidRPr="00D46E91">
        <w:rPr>
          <w:rFonts w:ascii="Times New Roman" w:hAnsi="Times New Roman"/>
          <w:sz w:val="24"/>
          <w:szCs w:val="24"/>
          <w:lang w:val="en-US"/>
        </w:rPr>
        <w:t>the follow-up</w:t>
      </w:r>
      <w:r w:rsidR="007C58A2">
        <w:rPr>
          <w:rFonts w:ascii="Times New Roman" w:hAnsi="Times New Roman"/>
          <w:sz w:val="24"/>
          <w:szCs w:val="24"/>
          <w:lang w:val="en-US"/>
        </w:rPr>
        <w:t>.</w:t>
      </w:r>
      <w:r w:rsidRPr="00D46E91">
        <w:rPr>
          <w:rFonts w:ascii="Times New Roman" w:hAnsi="Times New Roman"/>
          <w:sz w:val="24"/>
          <w:szCs w:val="24"/>
          <w:lang w:val="en-US"/>
        </w:rPr>
        <w:t xml:space="preserve"> </w:t>
      </w:r>
      <w:r w:rsidR="003F27AB">
        <w:rPr>
          <w:rFonts w:ascii="Times New Roman" w:hAnsi="Times New Roman"/>
          <w:sz w:val="24"/>
          <w:szCs w:val="24"/>
          <w:lang w:val="en-US"/>
        </w:rPr>
        <w:t>W</w:t>
      </w:r>
      <w:r w:rsidRPr="00D46E91">
        <w:rPr>
          <w:rFonts w:ascii="Times New Roman" w:hAnsi="Times New Roman"/>
          <w:sz w:val="24"/>
          <w:szCs w:val="24"/>
          <w:lang w:val="en-US"/>
        </w:rPr>
        <w:t xml:space="preserve">omen with </w:t>
      </w:r>
      <w:r w:rsidR="003F27AB" w:rsidRPr="00D46E91">
        <w:rPr>
          <w:rFonts w:ascii="Times New Roman" w:hAnsi="Times New Roman"/>
          <w:sz w:val="24"/>
          <w:szCs w:val="24"/>
          <w:lang w:val="en-US"/>
        </w:rPr>
        <w:t xml:space="preserve">age at diagnosis </w:t>
      </w:r>
      <w:r w:rsidR="003F27AB" w:rsidRPr="00D46E91">
        <w:rPr>
          <w:rFonts w:ascii="Times New Roman" w:hAnsi="Times New Roman"/>
          <w:sz w:val="24"/>
          <w:szCs w:val="24"/>
          <w:u w:val="single"/>
          <w:lang w:val="en-US"/>
        </w:rPr>
        <w:t>&gt;</w:t>
      </w:r>
      <w:r w:rsidR="003F27AB" w:rsidRPr="00D46E91">
        <w:rPr>
          <w:rFonts w:ascii="Times New Roman" w:hAnsi="Times New Roman"/>
          <w:sz w:val="24"/>
          <w:szCs w:val="24"/>
          <w:lang w:val="en-US"/>
        </w:rPr>
        <w:t xml:space="preserve">55 years </w:t>
      </w:r>
      <w:r w:rsidR="003F27AB">
        <w:rPr>
          <w:rFonts w:ascii="Times New Roman" w:hAnsi="Times New Roman"/>
          <w:sz w:val="24"/>
          <w:szCs w:val="24"/>
          <w:lang w:val="en-US"/>
        </w:rPr>
        <w:t xml:space="preserve">were considered </w:t>
      </w:r>
      <w:r w:rsidRPr="00D46E91">
        <w:rPr>
          <w:rFonts w:ascii="Times New Roman" w:hAnsi="Times New Roman"/>
          <w:sz w:val="24"/>
          <w:szCs w:val="24"/>
          <w:lang w:val="en-US"/>
        </w:rPr>
        <w:t>postmenopausal</w:t>
      </w:r>
      <w:r w:rsidR="003F27AB">
        <w:rPr>
          <w:rFonts w:ascii="Times New Roman" w:hAnsi="Times New Roman"/>
          <w:sz w:val="24"/>
          <w:szCs w:val="24"/>
          <w:lang w:val="en-US"/>
        </w:rPr>
        <w:t>, independently of the information collected at recruitment</w:t>
      </w:r>
      <w:r w:rsidRPr="00D46E91">
        <w:rPr>
          <w:rFonts w:ascii="Times New Roman" w:hAnsi="Times New Roman"/>
          <w:sz w:val="24"/>
          <w:szCs w:val="24"/>
          <w:lang w:val="en-US"/>
        </w:rPr>
        <w:t xml:space="preserve">. The survival models were adjusted for </w:t>
      </w:r>
      <w:r w:rsidR="00433EE2">
        <w:rPr>
          <w:rFonts w:ascii="Times New Roman" w:hAnsi="Times New Roman"/>
          <w:sz w:val="24"/>
          <w:szCs w:val="24"/>
          <w:lang w:val="en-US"/>
        </w:rPr>
        <w:t xml:space="preserve">the following </w:t>
      </w:r>
      <w:r w:rsidRPr="00D46E91">
        <w:rPr>
          <w:rFonts w:ascii="Times New Roman" w:hAnsi="Times New Roman"/>
          <w:sz w:val="24"/>
          <w:szCs w:val="24"/>
          <w:lang w:val="en-US"/>
        </w:rPr>
        <w:t xml:space="preserve">potential confounders: age at diagnosis (5-years categories); attained level of education (none, primary school, secondary school, technical/professional school, longer education, unknown); physical activity (inactive, moderately inactive, moderately active, active, unknown); alcohol consumption (grams/day) reported at recruitment (nondrinker, &gt;0-3 , &gt;3-12, &gt;12-24,&gt;24, unknown); smoking habit and intensity as cigarettes per day (cig/d) at recruitment (never, current 1-15cig/d, current 16-25 cig/d, current </w:t>
      </w:r>
      <w:r w:rsidRPr="00D46E91">
        <w:rPr>
          <w:rFonts w:ascii="Times New Roman" w:hAnsi="Times New Roman"/>
          <w:sz w:val="24"/>
          <w:szCs w:val="24"/>
          <w:u w:val="single"/>
          <w:lang w:val="en-US"/>
        </w:rPr>
        <w:t>&gt;</w:t>
      </w:r>
      <w:r w:rsidRPr="00D46E91">
        <w:rPr>
          <w:rFonts w:ascii="Times New Roman" w:hAnsi="Times New Roman"/>
          <w:sz w:val="24"/>
          <w:szCs w:val="24"/>
          <w:lang w:val="en-US"/>
        </w:rPr>
        <w:t xml:space="preserve">26 cig/d, former quitted 10 years before recruitment, former quitted 11-20 years before recruitment, former quitted more than 20 years before recruitment, current smoker of cigars, pipes and occasional current smokers, current smokers with missing information on the intensity, unknown); ever use of hormone for menopause at diagnosis (yes, no, unknown); </w:t>
      </w:r>
      <w:r w:rsidR="00F02352">
        <w:rPr>
          <w:rFonts w:ascii="Times New Roman" w:hAnsi="Times New Roman"/>
          <w:sz w:val="24"/>
          <w:szCs w:val="24"/>
          <w:lang w:val="en-US"/>
        </w:rPr>
        <w:t>tumor</w:t>
      </w:r>
      <w:r w:rsidRPr="00D46E91">
        <w:rPr>
          <w:rFonts w:ascii="Times New Roman" w:hAnsi="Times New Roman"/>
          <w:sz w:val="24"/>
          <w:szCs w:val="24"/>
          <w:lang w:val="en-US"/>
        </w:rPr>
        <w:t xml:space="preserve"> stage at diagnosis (0/I, II, III, IV, non-metastatic but unknown </w:t>
      </w:r>
      <w:r w:rsidR="003F27AB">
        <w:rPr>
          <w:rFonts w:ascii="Times New Roman" w:hAnsi="Times New Roman"/>
          <w:sz w:val="24"/>
          <w:szCs w:val="24"/>
          <w:lang w:val="en-US"/>
        </w:rPr>
        <w:t xml:space="preserve">specific </w:t>
      </w:r>
      <w:r w:rsidRPr="00D46E91">
        <w:rPr>
          <w:rFonts w:ascii="Times New Roman" w:hAnsi="Times New Roman"/>
          <w:sz w:val="24"/>
          <w:szCs w:val="24"/>
          <w:lang w:val="en-US"/>
        </w:rPr>
        <w:t xml:space="preserve">stage, and unknown); </w:t>
      </w:r>
      <w:r w:rsidR="00F02352">
        <w:rPr>
          <w:rFonts w:ascii="Times New Roman" w:hAnsi="Times New Roman"/>
          <w:sz w:val="24"/>
          <w:szCs w:val="24"/>
          <w:lang w:val="en-US"/>
        </w:rPr>
        <w:t>tumor</w:t>
      </w:r>
      <w:r w:rsidRPr="00D46E91">
        <w:rPr>
          <w:rFonts w:ascii="Times New Roman" w:hAnsi="Times New Roman"/>
          <w:sz w:val="24"/>
          <w:szCs w:val="24"/>
          <w:lang w:val="en-US"/>
        </w:rPr>
        <w:t xml:space="preserve"> grade (well differentiated, moderately differentiated, poorly differentiated or undifferentiated,  not determined); and tumor receptor st</w:t>
      </w:r>
      <w:r>
        <w:rPr>
          <w:rFonts w:ascii="Times New Roman" w:hAnsi="Times New Roman"/>
          <w:sz w:val="24"/>
          <w:szCs w:val="24"/>
          <w:lang w:val="en-US"/>
        </w:rPr>
        <w:t>at</w:t>
      </w:r>
      <w:r w:rsidRPr="00D46E91">
        <w:rPr>
          <w:rFonts w:ascii="Times New Roman" w:hAnsi="Times New Roman"/>
          <w:sz w:val="24"/>
          <w:szCs w:val="24"/>
          <w:lang w:val="en-US"/>
        </w:rPr>
        <w:t xml:space="preserve">us: ER (+,-,unknown), PR(+,-,unknown), HER2 (+,-,unknown). </w:t>
      </w:r>
      <w:r w:rsidR="003255CC" w:rsidRPr="003255CC">
        <w:rPr>
          <w:rFonts w:ascii="Times New Roman" w:hAnsi="Times New Roman"/>
          <w:sz w:val="24"/>
          <w:szCs w:val="24"/>
          <w:lang w:val="en-US"/>
        </w:rPr>
        <w:t>In order to avoid losing power in the analyses, a missing indicator category was created for each of the categorical covariate with missing values.</w:t>
      </w:r>
      <w:r w:rsidR="003255CC" w:rsidRPr="002E10BB">
        <w:rPr>
          <w:rFonts w:ascii="Times New Roman" w:hAnsi="Times New Roman"/>
          <w:sz w:val="24"/>
          <w:szCs w:val="24"/>
          <w:lang w:val="en-US"/>
        </w:rPr>
        <w:t xml:space="preserve"> </w:t>
      </w:r>
      <w:r w:rsidRPr="00D46E91">
        <w:rPr>
          <w:rFonts w:ascii="Times New Roman" w:hAnsi="Times New Roman"/>
          <w:sz w:val="24"/>
          <w:szCs w:val="24"/>
          <w:lang w:val="en-US"/>
        </w:rPr>
        <w:t xml:space="preserve">The proportional hazards assumption was evaluated </w:t>
      </w:r>
      <w:r w:rsidR="00F02352">
        <w:rPr>
          <w:rFonts w:ascii="Times New Roman" w:hAnsi="Times New Roman"/>
          <w:sz w:val="24"/>
          <w:szCs w:val="24"/>
          <w:lang w:val="en-US"/>
        </w:rPr>
        <w:t xml:space="preserve">by </w:t>
      </w:r>
      <w:r w:rsidRPr="00D46E91">
        <w:rPr>
          <w:rFonts w:ascii="Times New Roman" w:hAnsi="Times New Roman"/>
          <w:sz w:val="24"/>
          <w:szCs w:val="24"/>
          <w:lang w:val="en-US"/>
        </w:rPr>
        <w:t>checking the graphs of the scaled Schoenfeld residuals.</w:t>
      </w:r>
    </w:p>
    <w:p w14:paraId="7FEDD498" w14:textId="2B0B1EB2" w:rsidR="00670CB0" w:rsidRPr="0023626A" w:rsidRDefault="00670CB0" w:rsidP="00670CB0">
      <w:pPr>
        <w:shd w:val="clear" w:color="auto" w:fill="FFFFFF"/>
        <w:spacing w:after="120"/>
        <w:rPr>
          <w:rFonts w:ascii="Times New Roman" w:hAnsi="Times New Roman"/>
          <w:sz w:val="24"/>
          <w:szCs w:val="24"/>
          <w:lang w:val="en-US"/>
        </w:rPr>
      </w:pPr>
      <w:r w:rsidRPr="00D46E91">
        <w:rPr>
          <w:rFonts w:ascii="Times New Roman" w:hAnsi="Times New Roman"/>
          <w:sz w:val="24"/>
          <w:szCs w:val="24"/>
          <w:lang w:val="en-US"/>
        </w:rPr>
        <w:t xml:space="preserve">When </w:t>
      </w:r>
      <w:r w:rsidR="00E71C4A">
        <w:rPr>
          <w:rFonts w:ascii="Times New Roman" w:hAnsi="Times New Roman"/>
          <w:sz w:val="24"/>
          <w:szCs w:val="24"/>
          <w:lang w:val="en-US"/>
        </w:rPr>
        <w:t>the</w:t>
      </w:r>
      <w:r w:rsidRPr="00D46E91">
        <w:rPr>
          <w:rFonts w:ascii="Times New Roman" w:hAnsi="Times New Roman"/>
          <w:sz w:val="24"/>
          <w:szCs w:val="24"/>
          <w:lang w:val="en-US"/>
        </w:rPr>
        <w:t xml:space="preserve"> main exposure </w:t>
      </w:r>
      <w:r w:rsidR="003F27AB">
        <w:rPr>
          <w:rFonts w:ascii="Times New Roman" w:hAnsi="Times New Roman"/>
          <w:sz w:val="24"/>
          <w:szCs w:val="24"/>
          <w:lang w:val="en-US"/>
        </w:rPr>
        <w:t xml:space="preserve">(marker of body fatness) </w:t>
      </w:r>
      <w:r w:rsidRPr="00D46E91">
        <w:rPr>
          <w:rFonts w:ascii="Times New Roman" w:hAnsi="Times New Roman"/>
          <w:sz w:val="24"/>
          <w:szCs w:val="24"/>
          <w:lang w:val="en-US"/>
        </w:rPr>
        <w:t>was treated as a continuous variable, restricted cubic splines models were used to check the validity of the assumed log-linear dose-response association with the mortality outcomes</w:t>
      </w:r>
      <w:r w:rsidR="003F27AB">
        <w:rPr>
          <w:rFonts w:ascii="Times New Roman" w:hAnsi="Times New Roman"/>
          <w:sz w:val="24"/>
          <w:szCs w:val="24"/>
          <w:lang w:val="en-US"/>
        </w:rPr>
        <w:t>;</w:t>
      </w:r>
      <w:r w:rsidRPr="00D46E91">
        <w:rPr>
          <w:rFonts w:ascii="Times New Roman" w:hAnsi="Times New Roman"/>
          <w:sz w:val="24"/>
          <w:szCs w:val="24"/>
          <w:lang w:val="en-US"/>
        </w:rPr>
        <w:t xml:space="preserve"> the non-linearity was tested by means of the Likelihood Ratio test. We used 3 knots to construct the spline term of the model, knot locations were based on Harrell’s percentiles.</w:t>
      </w:r>
    </w:p>
    <w:p w14:paraId="6201D47C" w14:textId="77777777" w:rsidR="00670CB0" w:rsidRDefault="00670CB0" w:rsidP="00670CB0">
      <w:pPr>
        <w:shd w:val="clear" w:color="auto" w:fill="FFFFFF"/>
        <w:spacing w:after="120"/>
        <w:rPr>
          <w:rFonts w:ascii="Times New Roman" w:hAnsi="Times New Roman"/>
          <w:sz w:val="24"/>
          <w:szCs w:val="24"/>
          <w:lang w:val="en-US"/>
        </w:rPr>
      </w:pPr>
    </w:p>
    <w:p w14:paraId="7B419041" w14:textId="77777777" w:rsidR="00670CB0" w:rsidRDefault="00670CB0" w:rsidP="00670CB0">
      <w:pPr>
        <w:suppressAutoHyphens w:val="0"/>
        <w:rPr>
          <w:rFonts w:ascii="Times New Roman" w:hAnsi="Times New Roman"/>
          <w:sz w:val="24"/>
          <w:szCs w:val="24"/>
          <w:lang w:val="en-US"/>
        </w:rPr>
      </w:pPr>
      <w:r>
        <w:rPr>
          <w:rFonts w:ascii="Times New Roman" w:hAnsi="Times New Roman"/>
          <w:sz w:val="24"/>
          <w:szCs w:val="24"/>
          <w:lang w:val="en-US"/>
        </w:rPr>
        <w:br w:type="page"/>
      </w:r>
    </w:p>
    <w:p w14:paraId="1D480D72" w14:textId="77777777" w:rsidR="00670CB0" w:rsidRPr="007C71DF" w:rsidRDefault="00670CB0" w:rsidP="00670CB0">
      <w:pPr>
        <w:rPr>
          <w:rFonts w:ascii="Times New Roman" w:hAnsi="Times New Roman"/>
          <w:sz w:val="24"/>
          <w:szCs w:val="24"/>
          <w:lang w:val="en-US"/>
        </w:rPr>
      </w:pPr>
      <w:r w:rsidRPr="00D46E91">
        <w:rPr>
          <w:rFonts w:ascii="Times New Roman" w:hAnsi="Times New Roman"/>
          <w:i/>
          <w:sz w:val="24"/>
          <w:szCs w:val="24"/>
          <w:u w:val="single"/>
          <w:lang w:val="en-US"/>
        </w:rPr>
        <w:lastRenderedPageBreak/>
        <w:t>Mendelian randomization analysis</w:t>
      </w:r>
    </w:p>
    <w:p w14:paraId="70387D64" w14:textId="77777777" w:rsidR="00670CB0" w:rsidRPr="0023626A" w:rsidRDefault="00670CB0" w:rsidP="00670CB0">
      <w:pPr>
        <w:rPr>
          <w:rFonts w:ascii="Times New Roman" w:hAnsi="Times New Roman"/>
          <w:sz w:val="24"/>
          <w:szCs w:val="24"/>
          <w:lang w:val="en-US"/>
        </w:rPr>
      </w:pPr>
      <w:r w:rsidRPr="00D46E91">
        <w:rPr>
          <w:rFonts w:ascii="Times New Roman" w:hAnsi="Times New Roman"/>
          <w:sz w:val="24"/>
          <w:szCs w:val="24"/>
          <w:lang w:val="en-US"/>
        </w:rPr>
        <w:t xml:space="preserve">GWAS data available for 8,494 participants of EPIC (among which 3,830 were breast cancer cases) were used to perform a Mendelian randomization (MR) analysis. Part of the GWAS genotyping was conducted using Ilumina Human 660k-Quad SNP array (Illumina, Inc.) and part with Infinum OncoArray-500k. Exclusion criteria were: genotyping sample call rate </w:t>
      </w:r>
      <w:r w:rsidRPr="00D46E91">
        <w:rPr>
          <w:rFonts w:ascii="Times New Roman" w:hAnsi="Times New Roman"/>
          <w:sz w:val="24"/>
          <w:szCs w:val="24"/>
          <w:u w:val="single"/>
          <w:lang w:val="en-US"/>
        </w:rPr>
        <w:t>&lt;</w:t>
      </w:r>
      <w:r w:rsidRPr="00D46E91">
        <w:rPr>
          <w:rFonts w:ascii="Times New Roman" w:hAnsi="Times New Roman"/>
          <w:sz w:val="24"/>
          <w:szCs w:val="24"/>
          <w:lang w:val="en-US"/>
        </w:rPr>
        <w:t xml:space="preserve">90%, SNP call rate </w:t>
      </w:r>
      <w:r w:rsidRPr="00D46E91">
        <w:rPr>
          <w:rFonts w:ascii="Times New Roman" w:hAnsi="Times New Roman"/>
          <w:sz w:val="24"/>
          <w:szCs w:val="24"/>
          <w:u w:val="single"/>
          <w:lang w:val="en-US"/>
        </w:rPr>
        <w:t>&lt;</w:t>
      </w:r>
      <w:r w:rsidRPr="00D46E91">
        <w:rPr>
          <w:rFonts w:ascii="Times New Roman" w:hAnsi="Times New Roman"/>
          <w:sz w:val="24"/>
          <w:szCs w:val="24"/>
          <w:lang w:val="en-US"/>
        </w:rPr>
        <w:t>90%, or cryptic relatedness (&gt;80% concordance). Imputation of genetic variants was performed by using the Michigan Imputation Server, according to established guidelines (https://imputationserver.sph.umich.edu) using the haplotype reference panel 1000 Genomes Phase 3 (Version 5).</w:t>
      </w:r>
    </w:p>
    <w:p w14:paraId="422F6142" w14:textId="4DA1576F" w:rsidR="00670CB0" w:rsidRPr="0023626A" w:rsidRDefault="00670CB0" w:rsidP="00670CB0">
      <w:pPr>
        <w:rPr>
          <w:rFonts w:ascii="Times New Roman" w:hAnsi="Times New Roman"/>
          <w:sz w:val="24"/>
          <w:szCs w:val="24"/>
          <w:lang w:val="en-US"/>
        </w:rPr>
      </w:pPr>
      <w:r w:rsidRPr="00D46E91">
        <w:rPr>
          <w:rFonts w:ascii="Times New Roman" w:hAnsi="Times New Roman"/>
          <w:sz w:val="24"/>
          <w:szCs w:val="24"/>
          <w:lang w:val="en-US"/>
        </w:rPr>
        <w:t xml:space="preserve">The 94 BMI-associated SNPs used to construct the weighted genetic risk score (wGRS) are displayed on </w:t>
      </w:r>
      <w:r w:rsidR="00ED2E98">
        <w:rPr>
          <w:rFonts w:ascii="Times New Roman" w:hAnsi="Times New Roman"/>
          <w:sz w:val="24"/>
          <w:szCs w:val="24"/>
          <w:lang w:val="en-US"/>
        </w:rPr>
        <w:t>e</w:t>
      </w:r>
      <w:r w:rsidRPr="005E1C7E">
        <w:rPr>
          <w:rFonts w:ascii="Times New Roman" w:hAnsi="Times New Roman"/>
          <w:sz w:val="24"/>
          <w:szCs w:val="24"/>
          <w:lang w:val="en-US"/>
        </w:rPr>
        <w:t>Table</w:t>
      </w:r>
      <w:r>
        <w:rPr>
          <w:rFonts w:ascii="Times New Roman" w:hAnsi="Times New Roman"/>
          <w:sz w:val="24"/>
          <w:szCs w:val="24"/>
          <w:lang w:val="en-US"/>
        </w:rPr>
        <w:t xml:space="preserve"> </w:t>
      </w:r>
      <w:r w:rsidR="00ED2E98">
        <w:rPr>
          <w:rFonts w:ascii="Times New Roman" w:hAnsi="Times New Roman"/>
          <w:sz w:val="24"/>
          <w:szCs w:val="24"/>
          <w:lang w:val="en-US"/>
        </w:rPr>
        <w:t>9 in the Supplement</w:t>
      </w:r>
      <w:r w:rsidRPr="00D46E91">
        <w:rPr>
          <w:rFonts w:ascii="Times New Roman" w:hAnsi="Times New Roman"/>
          <w:sz w:val="24"/>
          <w:szCs w:val="24"/>
          <w:lang w:val="en-US"/>
        </w:rPr>
        <w:t>. Based on the genetic effect estimates on BMI reported by Locke et al. (2015), each SNP was coded so that the reference allele was associated with an increase in BMI. The SNPs were weighted by its relative effect size on BMI and then summed across all variants. The result was then divided by the total effect size of all SNPs and multiplied by the number of the SNPs (n=94). Therefore, the wGRS represents the number of average BMI increasing alleles possessed by each breast cancer survivor.</w:t>
      </w:r>
      <w:r>
        <w:rPr>
          <w:rFonts w:ascii="Times New Roman" w:hAnsi="Times New Roman"/>
          <w:sz w:val="24"/>
          <w:szCs w:val="24"/>
          <w:lang w:val="en-US"/>
        </w:rPr>
        <w:t xml:space="preserve"> In our study, each unit increase in the wGRS was associated with 0.08 </w:t>
      </w:r>
      <w:r w:rsidR="00E82690">
        <w:rPr>
          <w:rFonts w:ascii="Times New Roman" w:hAnsi="Times New Roman"/>
          <w:sz w:val="24"/>
          <w:szCs w:val="24"/>
          <w:lang w:val="en-US"/>
        </w:rPr>
        <w:t>(95% CI 0.06-0.10)</w:t>
      </w:r>
      <w:r w:rsidR="00BE2270">
        <w:rPr>
          <w:rFonts w:ascii="Times New Roman" w:hAnsi="Times New Roman"/>
          <w:sz w:val="24"/>
          <w:szCs w:val="24"/>
          <w:lang w:val="en-US"/>
        </w:rPr>
        <w:t xml:space="preserve"> </w:t>
      </w:r>
      <w:r>
        <w:rPr>
          <w:rFonts w:ascii="Times New Roman" w:hAnsi="Times New Roman"/>
          <w:sz w:val="24"/>
          <w:szCs w:val="24"/>
          <w:lang w:val="en-US"/>
        </w:rPr>
        <w:t>kg/m</w:t>
      </w:r>
      <w:r w:rsidRPr="00BE2270">
        <w:rPr>
          <w:rFonts w:ascii="Times New Roman" w:hAnsi="Times New Roman"/>
          <w:sz w:val="24"/>
          <w:szCs w:val="24"/>
          <w:vertAlign w:val="superscript"/>
          <w:lang w:val="en-US"/>
        </w:rPr>
        <w:t>2</w:t>
      </w:r>
      <w:r>
        <w:rPr>
          <w:rFonts w:ascii="Times New Roman" w:hAnsi="Times New Roman"/>
          <w:sz w:val="24"/>
          <w:szCs w:val="24"/>
          <w:lang w:val="en-US"/>
        </w:rPr>
        <w:t xml:space="preserve"> </w:t>
      </w:r>
      <w:r w:rsidR="00BE2270">
        <w:rPr>
          <w:rFonts w:ascii="Times New Roman" w:hAnsi="Times New Roman"/>
          <w:sz w:val="24"/>
          <w:szCs w:val="24"/>
          <w:lang w:val="en-US"/>
        </w:rPr>
        <w:t xml:space="preserve">increase in </w:t>
      </w:r>
      <w:r>
        <w:rPr>
          <w:rFonts w:ascii="Times New Roman" w:hAnsi="Times New Roman"/>
          <w:sz w:val="24"/>
          <w:szCs w:val="24"/>
          <w:lang w:val="en-US"/>
        </w:rPr>
        <w:t>BMI, explaining 1.55% of the variance.</w:t>
      </w:r>
    </w:p>
    <w:p w14:paraId="2EB30B9A" w14:textId="5D8B408D" w:rsidR="00670CB0" w:rsidRPr="0023626A" w:rsidRDefault="00670CB0" w:rsidP="00670CB0">
      <w:pPr>
        <w:rPr>
          <w:rFonts w:ascii="Times New Roman" w:hAnsi="Times New Roman"/>
          <w:sz w:val="24"/>
          <w:szCs w:val="24"/>
          <w:lang w:val="en-US"/>
        </w:rPr>
      </w:pPr>
      <w:r>
        <w:rPr>
          <w:rFonts w:ascii="Times New Roman" w:hAnsi="Times New Roman"/>
          <w:sz w:val="24"/>
          <w:szCs w:val="24"/>
          <w:lang w:val="en-US"/>
        </w:rPr>
        <w:t>T</w:t>
      </w:r>
      <w:r w:rsidRPr="00D46E91">
        <w:rPr>
          <w:rFonts w:ascii="Times New Roman" w:hAnsi="Times New Roman"/>
          <w:sz w:val="24"/>
          <w:szCs w:val="24"/>
          <w:lang w:val="en-US"/>
        </w:rPr>
        <w:t>here is not a gold standard MR estimator in the context of cohort studies and survival analyses (</w:t>
      </w:r>
      <w:r>
        <w:rPr>
          <w:rFonts w:ascii="Times New Roman" w:hAnsi="Times New Roman"/>
          <w:sz w:val="24"/>
          <w:szCs w:val="24"/>
          <w:lang w:val="en-US"/>
        </w:rPr>
        <w:t>Cho et al. 2021</w:t>
      </w:r>
      <w:r w:rsidRPr="00D46E91">
        <w:rPr>
          <w:rFonts w:ascii="Times New Roman" w:hAnsi="Times New Roman"/>
          <w:sz w:val="24"/>
          <w:szCs w:val="24"/>
          <w:lang w:val="en-US"/>
        </w:rPr>
        <w:t>)</w:t>
      </w:r>
      <w:r>
        <w:rPr>
          <w:rFonts w:ascii="Times New Roman" w:hAnsi="Times New Roman"/>
          <w:sz w:val="24"/>
          <w:szCs w:val="24"/>
          <w:lang w:val="en-US"/>
        </w:rPr>
        <w:t>;</w:t>
      </w:r>
      <w:r w:rsidRPr="00D46E91">
        <w:rPr>
          <w:rFonts w:ascii="Times New Roman" w:hAnsi="Times New Roman"/>
          <w:sz w:val="24"/>
          <w:szCs w:val="24"/>
          <w:lang w:val="en-US"/>
        </w:rPr>
        <w:t xml:space="preserve"> therefore</w:t>
      </w:r>
      <w:r>
        <w:rPr>
          <w:rFonts w:ascii="Times New Roman" w:hAnsi="Times New Roman"/>
          <w:sz w:val="24"/>
          <w:szCs w:val="24"/>
          <w:lang w:val="en-US"/>
        </w:rPr>
        <w:t>,</w:t>
      </w:r>
      <w:r w:rsidRPr="00D46E91">
        <w:rPr>
          <w:rFonts w:ascii="Times New Roman" w:hAnsi="Times New Roman"/>
          <w:sz w:val="24"/>
          <w:szCs w:val="24"/>
          <w:lang w:val="en-US"/>
        </w:rPr>
        <w:t xml:space="preserve"> we used </w:t>
      </w:r>
      <w:r>
        <w:rPr>
          <w:rFonts w:ascii="Times New Roman" w:hAnsi="Times New Roman"/>
          <w:sz w:val="24"/>
          <w:szCs w:val="24"/>
          <w:lang w:val="en-US"/>
        </w:rPr>
        <w:t xml:space="preserve">a </w:t>
      </w:r>
      <w:r w:rsidRPr="00D46E91">
        <w:rPr>
          <w:rFonts w:ascii="Times New Roman" w:hAnsi="Times New Roman"/>
          <w:sz w:val="24"/>
          <w:szCs w:val="24"/>
          <w:lang w:val="en-US"/>
        </w:rPr>
        <w:t xml:space="preserve">methodology similar to Wade et al. (2018). Firstly, the BMI was linearly regressed on the wGRS among </w:t>
      </w:r>
      <w:r>
        <w:rPr>
          <w:rFonts w:ascii="Times New Roman" w:hAnsi="Times New Roman"/>
          <w:sz w:val="24"/>
          <w:szCs w:val="24"/>
          <w:lang w:val="en-US"/>
        </w:rPr>
        <w:t>the</w:t>
      </w:r>
      <w:r w:rsidRPr="00D46E91">
        <w:rPr>
          <w:rFonts w:ascii="Times New Roman" w:hAnsi="Times New Roman"/>
          <w:sz w:val="24"/>
          <w:szCs w:val="24"/>
          <w:lang w:val="en-US"/>
        </w:rPr>
        <w:t xml:space="preserve"> subset of </w:t>
      </w:r>
      <w:r>
        <w:rPr>
          <w:rFonts w:ascii="Times New Roman" w:hAnsi="Times New Roman"/>
          <w:sz w:val="24"/>
          <w:szCs w:val="24"/>
          <w:lang w:val="en-US"/>
        </w:rPr>
        <w:t>non-BC participants with GWAS data</w:t>
      </w:r>
      <w:r w:rsidRPr="00D46E91">
        <w:rPr>
          <w:rFonts w:ascii="Times New Roman" w:hAnsi="Times New Roman"/>
          <w:sz w:val="24"/>
          <w:szCs w:val="24"/>
          <w:lang w:val="en-US"/>
        </w:rPr>
        <w:t xml:space="preserve"> (</w:t>
      </w:r>
      <w:r>
        <w:rPr>
          <w:rFonts w:ascii="Times New Roman" w:hAnsi="Times New Roman"/>
          <w:sz w:val="24"/>
          <w:szCs w:val="24"/>
          <w:lang w:val="en-US"/>
        </w:rPr>
        <w:t>n=</w:t>
      </w:r>
      <w:r w:rsidRPr="00D46E91">
        <w:rPr>
          <w:rFonts w:ascii="Times New Roman" w:hAnsi="Times New Roman"/>
          <w:sz w:val="24"/>
          <w:szCs w:val="24"/>
          <w:lang w:val="en-US"/>
        </w:rPr>
        <w:t>4,664) adjusting by country and age at recruitment</w:t>
      </w:r>
      <w:r w:rsidR="00BE2270">
        <w:rPr>
          <w:rFonts w:ascii="Times New Roman" w:hAnsi="Times New Roman"/>
          <w:sz w:val="24"/>
          <w:szCs w:val="24"/>
          <w:lang w:val="en-US"/>
        </w:rPr>
        <w:t>.</w:t>
      </w:r>
      <w:r w:rsidR="00BE2270" w:rsidRPr="00D46E91">
        <w:rPr>
          <w:rFonts w:ascii="Times New Roman" w:hAnsi="Times New Roman"/>
          <w:sz w:val="24"/>
          <w:szCs w:val="24"/>
          <w:lang w:val="en-US"/>
        </w:rPr>
        <w:t xml:space="preserve"> </w:t>
      </w:r>
      <w:r w:rsidR="00BE2270">
        <w:rPr>
          <w:rFonts w:ascii="Times New Roman" w:hAnsi="Times New Roman"/>
          <w:sz w:val="24"/>
          <w:szCs w:val="24"/>
          <w:lang w:val="en-US"/>
        </w:rPr>
        <w:t>S</w:t>
      </w:r>
      <w:r w:rsidR="00BE2270" w:rsidRPr="00D46E91">
        <w:rPr>
          <w:rFonts w:ascii="Times New Roman" w:hAnsi="Times New Roman"/>
          <w:sz w:val="24"/>
          <w:szCs w:val="24"/>
          <w:lang w:val="en-US"/>
        </w:rPr>
        <w:t>econd</w:t>
      </w:r>
      <w:r w:rsidRPr="00D46E91">
        <w:rPr>
          <w:rFonts w:ascii="Times New Roman" w:hAnsi="Times New Roman"/>
          <w:sz w:val="24"/>
          <w:szCs w:val="24"/>
          <w:lang w:val="en-US"/>
        </w:rPr>
        <w:t>, the log</w:t>
      </w:r>
      <w:r>
        <w:rPr>
          <w:rFonts w:ascii="Times New Roman" w:hAnsi="Times New Roman"/>
          <w:sz w:val="24"/>
          <w:szCs w:val="24"/>
          <w:lang w:val="en-US"/>
        </w:rPr>
        <w:t>(</w:t>
      </w:r>
      <w:r w:rsidRPr="00D46E91">
        <w:rPr>
          <w:rFonts w:ascii="Times New Roman" w:hAnsi="Times New Roman"/>
          <w:sz w:val="24"/>
          <w:szCs w:val="24"/>
          <w:lang w:val="en-US"/>
        </w:rPr>
        <w:t>HR</w:t>
      </w:r>
      <w:r>
        <w:rPr>
          <w:rFonts w:ascii="Times New Roman" w:hAnsi="Times New Roman"/>
          <w:sz w:val="24"/>
          <w:szCs w:val="24"/>
          <w:lang w:val="en-US"/>
        </w:rPr>
        <w:t>)</w:t>
      </w:r>
      <w:r w:rsidRPr="00D46E91">
        <w:rPr>
          <w:rFonts w:ascii="Times New Roman" w:hAnsi="Times New Roman"/>
          <w:sz w:val="24"/>
          <w:szCs w:val="24"/>
          <w:lang w:val="en-US"/>
        </w:rPr>
        <w:t xml:space="preserve"> of mortality</w:t>
      </w:r>
      <w:r w:rsidR="00F02352">
        <w:rPr>
          <w:rFonts w:ascii="Times New Roman" w:hAnsi="Times New Roman"/>
          <w:sz w:val="24"/>
          <w:szCs w:val="24"/>
          <w:lang w:val="en-US"/>
        </w:rPr>
        <w:t xml:space="preserve"> among breast cancer cases</w:t>
      </w:r>
      <w:r w:rsidRPr="00D46E91">
        <w:rPr>
          <w:rFonts w:ascii="Times New Roman" w:hAnsi="Times New Roman"/>
          <w:sz w:val="24"/>
          <w:szCs w:val="24"/>
          <w:lang w:val="en-US"/>
        </w:rPr>
        <w:t xml:space="preserve"> per each unit increase of the wGRS was derived from </w:t>
      </w:r>
      <w:r>
        <w:rPr>
          <w:rFonts w:ascii="Times New Roman" w:hAnsi="Times New Roman"/>
          <w:sz w:val="24"/>
          <w:szCs w:val="24"/>
          <w:lang w:val="en-US"/>
        </w:rPr>
        <w:t>a</w:t>
      </w:r>
      <w:r w:rsidRPr="00D46E91">
        <w:rPr>
          <w:rFonts w:ascii="Times New Roman" w:hAnsi="Times New Roman"/>
          <w:sz w:val="24"/>
          <w:szCs w:val="24"/>
          <w:lang w:val="en-US"/>
        </w:rPr>
        <w:t xml:space="preserve"> Cox PH model adjust</w:t>
      </w:r>
      <w:r>
        <w:rPr>
          <w:rFonts w:ascii="Times New Roman" w:hAnsi="Times New Roman"/>
          <w:sz w:val="24"/>
          <w:szCs w:val="24"/>
          <w:lang w:val="en-US"/>
        </w:rPr>
        <w:t>ed</w:t>
      </w:r>
      <w:r w:rsidRPr="00D46E91">
        <w:rPr>
          <w:rFonts w:ascii="Times New Roman" w:hAnsi="Times New Roman"/>
          <w:sz w:val="24"/>
          <w:szCs w:val="24"/>
          <w:lang w:val="en-US"/>
        </w:rPr>
        <w:t xml:space="preserve"> by country</w:t>
      </w:r>
      <w:r w:rsidR="00941BB5">
        <w:rPr>
          <w:rFonts w:ascii="Times New Roman" w:hAnsi="Times New Roman"/>
          <w:sz w:val="24"/>
          <w:szCs w:val="24"/>
          <w:lang w:val="en-US"/>
        </w:rPr>
        <w:t>,</w:t>
      </w:r>
      <w:r w:rsidRPr="00D46E91">
        <w:rPr>
          <w:rFonts w:ascii="Times New Roman" w:hAnsi="Times New Roman"/>
          <w:sz w:val="24"/>
          <w:szCs w:val="24"/>
          <w:lang w:val="en-US"/>
        </w:rPr>
        <w:t xml:space="preserve"> age at diagnosis</w:t>
      </w:r>
      <w:r w:rsidR="00941BB5">
        <w:rPr>
          <w:rFonts w:ascii="Times New Roman" w:hAnsi="Times New Roman"/>
          <w:sz w:val="24"/>
          <w:szCs w:val="24"/>
          <w:lang w:val="en-US"/>
        </w:rPr>
        <w:t xml:space="preserve">, </w:t>
      </w:r>
      <w:r w:rsidR="00CD0083">
        <w:rPr>
          <w:rFonts w:ascii="Times New Roman" w:hAnsi="Times New Roman"/>
          <w:sz w:val="24"/>
          <w:szCs w:val="24"/>
          <w:lang w:val="en-US"/>
        </w:rPr>
        <w:t xml:space="preserve">and by </w:t>
      </w:r>
      <w:r w:rsidR="00941BB5">
        <w:rPr>
          <w:rFonts w:ascii="Times New Roman" w:hAnsi="Times New Roman"/>
          <w:sz w:val="24"/>
          <w:szCs w:val="24"/>
          <w:lang w:val="en-US"/>
        </w:rPr>
        <w:t>stage and grade of the tumor</w:t>
      </w:r>
      <w:r w:rsidR="00CD0083">
        <w:rPr>
          <w:rFonts w:ascii="Times New Roman" w:hAnsi="Times New Roman"/>
          <w:sz w:val="24"/>
          <w:szCs w:val="24"/>
          <w:lang w:val="en-US"/>
        </w:rPr>
        <w:t xml:space="preserve"> to avoid possible collider bias (</w:t>
      </w:r>
      <w:r w:rsidR="00621F5E">
        <w:rPr>
          <w:rFonts w:ascii="Times New Roman" w:hAnsi="Times New Roman"/>
          <w:sz w:val="24"/>
        </w:rPr>
        <w:t xml:space="preserve">Mitchell et al. 2018, </w:t>
      </w:r>
      <w:r w:rsidR="00621F5E" w:rsidRPr="00517575">
        <w:rPr>
          <w:rFonts w:ascii="Times New Roman" w:hAnsi="Times New Roman"/>
          <w:sz w:val="24"/>
        </w:rPr>
        <w:t>Paternoster</w:t>
      </w:r>
      <w:r w:rsidR="00621F5E">
        <w:rPr>
          <w:rFonts w:ascii="Times New Roman" w:hAnsi="Times New Roman"/>
          <w:sz w:val="24"/>
        </w:rPr>
        <w:t xml:space="preserve"> et al. 2017</w:t>
      </w:r>
      <w:r w:rsidR="00CD0083">
        <w:rPr>
          <w:rFonts w:ascii="Times New Roman" w:hAnsi="Times New Roman"/>
          <w:sz w:val="24"/>
          <w:szCs w:val="24"/>
          <w:lang w:val="en-US"/>
        </w:rPr>
        <w:t>)</w:t>
      </w:r>
      <w:r w:rsidR="00BE2270">
        <w:rPr>
          <w:rFonts w:ascii="Times New Roman" w:hAnsi="Times New Roman"/>
          <w:sz w:val="24"/>
          <w:szCs w:val="24"/>
          <w:lang w:val="en-US"/>
        </w:rPr>
        <w:t>.</w:t>
      </w:r>
      <w:r w:rsidRPr="00D46E91">
        <w:rPr>
          <w:rFonts w:ascii="Times New Roman" w:hAnsi="Times New Roman"/>
          <w:sz w:val="24"/>
          <w:szCs w:val="24"/>
          <w:lang w:val="en-US"/>
        </w:rPr>
        <w:t xml:space="preserve"> </w:t>
      </w:r>
      <w:r w:rsidR="00BE2270">
        <w:rPr>
          <w:rFonts w:ascii="Times New Roman" w:hAnsi="Times New Roman"/>
          <w:sz w:val="24"/>
          <w:szCs w:val="24"/>
          <w:lang w:val="en-US"/>
        </w:rPr>
        <w:t>F</w:t>
      </w:r>
      <w:r w:rsidR="00BE2270" w:rsidRPr="00D46E91">
        <w:rPr>
          <w:rFonts w:ascii="Times New Roman" w:hAnsi="Times New Roman"/>
          <w:sz w:val="24"/>
          <w:szCs w:val="24"/>
          <w:lang w:val="en-US"/>
        </w:rPr>
        <w:t xml:space="preserve">inally </w:t>
      </w:r>
      <w:r w:rsidRPr="00D46E91">
        <w:rPr>
          <w:rFonts w:ascii="Times New Roman" w:hAnsi="Times New Roman"/>
          <w:sz w:val="24"/>
          <w:szCs w:val="24"/>
          <w:lang w:val="en-US"/>
        </w:rPr>
        <w:t xml:space="preserve">the </w:t>
      </w:r>
      <w:r>
        <w:rPr>
          <w:rFonts w:ascii="Times New Roman" w:hAnsi="Times New Roman"/>
          <w:sz w:val="24"/>
          <w:szCs w:val="24"/>
          <w:lang w:val="en-US"/>
        </w:rPr>
        <w:t>instrumental variable (</w:t>
      </w:r>
      <w:r w:rsidRPr="00D46E91">
        <w:rPr>
          <w:rFonts w:ascii="Times New Roman" w:hAnsi="Times New Roman"/>
          <w:sz w:val="24"/>
          <w:szCs w:val="24"/>
          <w:lang w:val="en-US"/>
        </w:rPr>
        <w:t>IV</w:t>
      </w:r>
      <w:r>
        <w:rPr>
          <w:rFonts w:ascii="Times New Roman" w:hAnsi="Times New Roman"/>
          <w:sz w:val="24"/>
          <w:szCs w:val="24"/>
          <w:lang w:val="en-US"/>
        </w:rPr>
        <w:t>)</w:t>
      </w:r>
      <w:r w:rsidRPr="00D46E91">
        <w:rPr>
          <w:rFonts w:ascii="Times New Roman" w:hAnsi="Times New Roman"/>
          <w:sz w:val="24"/>
          <w:szCs w:val="24"/>
          <w:lang w:val="en-US"/>
        </w:rPr>
        <w:t xml:space="preserve"> estimator was calculated exponentiating the ratio </w:t>
      </w:r>
      <w:r>
        <w:rPr>
          <w:rFonts w:ascii="Times New Roman" w:hAnsi="Times New Roman"/>
          <w:sz w:val="24"/>
          <w:szCs w:val="24"/>
          <w:lang w:val="en-US"/>
        </w:rPr>
        <w:t>between</w:t>
      </w:r>
      <w:r w:rsidRPr="00D46E91">
        <w:rPr>
          <w:rFonts w:ascii="Times New Roman" w:hAnsi="Times New Roman"/>
          <w:sz w:val="24"/>
          <w:szCs w:val="24"/>
          <w:lang w:val="en-US"/>
        </w:rPr>
        <w:t xml:space="preserve"> the log</w:t>
      </w:r>
      <w:r>
        <w:rPr>
          <w:rFonts w:ascii="Times New Roman" w:hAnsi="Times New Roman"/>
          <w:sz w:val="24"/>
          <w:szCs w:val="24"/>
          <w:lang w:val="en-US"/>
        </w:rPr>
        <w:t>(</w:t>
      </w:r>
      <w:r w:rsidRPr="00D46E91">
        <w:rPr>
          <w:rFonts w:ascii="Times New Roman" w:hAnsi="Times New Roman"/>
          <w:sz w:val="24"/>
          <w:szCs w:val="24"/>
          <w:lang w:val="en-US"/>
        </w:rPr>
        <w:t>HR</w:t>
      </w:r>
      <w:r>
        <w:rPr>
          <w:rFonts w:ascii="Times New Roman" w:hAnsi="Times New Roman"/>
          <w:sz w:val="24"/>
          <w:szCs w:val="24"/>
          <w:lang w:val="en-US"/>
        </w:rPr>
        <w:t>)</w:t>
      </w:r>
      <w:r w:rsidRPr="00D46E91">
        <w:rPr>
          <w:rFonts w:ascii="Times New Roman" w:hAnsi="Times New Roman"/>
          <w:sz w:val="24"/>
          <w:szCs w:val="24"/>
          <w:lang w:val="en-US"/>
        </w:rPr>
        <w:t xml:space="preserve"> of mortality with each unit increase of the wGRS and the slope coefficient of the linear regression of wGRS with BMI. The 95% </w:t>
      </w:r>
      <w:r>
        <w:rPr>
          <w:rFonts w:ascii="Times New Roman" w:hAnsi="Times New Roman"/>
          <w:sz w:val="24"/>
          <w:szCs w:val="24"/>
          <w:lang w:val="en-US"/>
        </w:rPr>
        <w:t>CI</w:t>
      </w:r>
      <w:r w:rsidRPr="00D46E91">
        <w:rPr>
          <w:rFonts w:ascii="Times New Roman" w:hAnsi="Times New Roman"/>
          <w:sz w:val="24"/>
          <w:szCs w:val="24"/>
          <w:lang w:val="en-US"/>
        </w:rPr>
        <w:t xml:space="preserve"> of the IV was obtained with the delta-method using Taylor series expansion (</w:t>
      </w:r>
      <w:r>
        <w:rPr>
          <w:rFonts w:ascii="Times New Roman" w:hAnsi="Times New Roman"/>
          <w:sz w:val="24"/>
          <w:szCs w:val="24"/>
          <w:lang w:val="en-US"/>
        </w:rPr>
        <w:t>Thomas et al. 2007</w:t>
      </w:r>
      <w:r w:rsidRPr="00D46E91">
        <w:rPr>
          <w:rFonts w:ascii="Times New Roman" w:hAnsi="Times New Roman"/>
          <w:sz w:val="24"/>
          <w:szCs w:val="24"/>
          <w:lang w:val="en-US"/>
        </w:rPr>
        <w:t xml:space="preserve">). In order to judge the weakness of the IV we extracted the mean coefficient of determination </w:t>
      </w:r>
      <m:oMath>
        <m:sSup>
          <m:sSupPr>
            <m:ctrlPr>
              <w:rPr>
                <w:rFonts w:ascii="Cambria Math" w:hAnsi="Cambria Math"/>
                <w:sz w:val="24"/>
                <w:szCs w:val="24"/>
              </w:rPr>
            </m:ctrlPr>
          </m:sSupPr>
          <m:e>
            <m:r>
              <w:rPr>
                <w:rFonts w:ascii="Cambria Math" w:hAnsi="Cambria Math"/>
                <w:sz w:val="24"/>
                <w:szCs w:val="24"/>
              </w:rPr>
              <m:t>R</m:t>
            </m:r>
          </m:e>
          <m:sup>
            <m:r>
              <w:rPr>
                <w:rFonts w:ascii="Cambria Math" w:hAnsi="Cambria Math"/>
                <w:sz w:val="24"/>
                <w:szCs w:val="24"/>
                <w:lang w:val="en-US"/>
              </w:rPr>
              <m:t>2</m:t>
            </m:r>
          </m:sup>
        </m:sSup>
      </m:oMath>
      <w:r w:rsidRPr="00D46E91">
        <w:rPr>
          <w:rFonts w:ascii="Times New Roman" w:hAnsi="Times New Roman"/>
          <w:sz w:val="24"/>
          <w:szCs w:val="24"/>
          <w:lang w:val="en-US"/>
        </w:rPr>
        <w:t xml:space="preserve"> from the regression of BMI on the wGRS.</w:t>
      </w:r>
    </w:p>
    <w:p w14:paraId="25D0D8A1" w14:textId="7F76897A" w:rsidR="00670CB0" w:rsidRPr="0023626A" w:rsidRDefault="00670CB0" w:rsidP="00670CB0">
      <w:pPr>
        <w:rPr>
          <w:rFonts w:ascii="Times New Roman" w:hAnsi="Times New Roman"/>
          <w:sz w:val="24"/>
          <w:szCs w:val="24"/>
          <w:lang w:val="en-US"/>
        </w:rPr>
      </w:pPr>
      <w:r w:rsidRPr="00D46E91">
        <w:rPr>
          <w:rFonts w:ascii="Times New Roman" w:hAnsi="Times New Roman"/>
          <w:sz w:val="24"/>
          <w:szCs w:val="24"/>
          <w:lang w:val="en-US"/>
        </w:rPr>
        <w:t>Sensitivity analyses were carried out to: i) check the non-violation of the MR assumptions, ii) check PH assumption, and iii) check the linearity of the wGRS with the mortality outcomes. To check the non-violation of the MR assumptions, we first studied the validity of the wGRS as an IV using the MR-Egger (</w:t>
      </w:r>
      <w:r>
        <w:rPr>
          <w:rFonts w:ascii="Times New Roman" w:hAnsi="Times New Roman"/>
          <w:sz w:val="24"/>
          <w:szCs w:val="24"/>
          <w:lang w:val="en-US"/>
        </w:rPr>
        <w:t>Bowden et al. 2015</w:t>
      </w:r>
      <w:r w:rsidRPr="00D46E91">
        <w:rPr>
          <w:rFonts w:ascii="Times New Roman" w:hAnsi="Times New Roman"/>
          <w:sz w:val="24"/>
          <w:szCs w:val="24"/>
          <w:lang w:val="en-US"/>
        </w:rPr>
        <w:t>), weighted median and Maximum-likelihood based estimators compared with the inverse-variance weighted method for two sample MR (</w:t>
      </w:r>
      <w:r w:rsidRPr="007C71DF">
        <w:rPr>
          <w:rFonts w:ascii="Times New Roman" w:hAnsi="Times New Roman"/>
          <w:sz w:val="24"/>
          <w:szCs w:val="24"/>
          <w:lang w:val="en-US"/>
        </w:rPr>
        <w:t xml:space="preserve">Table </w:t>
      </w:r>
      <w:r w:rsidR="00CD0083">
        <w:rPr>
          <w:rFonts w:ascii="Times New Roman" w:hAnsi="Times New Roman"/>
          <w:sz w:val="24"/>
          <w:szCs w:val="24"/>
          <w:lang w:val="en-US"/>
        </w:rPr>
        <w:t>S7</w:t>
      </w:r>
      <w:r w:rsidRPr="007124A8">
        <w:rPr>
          <w:rFonts w:ascii="Times New Roman" w:hAnsi="Times New Roman"/>
          <w:sz w:val="24"/>
          <w:szCs w:val="24"/>
          <w:lang w:val="en-US"/>
        </w:rPr>
        <w:t>),</w:t>
      </w:r>
      <w:r w:rsidRPr="00D46E91">
        <w:rPr>
          <w:rFonts w:ascii="Times New Roman" w:hAnsi="Times New Roman"/>
          <w:sz w:val="24"/>
          <w:szCs w:val="24"/>
          <w:lang w:val="en-US"/>
        </w:rPr>
        <w:t xml:space="preserve"> then we test</w:t>
      </w:r>
      <w:r w:rsidR="00F02352">
        <w:rPr>
          <w:rFonts w:ascii="Times New Roman" w:hAnsi="Times New Roman"/>
          <w:sz w:val="24"/>
          <w:szCs w:val="24"/>
          <w:lang w:val="en-US"/>
        </w:rPr>
        <w:t>ed</w:t>
      </w:r>
      <w:r w:rsidRPr="00D46E91">
        <w:rPr>
          <w:rFonts w:ascii="Times New Roman" w:hAnsi="Times New Roman"/>
          <w:sz w:val="24"/>
          <w:szCs w:val="24"/>
          <w:lang w:val="en-US"/>
        </w:rPr>
        <w:t xml:space="preserve"> the association between wGRS and the covariates (no associations were found, results not shown), and finally we explored the sensitivity of the wGRS by the leave-one-out method applied on </w:t>
      </w:r>
      <w:r w:rsidRPr="00D46E91">
        <w:rPr>
          <w:rFonts w:ascii="Times New Roman" w:hAnsi="Times New Roman"/>
          <w:sz w:val="24"/>
          <w:szCs w:val="24"/>
          <w:lang w:val="en-US"/>
        </w:rPr>
        <w:lastRenderedPageBreak/>
        <w:t>the SNPs. The PH assumption</w:t>
      </w:r>
      <w:r>
        <w:rPr>
          <w:rFonts w:ascii="Times New Roman" w:hAnsi="Times New Roman"/>
          <w:sz w:val="24"/>
          <w:szCs w:val="24"/>
          <w:lang w:val="en-US"/>
        </w:rPr>
        <w:t>s</w:t>
      </w:r>
      <w:r w:rsidRPr="00D46E91">
        <w:rPr>
          <w:rFonts w:ascii="Times New Roman" w:hAnsi="Times New Roman"/>
          <w:sz w:val="24"/>
          <w:szCs w:val="24"/>
          <w:lang w:val="en-US"/>
        </w:rPr>
        <w:t xml:space="preserve"> w</w:t>
      </w:r>
      <w:r>
        <w:rPr>
          <w:rFonts w:ascii="Times New Roman" w:hAnsi="Times New Roman"/>
          <w:sz w:val="24"/>
          <w:szCs w:val="24"/>
          <w:lang w:val="en-US"/>
        </w:rPr>
        <w:t>ere</w:t>
      </w:r>
      <w:r w:rsidRPr="00D46E91">
        <w:rPr>
          <w:rFonts w:ascii="Times New Roman" w:hAnsi="Times New Roman"/>
          <w:sz w:val="24"/>
          <w:szCs w:val="24"/>
          <w:lang w:val="en-US"/>
        </w:rPr>
        <w:t xml:space="preserve"> examined with the Schoenfeld residuals, and the linearity of the association was studied with restricted cubic splines.</w:t>
      </w:r>
    </w:p>
    <w:p w14:paraId="58136F7B" w14:textId="77777777" w:rsidR="00670CB0" w:rsidRPr="003C51C1" w:rsidRDefault="00670CB0" w:rsidP="00670CB0">
      <w:pPr>
        <w:rPr>
          <w:rFonts w:ascii="Times New Roman" w:hAnsi="Times New Roman"/>
          <w:bCs/>
          <w:sz w:val="24"/>
          <w:szCs w:val="24"/>
          <w:lang w:val="en-US"/>
        </w:rPr>
      </w:pPr>
    </w:p>
    <w:p w14:paraId="7CA89719" w14:textId="77777777" w:rsidR="00670CB0" w:rsidRPr="003C51C1" w:rsidRDefault="00670CB0" w:rsidP="00670CB0">
      <w:pPr>
        <w:ind w:left="708" w:hanging="708"/>
        <w:rPr>
          <w:rFonts w:ascii="Times New Roman" w:hAnsi="Times New Roman"/>
          <w:bCs/>
          <w:sz w:val="24"/>
          <w:szCs w:val="24"/>
          <w:u w:val="single"/>
          <w:lang w:val="en-US"/>
        </w:rPr>
      </w:pPr>
      <w:r w:rsidRPr="003C51C1">
        <w:rPr>
          <w:rFonts w:ascii="Times New Roman" w:hAnsi="Times New Roman"/>
          <w:bCs/>
          <w:sz w:val="24"/>
          <w:szCs w:val="24"/>
          <w:u w:val="single"/>
          <w:lang w:val="en-US"/>
        </w:rPr>
        <w:t>References used in this section:</w:t>
      </w:r>
    </w:p>
    <w:p w14:paraId="6AB99CFB" w14:textId="77777777" w:rsidR="00670CB0" w:rsidRPr="00547BB2" w:rsidRDefault="00670CB0" w:rsidP="00670CB0">
      <w:pPr>
        <w:pStyle w:val="Bibliografa"/>
        <w:tabs>
          <w:tab w:val="clear" w:pos="384"/>
          <w:tab w:val="left" w:pos="284"/>
        </w:tabs>
        <w:ind w:left="284" w:hanging="284"/>
        <w:rPr>
          <w:rFonts w:ascii="Times New Roman" w:hAnsi="Times New Roman"/>
          <w:sz w:val="24"/>
          <w:szCs w:val="24"/>
        </w:rPr>
      </w:pPr>
      <w:r w:rsidRPr="003C51C1">
        <w:rPr>
          <w:rFonts w:ascii="Times New Roman" w:hAnsi="Times New Roman"/>
          <w:sz w:val="24"/>
          <w:szCs w:val="24"/>
          <w:lang w:val="en-US"/>
        </w:rPr>
        <w:t xml:space="preserve">Locke AE, Kahali B, Berndt SI, Justice AE, Pers TH, Day FR, et al. Genetic studies of body mass index yield new insights for obesity biology. </w:t>
      </w:r>
      <w:r w:rsidRPr="00547BB2">
        <w:rPr>
          <w:rFonts w:ascii="Times New Roman" w:hAnsi="Times New Roman"/>
          <w:sz w:val="24"/>
          <w:szCs w:val="24"/>
        </w:rPr>
        <w:t>Nature. 2015 Feb 12;518(7538):197–206.</w:t>
      </w:r>
    </w:p>
    <w:p w14:paraId="6DC82F9C" w14:textId="77777777" w:rsidR="00670CB0" w:rsidRPr="003C51C1" w:rsidRDefault="00670CB0" w:rsidP="00670CB0">
      <w:pPr>
        <w:pStyle w:val="Bibliografa"/>
        <w:tabs>
          <w:tab w:val="clear" w:pos="384"/>
          <w:tab w:val="left" w:pos="284"/>
        </w:tabs>
        <w:ind w:left="284" w:hanging="284"/>
        <w:rPr>
          <w:rFonts w:ascii="Times New Roman" w:hAnsi="Times New Roman"/>
          <w:sz w:val="24"/>
          <w:szCs w:val="24"/>
          <w:lang w:val="en-US"/>
        </w:rPr>
      </w:pPr>
      <w:r w:rsidRPr="003C51C1">
        <w:rPr>
          <w:rFonts w:ascii="Times New Roman" w:hAnsi="Times New Roman"/>
          <w:sz w:val="24"/>
          <w:szCs w:val="24"/>
        </w:rPr>
        <w:t xml:space="preserve">Cho Y, Rau A, Reiner A, Auer PL. </w:t>
      </w:r>
      <w:r w:rsidRPr="003C51C1">
        <w:rPr>
          <w:rFonts w:ascii="Times New Roman" w:hAnsi="Times New Roman"/>
          <w:sz w:val="24"/>
          <w:szCs w:val="24"/>
          <w:lang w:val="en-US"/>
        </w:rPr>
        <w:t xml:space="preserve">Mendelian randomization analysis with survival outcomes. Genet Epidemiol. 2021 Feb;45(1):16–23. </w:t>
      </w:r>
    </w:p>
    <w:p w14:paraId="33D75920" w14:textId="77777777" w:rsidR="00670CB0" w:rsidRDefault="00670CB0" w:rsidP="00670CB0">
      <w:pPr>
        <w:pStyle w:val="Bibliografa"/>
        <w:tabs>
          <w:tab w:val="clear" w:pos="384"/>
          <w:tab w:val="left" w:pos="284"/>
        </w:tabs>
        <w:ind w:left="284" w:hanging="284"/>
        <w:rPr>
          <w:rFonts w:ascii="Times New Roman" w:hAnsi="Times New Roman"/>
          <w:sz w:val="24"/>
          <w:szCs w:val="24"/>
          <w:lang w:val="en-US"/>
        </w:rPr>
      </w:pPr>
      <w:r w:rsidRPr="003C51C1">
        <w:rPr>
          <w:rFonts w:ascii="Times New Roman" w:hAnsi="Times New Roman"/>
          <w:sz w:val="24"/>
          <w:szCs w:val="24"/>
          <w:lang w:val="en-US"/>
        </w:rPr>
        <w:t xml:space="preserve">Wade KH, Carslake D, Sattar N, Davey Smith G, Timpson NJ. BMI and Mortality in UK Biobank: Revised Estimates Using Mendelian Randomization. Obes Silver Spring Md. 2018 Nov;26(11):1796–806. </w:t>
      </w:r>
    </w:p>
    <w:p w14:paraId="0769AB47" w14:textId="130A6A45" w:rsidR="00621F5E" w:rsidRPr="00517575" w:rsidRDefault="00621F5E" w:rsidP="00621F5E">
      <w:pPr>
        <w:pStyle w:val="Bibliografa"/>
        <w:rPr>
          <w:rFonts w:ascii="Times New Roman" w:hAnsi="Times New Roman"/>
          <w:sz w:val="24"/>
        </w:rPr>
      </w:pPr>
      <w:r w:rsidRPr="00517575">
        <w:rPr>
          <w:rFonts w:ascii="Times New Roman" w:hAnsi="Times New Roman"/>
          <w:sz w:val="24"/>
        </w:rPr>
        <w:t xml:space="preserve">Mitchell RE, Paternoster L, Davey Smith G. Mendelian Randomization in Case Only Studies: A Promising Approach to be Applied With Caution. </w:t>
      </w:r>
      <w:r w:rsidRPr="00517575">
        <w:rPr>
          <w:rFonts w:ascii="Times New Roman" w:hAnsi="Times New Roman"/>
          <w:i/>
          <w:iCs/>
          <w:sz w:val="24"/>
        </w:rPr>
        <w:t>Am J Cardiol</w:t>
      </w:r>
      <w:r w:rsidRPr="00517575">
        <w:rPr>
          <w:rFonts w:ascii="Times New Roman" w:hAnsi="Times New Roman"/>
          <w:sz w:val="24"/>
        </w:rPr>
        <w:t xml:space="preserve"> 2018;</w:t>
      </w:r>
      <w:r w:rsidRPr="00517575">
        <w:rPr>
          <w:rFonts w:ascii="Times New Roman" w:hAnsi="Times New Roman"/>
          <w:b/>
          <w:bCs/>
          <w:sz w:val="24"/>
        </w:rPr>
        <w:t>122</w:t>
      </w:r>
      <w:r w:rsidRPr="00517575">
        <w:rPr>
          <w:rFonts w:ascii="Times New Roman" w:hAnsi="Times New Roman"/>
          <w:sz w:val="24"/>
        </w:rPr>
        <w:t>:2169–71. doi:10.1016/j.amjcard.2018.09.035</w:t>
      </w:r>
      <w:r>
        <w:rPr>
          <w:rFonts w:ascii="Times New Roman" w:hAnsi="Times New Roman"/>
          <w:sz w:val="24"/>
        </w:rPr>
        <w:t>.</w:t>
      </w:r>
    </w:p>
    <w:p w14:paraId="71B97250" w14:textId="1F40C676" w:rsidR="00621F5E" w:rsidRDefault="00621F5E" w:rsidP="00621F5E">
      <w:pPr>
        <w:rPr>
          <w:lang w:val="en-US"/>
        </w:rPr>
      </w:pPr>
      <w:r w:rsidRPr="00517575">
        <w:rPr>
          <w:rFonts w:ascii="Times New Roman" w:hAnsi="Times New Roman"/>
          <w:sz w:val="24"/>
        </w:rPr>
        <w:t xml:space="preserve">Paternoster L, Tilling K, Smith GD. Genetic epidemiology and Mendelian randomization for informing disease therapeutics: Conceptual and methodological challenges. </w:t>
      </w:r>
      <w:r w:rsidRPr="00517575">
        <w:rPr>
          <w:rFonts w:ascii="Times New Roman" w:hAnsi="Times New Roman"/>
          <w:i/>
          <w:iCs/>
          <w:sz w:val="24"/>
        </w:rPr>
        <w:t>PLOS Genet</w:t>
      </w:r>
      <w:r w:rsidRPr="00517575">
        <w:rPr>
          <w:rFonts w:ascii="Times New Roman" w:hAnsi="Times New Roman"/>
          <w:sz w:val="24"/>
        </w:rPr>
        <w:t xml:space="preserve"> 2017;</w:t>
      </w:r>
      <w:r w:rsidRPr="00517575">
        <w:rPr>
          <w:rFonts w:ascii="Times New Roman" w:hAnsi="Times New Roman"/>
          <w:b/>
          <w:bCs/>
          <w:sz w:val="24"/>
        </w:rPr>
        <w:t>13</w:t>
      </w:r>
      <w:r w:rsidRPr="00517575">
        <w:rPr>
          <w:rFonts w:ascii="Times New Roman" w:hAnsi="Times New Roman"/>
          <w:sz w:val="24"/>
        </w:rPr>
        <w:t>:e1006944. doi:10.1371/journal.pgen.100694</w:t>
      </w:r>
      <w:r>
        <w:rPr>
          <w:rFonts w:ascii="Times New Roman" w:hAnsi="Times New Roman"/>
          <w:sz w:val="24"/>
        </w:rPr>
        <w:t>.</w:t>
      </w:r>
    </w:p>
    <w:p w14:paraId="6782F85D" w14:textId="77777777" w:rsidR="00670CB0" w:rsidRPr="003C51C1" w:rsidRDefault="00670CB0" w:rsidP="00670CB0">
      <w:pPr>
        <w:pStyle w:val="Bibliografa"/>
        <w:tabs>
          <w:tab w:val="clear" w:pos="384"/>
          <w:tab w:val="left" w:pos="284"/>
        </w:tabs>
        <w:ind w:left="284" w:hanging="284"/>
        <w:rPr>
          <w:rFonts w:ascii="Times New Roman" w:hAnsi="Times New Roman"/>
          <w:sz w:val="24"/>
          <w:szCs w:val="24"/>
          <w:lang w:val="en-US"/>
        </w:rPr>
      </w:pPr>
      <w:r w:rsidRPr="003C51C1">
        <w:rPr>
          <w:rFonts w:ascii="Times New Roman" w:hAnsi="Times New Roman"/>
          <w:sz w:val="24"/>
          <w:szCs w:val="24"/>
          <w:lang w:val="en-US"/>
        </w:rPr>
        <w:t xml:space="preserve">Thomas DC, Lawlor DA, Thompson JR. Re: Estimation of bias in nongenetic observational studies using ‘Mendelian triangulation’ by Bautista et al. Ann Epidemiol. 2007 Jul;17(7):511–3. </w:t>
      </w:r>
    </w:p>
    <w:p w14:paraId="267EFC86" w14:textId="77777777" w:rsidR="00670CB0" w:rsidRPr="003C51C1" w:rsidRDefault="00670CB0" w:rsidP="00670CB0">
      <w:pPr>
        <w:pStyle w:val="Bibliografa"/>
        <w:tabs>
          <w:tab w:val="clear" w:pos="384"/>
          <w:tab w:val="left" w:pos="284"/>
        </w:tabs>
        <w:ind w:left="284" w:hanging="284"/>
        <w:rPr>
          <w:rFonts w:ascii="Times New Roman" w:hAnsi="Times New Roman"/>
          <w:sz w:val="24"/>
          <w:szCs w:val="24"/>
        </w:rPr>
      </w:pPr>
      <w:r w:rsidRPr="003C51C1">
        <w:rPr>
          <w:rFonts w:ascii="Times New Roman" w:hAnsi="Times New Roman"/>
          <w:sz w:val="24"/>
          <w:szCs w:val="24"/>
          <w:lang w:val="en-US"/>
        </w:rPr>
        <w:t xml:space="preserve">Bowden J, Davey Smith G, Burgess S. Mendelian randomization with invalid instruments: effect estimation and bias detection through Egger regression. Int J Epidemiol. 2015 Apr;44(2):512–25. </w:t>
      </w:r>
    </w:p>
    <w:p w14:paraId="6A3FE7CA" w14:textId="77777777" w:rsidR="00645C42" w:rsidRPr="003C51C1" w:rsidRDefault="00000000">
      <w:pPr>
        <w:rPr>
          <w:rFonts w:ascii="Times New Roman" w:hAnsi="Times New Roman"/>
          <w:sz w:val="24"/>
          <w:szCs w:val="24"/>
        </w:rPr>
      </w:pPr>
    </w:p>
    <w:sectPr w:rsidR="00645C42" w:rsidRPr="003C51C1">
      <w:footerReference w:type="default" r:id="rId6"/>
      <w:pgSz w:w="11906" w:h="16838"/>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9FE80" w14:textId="77777777" w:rsidR="00B504AA" w:rsidRDefault="00B504AA">
      <w:pPr>
        <w:spacing w:after="0" w:line="240" w:lineRule="auto"/>
      </w:pPr>
      <w:r>
        <w:separator/>
      </w:r>
    </w:p>
  </w:endnote>
  <w:endnote w:type="continuationSeparator" w:id="0">
    <w:p w14:paraId="0F336511" w14:textId="77777777" w:rsidR="00B504AA" w:rsidRDefault="00B50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D81C3" w14:textId="77777777" w:rsidR="00B918A9" w:rsidRDefault="00670CB0">
    <w:pPr>
      <w:pStyle w:val="Piedepgina"/>
      <w:jc w:val="center"/>
    </w:pPr>
    <w:r>
      <w:fldChar w:fldCharType="begin"/>
    </w:r>
    <w:r>
      <w:instrText xml:space="preserve"> PAGE </w:instrText>
    </w:r>
    <w:r>
      <w:fldChar w:fldCharType="separate"/>
    </w:r>
    <w:r w:rsidR="00354D36">
      <w:rPr>
        <w:noProof/>
      </w:rPr>
      <w:t>3</w:t>
    </w:r>
    <w:r>
      <w:fldChar w:fldCharType="end"/>
    </w:r>
  </w:p>
  <w:p w14:paraId="7148093A" w14:textId="77777777" w:rsidR="00B918A9" w:rsidRDefault="000000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DB851" w14:textId="77777777" w:rsidR="00B504AA" w:rsidRDefault="00B504AA">
      <w:pPr>
        <w:spacing w:after="0" w:line="240" w:lineRule="auto"/>
      </w:pPr>
      <w:r>
        <w:separator/>
      </w:r>
    </w:p>
  </w:footnote>
  <w:footnote w:type="continuationSeparator" w:id="0">
    <w:p w14:paraId="50A94F8C" w14:textId="77777777" w:rsidR="00B504AA" w:rsidRDefault="00B504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0CB0"/>
    <w:rsid w:val="001107E2"/>
    <w:rsid w:val="00112ACB"/>
    <w:rsid w:val="002004DE"/>
    <w:rsid w:val="002A5DD2"/>
    <w:rsid w:val="002A5E82"/>
    <w:rsid w:val="003255CC"/>
    <w:rsid w:val="00336A82"/>
    <w:rsid w:val="00354D36"/>
    <w:rsid w:val="003C51C1"/>
    <w:rsid w:val="003F27AB"/>
    <w:rsid w:val="00433EE2"/>
    <w:rsid w:val="00547BB2"/>
    <w:rsid w:val="0055052E"/>
    <w:rsid w:val="00621F5E"/>
    <w:rsid w:val="00670CB0"/>
    <w:rsid w:val="006E485C"/>
    <w:rsid w:val="007C4208"/>
    <w:rsid w:val="007C58A2"/>
    <w:rsid w:val="00941BB5"/>
    <w:rsid w:val="00AA5EB1"/>
    <w:rsid w:val="00AF1463"/>
    <w:rsid w:val="00B3747E"/>
    <w:rsid w:val="00B504AA"/>
    <w:rsid w:val="00BC0817"/>
    <w:rsid w:val="00BE2270"/>
    <w:rsid w:val="00C16208"/>
    <w:rsid w:val="00CD0083"/>
    <w:rsid w:val="00D23F44"/>
    <w:rsid w:val="00D77976"/>
    <w:rsid w:val="00DD6885"/>
    <w:rsid w:val="00E54FDF"/>
    <w:rsid w:val="00E71C4A"/>
    <w:rsid w:val="00E82690"/>
    <w:rsid w:val="00E94367"/>
    <w:rsid w:val="00EA3614"/>
    <w:rsid w:val="00ED2E98"/>
    <w:rsid w:val="00F02352"/>
    <w:rsid w:val="00FB10DA"/>
    <w:rsid w:val="00FE2F4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6286A"/>
  <w15:docId w15:val="{C47A92D5-FD33-444E-9426-645B65479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CB0"/>
    <w:pPr>
      <w:suppressAutoHyphens/>
      <w:autoSpaceDN w:val="0"/>
      <w:textAlignment w:val="baseline"/>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rsid w:val="00670CB0"/>
    <w:pPr>
      <w:tabs>
        <w:tab w:val="center" w:pos="4252"/>
        <w:tab w:val="right" w:pos="8504"/>
      </w:tabs>
      <w:spacing w:after="0" w:line="240" w:lineRule="auto"/>
    </w:pPr>
  </w:style>
  <w:style w:type="character" w:customStyle="1" w:styleId="PiedepginaCar">
    <w:name w:val="Pie de página Car"/>
    <w:basedOn w:val="Fuentedeprrafopredeter"/>
    <w:link w:val="Piedepgina"/>
    <w:rsid w:val="00670CB0"/>
    <w:rPr>
      <w:rFonts w:ascii="Calibri" w:eastAsia="Calibri" w:hAnsi="Calibri" w:cs="Times New Roman"/>
    </w:rPr>
  </w:style>
  <w:style w:type="paragraph" w:styleId="Bibliografa">
    <w:name w:val="Bibliography"/>
    <w:basedOn w:val="Normal"/>
    <w:next w:val="Normal"/>
    <w:rsid w:val="00670CB0"/>
    <w:pPr>
      <w:tabs>
        <w:tab w:val="left" w:pos="384"/>
      </w:tabs>
      <w:spacing w:after="240" w:line="240" w:lineRule="auto"/>
      <w:ind w:left="384" w:hanging="384"/>
    </w:pPr>
  </w:style>
  <w:style w:type="paragraph" w:styleId="Textodeglobo">
    <w:name w:val="Balloon Text"/>
    <w:basedOn w:val="Normal"/>
    <w:link w:val="TextodegloboCar"/>
    <w:uiPriority w:val="99"/>
    <w:semiHidden/>
    <w:unhideWhenUsed/>
    <w:rsid w:val="00670CB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70CB0"/>
    <w:rPr>
      <w:rFonts w:ascii="Tahoma" w:eastAsia="Calibri" w:hAnsi="Tahoma" w:cs="Tahoma"/>
      <w:sz w:val="16"/>
      <w:szCs w:val="16"/>
    </w:rPr>
  </w:style>
  <w:style w:type="paragraph" w:styleId="Revisin">
    <w:name w:val="Revision"/>
    <w:hidden/>
    <w:uiPriority w:val="99"/>
    <w:semiHidden/>
    <w:rsid w:val="007C58A2"/>
    <w:pPr>
      <w:spacing w:after="0" w:line="240" w:lineRule="auto"/>
    </w:pPr>
    <w:rPr>
      <w:rFonts w:ascii="Calibri" w:eastAsia="Calibri" w:hAnsi="Calibri" w:cs="Times New Roman"/>
    </w:rPr>
  </w:style>
  <w:style w:type="character" w:styleId="Refdecomentario">
    <w:name w:val="annotation reference"/>
    <w:basedOn w:val="Fuentedeprrafopredeter"/>
    <w:uiPriority w:val="99"/>
    <w:semiHidden/>
    <w:unhideWhenUsed/>
    <w:rsid w:val="00F02352"/>
    <w:rPr>
      <w:sz w:val="16"/>
      <w:szCs w:val="16"/>
    </w:rPr>
  </w:style>
  <w:style w:type="paragraph" w:styleId="Textocomentario">
    <w:name w:val="annotation text"/>
    <w:basedOn w:val="Normal"/>
    <w:link w:val="TextocomentarioCar"/>
    <w:uiPriority w:val="99"/>
    <w:unhideWhenUsed/>
    <w:rsid w:val="00F02352"/>
    <w:pPr>
      <w:spacing w:line="240" w:lineRule="auto"/>
    </w:pPr>
    <w:rPr>
      <w:sz w:val="20"/>
      <w:szCs w:val="20"/>
    </w:rPr>
  </w:style>
  <w:style w:type="character" w:customStyle="1" w:styleId="TextocomentarioCar">
    <w:name w:val="Texto comentario Car"/>
    <w:basedOn w:val="Fuentedeprrafopredeter"/>
    <w:link w:val="Textocomentario"/>
    <w:uiPriority w:val="99"/>
    <w:rsid w:val="00F02352"/>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F02352"/>
    <w:rPr>
      <w:b/>
      <w:bCs/>
    </w:rPr>
  </w:style>
  <w:style w:type="character" w:customStyle="1" w:styleId="AsuntodelcomentarioCar">
    <w:name w:val="Asunto del comentario Car"/>
    <w:basedOn w:val="TextocomentarioCar"/>
    <w:link w:val="Asuntodelcomentario"/>
    <w:uiPriority w:val="99"/>
    <w:semiHidden/>
    <w:rsid w:val="00F02352"/>
    <w:rPr>
      <w:rFonts w:ascii="Calibri" w:eastAsia="Calibri" w:hAnsi="Calibri" w:cs="Times New Roman"/>
      <w:b/>
      <w:bCs/>
      <w:sz w:val="20"/>
      <w:szCs w:val="20"/>
    </w:rPr>
  </w:style>
  <w:style w:type="character" w:styleId="Hipervnculo">
    <w:name w:val="Hyperlink"/>
    <w:basedOn w:val="Fuentedeprrafopredeter"/>
    <w:uiPriority w:val="99"/>
    <w:unhideWhenUsed/>
    <w:rsid w:val="00433EE2"/>
    <w:rPr>
      <w:color w:val="0000FF" w:themeColor="hyperlink"/>
      <w:u w:val="single"/>
    </w:rPr>
  </w:style>
  <w:style w:type="character" w:customStyle="1" w:styleId="Mencinsinresolver1">
    <w:name w:val="Mención sin resolver1"/>
    <w:basedOn w:val="Fuentedeprrafopredeter"/>
    <w:uiPriority w:val="99"/>
    <w:semiHidden/>
    <w:unhideWhenUsed/>
    <w:rsid w:val="00433EE2"/>
    <w:rPr>
      <w:color w:val="605E5C"/>
      <w:shd w:val="clear" w:color="auto" w:fill="E1DFDD"/>
    </w:rPr>
  </w:style>
  <w:style w:type="character" w:styleId="nfasis">
    <w:name w:val="Emphasis"/>
    <w:basedOn w:val="Fuentedeprrafopredeter"/>
    <w:uiPriority w:val="20"/>
    <w:qFormat/>
    <w:rsid w:val="006E485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1152</Words>
  <Characters>6571</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Bonet Bonet, Catalina</dc:creator>
  <cp:lastModifiedBy>BONET BONET, CATALINA</cp:lastModifiedBy>
  <cp:revision>3</cp:revision>
  <dcterms:created xsi:type="dcterms:W3CDTF">2023-01-10T16:33:00Z</dcterms:created>
  <dcterms:modified xsi:type="dcterms:W3CDTF">2023-03-16T12:19:00Z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id="GHXe3kHf"/&gt;&lt;style id="http://www.zotero.org/styles/american-journal-of-public-health" hasBibliography="1" bibliographyStyleHasBeenSet="1"/&gt;&lt;prefs&gt;&lt;pref name="fieldType" value="Field"/&gt;&lt;pref nam</vt:lpwstr>
  </property>
  <property fmtid="{D5CDD505-2E9C-101B-9397-08002B2CF9AE}" pid="3" name="ZOTERO_PREF_2">
    <vt:lpwstr>e="automaticJournalAbbreviations" value="true"/&gt;&lt;/prefs&gt;&lt;/data&gt;</vt:lpwstr>
  </property>
</Properties>
</file>