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8792" w14:textId="77777777" w:rsidR="00554EE0" w:rsidRDefault="002045FB" w:rsidP="00554EE0">
      <w:pPr>
        <w:rPr>
          <w:rFonts w:asciiTheme="majorHAnsi" w:hAnsiTheme="majorHAnsi"/>
          <w:color w:val="365F91"/>
          <w:sz w:val="32"/>
          <w:szCs w:val="32"/>
          <w:lang w:val="en-GB"/>
        </w:rPr>
      </w:pPr>
      <w:bookmarkStart w:id="0" w:name="_Ref124235669"/>
      <w:r>
        <w:rPr>
          <w:rFonts w:asciiTheme="majorHAnsi" w:hAnsiTheme="majorHAnsi"/>
          <w:color w:val="365F91"/>
          <w:sz w:val="32"/>
          <w:szCs w:val="32"/>
          <w:lang w:val="en-GB"/>
        </w:rPr>
        <w:t>Online Resource</w:t>
      </w:r>
      <w:r w:rsidR="00554EE0">
        <w:rPr>
          <w:rFonts w:asciiTheme="majorHAnsi" w:hAnsiTheme="majorHAnsi"/>
          <w:color w:val="365F91"/>
          <w:sz w:val="32"/>
          <w:szCs w:val="32"/>
          <w:lang w:val="en-GB"/>
        </w:rPr>
        <w:t xml:space="preserve"> 10</w:t>
      </w:r>
    </w:p>
    <w:p w14:paraId="1303B7CB" w14:textId="77777777" w:rsidR="00554EE0" w:rsidRPr="003F6C8B" w:rsidRDefault="00554EE0" w:rsidP="00554EE0">
      <w:pPr>
        <w:rPr>
          <w:rFonts w:asciiTheme="majorHAnsi" w:hAnsiTheme="majorHAnsi"/>
          <w:color w:val="365F91"/>
          <w:sz w:val="32"/>
          <w:szCs w:val="32"/>
          <w:lang w:val="en-GB"/>
        </w:rPr>
      </w:pPr>
    </w:p>
    <w:p w14:paraId="10AEB2BA" w14:textId="77777777" w:rsidR="00554EE0" w:rsidRPr="000D2B42" w:rsidRDefault="00554EE0" w:rsidP="00554EE0">
      <w:pPr>
        <w:pStyle w:val="Beschriftung"/>
        <w:keepNext/>
        <w:outlineLvl w:val="0"/>
        <w:rPr>
          <w:i w:val="0"/>
          <w:sz w:val="20"/>
          <w:szCs w:val="20"/>
          <w:lang w:val="en-GB"/>
        </w:rPr>
      </w:pPr>
      <w:bookmarkStart w:id="1" w:name="_Toc124839853"/>
      <w:r w:rsidRPr="00192689">
        <w:rPr>
          <w:b/>
          <w:i w:val="0"/>
          <w:sz w:val="20"/>
          <w:szCs w:val="20"/>
          <w:lang w:val="en-GB"/>
        </w:rPr>
        <w:t>Table</w:t>
      </w:r>
      <w:bookmarkEnd w:id="0"/>
      <w:r w:rsidRPr="00192689">
        <w:rPr>
          <w:b/>
          <w:i w:val="0"/>
          <w:sz w:val="20"/>
          <w:szCs w:val="20"/>
          <w:lang w:val="en-GB"/>
        </w:rPr>
        <w:t>.</w:t>
      </w:r>
      <w:r w:rsidRPr="000D2B42">
        <w:rPr>
          <w:i w:val="0"/>
          <w:sz w:val="20"/>
          <w:szCs w:val="20"/>
          <w:lang w:val="en-GB"/>
        </w:rPr>
        <w:t xml:space="preserve"> </w:t>
      </w:r>
      <w:r w:rsidRPr="000D2B42">
        <w:rPr>
          <w:i w:val="0"/>
          <w:sz w:val="20"/>
          <w:szCs w:val="20"/>
          <w:lang w:val="en-US"/>
        </w:rPr>
        <w:t xml:space="preserve">The influence of </w:t>
      </w:r>
      <w:r>
        <w:rPr>
          <w:i w:val="0"/>
          <w:sz w:val="20"/>
          <w:szCs w:val="20"/>
          <w:lang w:val="en-US"/>
        </w:rPr>
        <w:t xml:space="preserve">specific issues </w:t>
      </w:r>
      <w:r w:rsidRPr="000D2B42">
        <w:rPr>
          <w:i w:val="0"/>
          <w:sz w:val="20"/>
          <w:szCs w:val="20"/>
          <w:lang w:val="en-US"/>
        </w:rPr>
        <w:t>on risk estimates of studies on the association between occupational solar exposure and BCC. Results based on separate univariable meta-regression analyses, restricted to studies without deficits regarding data analysis</w:t>
      </w:r>
      <w:bookmarkEnd w:id="1"/>
    </w:p>
    <w:tbl>
      <w:tblPr>
        <w:tblStyle w:val="Tabellenraster"/>
        <w:tblW w:w="9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3"/>
        <w:gridCol w:w="1028"/>
        <w:gridCol w:w="961"/>
        <w:gridCol w:w="1130"/>
        <w:gridCol w:w="1130"/>
        <w:gridCol w:w="1130"/>
        <w:gridCol w:w="1130"/>
      </w:tblGrid>
      <w:tr w:rsidR="00DC48C6" w:rsidRPr="00D71EE1" w14:paraId="32003FE5" w14:textId="77777777" w:rsidTr="00DC48C6">
        <w:trPr>
          <w:trHeight w:val="449"/>
        </w:trPr>
        <w:tc>
          <w:tcPr>
            <w:tcW w:w="3013" w:type="dxa"/>
            <w:tcBorders>
              <w:top w:val="single" w:sz="4" w:space="0" w:color="auto"/>
              <w:right w:val="single" w:sz="4" w:space="0" w:color="auto"/>
            </w:tcBorders>
          </w:tcPr>
          <w:p w14:paraId="190B4418" w14:textId="77777777" w:rsidR="00DC48C6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Comparison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03FFADF" w14:textId="77777777" w:rsidR="00DC48C6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All studies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1883905" w14:textId="77777777" w:rsidR="00DC48C6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Case-control studies</w:t>
            </w:r>
          </w:p>
        </w:tc>
      </w:tr>
      <w:tr w:rsidR="00DC48C6" w:rsidRPr="00D71EE1" w14:paraId="1A25FD48" w14:textId="77777777" w:rsidTr="00DC48C6">
        <w:trPr>
          <w:trHeight w:val="449"/>
        </w:trPr>
        <w:tc>
          <w:tcPr>
            <w:tcW w:w="3013" w:type="dxa"/>
            <w:tcBorders>
              <w:bottom w:val="single" w:sz="4" w:space="0" w:color="auto"/>
              <w:right w:val="single" w:sz="4" w:space="0" w:color="auto"/>
            </w:tcBorders>
          </w:tcPr>
          <w:p w14:paraId="4EA00E2E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DA51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Risk estimate</w:t>
            </w:r>
            <w:r w:rsidRPr="00D71EE1"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CF0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Lower </w:t>
            </w:r>
            <w:r w:rsidRPr="00D71EE1">
              <w:rPr>
                <w:b/>
                <w:sz w:val="20"/>
              </w:rPr>
              <w:t>95%-CI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</w:tcPr>
          <w:p w14:paraId="6174623C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Upper </w:t>
            </w:r>
            <w:r w:rsidRPr="00D71EE1">
              <w:rPr>
                <w:b/>
                <w:sz w:val="20"/>
              </w:rPr>
              <w:t>95%-CI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</w:tcPr>
          <w:p w14:paraId="48E989D6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Risk estimate</w:t>
            </w:r>
            <w:r w:rsidRPr="00D71EE1">
              <w:rPr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</w:tcPr>
          <w:p w14:paraId="4259C21D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Lower </w:t>
            </w:r>
            <w:r w:rsidRPr="00D71EE1">
              <w:rPr>
                <w:b/>
                <w:sz w:val="20"/>
              </w:rPr>
              <w:t>95%-CI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</w:tcPr>
          <w:p w14:paraId="0878B78B" w14:textId="77777777" w:rsidR="00DC48C6" w:rsidRPr="00D71EE1" w:rsidRDefault="00DC48C6" w:rsidP="00DC48C6">
            <w:pPr>
              <w:pStyle w:val="EndNoteBibliography"/>
              <w:keepNext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Upper </w:t>
            </w:r>
            <w:r w:rsidRPr="00D71EE1">
              <w:rPr>
                <w:b/>
                <w:sz w:val="20"/>
              </w:rPr>
              <w:t>95%-CI</w:t>
            </w:r>
          </w:p>
        </w:tc>
      </w:tr>
      <w:tr w:rsidR="00E87B76" w:rsidRPr="00E87B76" w14:paraId="68294E99" w14:textId="77777777" w:rsidTr="00DC48C6">
        <w:tc>
          <w:tcPr>
            <w:tcW w:w="3013" w:type="dxa"/>
            <w:tcBorders>
              <w:right w:val="single" w:sz="4" w:space="0" w:color="auto"/>
            </w:tcBorders>
          </w:tcPr>
          <w:p w14:paraId="3E7265F5" w14:textId="1F696792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Studies with high vs. low risk of selection bias</w:t>
            </w:r>
            <w:r w:rsidR="004F10F5" w:rsidRPr="00E87B76">
              <w:rPr>
                <w:b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14:paraId="45BE47B0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</w:rPr>
            </w:pPr>
            <w:r w:rsidRPr="00E87B76">
              <w:rPr>
                <w:rFonts w:eastAsia="CourierNewPS-BoldMT,Bold"/>
                <w:bCs/>
                <w:sz w:val="20"/>
              </w:rPr>
              <w:t>2.32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FD1030E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</w:rPr>
            </w:pPr>
            <w:r w:rsidRPr="00E87B76">
              <w:rPr>
                <w:rFonts w:eastAsia="CourierNewPS-BoldMT,Bold"/>
                <w:bCs/>
                <w:sz w:val="20"/>
              </w:rPr>
              <w:t>1.74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06EFAF2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</w:rPr>
            </w:pPr>
            <w:r w:rsidRPr="00E87B76">
              <w:rPr>
                <w:rFonts w:eastAsia="CourierNewPS-BoldMT,Bold"/>
                <w:bCs/>
                <w:sz w:val="20"/>
              </w:rPr>
              <w:t>3.08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C9DB4A3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</w:rPr>
            </w:pPr>
            <w:r w:rsidRPr="00E87B76">
              <w:rPr>
                <w:rFonts w:eastAsia="CourierNewPS-BoldMT,Bold"/>
                <w:bCs/>
                <w:sz w:val="20"/>
              </w:rPr>
              <w:t>2.48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92796D4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</w:rPr>
            </w:pPr>
            <w:r w:rsidRPr="00E87B76">
              <w:rPr>
                <w:rFonts w:eastAsia="CourierNewPS-BoldMT,Bold"/>
                <w:bCs/>
                <w:sz w:val="20"/>
              </w:rPr>
              <w:t>1.62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4ED1F824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</w:rPr>
            </w:pPr>
            <w:r w:rsidRPr="00E87B76">
              <w:rPr>
                <w:rFonts w:eastAsia="CourierNewPS-BoldMT,Bold"/>
                <w:bCs/>
                <w:sz w:val="20"/>
              </w:rPr>
              <w:t>3.79</w:t>
            </w:r>
          </w:p>
        </w:tc>
      </w:tr>
      <w:tr w:rsidR="00E87B76" w:rsidRPr="00E87B76" w14:paraId="6DCC29A9" w14:textId="77777777" w:rsidTr="00DC48C6">
        <w:tc>
          <w:tcPr>
            <w:tcW w:w="3013" w:type="dxa"/>
            <w:tcBorders>
              <w:right w:val="single" w:sz="4" w:space="0" w:color="auto"/>
            </w:tcBorders>
          </w:tcPr>
          <w:p w14:paraId="13B93567" w14:textId="5E782DB0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Studies with quantitative vs. other exposure variables</w:t>
            </w:r>
            <w:r w:rsidR="004F10F5" w:rsidRPr="00E87B76">
              <w:rPr>
                <w:b/>
                <w:sz w:val="20"/>
                <w:vertAlign w:val="superscript"/>
                <w:lang w:val="en-GB"/>
              </w:rPr>
              <w:t>a</w:t>
            </w:r>
            <w:r w:rsidRPr="00E87B76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26086" w14:textId="5B1D7140" w:rsidR="00DC48C6" w:rsidRPr="00E87B76" w:rsidRDefault="00DC48C6" w:rsidP="00190353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0.94</w:t>
            </w:r>
            <w:r w:rsidR="004F10F5" w:rsidRPr="00E87B76">
              <w:rPr>
                <w:b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DBFAE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0.64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auto"/>
          </w:tcPr>
          <w:p w14:paraId="472F6F98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1.38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1D8FDF4" w14:textId="24F6303C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0.92</w:t>
            </w:r>
            <w:r w:rsidR="004F10F5" w:rsidRPr="00E87B76">
              <w:rPr>
                <w:b/>
                <w:bCs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C93240C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0.49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3DAD939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1.75</w:t>
            </w:r>
          </w:p>
        </w:tc>
      </w:tr>
      <w:tr w:rsidR="00E87B76" w:rsidRPr="00E87B76" w14:paraId="0AF048A5" w14:textId="77777777" w:rsidTr="00DC48C6">
        <w:tc>
          <w:tcPr>
            <w:tcW w:w="3013" w:type="dxa"/>
            <w:tcBorders>
              <w:right w:val="single" w:sz="4" w:space="0" w:color="auto"/>
            </w:tcBorders>
          </w:tcPr>
          <w:p w14:paraId="4C671CF3" w14:textId="437DAC41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Studies that compare specific single outdoor occupations with all other occupations/the general population vs. all other studies</w:t>
            </w:r>
            <w:r w:rsidR="004F10F5" w:rsidRPr="00E87B76">
              <w:rPr>
                <w:b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14:paraId="2ACE6720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rFonts w:eastAsia="CourierNewPS-BoldMT,Bold"/>
                <w:bCs/>
                <w:sz w:val="20"/>
                <w:lang w:val="en-GB"/>
              </w:rPr>
            </w:pPr>
            <w:r w:rsidRPr="00E87B76">
              <w:rPr>
                <w:rFonts w:eastAsia="CourierNewPS-BoldMT,Bold"/>
                <w:bCs/>
                <w:sz w:val="20"/>
                <w:lang w:val="en-GB"/>
              </w:rPr>
              <w:t>1.00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4B571017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0.65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6611178C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1.54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8C143DB" w14:textId="6C661C45" w:rsidR="00DC48C6" w:rsidRPr="00E87B76" w:rsidRDefault="00DC48C6" w:rsidP="00190353">
            <w:pPr>
              <w:pStyle w:val="EndNoteBibliography"/>
              <w:keepNext/>
              <w:spacing w:before="120" w:line="276" w:lineRule="auto"/>
              <w:rPr>
                <w:rFonts w:eastAsia="CourierNewPS-BoldMT,Bold"/>
                <w:bCs/>
                <w:sz w:val="20"/>
                <w:lang w:val="en-GB"/>
              </w:rPr>
            </w:pPr>
            <w:r w:rsidRPr="00E87B76">
              <w:rPr>
                <w:rFonts w:eastAsia="CourierNewPS-BoldMT,Bold"/>
                <w:bCs/>
                <w:sz w:val="20"/>
                <w:lang w:val="en-GB"/>
              </w:rPr>
              <w:t xml:space="preserve">- </w:t>
            </w:r>
            <w:r w:rsidR="004F10F5" w:rsidRPr="00E87B76">
              <w:rPr>
                <w:rFonts w:eastAsia="CourierNewPS-BoldMT,Bold"/>
                <w:b/>
                <w:bCs/>
                <w:sz w:val="20"/>
                <w:vertAlign w:val="superscript"/>
                <w:lang w:val="en-GB"/>
              </w:rPr>
              <w:t>c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6954F4E9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B446C00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</w:p>
        </w:tc>
      </w:tr>
      <w:tr w:rsidR="00E87B76" w:rsidRPr="00E87B76" w14:paraId="534D477E" w14:textId="77777777" w:rsidTr="00DC48C6">
        <w:tc>
          <w:tcPr>
            <w:tcW w:w="3013" w:type="dxa"/>
            <w:tcBorders>
              <w:right w:val="single" w:sz="4" w:space="0" w:color="auto"/>
            </w:tcBorders>
          </w:tcPr>
          <w:p w14:paraId="3F1F932B" w14:textId="6E1915C9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Studies with BCC cases that were explicitly first ever BCC cases versus other studies</w:t>
            </w:r>
            <w:r w:rsidR="004F10F5" w:rsidRPr="00E87B76">
              <w:rPr>
                <w:b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14:paraId="395DBF6C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rFonts w:eastAsia="CourierNewPS-BoldMT,Bold"/>
                <w:bCs/>
                <w:sz w:val="20"/>
                <w:lang w:val="en-GB"/>
              </w:rPr>
            </w:pPr>
            <w:r w:rsidRPr="00E87B76">
              <w:rPr>
                <w:rFonts w:eastAsia="CourierNewPS-BoldMT,Bold"/>
                <w:bCs/>
                <w:sz w:val="20"/>
                <w:lang w:val="en-GB"/>
              </w:rPr>
              <w:t>0.98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5C85742A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0.66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6C6589C" w14:textId="77777777" w:rsidR="00DC48C6" w:rsidRPr="00E87B76" w:rsidRDefault="00DC48C6" w:rsidP="00DC48C6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1.45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2421AFD" w14:textId="77777777" w:rsidR="00DC48C6" w:rsidRPr="00E87B76" w:rsidRDefault="00243F65" w:rsidP="00DC48C6">
            <w:pPr>
              <w:pStyle w:val="EndNoteBibliography"/>
              <w:keepNext/>
              <w:spacing w:before="120" w:line="276" w:lineRule="auto"/>
              <w:rPr>
                <w:rFonts w:eastAsia="CourierNewPS-BoldMT,Bold"/>
                <w:bCs/>
                <w:sz w:val="20"/>
                <w:lang w:val="en-GB"/>
              </w:rPr>
            </w:pPr>
            <w:r w:rsidRPr="00E87B76">
              <w:rPr>
                <w:rFonts w:eastAsia="CourierNewPS-BoldMT,Bold"/>
                <w:bCs/>
                <w:sz w:val="20"/>
                <w:lang w:val="en-GB"/>
              </w:rPr>
              <w:t>0.72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D1205DF" w14:textId="77777777" w:rsidR="00DC48C6" w:rsidRPr="00E87B76" w:rsidRDefault="00DC48C6" w:rsidP="00243F65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0.</w:t>
            </w:r>
            <w:r w:rsidR="00243F65" w:rsidRPr="00E87B76">
              <w:rPr>
                <w:sz w:val="20"/>
                <w:lang w:val="en-GB"/>
              </w:rPr>
              <w:t>42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7780B0F" w14:textId="77777777" w:rsidR="00DC48C6" w:rsidRPr="00E87B76" w:rsidRDefault="00DC48C6" w:rsidP="00243F65">
            <w:pPr>
              <w:pStyle w:val="EndNoteBibliography"/>
              <w:keepNext/>
              <w:spacing w:before="120" w:line="276" w:lineRule="auto"/>
              <w:rPr>
                <w:sz w:val="20"/>
                <w:lang w:val="en-GB"/>
              </w:rPr>
            </w:pPr>
            <w:r w:rsidRPr="00E87B76">
              <w:rPr>
                <w:sz w:val="20"/>
                <w:lang w:val="en-GB"/>
              </w:rPr>
              <w:t>1.</w:t>
            </w:r>
            <w:r w:rsidR="00243F65" w:rsidRPr="00E87B76">
              <w:rPr>
                <w:sz w:val="20"/>
                <w:lang w:val="en-GB"/>
              </w:rPr>
              <w:t>23</w:t>
            </w:r>
          </w:p>
        </w:tc>
      </w:tr>
    </w:tbl>
    <w:p w14:paraId="56BC8F27" w14:textId="1B652636" w:rsidR="00554EE0" w:rsidRPr="00E87B76" w:rsidRDefault="004F10F5" w:rsidP="00DC48C6">
      <w:pPr>
        <w:tabs>
          <w:tab w:val="left" w:pos="2537"/>
        </w:tabs>
        <w:spacing w:before="240" w:line="276" w:lineRule="auto"/>
        <w:rPr>
          <w:sz w:val="16"/>
          <w:szCs w:val="16"/>
          <w:lang w:val="en-GB"/>
        </w:rPr>
      </w:pPr>
      <w:proofErr w:type="spellStart"/>
      <w:r w:rsidRPr="00E87B76">
        <w:rPr>
          <w:b/>
          <w:sz w:val="20"/>
          <w:vertAlign w:val="superscript"/>
          <w:lang w:val="en-GB"/>
        </w:rPr>
        <w:t>a</w:t>
      </w:r>
      <w:proofErr w:type="spellEnd"/>
      <w:r w:rsidRPr="00E87B76">
        <w:rPr>
          <w:sz w:val="16"/>
          <w:szCs w:val="16"/>
          <w:lang w:val="en-GB"/>
        </w:rPr>
        <w:t xml:space="preserve"> </w:t>
      </w:r>
      <w:proofErr w:type="gramStart"/>
      <w:r w:rsidRPr="00E87B76">
        <w:rPr>
          <w:sz w:val="16"/>
          <w:szCs w:val="16"/>
          <w:lang w:val="en-GB"/>
        </w:rPr>
        <w:t>The</w:t>
      </w:r>
      <w:proofErr w:type="gramEnd"/>
      <w:r w:rsidRPr="00E87B76">
        <w:rPr>
          <w:sz w:val="16"/>
          <w:szCs w:val="16"/>
          <w:lang w:val="en-GB"/>
        </w:rPr>
        <w:t xml:space="preserve"> categorization of the studies is shown in Table 1</w:t>
      </w:r>
      <w:r w:rsidR="00B26743" w:rsidRPr="00E87B76">
        <w:rPr>
          <w:sz w:val="16"/>
          <w:szCs w:val="16"/>
          <w:lang w:val="en-GB"/>
        </w:rPr>
        <w:t>.</w:t>
      </w:r>
      <w:r w:rsidRPr="00E87B76">
        <w:rPr>
          <w:b/>
          <w:sz w:val="20"/>
          <w:vertAlign w:val="superscript"/>
          <w:lang w:val="en-GB"/>
        </w:rPr>
        <w:br/>
      </w:r>
      <w:r w:rsidR="000C4C09" w:rsidRPr="00E87B76">
        <w:rPr>
          <w:b/>
          <w:sz w:val="20"/>
          <w:vertAlign w:val="superscript"/>
          <w:lang w:val="en-GB"/>
        </w:rPr>
        <w:t>b</w:t>
      </w:r>
      <w:r w:rsidR="00554EE0" w:rsidRPr="00E87B76">
        <w:rPr>
          <w:sz w:val="16"/>
          <w:szCs w:val="16"/>
          <w:lang w:val="en-GB"/>
        </w:rPr>
        <w:t xml:space="preserve"> The regression coefficient and 95% confidence interval is the same for studies both with cumulative exposure variables and without exposure reference groups containing “all other occupations”/the general population as compared to all other studies. </w:t>
      </w:r>
      <w:r w:rsidR="00243F65" w:rsidRPr="00E87B76">
        <w:rPr>
          <w:sz w:val="16"/>
          <w:szCs w:val="16"/>
          <w:lang w:val="en-GB"/>
        </w:rPr>
        <w:br/>
      </w:r>
      <w:r w:rsidR="000C4C09" w:rsidRPr="00E87B76">
        <w:rPr>
          <w:b/>
          <w:sz w:val="20"/>
          <w:vertAlign w:val="superscript"/>
          <w:lang w:val="en-GB"/>
        </w:rPr>
        <w:t>c</w:t>
      </w:r>
      <w:r w:rsidR="00DC48C6" w:rsidRPr="00E87B76">
        <w:rPr>
          <w:sz w:val="16"/>
          <w:szCs w:val="16"/>
          <w:lang w:val="en-GB"/>
        </w:rPr>
        <w:t xml:space="preserve"> </w:t>
      </w:r>
      <w:r w:rsidR="00535618" w:rsidRPr="00E87B76">
        <w:rPr>
          <w:sz w:val="16"/>
          <w:szCs w:val="16"/>
          <w:lang w:val="en-GB"/>
        </w:rPr>
        <w:t>Not computed as only two studies were in the subgroup of studies that compare specific single outdoor occupations with all other occupations/the general population</w:t>
      </w:r>
    </w:p>
    <w:p w14:paraId="1ACCB7F7" w14:textId="77777777" w:rsidR="00354E6A" w:rsidRPr="00DC48C6" w:rsidRDefault="00354E6A">
      <w:pPr>
        <w:rPr>
          <w:lang w:val="en-GB"/>
        </w:rPr>
      </w:pPr>
    </w:p>
    <w:p w14:paraId="3ABA4EAE" w14:textId="77777777" w:rsidR="00354E6A" w:rsidRPr="00DC48C6" w:rsidRDefault="00354E6A">
      <w:pPr>
        <w:rPr>
          <w:lang w:val="en-GB"/>
        </w:rPr>
      </w:pPr>
    </w:p>
    <w:sectPr w:rsidR="00354E6A" w:rsidRPr="00DC48C6">
      <w:headerReference w:type="default" r:id="rId7"/>
      <w:headerReference w:type="first" r:id="rId8"/>
      <w:pgSz w:w="11906" w:h="16838" w:code="9"/>
      <w:pgMar w:top="1418" w:right="1418" w:bottom="1134" w:left="1418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C746" w14:textId="77777777" w:rsidR="00D10993" w:rsidRDefault="00D10993">
      <w:r>
        <w:separator/>
      </w:r>
    </w:p>
  </w:endnote>
  <w:endnote w:type="continuationSeparator" w:id="0">
    <w:p w14:paraId="5441B70B" w14:textId="77777777" w:rsidR="00D10993" w:rsidRDefault="00D1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NewPS-BoldMT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A1F0" w14:textId="77777777" w:rsidR="00D10993" w:rsidRDefault="00D10993">
      <w:r>
        <w:separator/>
      </w:r>
    </w:p>
  </w:footnote>
  <w:footnote w:type="continuationSeparator" w:id="0">
    <w:p w14:paraId="7860A56B" w14:textId="77777777" w:rsidR="00D10993" w:rsidRDefault="00D10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D536" w14:textId="77777777" w:rsidR="001C3CA3" w:rsidRDefault="001C3CA3">
    <w:pPr>
      <w:pStyle w:val="Kopfzeile"/>
      <w:jc w:val="right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8740A" w14:textId="35996CB1" w:rsidR="0092388F" w:rsidRPr="00754F93" w:rsidRDefault="0092388F" w:rsidP="0092388F">
    <w:pPr>
      <w:pStyle w:val="Kopfzeile"/>
      <w:spacing w:line="240" w:lineRule="auto"/>
      <w:rPr>
        <w:sz w:val="20"/>
        <w:lang w:val="en-GB"/>
      </w:rPr>
    </w:pPr>
    <w:r>
      <w:rPr>
        <w:sz w:val="20"/>
        <w:lang w:val="en-GB"/>
      </w:rPr>
      <w:t>T</w:t>
    </w:r>
    <w:r w:rsidRPr="00754F93">
      <w:rPr>
        <w:sz w:val="20"/>
        <w:lang w:val="en-GB"/>
      </w:rPr>
      <w:t>itle: Occupational solar exposure and basal cell carcinoma. A review of the epidemiologic literature with meta-analysis</w:t>
    </w:r>
    <w:r w:rsidR="00B85CD7">
      <w:rPr>
        <w:sz w:val="20"/>
        <w:lang w:val="en-GB"/>
      </w:rPr>
      <w:t xml:space="preserve"> focusing on particular methodological aspects</w:t>
    </w:r>
  </w:p>
  <w:p w14:paraId="614867AA" w14:textId="77777777" w:rsidR="0092388F" w:rsidRPr="00754F93" w:rsidRDefault="0092388F" w:rsidP="0092388F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J</w:t>
    </w:r>
    <w:r>
      <w:rPr>
        <w:sz w:val="20"/>
        <w:lang w:val="en-GB"/>
      </w:rPr>
      <w:t xml:space="preserve">ournal: </w:t>
    </w:r>
    <w:r w:rsidRPr="00754F93">
      <w:rPr>
        <w:sz w:val="20"/>
        <w:lang w:val="en-GB"/>
      </w:rPr>
      <w:t>European Journal o</w:t>
    </w:r>
    <w:r>
      <w:rPr>
        <w:sz w:val="20"/>
        <w:lang w:val="en-GB"/>
      </w:rPr>
      <w:t>f</w:t>
    </w:r>
    <w:r w:rsidRPr="00754F93">
      <w:rPr>
        <w:sz w:val="20"/>
        <w:lang w:val="en-GB"/>
      </w:rPr>
      <w:t xml:space="preserve"> Epidemiology</w:t>
    </w:r>
  </w:p>
  <w:p w14:paraId="31BDE244" w14:textId="77777777" w:rsidR="0092388F" w:rsidRDefault="0092388F" w:rsidP="0092388F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Author</w:t>
    </w:r>
    <w:r>
      <w:rPr>
        <w:sz w:val="20"/>
        <w:lang w:val="en-GB"/>
      </w:rPr>
      <w:t xml:space="preserve">s: </w:t>
    </w:r>
    <w:r w:rsidRPr="00754F93">
      <w:rPr>
        <w:sz w:val="20"/>
        <w:lang w:val="en-GB"/>
      </w:rPr>
      <w:t xml:space="preserve">Andrea Wendt, Matthias </w:t>
    </w:r>
    <w:proofErr w:type="spellStart"/>
    <w:r w:rsidRPr="00754F93">
      <w:rPr>
        <w:sz w:val="20"/>
        <w:lang w:val="en-GB"/>
      </w:rPr>
      <w:t>Möhner</w:t>
    </w:r>
    <w:proofErr w:type="spellEnd"/>
    <w:r>
      <w:rPr>
        <w:sz w:val="20"/>
        <w:lang w:val="en-GB"/>
      </w:rPr>
      <w:t xml:space="preserve">; Federal Institute for Occupational Safety and Health; E-Mail: </w:t>
    </w:r>
    <w:r w:rsidR="005B7C94" w:rsidRPr="005B7C94">
      <w:rPr>
        <w:sz w:val="20"/>
        <w:lang w:val="en-GB"/>
      </w:rPr>
      <w:t>wendt.andrea@baua.bund.de</w:t>
    </w:r>
  </w:p>
  <w:p w14:paraId="5C9E07B1" w14:textId="77777777" w:rsidR="005B7C94" w:rsidRPr="0092388F" w:rsidRDefault="005B7C94" w:rsidP="0092388F">
    <w:pPr>
      <w:pStyle w:val="Kopfzeile"/>
      <w:spacing w:line="240" w:lineRule="auto"/>
      <w:rPr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E0"/>
    <w:rsid w:val="000C4C09"/>
    <w:rsid w:val="000F5C6E"/>
    <w:rsid w:val="001527F5"/>
    <w:rsid w:val="00190353"/>
    <w:rsid w:val="001B37D5"/>
    <w:rsid w:val="001C3CA3"/>
    <w:rsid w:val="002045FB"/>
    <w:rsid w:val="002436FD"/>
    <w:rsid w:val="00243F65"/>
    <w:rsid w:val="002C037A"/>
    <w:rsid w:val="002E4D4F"/>
    <w:rsid w:val="00354E6A"/>
    <w:rsid w:val="00450CDD"/>
    <w:rsid w:val="004B1237"/>
    <w:rsid w:val="004F10F5"/>
    <w:rsid w:val="00513C87"/>
    <w:rsid w:val="00535618"/>
    <w:rsid w:val="00554EE0"/>
    <w:rsid w:val="0056082E"/>
    <w:rsid w:val="005A091F"/>
    <w:rsid w:val="005B7C94"/>
    <w:rsid w:val="006B11C8"/>
    <w:rsid w:val="00783C4A"/>
    <w:rsid w:val="00830BC0"/>
    <w:rsid w:val="00870608"/>
    <w:rsid w:val="0088745D"/>
    <w:rsid w:val="008A751D"/>
    <w:rsid w:val="00913A78"/>
    <w:rsid w:val="0092388F"/>
    <w:rsid w:val="00923E06"/>
    <w:rsid w:val="009607B5"/>
    <w:rsid w:val="009D02BA"/>
    <w:rsid w:val="00AA0C87"/>
    <w:rsid w:val="00B1190D"/>
    <w:rsid w:val="00B26743"/>
    <w:rsid w:val="00B85CD7"/>
    <w:rsid w:val="00BA5840"/>
    <w:rsid w:val="00D014AC"/>
    <w:rsid w:val="00D10993"/>
    <w:rsid w:val="00D57A6B"/>
    <w:rsid w:val="00D74055"/>
    <w:rsid w:val="00DB6E5E"/>
    <w:rsid w:val="00DC1CFF"/>
    <w:rsid w:val="00DC48C6"/>
    <w:rsid w:val="00E857DF"/>
    <w:rsid w:val="00E87B76"/>
    <w:rsid w:val="00F90088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02C31"/>
  <w15:chartTrackingRefBased/>
  <w15:docId w15:val="{A3CAC78D-5FA1-491F-9D4C-6E280198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54EE0"/>
    <w:pPr>
      <w:spacing w:line="320" w:lineRule="atLeast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EndNoteBibliography">
    <w:name w:val="EndNote Bibliography"/>
    <w:basedOn w:val="Standard"/>
    <w:link w:val="EndNoteBibliographyZchn"/>
    <w:rsid w:val="00554EE0"/>
    <w:pPr>
      <w:spacing w:line="240" w:lineRule="atLeast"/>
    </w:pPr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554EE0"/>
    <w:rPr>
      <w:rFonts w:ascii="Arial" w:hAnsi="Arial" w:cs="Arial"/>
      <w:noProof/>
      <w:sz w:val="24"/>
    </w:rPr>
  </w:style>
  <w:style w:type="table" w:styleId="Tabellenraster">
    <w:name w:val="Table Grid"/>
    <w:basedOn w:val="NormaleTabelle"/>
    <w:rsid w:val="00554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nhideWhenUsed/>
    <w:qFormat/>
    <w:rsid w:val="00554EE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semiHidden/>
    <w:unhideWhenUsed/>
    <w:rsid w:val="00DC48C6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C48C6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DC48C6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rsid w:val="0092388F"/>
    <w:rPr>
      <w:rFonts w:ascii="Arial" w:hAnsi="Arial"/>
      <w:sz w:val="24"/>
    </w:rPr>
  </w:style>
  <w:style w:type="character" w:styleId="Hyperlink">
    <w:name w:val="Hyperlink"/>
    <w:basedOn w:val="Absatz-Standardschriftart"/>
    <w:unhideWhenUsed/>
    <w:rsid w:val="005B7C94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E87B7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5E2A-5B7F-4BEB-881D-8754875D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Andrea</dc:creator>
  <cp:keywords/>
  <dc:description/>
  <cp:lastModifiedBy>Wendt, Andrea</cp:lastModifiedBy>
  <cp:revision>13</cp:revision>
  <dcterms:created xsi:type="dcterms:W3CDTF">2023-02-25T19:50:00Z</dcterms:created>
  <dcterms:modified xsi:type="dcterms:W3CDTF">2023-10-05T09:57:00Z</dcterms:modified>
</cp:coreProperties>
</file>