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406C6" w14:textId="77777777" w:rsidR="00F43EA0" w:rsidRDefault="00F43EA0" w:rsidP="00F43EA0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Supplementary table 1. Estimated areas from the confidence ellipses using the naïve (covariance=0) and the multivariate approach along with the model estimated correlation (between exposure-intercept and exposure-slope estimates) used to construct the multivariate confidence ellipse. Data is mean (standard deviation).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8"/>
        <w:gridCol w:w="1129"/>
        <w:gridCol w:w="1445"/>
        <w:gridCol w:w="1467"/>
        <w:gridCol w:w="1129"/>
        <w:gridCol w:w="1445"/>
        <w:gridCol w:w="1467"/>
      </w:tblGrid>
      <w:tr w:rsidR="00F43EA0" w14:paraId="1F22F4EB" w14:textId="77777777" w:rsidTr="002F163F">
        <w:tc>
          <w:tcPr>
            <w:tcW w:w="0" w:type="auto"/>
          </w:tcPr>
          <w:p w14:paraId="14B48FBB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gridSpan w:val="3"/>
          </w:tcPr>
          <w:p w14:paraId="6DFABC71" w14:textId="77777777" w:rsidR="00F43EA0" w:rsidRDefault="00F43EA0" w:rsidP="002F163F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of </w:t>
            </w:r>
            <w:r w:rsidRPr="00516872">
              <w:rPr>
                <w:rFonts w:ascii="Times New Roman" w:hAnsi="Times New Roman" w:cs="Times New Roman"/>
                <w:bCs/>
                <w:sz w:val="24"/>
                <w:szCs w:val="24"/>
              </w:rPr>
              <w:t>10%</w:t>
            </w:r>
          </w:p>
        </w:tc>
        <w:tc>
          <w:tcPr>
            <w:tcW w:w="0" w:type="auto"/>
            <w:gridSpan w:val="3"/>
          </w:tcPr>
          <w:p w14:paraId="471C2E24" w14:textId="77777777" w:rsidR="00F43EA0" w:rsidRDefault="00F43EA0" w:rsidP="002F163F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of 2</w:t>
            </w:r>
            <w:r w:rsidRPr="00516872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</w:tr>
      <w:tr w:rsidR="00F43EA0" w14:paraId="1C62F417" w14:textId="77777777" w:rsidTr="002F163F">
        <w:tc>
          <w:tcPr>
            <w:tcW w:w="0" w:type="auto"/>
          </w:tcPr>
          <w:p w14:paraId="1B1AAD0C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Scenario</w:t>
            </w:r>
          </w:p>
        </w:tc>
        <w:tc>
          <w:tcPr>
            <w:tcW w:w="0" w:type="auto"/>
          </w:tcPr>
          <w:p w14:paraId="696D5862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Naïve approach area</w:t>
            </w:r>
          </w:p>
        </w:tc>
        <w:tc>
          <w:tcPr>
            <w:tcW w:w="0" w:type="auto"/>
          </w:tcPr>
          <w:p w14:paraId="22E49C31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Multivariate approach area</w:t>
            </w:r>
          </w:p>
        </w:tc>
        <w:tc>
          <w:tcPr>
            <w:tcW w:w="0" w:type="auto"/>
          </w:tcPr>
          <w:p w14:paraId="3748CF8E" w14:textId="77777777" w:rsidR="00F43EA0" w:rsidRPr="001F7D6F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Multivariate approach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correlation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</w:tcPr>
          <w:p w14:paraId="7F4F468F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Naïve approach area</w:t>
            </w:r>
          </w:p>
        </w:tc>
        <w:tc>
          <w:tcPr>
            <w:tcW w:w="0" w:type="auto"/>
          </w:tcPr>
          <w:p w14:paraId="1F52E332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Multivariate approach area</w:t>
            </w:r>
          </w:p>
        </w:tc>
        <w:tc>
          <w:tcPr>
            <w:tcW w:w="0" w:type="auto"/>
          </w:tcPr>
          <w:p w14:paraId="49E2C9C2" w14:textId="77777777" w:rsidR="00F43EA0" w:rsidRPr="001F7D6F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Multivariate approach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correlation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F43EA0" w14:paraId="6BBD80C6" w14:textId="77777777" w:rsidTr="002F163F">
        <w:tc>
          <w:tcPr>
            <w:tcW w:w="0" w:type="auto"/>
          </w:tcPr>
          <w:p w14:paraId="1B3ADD51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bottom"/>
          </w:tcPr>
          <w:p w14:paraId="3C49206D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7D6F">
              <w:rPr>
                <w:rFonts w:ascii="Times New Roman" w:hAnsi="Times New Roman" w:cs="Times New Roman"/>
                <w:bCs/>
                <w:sz w:val="24"/>
                <w:szCs w:val="24"/>
              </w:rPr>
              <w:t>0.531 (0.006)</w:t>
            </w:r>
          </w:p>
        </w:tc>
        <w:tc>
          <w:tcPr>
            <w:tcW w:w="0" w:type="auto"/>
            <w:vAlign w:val="bottom"/>
          </w:tcPr>
          <w:p w14:paraId="5C6DD1AF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7D6F">
              <w:rPr>
                <w:rFonts w:ascii="Times New Roman" w:hAnsi="Times New Roman" w:cs="Times New Roman"/>
                <w:bCs/>
                <w:sz w:val="24"/>
                <w:szCs w:val="24"/>
              </w:rPr>
              <w:t>0.498 (0.005)</w:t>
            </w:r>
          </w:p>
        </w:tc>
        <w:tc>
          <w:tcPr>
            <w:tcW w:w="0" w:type="auto"/>
          </w:tcPr>
          <w:p w14:paraId="7C12097A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-0.35 (0.009)</w:t>
            </w:r>
          </w:p>
        </w:tc>
        <w:tc>
          <w:tcPr>
            <w:tcW w:w="0" w:type="auto"/>
            <w:vAlign w:val="bottom"/>
          </w:tcPr>
          <w:p w14:paraId="5B028488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7D6F">
              <w:rPr>
                <w:rFonts w:ascii="Times New Roman" w:hAnsi="Times New Roman" w:cs="Times New Roman"/>
                <w:bCs/>
                <w:sz w:val="24"/>
                <w:szCs w:val="24"/>
              </w:rPr>
              <w:t>2.66 (0.03)</w:t>
            </w:r>
          </w:p>
        </w:tc>
        <w:tc>
          <w:tcPr>
            <w:tcW w:w="0" w:type="auto"/>
            <w:vAlign w:val="bottom"/>
          </w:tcPr>
          <w:p w14:paraId="0AA32EF3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7D6F">
              <w:rPr>
                <w:rFonts w:ascii="Times New Roman" w:hAnsi="Times New Roman" w:cs="Times New Roman"/>
                <w:bCs/>
                <w:sz w:val="24"/>
                <w:szCs w:val="24"/>
              </w:rPr>
              <w:t>2.50 (0.03)</w:t>
            </w:r>
          </w:p>
        </w:tc>
        <w:tc>
          <w:tcPr>
            <w:tcW w:w="0" w:type="auto"/>
          </w:tcPr>
          <w:p w14:paraId="314CD614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-0.35 (0.009)</w:t>
            </w:r>
          </w:p>
        </w:tc>
      </w:tr>
      <w:tr w:rsidR="00F43EA0" w14:paraId="190514CE" w14:textId="77777777" w:rsidTr="002F163F">
        <w:tc>
          <w:tcPr>
            <w:tcW w:w="0" w:type="auto"/>
          </w:tcPr>
          <w:p w14:paraId="60021F05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bottom"/>
          </w:tcPr>
          <w:p w14:paraId="4C6CDCA8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7D6F">
              <w:rPr>
                <w:rFonts w:ascii="Times New Roman" w:hAnsi="Times New Roman" w:cs="Times New Roman"/>
                <w:bCs/>
                <w:sz w:val="24"/>
                <w:szCs w:val="24"/>
              </w:rPr>
              <w:t>0.521 (0.005)</w:t>
            </w:r>
          </w:p>
        </w:tc>
        <w:tc>
          <w:tcPr>
            <w:tcW w:w="0" w:type="auto"/>
            <w:vAlign w:val="bottom"/>
          </w:tcPr>
          <w:p w14:paraId="0759EAB5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7D6F">
              <w:rPr>
                <w:rFonts w:ascii="Times New Roman" w:hAnsi="Times New Roman" w:cs="Times New Roman"/>
                <w:bCs/>
                <w:sz w:val="24"/>
                <w:szCs w:val="24"/>
              </w:rPr>
              <w:t>0.481 (0.005)</w:t>
            </w:r>
          </w:p>
        </w:tc>
        <w:tc>
          <w:tcPr>
            <w:tcW w:w="0" w:type="auto"/>
          </w:tcPr>
          <w:p w14:paraId="1F8DD4C8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-0.38 (0.008)</w:t>
            </w:r>
          </w:p>
        </w:tc>
        <w:tc>
          <w:tcPr>
            <w:tcW w:w="0" w:type="auto"/>
            <w:vAlign w:val="bottom"/>
          </w:tcPr>
          <w:p w14:paraId="1F28CAE2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7D6F">
              <w:rPr>
                <w:rFonts w:ascii="Times New Roman" w:hAnsi="Times New Roman" w:cs="Times New Roman"/>
                <w:bCs/>
                <w:sz w:val="24"/>
                <w:szCs w:val="24"/>
              </w:rPr>
              <w:t>2.61 (0.03)</w:t>
            </w:r>
          </w:p>
        </w:tc>
        <w:tc>
          <w:tcPr>
            <w:tcW w:w="0" w:type="auto"/>
            <w:vAlign w:val="bottom"/>
          </w:tcPr>
          <w:p w14:paraId="7AFC0BDA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7D6F">
              <w:rPr>
                <w:rFonts w:ascii="Times New Roman" w:hAnsi="Times New Roman" w:cs="Times New Roman"/>
                <w:bCs/>
                <w:sz w:val="24"/>
                <w:szCs w:val="24"/>
              </w:rPr>
              <w:t>2.41 (0.02)</w:t>
            </w:r>
          </w:p>
        </w:tc>
        <w:tc>
          <w:tcPr>
            <w:tcW w:w="0" w:type="auto"/>
          </w:tcPr>
          <w:p w14:paraId="325F9C89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-0.38 (0.008)</w:t>
            </w:r>
          </w:p>
        </w:tc>
      </w:tr>
      <w:tr w:rsidR="00F43EA0" w14:paraId="782C6307" w14:textId="77777777" w:rsidTr="002F163F">
        <w:tc>
          <w:tcPr>
            <w:tcW w:w="0" w:type="auto"/>
          </w:tcPr>
          <w:p w14:paraId="72FBDEED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bottom"/>
          </w:tcPr>
          <w:p w14:paraId="43A41DDD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7D6F">
              <w:rPr>
                <w:rFonts w:ascii="Times New Roman" w:hAnsi="Times New Roman" w:cs="Times New Roman"/>
                <w:bCs/>
                <w:sz w:val="24"/>
                <w:szCs w:val="24"/>
              </w:rPr>
              <w:t>0.518 (0.006)</w:t>
            </w:r>
          </w:p>
        </w:tc>
        <w:tc>
          <w:tcPr>
            <w:tcW w:w="0" w:type="auto"/>
            <w:vAlign w:val="bottom"/>
          </w:tcPr>
          <w:p w14:paraId="0A1A7331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7D6F">
              <w:rPr>
                <w:rFonts w:ascii="Times New Roman" w:hAnsi="Times New Roman" w:cs="Times New Roman"/>
                <w:bCs/>
                <w:sz w:val="24"/>
                <w:szCs w:val="24"/>
              </w:rPr>
              <w:t>0.475 (0.005)</w:t>
            </w:r>
          </w:p>
        </w:tc>
        <w:tc>
          <w:tcPr>
            <w:tcW w:w="0" w:type="auto"/>
          </w:tcPr>
          <w:p w14:paraId="33C1D25A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-0.40 (0.009)</w:t>
            </w:r>
          </w:p>
        </w:tc>
        <w:tc>
          <w:tcPr>
            <w:tcW w:w="0" w:type="auto"/>
            <w:vAlign w:val="bottom"/>
          </w:tcPr>
          <w:p w14:paraId="2DAF9F56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7D6F">
              <w:rPr>
                <w:rFonts w:ascii="Times New Roman" w:hAnsi="Times New Roman" w:cs="Times New Roman"/>
                <w:bCs/>
                <w:sz w:val="24"/>
                <w:szCs w:val="24"/>
              </w:rPr>
              <w:t>2.60 (0.03)</w:t>
            </w:r>
          </w:p>
        </w:tc>
        <w:tc>
          <w:tcPr>
            <w:tcW w:w="0" w:type="auto"/>
            <w:vAlign w:val="bottom"/>
          </w:tcPr>
          <w:p w14:paraId="45807B83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7D6F">
              <w:rPr>
                <w:rFonts w:ascii="Times New Roman" w:hAnsi="Times New Roman" w:cs="Times New Roman"/>
                <w:bCs/>
                <w:sz w:val="24"/>
                <w:szCs w:val="24"/>
              </w:rPr>
              <w:t>2.38 (0.02)</w:t>
            </w:r>
          </w:p>
        </w:tc>
        <w:tc>
          <w:tcPr>
            <w:tcW w:w="0" w:type="auto"/>
          </w:tcPr>
          <w:p w14:paraId="6D0F1F30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-0.40 (0.008)</w:t>
            </w:r>
          </w:p>
        </w:tc>
      </w:tr>
      <w:tr w:rsidR="00F43EA0" w14:paraId="7FC07B7A" w14:textId="77777777" w:rsidTr="002F163F">
        <w:tc>
          <w:tcPr>
            <w:tcW w:w="0" w:type="auto"/>
          </w:tcPr>
          <w:p w14:paraId="59E007A4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bottom"/>
          </w:tcPr>
          <w:p w14:paraId="0292016A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7D6F">
              <w:rPr>
                <w:rFonts w:ascii="Times New Roman" w:hAnsi="Times New Roman" w:cs="Times New Roman"/>
                <w:bCs/>
                <w:sz w:val="24"/>
                <w:szCs w:val="24"/>
              </w:rPr>
              <w:t>0.516 (0.006)</w:t>
            </w:r>
          </w:p>
        </w:tc>
        <w:tc>
          <w:tcPr>
            <w:tcW w:w="0" w:type="auto"/>
            <w:vAlign w:val="bottom"/>
          </w:tcPr>
          <w:p w14:paraId="364CE306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7D6F">
              <w:rPr>
                <w:rFonts w:ascii="Times New Roman" w:hAnsi="Times New Roman" w:cs="Times New Roman"/>
                <w:bCs/>
                <w:sz w:val="24"/>
                <w:szCs w:val="24"/>
              </w:rPr>
              <w:t>0.472 (0.005)</w:t>
            </w:r>
          </w:p>
        </w:tc>
        <w:tc>
          <w:tcPr>
            <w:tcW w:w="0" w:type="auto"/>
          </w:tcPr>
          <w:p w14:paraId="3EAE3AC5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-0.40 (0.008)</w:t>
            </w:r>
          </w:p>
        </w:tc>
        <w:tc>
          <w:tcPr>
            <w:tcW w:w="0" w:type="auto"/>
            <w:vAlign w:val="bottom"/>
          </w:tcPr>
          <w:p w14:paraId="3D115D07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7D6F">
              <w:rPr>
                <w:rFonts w:ascii="Times New Roman" w:hAnsi="Times New Roman" w:cs="Times New Roman"/>
                <w:bCs/>
                <w:sz w:val="24"/>
                <w:szCs w:val="24"/>
              </w:rPr>
              <w:t>2.58 (0.03)</w:t>
            </w:r>
          </w:p>
        </w:tc>
        <w:tc>
          <w:tcPr>
            <w:tcW w:w="0" w:type="auto"/>
            <w:vAlign w:val="bottom"/>
          </w:tcPr>
          <w:p w14:paraId="5E2A97A1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7D6F">
              <w:rPr>
                <w:rFonts w:ascii="Times New Roman" w:hAnsi="Times New Roman" w:cs="Times New Roman"/>
                <w:bCs/>
                <w:sz w:val="24"/>
                <w:szCs w:val="24"/>
              </w:rPr>
              <w:t>2.37 (0.02)</w:t>
            </w:r>
          </w:p>
        </w:tc>
        <w:tc>
          <w:tcPr>
            <w:tcW w:w="0" w:type="auto"/>
          </w:tcPr>
          <w:p w14:paraId="2307DD46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-0.40 (0.008)</w:t>
            </w:r>
          </w:p>
        </w:tc>
      </w:tr>
      <w:tr w:rsidR="00F43EA0" w14:paraId="214EC93E" w14:textId="77777777" w:rsidTr="002F163F">
        <w:tc>
          <w:tcPr>
            <w:tcW w:w="0" w:type="auto"/>
          </w:tcPr>
          <w:p w14:paraId="164DE83D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bottom"/>
          </w:tcPr>
          <w:p w14:paraId="45D33BCF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7D6F">
              <w:rPr>
                <w:rFonts w:ascii="Times New Roman" w:hAnsi="Times New Roman" w:cs="Times New Roman"/>
                <w:bCs/>
                <w:sz w:val="24"/>
                <w:szCs w:val="24"/>
              </w:rPr>
              <w:t>0.531 (0.005)</w:t>
            </w:r>
          </w:p>
        </w:tc>
        <w:tc>
          <w:tcPr>
            <w:tcW w:w="0" w:type="auto"/>
            <w:vAlign w:val="bottom"/>
          </w:tcPr>
          <w:p w14:paraId="53AA5142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7D6F">
              <w:rPr>
                <w:rFonts w:ascii="Times New Roman" w:hAnsi="Times New Roman" w:cs="Times New Roman"/>
                <w:bCs/>
                <w:sz w:val="24"/>
                <w:szCs w:val="24"/>
              </w:rPr>
              <w:t>0.530 (0.005)</w:t>
            </w:r>
          </w:p>
        </w:tc>
        <w:tc>
          <w:tcPr>
            <w:tcW w:w="0" w:type="auto"/>
          </w:tcPr>
          <w:p w14:paraId="47FC41BE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0.076 (0.010)</w:t>
            </w:r>
          </w:p>
        </w:tc>
        <w:tc>
          <w:tcPr>
            <w:tcW w:w="0" w:type="auto"/>
            <w:vAlign w:val="bottom"/>
          </w:tcPr>
          <w:p w14:paraId="3372FE06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7D6F">
              <w:rPr>
                <w:rFonts w:ascii="Times New Roman" w:hAnsi="Times New Roman" w:cs="Times New Roman"/>
                <w:bCs/>
                <w:sz w:val="24"/>
                <w:szCs w:val="24"/>
              </w:rPr>
              <w:t>2.66 (0.03)</w:t>
            </w:r>
          </w:p>
        </w:tc>
        <w:tc>
          <w:tcPr>
            <w:tcW w:w="0" w:type="auto"/>
            <w:vAlign w:val="bottom"/>
          </w:tcPr>
          <w:p w14:paraId="5D880A83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7D6F">
              <w:rPr>
                <w:rFonts w:ascii="Times New Roman" w:hAnsi="Times New Roman" w:cs="Times New Roman"/>
                <w:bCs/>
                <w:sz w:val="24"/>
                <w:szCs w:val="24"/>
              </w:rPr>
              <w:t>2.65 (0.03)</w:t>
            </w:r>
          </w:p>
        </w:tc>
        <w:tc>
          <w:tcPr>
            <w:tcW w:w="0" w:type="auto"/>
          </w:tcPr>
          <w:p w14:paraId="470837BB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0.077 (0.010)</w:t>
            </w:r>
          </w:p>
        </w:tc>
      </w:tr>
      <w:tr w:rsidR="00F43EA0" w14:paraId="3A670CFF" w14:textId="77777777" w:rsidTr="002F163F">
        <w:tc>
          <w:tcPr>
            <w:tcW w:w="0" w:type="auto"/>
          </w:tcPr>
          <w:p w14:paraId="668B0DDD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bottom"/>
          </w:tcPr>
          <w:p w14:paraId="7F9FB5EB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7D6F">
              <w:rPr>
                <w:rFonts w:ascii="Times New Roman" w:hAnsi="Times New Roman" w:cs="Times New Roman"/>
                <w:bCs/>
                <w:sz w:val="24"/>
                <w:szCs w:val="24"/>
              </w:rPr>
              <w:t>0.532 (0.006)</w:t>
            </w:r>
          </w:p>
        </w:tc>
        <w:tc>
          <w:tcPr>
            <w:tcW w:w="0" w:type="auto"/>
            <w:vAlign w:val="bottom"/>
          </w:tcPr>
          <w:p w14:paraId="2D12E205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7D6F">
              <w:rPr>
                <w:rFonts w:ascii="Times New Roman" w:hAnsi="Times New Roman" w:cs="Times New Roman"/>
                <w:bCs/>
                <w:sz w:val="24"/>
                <w:szCs w:val="24"/>
              </w:rPr>
              <w:t>0.509 (0.005)</w:t>
            </w:r>
          </w:p>
        </w:tc>
        <w:tc>
          <w:tcPr>
            <w:tcW w:w="0" w:type="auto"/>
          </w:tcPr>
          <w:p w14:paraId="4875B827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0.29 (0.009)</w:t>
            </w:r>
          </w:p>
        </w:tc>
        <w:tc>
          <w:tcPr>
            <w:tcW w:w="0" w:type="auto"/>
            <w:vAlign w:val="bottom"/>
          </w:tcPr>
          <w:p w14:paraId="67267DF1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7D6F">
              <w:rPr>
                <w:rFonts w:ascii="Times New Roman" w:hAnsi="Times New Roman" w:cs="Times New Roman"/>
                <w:bCs/>
                <w:sz w:val="24"/>
                <w:szCs w:val="24"/>
              </w:rPr>
              <w:t>2.66 (0.03)</w:t>
            </w:r>
          </w:p>
        </w:tc>
        <w:tc>
          <w:tcPr>
            <w:tcW w:w="0" w:type="auto"/>
            <w:vAlign w:val="bottom"/>
          </w:tcPr>
          <w:p w14:paraId="4ABA7538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7D6F">
              <w:rPr>
                <w:rFonts w:ascii="Times New Roman" w:hAnsi="Times New Roman" w:cs="Times New Roman"/>
                <w:bCs/>
                <w:sz w:val="24"/>
                <w:szCs w:val="24"/>
              </w:rPr>
              <w:t>2.55 (0.03)</w:t>
            </w:r>
          </w:p>
        </w:tc>
        <w:tc>
          <w:tcPr>
            <w:tcW w:w="0" w:type="auto"/>
          </w:tcPr>
          <w:p w14:paraId="6E2FCA0B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0.29 (0.009)</w:t>
            </w:r>
          </w:p>
        </w:tc>
      </w:tr>
      <w:tr w:rsidR="00F43EA0" w14:paraId="0766EC01" w14:textId="77777777" w:rsidTr="002F163F">
        <w:tc>
          <w:tcPr>
            <w:tcW w:w="0" w:type="auto"/>
          </w:tcPr>
          <w:p w14:paraId="1E6A5600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Sensitivity analysis</w:t>
            </w:r>
          </w:p>
        </w:tc>
        <w:tc>
          <w:tcPr>
            <w:tcW w:w="0" w:type="auto"/>
          </w:tcPr>
          <w:p w14:paraId="7071FCCA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12.7 (0.6)</w:t>
            </w:r>
          </w:p>
        </w:tc>
        <w:tc>
          <w:tcPr>
            <w:tcW w:w="0" w:type="auto"/>
          </w:tcPr>
          <w:p w14:paraId="5FFBB376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9.6 (0.4)</w:t>
            </w:r>
          </w:p>
        </w:tc>
        <w:tc>
          <w:tcPr>
            <w:tcW w:w="0" w:type="auto"/>
          </w:tcPr>
          <w:p w14:paraId="5620AD3A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-0.65 (0.019)</w:t>
            </w:r>
          </w:p>
        </w:tc>
        <w:tc>
          <w:tcPr>
            <w:tcW w:w="0" w:type="auto"/>
          </w:tcPr>
          <w:p w14:paraId="3EA27179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78E7FBE8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76B7E206" w14:textId="77777777" w:rsidR="00F43EA0" w:rsidRDefault="00F43EA0" w:rsidP="002F163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3A9A25BF" w14:textId="77777777" w:rsidR="00CF6C14" w:rsidRDefault="00F43EA0" w:rsidP="00F43EA0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bCs/>
          <w:sz w:val="24"/>
          <w:szCs w:val="24"/>
        </w:rPr>
        <w:t>Correlation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is</w:t>
      </w:r>
      <w:r w:rsidRPr="004D659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reported instead of covariance as it is easier to interpret.</w:t>
      </w:r>
    </w:p>
    <w:p w14:paraId="46A6D5C5" w14:textId="77777777" w:rsidR="00CF6C14" w:rsidRDefault="00CF6C14" w:rsidP="00F43EA0">
      <w:pPr>
        <w:rPr>
          <w:rFonts w:ascii="Times New Roman" w:hAnsi="Times New Roman" w:cs="Times New Roman"/>
          <w:bCs/>
          <w:sz w:val="24"/>
          <w:szCs w:val="24"/>
        </w:rPr>
        <w:sectPr w:rsidR="00CF6C1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278A487" w14:textId="0963C80D" w:rsidR="00F43EA0" w:rsidRPr="004562D9" w:rsidRDefault="00F43EA0" w:rsidP="00F43EA0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Supplementary Table 2.  Results from the simulation with a reduced sample size and unbalanced data (between 1-4 observations per person)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8"/>
        <w:gridCol w:w="1434"/>
        <w:gridCol w:w="1138"/>
        <w:gridCol w:w="987"/>
        <w:gridCol w:w="1179"/>
        <w:gridCol w:w="1052"/>
        <w:gridCol w:w="858"/>
        <w:gridCol w:w="1138"/>
        <w:gridCol w:w="987"/>
        <w:gridCol w:w="1179"/>
        <w:gridCol w:w="1052"/>
        <w:gridCol w:w="858"/>
      </w:tblGrid>
      <w:tr w:rsidR="00F43EA0" w14:paraId="6275CAB6" w14:textId="77777777" w:rsidTr="002F163F">
        <w:tc>
          <w:tcPr>
            <w:tcW w:w="0" w:type="auto"/>
          </w:tcPr>
          <w:p w14:paraId="394C916E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0" w:type="auto"/>
          </w:tcPr>
          <w:p w14:paraId="49740041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0" w:type="auto"/>
            <w:gridSpan w:val="5"/>
          </w:tcPr>
          <w:p w14:paraId="023A888C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 w:rsidRPr="004326F2">
              <w:rPr>
                <w:rFonts w:ascii="Times New Roman" w:hAnsi="Times New Roman" w:cs="Times New Roman"/>
                <w:bCs/>
              </w:rPr>
              <w:t>Intercept – naïve approach</w:t>
            </w:r>
          </w:p>
        </w:tc>
        <w:tc>
          <w:tcPr>
            <w:tcW w:w="0" w:type="auto"/>
            <w:gridSpan w:val="5"/>
          </w:tcPr>
          <w:p w14:paraId="1A95088D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 w:rsidRPr="004326F2">
              <w:rPr>
                <w:rFonts w:ascii="Times New Roman" w:hAnsi="Times New Roman" w:cs="Times New Roman"/>
                <w:bCs/>
              </w:rPr>
              <w:t xml:space="preserve">Intercept – </w:t>
            </w:r>
            <w:r>
              <w:rPr>
                <w:rFonts w:ascii="Times New Roman" w:hAnsi="Times New Roman" w:cs="Times New Roman"/>
                <w:bCs/>
              </w:rPr>
              <w:t>multi</w:t>
            </w:r>
            <w:r w:rsidRPr="004326F2">
              <w:rPr>
                <w:rFonts w:ascii="Times New Roman" w:hAnsi="Times New Roman" w:cs="Times New Roman"/>
                <w:bCs/>
              </w:rPr>
              <w:t>variate approach</w:t>
            </w:r>
          </w:p>
        </w:tc>
      </w:tr>
      <w:tr w:rsidR="00F43EA0" w14:paraId="5BBF3325" w14:textId="77777777" w:rsidTr="002F163F">
        <w:tc>
          <w:tcPr>
            <w:tcW w:w="0" w:type="auto"/>
          </w:tcPr>
          <w:p w14:paraId="5BEE8F84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 w:rsidRPr="004326F2">
              <w:rPr>
                <w:rFonts w:ascii="Times New Roman" w:hAnsi="Times New Roman" w:cs="Times New Roman"/>
                <w:bCs/>
              </w:rPr>
              <w:t>Scenario</w:t>
            </w:r>
            <w:r>
              <w:rPr>
                <w:rFonts w:ascii="Times New Roman" w:hAnsi="Times New Roman" w:cs="Times New Roman"/>
                <w:bCs/>
              </w:rPr>
              <w:t xml:space="preserve"> (truth)</w:t>
            </w:r>
          </w:p>
        </w:tc>
        <w:tc>
          <w:tcPr>
            <w:tcW w:w="0" w:type="auto"/>
          </w:tcPr>
          <w:p w14:paraId="6A04AE44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4326F2">
              <w:rPr>
                <w:rFonts w:ascii="Times New Roman" w:hAnsi="Times New Roman" w:cs="Times New Roman"/>
                <w:bCs/>
              </w:rPr>
              <w:t>Correlation</w:t>
            </w:r>
            <w:r w:rsidRPr="004326F2">
              <w:rPr>
                <w:rFonts w:ascii="Times New Roman" w:hAnsi="Times New Roman" w:cs="Times New Roman"/>
                <w:bCs/>
                <w:vertAlign w:val="superscript"/>
              </w:rPr>
              <w:t>a</w:t>
            </w:r>
            <w:proofErr w:type="spellEnd"/>
            <w:r w:rsidRPr="004326F2">
              <w:rPr>
                <w:rFonts w:ascii="Times New Roman" w:hAnsi="Times New Roman" w:cs="Times New Roman"/>
                <w:bCs/>
              </w:rPr>
              <w:t xml:space="preserve"> mean (</w:t>
            </w:r>
            <w:proofErr w:type="spellStart"/>
            <w:r w:rsidRPr="004326F2">
              <w:rPr>
                <w:rFonts w:ascii="Times New Roman" w:hAnsi="Times New Roman" w:cs="Times New Roman"/>
                <w:bCs/>
              </w:rPr>
              <w:t>sd</w:t>
            </w:r>
            <w:proofErr w:type="spellEnd"/>
            <w:r w:rsidRPr="004326F2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0" w:type="auto"/>
          </w:tcPr>
          <w:p w14:paraId="509E5572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 w:rsidRPr="004326F2">
              <w:rPr>
                <w:rFonts w:ascii="Times New Roman" w:hAnsi="Times New Roman" w:cs="Times New Roman"/>
                <w:bCs/>
              </w:rPr>
              <w:t>Estimate mean (</w:t>
            </w:r>
            <w:proofErr w:type="spellStart"/>
            <w:r w:rsidRPr="004326F2">
              <w:rPr>
                <w:rFonts w:ascii="Times New Roman" w:hAnsi="Times New Roman" w:cs="Times New Roman"/>
                <w:bCs/>
              </w:rPr>
              <w:t>sd</w:t>
            </w:r>
            <w:proofErr w:type="spellEnd"/>
            <w:r w:rsidRPr="004326F2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0" w:type="auto"/>
          </w:tcPr>
          <w:p w14:paraId="6540E216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 w:rsidRPr="004326F2">
              <w:rPr>
                <w:rFonts w:ascii="Times New Roman" w:hAnsi="Times New Roman" w:cs="Times New Roman"/>
                <w:bCs/>
              </w:rPr>
              <w:t>Mean model  se</w:t>
            </w:r>
          </w:p>
        </w:tc>
        <w:tc>
          <w:tcPr>
            <w:tcW w:w="0" w:type="auto"/>
          </w:tcPr>
          <w:p w14:paraId="052E4082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 w:rsidRPr="004326F2">
              <w:rPr>
                <w:rFonts w:ascii="Times New Roman" w:hAnsi="Times New Roman" w:cs="Times New Roman"/>
                <w:bCs/>
              </w:rPr>
              <w:t>Coverage 95% CI</w:t>
            </w:r>
          </w:p>
        </w:tc>
        <w:tc>
          <w:tcPr>
            <w:tcW w:w="0" w:type="auto"/>
          </w:tcPr>
          <w:p w14:paraId="5A6D7EE3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Mean relative </w:t>
            </w:r>
            <w:proofErr w:type="spellStart"/>
            <w:r w:rsidRPr="004326F2">
              <w:rPr>
                <w:rFonts w:ascii="Times New Roman" w:hAnsi="Times New Roman" w:cs="Times New Roman"/>
                <w:bCs/>
              </w:rPr>
              <w:t>Bias</w:t>
            </w:r>
            <w:r>
              <w:rPr>
                <w:rStyle w:val="cf01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</w:tcPr>
          <w:p w14:paraId="35A9A521" w14:textId="77777777" w:rsidR="00F43EA0" w:rsidRDefault="00F43EA0" w:rsidP="002F163F">
            <w:pPr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Bias</w:t>
            </w:r>
            <w:r>
              <w:rPr>
                <w:rFonts w:ascii="Times New Roman" w:hAnsi="Times New Roman" w:cs="Times New Roman"/>
                <w:bCs/>
                <w:vertAlign w:val="superscript"/>
              </w:rPr>
              <w:t>c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4830B496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(MSE)</w:t>
            </w:r>
          </w:p>
        </w:tc>
        <w:tc>
          <w:tcPr>
            <w:tcW w:w="0" w:type="auto"/>
          </w:tcPr>
          <w:p w14:paraId="0F8CB0EB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 w:rsidRPr="004326F2">
              <w:rPr>
                <w:rFonts w:ascii="Times New Roman" w:hAnsi="Times New Roman" w:cs="Times New Roman"/>
                <w:bCs/>
              </w:rPr>
              <w:t>Estimate mean (</w:t>
            </w:r>
            <w:proofErr w:type="spellStart"/>
            <w:r w:rsidRPr="004326F2">
              <w:rPr>
                <w:rFonts w:ascii="Times New Roman" w:hAnsi="Times New Roman" w:cs="Times New Roman"/>
                <w:bCs/>
              </w:rPr>
              <w:t>sd</w:t>
            </w:r>
            <w:proofErr w:type="spellEnd"/>
            <w:r w:rsidRPr="004326F2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0" w:type="auto"/>
          </w:tcPr>
          <w:p w14:paraId="236BD35B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 w:rsidRPr="004326F2">
              <w:rPr>
                <w:rFonts w:ascii="Times New Roman" w:hAnsi="Times New Roman" w:cs="Times New Roman"/>
                <w:bCs/>
              </w:rPr>
              <w:t>Mean model based se</w:t>
            </w:r>
          </w:p>
        </w:tc>
        <w:tc>
          <w:tcPr>
            <w:tcW w:w="0" w:type="auto"/>
          </w:tcPr>
          <w:p w14:paraId="7A98156F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 w:rsidRPr="004326F2">
              <w:rPr>
                <w:rFonts w:ascii="Times New Roman" w:hAnsi="Times New Roman" w:cs="Times New Roman"/>
                <w:bCs/>
              </w:rPr>
              <w:t>Coverage 95% CI</w:t>
            </w:r>
          </w:p>
        </w:tc>
        <w:tc>
          <w:tcPr>
            <w:tcW w:w="0" w:type="auto"/>
          </w:tcPr>
          <w:p w14:paraId="377B3930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Mean relative </w:t>
            </w:r>
            <w:proofErr w:type="spellStart"/>
            <w:r w:rsidRPr="004326F2">
              <w:rPr>
                <w:rFonts w:ascii="Times New Roman" w:hAnsi="Times New Roman" w:cs="Times New Roman"/>
                <w:bCs/>
              </w:rPr>
              <w:t>Bias</w:t>
            </w:r>
            <w:r>
              <w:rPr>
                <w:rStyle w:val="cf01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</w:tcPr>
          <w:p w14:paraId="0D4DB5A4" w14:textId="77777777" w:rsidR="00F43EA0" w:rsidRDefault="00F43EA0" w:rsidP="002F163F">
            <w:pPr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Bias</w:t>
            </w:r>
            <w:r>
              <w:rPr>
                <w:rFonts w:ascii="Times New Roman" w:hAnsi="Times New Roman" w:cs="Times New Roman"/>
                <w:bCs/>
                <w:vertAlign w:val="superscript"/>
              </w:rPr>
              <w:t>c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793E07D3" w14:textId="77777777" w:rsidR="00F43EA0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(MSE)</w:t>
            </w:r>
          </w:p>
        </w:tc>
      </w:tr>
      <w:tr w:rsidR="00F43EA0" w14:paraId="348FD532" w14:textId="77777777" w:rsidTr="002F163F">
        <w:tc>
          <w:tcPr>
            <w:tcW w:w="0" w:type="auto"/>
          </w:tcPr>
          <w:p w14:paraId="5119F845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 w:rsidRPr="004326F2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 xml:space="preserve"> (2)</w:t>
            </w:r>
          </w:p>
        </w:tc>
        <w:tc>
          <w:tcPr>
            <w:tcW w:w="0" w:type="auto"/>
          </w:tcPr>
          <w:p w14:paraId="6C564322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-0.65 (0.019)</w:t>
            </w:r>
          </w:p>
        </w:tc>
        <w:tc>
          <w:tcPr>
            <w:tcW w:w="0" w:type="auto"/>
          </w:tcPr>
          <w:p w14:paraId="445A67E9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2.00 (1.54)</w:t>
            </w:r>
          </w:p>
        </w:tc>
        <w:tc>
          <w:tcPr>
            <w:tcW w:w="0" w:type="auto"/>
          </w:tcPr>
          <w:p w14:paraId="5B513986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1.52</w:t>
            </w:r>
          </w:p>
        </w:tc>
        <w:tc>
          <w:tcPr>
            <w:tcW w:w="0" w:type="auto"/>
          </w:tcPr>
          <w:p w14:paraId="5618A863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94.8%</w:t>
            </w:r>
          </w:p>
        </w:tc>
        <w:tc>
          <w:tcPr>
            <w:tcW w:w="0" w:type="auto"/>
          </w:tcPr>
          <w:p w14:paraId="0B00CE96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-0.2%</w:t>
            </w:r>
          </w:p>
        </w:tc>
        <w:tc>
          <w:tcPr>
            <w:tcW w:w="0" w:type="auto"/>
          </w:tcPr>
          <w:p w14:paraId="39020432" w14:textId="77777777" w:rsidR="00F43EA0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-0.003</w:t>
            </w:r>
          </w:p>
          <w:p w14:paraId="1D67B261" w14:textId="77777777" w:rsidR="00F43EA0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(0.049)</w:t>
            </w:r>
          </w:p>
        </w:tc>
        <w:tc>
          <w:tcPr>
            <w:tcW w:w="0" w:type="auto"/>
          </w:tcPr>
          <w:p w14:paraId="2E330044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2.00 (1.54)</w:t>
            </w:r>
          </w:p>
        </w:tc>
        <w:tc>
          <w:tcPr>
            <w:tcW w:w="0" w:type="auto"/>
          </w:tcPr>
          <w:p w14:paraId="759E000D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1.52</w:t>
            </w:r>
          </w:p>
        </w:tc>
        <w:tc>
          <w:tcPr>
            <w:tcW w:w="0" w:type="auto"/>
          </w:tcPr>
          <w:p w14:paraId="4974DA46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95.0%</w:t>
            </w:r>
          </w:p>
        </w:tc>
        <w:tc>
          <w:tcPr>
            <w:tcW w:w="0" w:type="auto"/>
          </w:tcPr>
          <w:p w14:paraId="22E68A78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-0.1%</w:t>
            </w:r>
          </w:p>
        </w:tc>
        <w:tc>
          <w:tcPr>
            <w:tcW w:w="0" w:type="auto"/>
          </w:tcPr>
          <w:p w14:paraId="015AEBAC" w14:textId="77777777" w:rsidR="00F43EA0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-0.002</w:t>
            </w:r>
          </w:p>
          <w:p w14:paraId="180FE34E" w14:textId="77777777" w:rsidR="00F43EA0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(0.049)</w:t>
            </w:r>
          </w:p>
        </w:tc>
      </w:tr>
      <w:tr w:rsidR="00F43EA0" w14:paraId="781740A9" w14:textId="77777777" w:rsidTr="002F163F">
        <w:tc>
          <w:tcPr>
            <w:tcW w:w="0" w:type="auto"/>
          </w:tcPr>
          <w:p w14:paraId="0CF2A470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0" w:type="auto"/>
          </w:tcPr>
          <w:p w14:paraId="539B2089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0" w:type="auto"/>
            <w:gridSpan w:val="5"/>
          </w:tcPr>
          <w:p w14:paraId="013C00AD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 w:rsidRPr="004326F2">
              <w:rPr>
                <w:rFonts w:ascii="Times New Roman" w:hAnsi="Times New Roman" w:cs="Times New Roman"/>
                <w:bCs/>
              </w:rPr>
              <w:t>Slope – naïve approach</w:t>
            </w:r>
          </w:p>
        </w:tc>
        <w:tc>
          <w:tcPr>
            <w:tcW w:w="0" w:type="auto"/>
            <w:gridSpan w:val="5"/>
          </w:tcPr>
          <w:p w14:paraId="75F2A0FF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 w:rsidRPr="004326F2">
              <w:rPr>
                <w:rFonts w:ascii="Times New Roman" w:hAnsi="Times New Roman" w:cs="Times New Roman"/>
                <w:bCs/>
              </w:rPr>
              <w:t xml:space="preserve">Slope – </w:t>
            </w:r>
            <w:r>
              <w:rPr>
                <w:rFonts w:ascii="Times New Roman" w:hAnsi="Times New Roman" w:cs="Times New Roman"/>
                <w:bCs/>
              </w:rPr>
              <w:t>mult</w:t>
            </w:r>
            <w:r w:rsidRPr="004326F2">
              <w:rPr>
                <w:rFonts w:ascii="Times New Roman" w:hAnsi="Times New Roman" w:cs="Times New Roman"/>
                <w:bCs/>
              </w:rPr>
              <w:t>ivariate approach</w:t>
            </w:r>
          </w:p>
        </w:tc>
      </w:tr>
      <w:tr w:rsidR="00F43EA0" w14:paraId="7A53E5A9" w14:textId="77777777" w:rsidTr="002F163F">
        <w:tc>
          <w:tcPr>
            <w:tcW w:w="0" w:type="auto"/>
          </w:tcPr>
          <w:p w14:paraId="2F1879AC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 w:rsidRPr="004326F2">
              <w:rPr>
                <w:rFonts w:ascii="Times New Roman" w:hAnsi="Times New Roman" w:cs="Times New Roman"/>
                <w:bCs/>
              </w:rPr>
              <w:t>Scenario</w:t>
            </w:r>
          </w:p>
        </w:tc>
        <w:tc>
          <w:tcPr>
            <w:tcW w:w="0" w:type="auto"/>
          </w:tcPr>
          <w:p w14:paraId="59009313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 w:rsidRPr="004326F2">
              <w:rPr>
                <w:rFonts w:ascii="Times New Roman" w:hAnsi="Times New Roman" w:cs="Times New Roman"/>
                <w:bCs/>
              </w:rPr>
              <w:t>Correlation (</w:t>
            </w:r>
            <w:proofErr w:type="spellStart"/>
            <w:r w:rsidRPr="004326F2">
              <w:rPr>
                <w:rFonts w:ascii="Times New Roman" w:hAnsi="Times New Roman" w:cs="Times New Roman"/>
                <w:bCs/>
              </w:rPr>
              <w:t>sd</w:t>
            </w:r>
            <w:proofErr w:type="spellEnd"/>
            <w:r w:rsidRPr="004326F2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0" w:type="auto"/>
          </w:tcPr>
          <w:p w14:paraId="061726B5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 w:rsidRPr="004326F2">
              <w:rPr>
                <w:rFonts w:ascii="Times New Roman" w:hAnsi="Times New Roman" w:cs="Times New Roman"/>
                <w:bCs/>
              </w:rPr>
              <w:t>Estimate mean (</w:t>
            </w:r>
            <w:proofErr w:type="spellStart"/>
            <w:r w:rsidRPr="004326F2">
              <w:rPr>
                <w:rFonts w:ascii="Times New Roman" w:hAnsi="Times New Roman" w:cs="Times New Roman"/>
                <w:bCs/>
              </w:rPr>
              <w:t>sd</w:t>
            </w:r>
            <w:proofErr w:type="spellEnd"/>
            <w:r w:rsidRPr="004326F2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0" w:type="auto"/>
          </w:tcPr>
          <w:p w14:paraId="4134A952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 w:rsidRPr="004326F2">
              <w:rPr>
                <w:rFonts w:ascii="Times New Roman" w:hAnsi="Times New Roman" w:cs="Times New Roman"/>
                <w:bCs/>
              </w:rPr>
              <w:t>Mean model based se</w:t>
            </w:r>
          </w:p>
        </w:tc>
        <w:tc>
          <w:tcPr>
            <w:tcW w:w="0" w:type="auto"/>
          </w:tcPr>
          <w:p w14:paraId="1C509824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 w:rsidRPr="004326F2">
              <w:rPr>
                <w:rFonts w:ascii="Times New Roman" w:hAnsi="Times New Roman" w:cs="Times New Roman"/>
                <w:bCs/>
              </w:rPr>
              <w:t>Coverage 95% CI</w:t>
            </w:r>
          </w:p>
        </w:tc>
        <w:tc>
          <w:tcPr>
            <w:tcW w:w="0" w:type="auto"/>
          </w:tcPr>
          <w:p w14:paraId="5AE95F63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Mean relative </w:t>
            </w:r>
            <w:proofErr w:type="spellStart"/>
            <w:r w:rsidRPr="004326F2">
              <w:rPr>
                <w:rFonts w:ascii="Times New Roman" w:hAnsi="Times New Roman" w:cs="Times New Roman"/>
                <w:bCs/>
              </w:rPr>
              <w:t>Bias</w:t>
            </w:r>
            <w:r>
              <w:rPr>
                <w:rStyle w:val="cf01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</w:tcPr>
          <w:p w14:paraId="45FD4FA7" w14:textId="77777777" w:rsidR="00F43EA0" w:rsidRDefault="00F43EA0" w:rsidP="002F163F">
            <w:pPr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Bias</w:t>
            </w:r>
            <w:r>
              <w:rPr>
                <w:rFonts w:ascii="Times New Roman" w:hAnsi="Times New Roman" w:cs="Times New Roman"/>
                <w:bCs/>
                <w:vertAlign w:val="superscript"/>
              </w:rPr>
              <w:t>c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21E588B8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(MSE)</w:t>
            </w:r>
          </w:p>
        </w:tc>
        <w:tc>
          <w:tcPr>
            <w:tcW w:w="0" w:type="auto"/>
          </w:tcPr>
          <w:p w14:paraId="7DBAC685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 w:rsidRPr="004326F2">
              <w:rPr>
                <w:rFonts w:ascii="Times New Roman" w:hAnsi="Times New Roman" w:cs="Times New Roman"/>
                <w:bCs/>
              </w:rPr>
              <w:t>Estimate mean (</w:t>
            </w:r>
            <w:proofErr w:type="spellStart"/>
            <w:r w:rsidRPr="004326F2">
              <w:rPr>
                <w:rFonts w:ascii="Times New Roman" w:hAnsi="Times New Roman" w:cs="Times New Roman"/>
                <w:bCs/>
              </w:rPr>
              <w:t>sd</w:t>
            </w:r>
            <w:proofErr w:type="spellEnd"/>
            <w:r w:rsidRPr="004326F2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0" w:type="auto"/>
          </w:tcPr>
          <w:p w14:paraId="015EC7B1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 w:rsidRPr="004326F2">
              <w:rPr>
                <w:rFonts w:ascii="Times New Roman" w:hAnsi="Times New Roman" w:cs="Times New Roman"/>
                <w:bCs/>
              </w:rPr>
              <w:t>Mean model based se</w:t>
            </w:r>
          </w:p>
        </w:tc>
        <w:tc>
          <w:tcPr>
            <w:tcW w:w="0" w:type="auto"/>
          </w:tcPr>
          <w:p w14:paraId="2C1F9004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 w:rsidRPr="004326F2">
              <w:rPr>
                <w:rFonts w:ascii="Times New Roman" w:hAnsi="Times New Roman" w:cs="Times New Roman"/>
                <w:bCs/>
              </w:rPr>
              <w:t>Coverage 95% CI</w:t>
            </w:r>
          </w:p>
        </w:tc>
        <w:tc>
          <w:tcPr>
            <w:tcW w:w="0" w:type="auto"/>
          </w:tcPr>
          <w:p w14:paraId="51E4C491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Mean relative </w:t>
            </w:r>
            <w:proofErr w:type="spellStart"/>
            <w:r w:rsidRPr="004326F2">
              <w:rPr>
                <w:rFonts w:ascii="Times New Roman" w:hAnsi="Times New Roman" w:cs="Times New Roman"/>
                <w:bCs/>
              </w:rPr>
              <w:t>Bias</w:t>
            </w:r>
            <w:r>
              <w:rPr>
                <w:rStyle w:val="cf01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</w:tcPr>
          <w:p w14:paraId="5055CF38" w14:textId="77777777" w:rsidR="00F43EA0" w:rsidRDefault="00F43EA0" w:rsidP="002F163F">
            <w:pPr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Bias</w:t>
            </w:r>
            <w:r>
              <w:rPr>
                <w:rFonts w:ascii="Times New Roman" w:hAnsi="Times New Roman" w:cs="Times New Roman"/>
                <w:bCs/>
                <w:vertAlign w:val="superscript"/>
              </w:rPr>
              <w:t>c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06FB8617" w14:textId="77777777" w:rsidR="00F43EA0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(MSE)</w:t>
            </w:r>
          </w:p>
        </w:tc>
      </w:tr>
      <w:tr w:rsidR="00F43EA0" w14:paraId="2B8F89A6" w14:textId="77777777" w:rsidTr="002F163F">
        <w:tc>
          <w:tcPr>
            <w:tcW w:w="0" w:type="auto"/>
          </w:tcPr>
          <w:p w14:paraId="7F9E8545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 w:rsidRPr="004326F2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 xml:space="preserve"> (0.45)</w:t>
            </w:r>
          </w:p>
        </w:tc>
        <w:tc>
          <w:tcPr>
            <w:tcW w:w="0" w:type="auto"/>
          </w:tcPr>
          <w:p w14:paraId="7F6B9216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-0.65 (0.019)</w:t>
            </w:r>
          </w:p>
        </w:tc>
        <w:tc>
          <w:tcPr>
            <w:tcW w:w="0" w:type="auto"/>
          </w:tcPr>
          <w:p w14:paraId="5CD05718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0.444 (0.454)</w:t>
            </w:r>
          </w:p>
        </w:tc>
        <w:tc>
          <w:tcPr>
            <w:tcW w:w="0" w:type="auto"/>
          </w:tcPr>
          <w:p w14:paraId="3FAA0C5C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0.446</w:t>
            </w:r>
          </w:p>
        </w:tc>
        <w:tc>
          <w:tcPr>
            <w:tcW w:w="0" w:type="auto"/>
          </w:tcPr>
          <w:p w14:paraId="79A8FAB0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94.4%</w:t>
            </w:r>
          </w:p>
        </w:tc>
        <w:tc>
          <w:tcPr>
            <w:tcW w:w="0" w:type="auto"/>
          </w:tcPr>
          <w:p w14:paraId="62A626E6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-1.4%</w:t>
            </w:r>
          </w:p>
        </w:tc>
        <w:tc>
          <w:tcPr>
            <w:tcW w:w="0" w:type="auto"/>
          </w:tcPr>
          <w:p w14:paraId="1B2F343A" w14:textId="77777777" w:rsidR="00F43EA0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-0.006</w:t>
            </w:r>
          </w:p>
          <w:p w14:paraId="7CF35368" w14:textId="77777777" w:rsidR="00F43EA0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(0.014)</w:t>
            </w:r>
          </w:p>
        </w:tc>
        <w:tc>
          <w:tcPr>
            <w:tcW w:w="0" w:type="auto"/>
          </w:tcPr>
          <w:p w14:paraId="1DD3C1C8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0.444 (0.454)</w:t>
            </w:r>
          </w:p>
        </w:tc>
        <w:tc>
          <w:tcPr>
            <w:tcW w:w="0" w:type="auto"/>
          </w:tcPr>
          <w:p w14:paraId="5FBDD904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0.446</w:t>
            </w:r>
          </w:p>
        </w:tc>
        <w:tc>
          <w:tcPr>
            <w:tcW w:w="0" w:type="auto"/>
          </w:tcPr>
          <w:p w14:paraId="113B539C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94.3%</w:t>
            </w:r>
          </w:p>
        </w:tc>
        <w:tc>
          <w:tcPr>
            <w:tcW w:w="0" w:type="auto"/>
          </w:tcPr>
          <w:p w14:paraId="2C034364" w14:textId="77777777" w:rsidR="00F43EA0" w:rsidRPr="004326F2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-1.3%</w:t>
            </w:r>
          </w:p>
        </w:tc>
        <w:tc>
          <w:tcPr>
            <w:tcW w:w="0" w:type="auto"/>
          </w:tcPr>
          <w:p w14:paraId="143D2441" w14:textId="77777777" w:rsidR="00F43EA0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-0.006</w:t>
            </w:r>
          </w:p>
          <w:p w14:paraId="08A48BB0" w14:textId="77777777" w:rsidR="00F43EA0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(0.014)</w:t>
            </w:r>
          </w:p>
        </w:tc>
      </w:tr>
      <w:tr w:rsidR="00F43EA0" w14:paraId="5F310F23" w14:textId="77777777" w:rsidTr="002F163F">
        <w:tc>
          <w:tcPr>
            <w:tcW w:w="0" w:type="auto"/>
            <w:gridSpan w:val="2"/>
          </w:tcPr>
          <w:p w14:paraId="3CA06D50" w14:textId="77777777" w:rsidR="00F43EA0" w:rsidRDefault="00F43EA0" w:rsidP="002F163F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0" w:type="auto"/>
            <w:gridSpan w:val="5"/>
          </w:tcPr>
          <w:p w14:paraId="718E5EE4" w14:textId="77777777" w:rsidR="00F43EA0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Joint coverage – naïve approach</w:t>
            </w:r>
          </w:p>
        </w:tc>
        <w:tc>
          <w:tcPr>
            <w:tcW w:w="0" w:type="auto"/>
            <w:gridSpan w:val="5"/>
          </w:tcPr>
          <w:p w14:paraId="7DDB3FF1" w14:textId="77777777" w:rsidR="00F43EA0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Joint coverage – multivariate approach</w:t>
            </w:r>
          </w:p>
        </w:tc>
      </w:tr>
      <w:tr w:rsidR="00F43EA0" w14:paraId="1B372A0F" w14:textId="77777777" w:rsidTr="002F163F">
        <w:tc>
          <w:tcPr>
            <w:tcW w:w="0" w:type="auto"/>
            <w:gridSpan w:val="2"/>
          </w:tcPr>
          <w:p w14:paraId="781EA507" w14:textId="77777777" w:rsidR="00F43EA0" w:rsidRDefault="00F43EA0" w:rsidP="002F163F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0" w:type="auto"/>
            <w:gridSpan w:val="5"/>
          </w:tcPr>
          <w:p w14:paraId="4AADEC49" w14:textId="77777777" w:rsidR="00F43EA0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Rectangle – 90.7% ; Ellipse 93%</w:t>
            </w:r>
          </w:p>
        </w:tc>
        <w:tc>
          <w:tcPr>
            <w:tcW w:w="0" w:type="auto"/>
            <w:gridSpan w:val="5"/>
          </w:tcPr>
          <w:p w14:paraId="0D4E9858" w14:textId="77777777" w:rsidR="00F43EA0" w:rsidRDefault="00F43EA0" w:rsidP="002F16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93.8%</w:t>
            </w:r>
          </w:p>
        </w:tc>
      </w:tr>
    </w:tbl>
    <w:p w14:paraId="2E553CDE" w14:textId="77777777" w:rsidR="00F43EA0" w:rsidRDefault="00F43EA0" w:rsidP="00F43EA0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bCs/>
          <w:sz w:val="24"/>
          <w:szCs w:val="24"/>
        </w:rPr>
        <w:t>Estimated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correlation from the covariance of SNP-intercept and SNP-slope effects</w:t>
      </w:r>
    </w:p>
    <w:p w14:paraId="170CEC10" w14:textId="77777777" w:rsidR="00F43EA0" w:rsidRDefault="00F43EA0" w:rsidP="00F43EA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Style w:val="cf01"/>
          <w:vertAlign w:val="superscript"/>
        </w:rPr>
        <w:t>b</w:t>
      </w:r>
      <w:r>
        <w:rPr>
          <w:rStyle w:val="cf01"/>
        </w:rPr>
        <w:t>(</w:t>
      </w:r>
      <w:r w:rsidRPr="00FB3E4F">
        <w:rPr>
          <w:rFonts w:ascii="Times New Roman" w:hAnsi="Times New Roman" w:cs="Times New Roman"/>
          <w:bCs/>
          <w:sz w:val="24"/>
          <w:szCs w:val="24"/>
        </w:rPr>
        <w:t>obs</w:t>
      </w:r>
      <w:r>
        <w:rPr>
          <w:rFonts w:ascii="Times New Roman" w:hAnsi="Times New Roman" w:cs="Times New Roman"/>
          <w:bCs/>
          <w:sz w:val="24"/>
          <w:szCs w:val="24"/>
        </w:rPr>
        <w:t>erved</w:t>
      </w:r>
      <w:r w:rsidRPr="00FB3E4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estimate</w:t>
      </w:r>
      <w:r w:rsidRPr="00FB3E4F">
        <w:rPr>
          <w:rFonts w:ascii="Times New Roman" w:hAnsi="Times New Roman" w:cs="Times New Roman"/>
          <w:bCs/>
          <w:sz w:val="24"/>
          <w:szCs w:val="24"/>
        </w:rPr>
        <w:t>-true)/true</w:t>
      </w:r>
    </w:p>
    <w:p w14:paraId="65C8EC5D" w14:textId="77777777" w:rsidR="00F43EA0" w:rsidRPr="001F7D6F" w:rsidRDefault="00F43EA0" w:rsidP="00F43EA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vertAlign w:val="superscript"/>
        </w:rPr>
        <w:t>c</w:t>
      </w:r>
      <w:r>
        <w:rPr>
          <w:rFonts w:ascii="Times New Roman" w:hAnsi="Times New Roman" w:cs="Times New Roman"/>
          <w:bCs/>
        </w:rPr>
        <w:t xml:space="preserve"> </w:t>
      </w:r>
      <w:r w:rsidRPr="001F7D6F">
        <w:rPr>
          <w:rFonts w:ascii="Times New Roman" w:hAnsi="Times New Roman" w:cs="Times New Roman"/>
          <w:bCs/>
          <w:sz w:val="24"/>
          <w:szCs w:val="24"/>
        </w:rPr>
        <w:t>observed estimate - true</w:t>
      </w:r>
    </w:p>
    <w:p w14:paraId="6820A1B8" w14:textId="77777777" w:rsidR="00F43EA0" w:rsidRDefault="00F43EA0" w:rsidP="00F43EA0">
      <w:pPr>
        <w:rPr>
          <w:rFonts w:ascii="Times New Roman" w:hAnsi="Times New Roman" w:cs="Times New Roman"/>
          <w:bCs/>
          <w:sz w:val="24"/>
          <w:szCs w:val="24"/>
        </w:rPr>
      </w:pPr>
      <w:r w:rsidRPr="008A6694">
        <w:rPr>
          <w:rFonts w:ascii="Times New Roman" w:hAnsi="Times New Roman" w:cs="Times New Roman"/>
          <w:bCs/>
          <w:sz w:val="24"/>
          <w:szCs w:val="24"/>
        </w:rPr>
        <w:t>MSE = Monte Carlo Standard Er</w:t>
      </w:r>
      <w:r w:rsidRPr="00BD2A49">
        <w:rPr>
          <w:rFonts w:ascii="Times New Roman" w:hAnsi="Times New Roman" w:cs="Times New Roman"/>
          <w:bCs/>
          <w:sz w:val="24"/>
          <w:szCs w:val="24"/>
        </w:rPr>
        <w:t>ror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7CB0492" w14:textId="77777777" w:rsidR="00130B44" w:rsidRDefault="00130B44" w:rsidP="00F43EA0">
      <w:pPr>
        <w:rPr>
          <w:rFonts w:ascii="Times New Roman" w:hAnsi="Times New Roman" w:cs="Times New Roman"/>
          <w:bCs/>
          <w:sz w:val="24"/>
          <w:szCs w:val="24"/>
        </w:rPr>
        <w:sectPr w:rsidR="00130B44" w:rsidSect="00CF6C14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3EDE53C3" w14:textId="77777777" w:rsidR="00F43EA0" w:rsidRDefault="00F43EA0" w:rsidP="00F43EA0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Supplementary Figure 1.  Absolute change in the MDS-UPDRS III for a one point increase in the exposure. 1a shows the estimated model from the Oxford Discovery cohort including the 95% confidence intervals for both the naïve and multivariate Mendelian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Randomisation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(MR) approach and 1b the same from the Tracking cohort. Also includes the Multilevel Model (MLM) estimates.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6475"/>
      </w:tblGrid>
      <w:tr w:rsidR="00F43EA0" w14:paraId="695DF8D5" w14:textId="77777777" w:rsidTr="002F163F">
        <w:tc>
          <w:tcPr>
            <w:tcW w:w="0" w:type="auto"/>
          </w:tcPr>
          <w:p w14:paraId="724041C5" w14:textId="77777777" w:rsidR="00F43EA0" w:rsidRDefault="00F43EA0" w:rsidP="002F163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392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43201763" wp14:editId="412DFD64">
                  <wp:extent cx="4095750" cy="2978727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3249" cy="2984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6280BEB" w14:textId="77777777" w:rsidR="00F43EA0" w:rsidRDefault="00F43EA0" w:rsidP="002F163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C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1C5EC9A9" wp14:editId="7B6B142F">
                  <wp:extent cx="4094956" cy="2978150"/>
                  <wp:effectExtent l="0" t="0" r="127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4019" cy="29847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1FE1A3" w14:textId="77777777" w:rsidR="00176550" w:rsidRDefault="00176550"/>
    <w:sectPr w:rsidR="00176550" w:rsidSect="00130B4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EA0"/>
    <w:rsid w:val="00002160"/>
    <w:rsid w:val="00003E4B"/>
    <w:rsid w:val="00012B2B"/>
    <w:rsid w:val="00016321"/>
    <w:rsid w:val="00031A08"/>
    <w:rsid w:val="00035430"/>
    <w:rsid w:val="00046686"/>
    <w:rsid w:val="000547B6"/>
    <w:rsid w:val="00060064"/>
    <w:rsid w:val="00071B84"/>
    <w:rsid w:val="000736FD"/>
    <w:rsid w:val="00084C18"/>
    <w:rsid w:val="00097B87"/>
    <w:rsid w:val="000A2AEF"/>
    <w:rsid w:val="000A5FCB"/>
    <w:rsid w:val="000A6411"/>
    <w:rsid w:val="000B0CFA"/>
    <w:rsid w:val="000B11C4"/>
    <w:rsid w:val="000C1B9C"/>
    <w:rsid w:val="000D3130"/>
    <w:rsid w:val="000E0255"/>
    <w:rsid w:val="000E312A"/>
    <w:rsid w:val="000F426C"/>
    <w:rsid w:val="000F5A10"/>
    <w:rsid w:val="000F7492"/>
    <w:rsid w:val="00100607"/>
    <w:rsid w:val="00103B56"/>
    <w:rsid w:val="0011012E"/>
    <w:rsid w:val="00112D72"/>
    <w:rsid w:val="00120D41"/>
    <w:rsid w:val="00122EF6"/>
    <w:rsid w:val="001261BB"/>
    <w:rsid w:val="00130B44"/>
    <w:rsid w:val="00131753"/>
    <w:rsid w:val="00141760"/>
    <w:rsid w:val="001462A7"/>
    <w:rsid w:val="00147C29"/>
    <w:rsid w:val="00150FB6"/>
    <w:rsid w:val="0016067A"/>
    <w:rsid w:val="00161FEC"/>
    <w:rsid w:val="001643D5"/>
    <w:rsid w:val="001646C0"/>
    <w:rsid w:val="001706FB"/>
    <w:rsid w:val="00176550"/>
    <w:rsid w:val="001919FA"/>
    <w:rsid w:val="00191C47"/>
    <w:rsid w:val="00192D8B"/>
    <w:rsid w:val="0019596C"/>
    <w:rsid w:val="001A080F"/>
    <w:rsid w:val="001A227F"/>
    <w:rsid w:val="001A593F"/>
    <w:rsid w:val="001A6E55"/>
    <w:rsid w:val="001B02D4"/>
    <w:rsid w:val="001B287A"/>
    <w:rsid w:val="001B4C0E"/>
    <w:rsid w:val="001B5CFD"/>
    <w:rsid w:val="001C4862"/>
    <w:rsid w:val="001C5062"/>
    <w:rsid w:val="001E07E7"/>
    <w:rsid w:val="001E4417"/>
    <w:rsid w:val="001E5A89"/>
    <w:rsid w:val="001E6E62"/>
    <w:rsid w:val="001E796D"/>
    <w:rsid w:val="001F2DFC"/>
    <w:rsid w:val="001F4DB7"/>
    <w:rsid w:val="001F7A8E"/>
    <w:rsid w:val="001F7CB1"/>
    <w:rsid w:val="0021603D"/>
    <w:rsid w:val="00222581"/>
    <w:rsid w:val="00222DB8"/>
    <w:rsid w:val="002407FC"/>
    <w:rsid w:val="00255C15"/>
    <w:rsid w:val="00257B00"/>
    <w:rsid w:val="002609BF"/>
    <w:rsid w:val="002661FD"/>
    <w:rsid w:val="002711D9"/>
    <w:rsid w:val="0027346C"/>
    <w:rsid w:val="00280347"/>
    <w:rsid w:val="002807A7"/>
    <w:rsid w:val="00280FA7"/>
    <w:rsid w:val="00285FE5"/>
    <w:rsid w:val="002919FD"/>
    <w:rsid w:val="00295772"/>
    <w:rsid w:val="002A4FFB"/>
    <w:rsid w:val="002B0DAD"/>
    <w:rsid w:val="002B1347"/>
    <w:rsid w:val="002B291C"/>
    <w:rsid w:val="002B6AD7"/>
    <w:rsid w:val="002D0F40"/>
    <w:rsid w:val="002E338F"/>
    <w:rsid w:val="002E5C5F"/>
    <w:rsid w:val="002F24F2"/>
    <w:rsid w:val="00300637"/>
    <w:rsid w:val="003033D1"/>
    <w:rsid w:val="0030446B"/>
    <w:rsid w:val="003129FA"/>
    <w:rsid w:val="00317127"/>
    <w:rsid w:val="00321C6E"/>
    <w:rsid w:val="00342F9A"/>
    <w:rsid w:val="00344D19"/>
    <w:rsid w:val="003474E1"/>
    <w:rsid w:val="00366317"/>
    <w:rsid w:val="00372EA6"/>
    <w:rsid w:val="00384F22"/>
    <w:rsid w:val="003876A0"/>
    <w:rsid w:val="003B079E"/>
    <w:rsid w:val="003D0BCD"/>
    <w:rsid w:val="003D1343"/>
    <w:rsid w:val="003D2DF5"/>
    <w:rsid w:val="003E1E15"/>
    <w:rsid w:val="003F1EB7"/>
    <w:rsid w:val="003F3BCF"/>
    <w:rsid w:val="003F6FC6"/>
    <w:rsid w:val="004019C0"/>
    <w:rsid w:val="00405AA8"/>
    <w:rsid w:val="004111D1"/>
    <w:rsid w:val="00411DC3"/>
    <w:rsid w:val="00414260"/>
    <w:rsid w:val="00415167"/>
    <w:rsid w:val="00415A6E"/>
    <w:rsid w:val="00417236"/>
    <w:rsid w:val="004261CD"/>
    <w:rsid w:val="00426F20"/>
    <w:rsid w:val="00427A93"/>
    <w:rsid w:val="00430387"/>
    <w:rsid w:val="0043301B"/>
    <w:rsid w:val="00434E1D"/>
    <w:rsid w:val="004461F4"/>
    <w:rsid w:val="0044698C"/>
    <w:rsid w:val="00451358"/>
    <w:rsid w:val="00451A14"/>
    <w:rsid w:val="00452E9D"/>
    <w:rsid w:val="00472091"/>
    <w:rsid w:val="00476415"/>
    <w:rsid w:val="004814C0"/>
    <w:rsid w:val="004879EE"/>
    <w:rsid w:val="004A33C2"/>
    <w:rsid w:val="004B11DD"/>
    <w:rsid w:val="004B466D"/>
    <w:rsid w:val="004C1613"/>
    <w:rsid w:val="004D4D32"/>
    <w:rsid w:val="004D673F"/>
    <w:rsid w:val="004F27E7"/>
    <w:rsid w:val="004F4BC2"/>
    <w:rsid w:val="004F7718"/>
    <w:rsid w:val="0050374B"/>
    <w:rsid w:val="00510C21"/>
    <w:rsid w:val="005171E5"/>
    <w:rsid w:val="00517E88"/>
    <w:rsid w:val="00520853"/>
    <w:rsid w:val="005230A2"/>
    <w:rsid w:val="00525A72"/>
    <w:rsid w:val="005321B2"/>
    <w:rsid w:val="00533DC5"/>
    <w:rsid w:val="00542981"/>
    <w:rsid w:val="0055126D"/>
    <w:rsid w:val="00554FBD"/>
    <w:rsid w:val="00566C3B"/>
    <w:rsid w:val="005702BA"/>
    <w:rsid w:val="0057329B"/>
    <w:rsid w:val="00573E9C"/>
    <w:rsid w:val="0057691C"/>
    <w:rsid w:val="0058152C"/>
    <w:rsid w:val="005826A2"/>
    <w:rsid w:val="00596334"/>
    <w:rsid w:val="005A00C7"/>
    <w:rsid w:val="005A0F7D"/>
    <w:rsid w:val="005B00F0"/>
    <w:rsid w:val="005B3901"/>
    <w:rsid w:val="005B6056"/>
    <w:rsid w:val="005B7146"/>
    <w:rsid w:val="005C2881"/>
    <w:rsid w:val="005D60F7"/>
    <w:rsid w:val="005F528F"/>
    <w:rsid w:val="00600B87"/>
    <w:rsid w:val="00605F60"/>
    <w:rsid w:val="00606216"/>
    <w:rsid w:val="00606DC2"/>
    <w:rsid w:val="00610996"/>
    <w:rsid w:val="006148F8"/>
    <w:rsid w:val="00622488"/>
    <w:rsid w:val="006267CA"/>
    <w:rsid w:val="006308A5"/>
    <w:rsid w:val="006378E0"/>
    <w:rsid w:val="006412AF"/>
    <w:rsid w:val="00661D54"/>
    <w:rsid w:val="00665B27"/>
    <w:rsid w:val="00670424"/>
    <w:rsid w:val="00672249"/>
    <w:rsid w:val="0067316F"/>
    <w:rsid w:val="00673400"/>
    <w:rsid w:val="00681D01"/>
    <w:rsid w:val="00683307"/>
    <w:rsid w:val="00686313"/>
    <w:rsid w:val="006923B5"/>
    <w:rsid w:val="00696E66"/>
    <w:rsid w:val="00697C9C"/>
    <w:rsid w:val="006B015E"/>
    <w:rsid w:val="006B32F5"/>
    <w:rsid w:val="006B686D"/>
    <w:rsid w:val="006C3F4A"/>
    <w:rsid w:val="006E36AB"/>
    <w:rsid w:val="006F0A76"/>
    <w:rsid w:val="00707928"/>
    <w:rsid w:val="007079F8"/>
    <w:rsid w:val="0071057F"/>
    <w:rsid w:val="0072215E"/>
    <w:rsid w:val="007554A7"/>
    <w:rsid w:val="00760D63"/>
    <w:rsid w:val="00770D04"/>
    <w:rsid w:val="0078411A"/>
    <w:rsid w:val="007927AC"/>
    <w:rsid w:val="0079390D"/>
    <w:rsid w:val="00796248"/>
    <w:rsid w:val="007A1806"/>
    <w:rsid w:val="007A3129"/>
    <w:rsid w:val="007A78F3"/>
    <w:rsid w:val="007B7563"/>
    <w:rsid w:val="007C4B03"/>
    <w:rsid w:val="007E3E82"/>
    <w:rsid w:val="007E7D55"/>
    <w:rsid w:val="007F30C7"/>
    <w:rsid w:val="007F33A8"/>
    <w:rsid w:val="007F468B"/>
    <w:rsid w:val="007F5F8F"/>
    <w:rsid w:val="007F5F91"/>
    <w:rsid w:val="008000C8"/>
    <w:rsid w:val="008103A9"/>
    <w:rsid w:val="00810A11"/>
    <w:rsid w:val="00815367"/>
    <w:rsid w:val="00821A97"/>
    <w:rsid w:val="008256EF"/>
    <w:rsid w:val="00830638"/>
    <w:rsid w:val="008309CE"/>
    <w:rsid w:val="00834431"/>
    <w:rsid w:val="00840BF3"/>
    <w:rsid w:val="00844F4E"/>
    <w:rsid w:val="00850784"/>
    <w:rsid w:val="00876217"/>
    <w:rsid w:val="00886B21"/>
    <w:rsid w:val="00892B5A"/>
    <w:rsid w:val="00895C57"/>
    <w:rsid w:val="008B32F3"/>
    <w:rsid w:val="008B5868"/>
    <w:rsid w:val="008B77AC"/>
    <w:rsid w:val="008C214D"/>
    <w:rsid w:val="008C4D9E"/>
    <w:rsid w:val="008C6795"/>
    <w:rsid w:val="008D07D1"/>
    <w:rsid w:val="008D74C6"/>
    <w:rsid w:val="008E18B9"/>
    <w:rsid w:val="008E32E0"/>
    <w:rsid w:val="008E5AA3"/>
    <w:rsid w:val="008E6325"/>
    <w:rsid w:val="008F2E01"/>
    <w:rsid w:val="008F46AB"/>
    <w:rsid w:val="008F5C17"/>
    <w:rsid w:val="00905A31"/>
    <w:rsid w:val="0090614E"/>
    <w:rsid w:val="009066E9"/>
    <w:rsid w:val="00907083"/>
    <w:rsid w:val="00916DFC"/>
    <w:rsid w:val="00920973"/>
    <w:rsid w:val="00932555"/>
    <w:rsid w:val="0093371D"/>
    <w:rsid w:val="00933722"/>
    <w:rsid w:val="00934871"/>
    <w:rsid w:val="00941297"/>
    <w:rsid w:val="009414D6"/>
    <w:rsid w:val="009444FE"/>
    <w:rsid w:val="00950CA5"/>
    <w:rsid w:val="009648F9"/>
    <w:rsid w:val="00971C34"/>
    <w:rsid w:val="00972536"/>
    <w:rsid w:val="00976AF5"/>
    <w:rsid w:val="00983541"/>
    <w:rsid w:val="009924BF"/>
    <w:rsid w:val="009A59BC"/>
    <w:rsid w:val="009B17FC"/>
    <w:rsid w:val="009B3933"/>
    <w:rsid w:val="009C06A3"/>
    <w:rsid w:val="009C12DA"/>
    <w:rsid w:val="009C478F"/>
    <w:rsid w:val="009C67C7"/>
    <w:rsid w:val="009C755C"/>
    <w:rsid w:val="009D1A4B"/>
    <w:rsid w:val="009E6A7B"/>
    <w:rsid w:val="009F082E"/>
    <w:rsid w:val="009F61A0"/>
    <w:rsid w:val="009F7082"/>
    <w:rsid w:val="009F7933"/>
    <w:rsid w:val="00A17A77"/>
    <w:rsid w:val="00A17BE4"/>
    <w:rsid w:val="00A33AFF"/>
    <w:rsid w:val="00A3736F"/>
    <w:rsid w:val="00A37C69"/>
    <w:rsid w:val="00A40BBE"/>
    <w:rsid w:val="00A444B1"/>
    <w:rsid w:val="00A50A2E"/>
    <w:rsid w:val="00A51BD9"/>
    <w:rsid w:val="00A52AFA"/>
    <w:rsid w:val="00A52BBC"/>
    <w:rsid w:val="00A61C28"/>
    <w:rsid w:val="00A7449F"/>
    <w:rsid w:val="00A74F8B"/>
    <w:rsid w:val="00A80659"/>
    <w:rsid w:val="00A82AD0"/>
    <w:rsid w:val="00A91971"/>
    <w:rsid w:val="00AA2156"/>
    <w:rsid w:val="00AA36BA"/>
    <w:rsid w:val="00AC65A4"/>
    <w:rsid w:val="00AD56E8"/>
    <w:rsid w:val="00AD6243"/>
    <w:rsid w:val="00AE38C0"/>
    <w:rsid w:val="00AF2FF2"/>
    <w:rsid w:val="00B0253D"/>
    <w:rsid w:val="00B21664"/>
    <w:rsid w:val="00B22B1D"/>
    <w:rsid w:val="00B253A3"/>
    <w:rsid w:val="00B37793"/>
    <w:rsid w:val="00B4292F"/>
    <w:rsid w:val="00B46144"/>
    <w:rsid w:val="00B52883"/>
    <w:rsid w:val="00B6533C"/>
    <w:rsid w:val="00B65A35"/>
    <w:rsid w:val="00B82ADC"/>
    <w:rsid w:val="00B94BAF"/>
    <w:rsid w:val="00B95BF4"/>
    <w:rsid w:val="00BA5FA0"/>
    <w:rsid w:val="00BB110D"/>
    <w:rsid w:val="00BB61DA"/>
    <w:rsid w:val="00BB6623"/>
    <w:rsid w:val="00BD32D6"/>
    <w:rsid w:val="00BD3BFC"/>
    <w:rsid w:val="00BD5AA6"/>
    <w:rsid w:val="00BD7C68"/>
    <w:rsid w:val="00BE32D6"/>
    <w:rsid w:val="00C008C1"/>
    <w:rsid w:val="00C104A2"/>
    <w:rsid w:val="00C204A5"/>
    <w:rsid w:val="00C21717"/>
    <w:rsid w:val="00C26083"/>
    <w:rsid w:val="00C3553E"/>
    <w:rsid w:val="00C41A62"/>
    <w:rsid w:val="00C675F4"/>
    <w:rsid w:val="00C77052"/>
    <w:rsid w:val="00C87090"/>
    <w:rsid w:val="00C900AF"/>
    <w:rsid w:val="00CA41D4"/>
    <w:rsid w:val="00CA58FE"/>
    <w:rsid w:val="00CA666D"/>
    <w:rsid w:val="00CC0BD0"/>
    <w:rsid w:val="00CC1631"/>
    <w:rsid w:val="00CC4E3A"/>
    <w:rsid w:val="00CC5219"/>
    <w:rsid w:val="00CD4ADB"/>
    <w:rsid w:val="00CE290A"/>
    <w:rsid w:val="00CF27D2"/>
    <w:rsid w:val="00CF3D1B"/>
    <w:rsid w:val="00CF6C14"/>
    <w:rsid w:val="00CF75C6"/>
    <w:rsid w:val="00D120F9"/>
    <w:rsid w:val="00D241E1"/>
    <w:rsid w:val="00D26EEB"/>
    <w:rsid w:val="00D33C04"/>
    <w:rsid w:val="00D50917"/>
    <w:rsid w:val="00D53C73"/>
    <w:rsid w:val="00D562B3"/>
    <w:rsid w:val="00D576C1"/>
    <w:rsid w:val="00D71028"/>
    <w:rsid w:val="00D82769"/>
    <w:rsid w:val="00D96C3B"/>
    <w:rsid w:val="00DA74C0"/>
    <w:rsid w:val="00DC3485"/>
    <w:rsid w:val="00DC6DFA"/>
    <w:rsid w:val="00DD276B"/>
    <w:rsid w:val="00DE0BA1"/>
    <w:rsid w:val="00DF1510"/>
    <w:rsid w:val="00DF6A9C"/>
    <w:rsid w:val="00E148A2"/>
    <w:rsid w:val="00E16EEE"/>
    <w:rsid w:val="00E179EA"/>
    <w:rsid w:val="00E22E93"/>
    <w:rsid w:val="00E329AA"/>
    <w:rsid w:val="00E41C4C"/>
    <w:rsid w:val="00E44712"/>
    <w:rsid w:val="00E47DDB"/>
    <w:rsid w:val="00E508DB"/>
    <w:rsid w:val="00E539BD"/>
    <w:rsid w:val="00E6056B"/>
    <w:rsid w:val="00E63924"/>
    <w:rsid w:val="00E67353"/>
    <w:rsid w:val="00E72886"/>
    <w:rsid w:val="00E73CE5"/>
    <w:rsid w:val="00E75494"/>
    <w:rsid w:val="00E85383"/>
    <w:rsid w:val="00E94F51"/>
    <w:rsid w:val="00E97233"/>
    <w:rsid w:val="00EA1237"/>
    <w:rsid w:val="00EC0258"/>
    <w:rsid w:val="00EC3DB5"/>
    <w:rsid w:val="00EE01E1"/>
    <w:rsid w:val="00EE0AA5"/>
    <w:rsid w:val="00EE1656"/>
    <w:rsid w:val="00EE50D7"/>
    <w:rsid w:val="00EE6E91"/>
    <w:rsid w:val="00EE7899"/>
    <w:rsid w:val="00EE7E13"/>
    <w:rsid w:val="00EF3088"/>
    <w:rsid w:val="00EF4412"/>
    <w:rsid w:val="00F012F7"/>
    <w:rsid w:val="00F03847"/>
    <w:rsid w:val="00F1726A"/>
    <w:rsid w:val="00F229CF"/>
    <w:rsid w:val="00F26432"/>
    <w:rsid w:val="00F27A56"/>
    <w:rsid w:val="00F3284C"/>
    <w:rsid w:val="00F43EA0"/>
    <w:rsid w:val="00F44926"/>
    <w:rsid w:val="00F46932"/>
    <w:rsid w:val="00F47FBA"/>
    <w:rsid w:val="00F71314"/>
    <w:rsid w:val="00F92540"/>
    <w:rsid w:val="00F945F4"/>
    <w:rsid w:val="00F9750E"/>
    <w:rsid w:val="00FA6DE5"/>
    <w:rsid w:val="00FB02CA"/>
    <w:rsid w:val="00FD0370"/>
    <w:rsid w:val="00FD451D"/>
    <w:rsid w:val="00FD49E7"/>
    <w:rsid w:val="00FD4DFD"/>
    <w:rsid w:val="00FE0AA0"/>
    <w:rsid w:val="00FF44CC"/>
    <w:rsid w:val="00FF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15556"/>
  <w15:chartTrackingRefBased/>
  <w15:docId w15:val="{C3FEFB18-94C1-497C-9B8C-6EB1CF7A2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3EA0"/>
    <w:pPr>
      <w:spacing w:after="0" w:line="240" w:lineRule="auto"/>
    </w:pPr>
    <w:rPr>
      <w:rFonts w:eastAsiaTheme="minorEastAsia"/>
      <w:lang w:val="en-GB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DefaultParagraphFont"/>
    <w:rsid w:val="00F43EA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2E180-1485-4B38-AAE1-EDD61AC41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2310</Characters>
  <Application>Microsoft Office Word</Application>
  <DocSecurity>0</DocSecurity>
  <Lines>19</Lines>
  <Paragraphs>5</Paragraphs>
  <ScaleCrop>false</ScaleCrop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Espon Lenin S</dc:creator>
  <cp:keywords/>
  <dc:description/>
  <cp:lastModifiedBy>Michael Lawton</cp:lastModifiedBy>
  <cp:revision>4</cp:revision>
  <dcterms:created xsi:type="dcterms:W3CDTF">2024-01-19T14:13:00Z</dcterms:created>
  <dcterms:modified xsi:type="dcterms:W3CDTF">2024-01-19T14:13:00Z</dcterms:modified>
</cp:coreProperties>
</file>