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F2E7F" w14:textId="77777777" w:rsidR="00A959D2" w:rsidRDefault="00A959D2" w:rsidP="00A959D2">
      <w:pPr>
        <w:spacing w:before="120" w:after="120" w:line="360" w:lineRule="auto"/>
        <w:rPr>
          <w:rFonts w:eastAsia="Times New Roman" w:cs="Times New Roman"/>
          <w:szCs w:val="24"/>
        </w:rPr>
      </w:pPr>
      <w:r>
        <w:rPr>
          <w:rFonts w:eastAsia="Times New Roman" w:cs="Times New Roman"/>
          <w:szCs w:val="24"/>
        </w:rPr>
        <w:t>ONLINE RESOURCE SUPPLEMENTAL INFORMATION FOR:</w:t>
      </w:r>
    </w:p>
    <w:p w14:paraId="3447ACE2" w14:textId="77777777" w:rsidR="00A959D2" w:rsidRDefault="00A959D2" w:rsidP="00A959D2">
      <w:pPr>
        <w:spacing w:before="120" w:after="120" w:line="360" w:lineRule="auto"/>
        <w:rPr>
          <w:rFonts w:eastAsia="Times New Roman" w:cs="Times New Roman"/>
          <w:szCs w:val="24"/>
        </w:rPr>
      </w:pPr>
      <w:r>
        <w:rPr>
          <w:rFonts w:eastAsia="Times New Roman" w:cs="Times New Roman"/>
          <w:szCs w:val="24"/>
        </w:rPr>
        <w:t>Updated findings on temporal variation in radiation-effects on cancer mortality in an international cohort of nuclear workers (INWORKS), Euro J Epidemiol.</w:t>
      </w:r>
    </w:p>
    <w:p w14:paraId="3CC01F69" w14:textId="77777777" w:rsidR="00A959D2" w:rsidRDefault="00A959D2" w:rsidP="00A959D2">
      <w:pPr>
        <w:spacing w:before="120" w:after="120" w:line="360" w:lineRule="auto"/>
        <w:rPr>
          <w:rFonts w:eastAsia="Times New Roman" w:cs="Times New Roman"/>
          <w:szCs w:val="24"/>
        </w:rPr>
      </w:pPr>
      <w:bookmarkStart w:id="0" w:name="_Hlk165192607"/>
      <w:r>
        <w:rPr>
          <w:rFonts w:eastAsia="Times New Roman" w:cs="Times New Roman"/>
          <w:szCs w:val="24"/>
        </w:rPr>
        <w:t>Robert D. Daniels</w:t>
      </w:r>
      <w:r>
        <w:rPr>
          <w:rFonts w:eastAsia="Times New Roman" w:cs="Times New Roman"/>
          <w:szCs w:val="24"/>
          <w:vertAlign w:val="superscript"/>
        </w:rPr>
        <w:t>*</w:t>
      </w:r>
      <w:r>
        <w:rPr>
          <w:rFonts w:eastAsia="Times New Roman" w:cs="Times New Roman"/>
          <w:szCs w:val="24"/>
        </w:rPr>
        <w:t xml:space="preserve">, </w:t>
      </w:r>
      <w:bookmarkStart w:id="1" w:name="_Hlk165192760"/>
      <w:r>
        <w:rPr>
          <w:rFonts w:eastAsia="Times New Roman" w:cs="Times New Roman"/>
          <w:szCs w:val="24"/>
        </w:rPr>
        <w:t xml:space="preserve">Stephen J. </w:t>
      </w:r>
      <w:proofErr w:type="spellStart"/>
      <w:r>
        <w:rPr>
          <w:rFonts w:eastAsia="Times New Roman" w:cs="Times New Roman"/>
          <w:szCs w:val="24"/>
        </w:rPr>
        <w:t>Bertke</w:t>
      </w:r>
      <w:bookmarkEnd w:id="1"/>
      <w:proofErr w:type="spellEnd"/>
      <w:r>
        <w:rPr>
          <w:rFonts w:eastAsia="Times New Roman" w:cs="Times New Roman"/>
          <w:szCs w:val="24"/>
        </w:rPr>
        <w:t>, Kaitlin Kelly-</w:t>
      </w:r>
      <w:proofErr w:type="spellStart"/>
      <w:r>
        <w:rPr>
          <w:rFonts w:eastAsia="Times New Roman" w:cs="Times New Roman"/>
          <w:szCs w:val="24"/>
        </w:rPr>
        <w:t>Reif</w:t>
      </w:r>
      <w:proofErr w:type="spellEnd"/>
      <w:r>
        <w:rPr>
          <w:rFonts w:eastAsia="Times New Roman" w:cs="Times New Roman"/>
          <w:szCs w:val="24"/>
        </w:rPr>
        <w:t>,</w:t>
      </w:r>
      <w:bookmarkEnd w:id="0"/>
      <w:r>
        <w:rPr>
          <w:rFonts w:eastAsia="Times New Roman" w:cs="Times New Roman"/>
          <w:szCs w:val="24"/>
        </w:rPr>
        <w:t xml:space="preserve"> David B. Richardson, Richard Haylock, </w:t>
      </w:r>
      <w:bookmarkStart w:id="2" w:name="_Hlk165192576"/>
      <w:r>
        <w:rPr>
          <w:rFonts w:eastAsia="Times New Roman" w:cs="Times New Roman"/>
          <w:szCs w:val="24"/>
        </w:rPr>
        <w:t xml:space="preserve">Dominique Laurier, </w:t>
      </w:r>
      <w:proofErr w:type="spellStart"/>
      <w:r>
        <w:rPr>
          <w:rFonts w:eastAsia="Times New Roman" w:cs="Times New Roman"/>
          <w:szCs w:val="24"/>
        </w:rPr>
        <w:t>Klervi</w:t>
      </w:r>
      <w:proofErr w:type="spellEnd"/>
      <w:r>
        <w:rPr>
          <w:rFonts w:eastAsia="Times New Roman" w:cs="Times New Roman"/>
          <w:szCs w:val="24"/>
        </w:rPr>
        <w:t xml:space="preserve"> </w:t>
      </w:r>
      <w:proofErr w:type="spellStart"/>
      <w:r>
        <w:rPr>
          <w:rFonts w:eastAsia="Times New Roman" w:cs="Times New Roman"/>
          <w:szCs w:val="24"/>
        </w:rPr>
        <w:t>Leuraud</w:t>
      </w:r>
      <w:bookmarkEnd w:id="2"/>
      <w:proofErr w:type="spellEnd"/>
      <w:r>
        <w:rPr>
          <w:rFonts w:eastAsia="Times New Roman" w:cs="Times New Roman"/>
          <w:szCs w:val="24"/>
        </w:rPr>
        <w:t>,</w:t>
      </w:r>
      <w:r>
        <w:rPr>
          <w:rFonts w:eastAsia="Times New Roman" w:cs="Times New Roman"/>
          <w:szCs w:val="24"/>
          <w:vertAlign w:val="superscript"/>
        </w:rPr>
        <w:t xml:space="preserve"> </w:t>
      </w:r>
      <w:r>
        <w:rPr>
          <w:rFonts w:eastAsia="Times New Roman" w:cs="Times New Roman"/>
          <w:szCs w:val="24"/>
        </w:rPr>
        <w:t xml:space="preserve">Monika </w:t>
      </w:r>
      <w:proofErr w:type="spellStart"/>
      <w:r>
        <w:rPr>
          <w:rFonts w:eastAsia="Times New Roman" w:cs="Times New Roman"/>
          <w:szCs w:val="24"/>
        </w:rPr>
        <w:t>Moissonnier</w:t>
      </w:r>
      <w:proofErr w:type="spellEnd"/>
      <w:r>
        <w:rPr>
          <w:rFonts w:eastAsia="Times New Roman" w:cs="Times New Roman"/>
          <w:szCs w:val="24"/>
        </w:rPr>
        <w:t xml:space="preserve">, Isabelle </w:t>
      </w:r>
      <w:bookmarkStart w:id="3" w:name="_Hlk165192722"/>
      <w:r>
        <w:rPr>
          <w:rFonts w:eastAsia="Times New Roman" w:cs="Times New Roman"/>
          <w:szCs w:val="24"/>
        </w:rPr>
        <w:t>Thierry-Chef</w:t>
      </w:r>
      <w:bookmarkEnd w:id="3"/>
      <w:r>
        <w:rPr>
          <w:rFonts w:eastAsia="Times New Roman" w:cs="Times New Roman"/>
          <w:szCs w:val="24"/>
        </w:rPr>
        <w:t xml:space="preserve">, </w:t>
      </w:r>
      <w:proofErr w:type="spellStart"/>
      <w:r>
        <w:rPr>
          <w:rFonts w:eastAsia="Times New Roman" w:cs="Times New Roman"/>
          <w:szCs w:val="24"/>
        </w:rPr>
        <w:t>Ausrele</w:t>
      </w:r>
      <w:proofErr w:type="spellEnd"/>
      <w:r>
        <w:rPr>
          <w:rFonts w:eastAsia="Times New Roman" w:cs="Times New Roman"/>
          <w:szCs w:val="24"/>
        </w:rPr>
        <w:t xml:space="preserve"> </w:t>
      </w:r>
      <w:proofErr w:type="spellStart"/>
      <w:r>
        <w:rPr>
          <w:rFonts w:eastAsia="Times New Roman" w:cs="Times New Roman"/>
          <w:szCs w:val="24"/>
        </w:rPr>
        <w:t>Kesminiene</w:t>
      </w:r>
      <w:proofErr w:type="spellEnd"/>
      <w:r>
        <w:rPr>
          <w:rFonts w:eastAsia="Times New Roman" w:cs="Times New Roman"/>
          <w:szCs w:val="24"/>
        </w:rPr>
        <w:t xml:space="preserve">, and Mary K. </w:t>
      </w:r>
      <w:proofErr w:type="spellStart"/>
      <w:r>
        <w:rPr>
          <w:rFonts w:eastAsia="Times New Roman" w:cs="Times New Roman"/>
          <w:szCs w:val="24"/>
        </w:rPr>
        <w:t>Schubauer</w:t>
      </w:r>
      <w:proofErr w:type="spellEnd"/>
      <w:r>
        <w:rPr>
          <w:rFonts w:eastAsia="Times New Roman" w:cs="Times New Roman"/>
          <w:szCs w:val="24"/>
        </w:rPr>
        <w:t>-Berigan</w:t>
      </w:r>
    </w:p>
    <w:p w14:paraId="3181D9A9" w14:textId="77777777" w:rsidR="00A959D2" w:rsidRDefault="00A959D2" w:rsidP="00A959D2">
      <w:pPr>
        <w:spacing w:before="120" w:after="120" w:line="360" w:lineRule="auto"/>
        <w:rPr>
          <w:rFonts w:eastAsia="Times New Roman" w:cs="Times New Roman"/>
          <w:szCs w:val="24"/>
        </w:rPr>
      </w:pPr>
      <w:r>
        <w:rPr>
          <w:rFonts w:eastAsia="Times New Roman" w:cs="Times New Roman"/>
          <w:szCs w:val="24"/>
          <w:vertAlign w:val="superscript"/>
        </w:rPr>
        <w:t>*</w:t>
      </w:r>
      <w:r>
        <w:rPr>
          <w:rFonts w:eastAsia="Times New Roman" w:cs="Times New Roman"/>
          <w:szCs w:val="24"/>
        </w:rPr>
        <w:t>Corresponding author: 1090 Tusculum Avenue, Mailstop 12, Cincinnati, OH 45226. Email: rtd2@cdc.gov; Phone: (513) 533-8329; Cell (513) 594-2764; ORCID: 0000-0002-3915-7991.</w:t>
      </w:r>
    </w:p>
    <w:sdt>
      <w:sdtPr>
        <w:rPr>
          <w:rFonts w:cstheme="minorBidi"/>
          <w:bCs w:val="0"/>
        </w:rPr>
        <w:id w:val="-1752103891"/>
        <w:docPartObj>
          <w:docPartGallery w:val="Table of Contents"/>
          <w:docPartUnique/>
        </w:docPartObj>
      </w:sdtPr>
      <w:sdtContent>
        <w:p w14:paraId="5D87EC0E" w14:textId="77777777" w:rsidR="00A959D2" w:rsidRDefault="00A959D2" w:rsidP="00A959D2">
          <w:pPr>
            <w:pStyle w:val="TOCHeading"/>
          </w:pPr>
          <w:r>
            <w:t>Contents</w:t>
          </w:r>
        </w:p>
        <w:p w14:paraId="4277AFC0" w14:textId="77777777" w:rsidR="00A959D2" w:rsidRDefault="00A959D2" w:rsidP="00A959D2">
          <w:pPr>
            <w:pStyle w:val="TOC1"/>
            <w:rPr>
              <w:rFonts w:ascii="Times New Roman" w:hAnsi="Times New Roman"/>
              <w:noProof/>
              <w:kern w:val="2"/>
              <w14:ligatures w14:val="standardContextual"/>
            </w:rPr>
          </w:pPr>
          <w:r>
            <w:rPr>
              <w:rFonts w:ascii="Times New Roman" w:hAnsi="Times New Roman"/>
            </w:rPr>
            <w:fldChar w:fldCharType="begin"/>
          </w:r>
          <w:r>
            <w:rPr>
              <w:rFonts w:ascii="Times New Roman" w:hAnsi="Times New Roman"/>
            </w:rPr>
            <w:instrText xml:space="preserve"> TOC \o "1-3" \h \z \u </w:instrText>
          </w:r>
          <w:r>
            <w:rPr>
              <w:rFonts w:ascii="Times New Roman" w:hAnsi="Times New Roman"/>
            </w:rPr>
            <w:fldChar w:fldCharType="separate"/>
          </w:r>
          <w:hyperlink r:id="rId4" w:anchor="_Toc170712185" w:history="1">
            <w:r>
              <w:rPr>
                <w:rStyle w:val="Hyperlink"/>
                <w:noProof/>
              </w:rPr>
              <w:t>Table S1. Outcome categories and associated codes in revisions 6–10 of the International Classification of Diseases (ICD, WHO) used for the analysis of temporal effect modification in INWORKS.</w:t>
            </w:r>
            <w:r>
              <w:rPr>
                <w:rStyle w:val="Hyperlink"/>
                <w:noProof/>
                <w:webHidden/>
              </w:rPr>
              <w:tab/>
            </w:r>
            <w:r>
              <w:rPr>
                <w:rStyle w:val="Hyperlink"/>
                <w:noProof/>
                <w:webHidden/>
              </w:rPr>
              <w:fldChar w:fldCharType="begin"/>
            </w:r>
            <w:r>
              <w:rPr>
                <w:rStyle w:val="Hyperlink"/>
                <w:noProof/>
                <w:webHidden/>
              </w:rPr>
              <w:instrText xml:space="preserve"> PAGEREF _Toc170712185 \h </w:instrText>
            </w:r>
            <w:r>
              <w:rPr>
                <w:rStyle w:val="Hyperlink"/>
                <w:noProof/>
                <w:webHidden/>
              </w:rPr>
            </w:r>
            <w:r>
              <w:rPr>
                <w:rStyle w:val="Hyperlink"/>
                <w:noProof/>
                <w:webHidden/>
              </w:rPr>
              <w:fldChar w:fldCharType="separate"/>
            </w:r>
            <w:r>
              <w:rPr>
                <w:rStyle w:val="Hyperlink"/>
                <w:noProof/>
                <w:webHidden/>
              </w:rPr>
              <w:t>2</w:t>
            </w:r>
            <w:r>
              <w:rPr>
                <w:rStyle w:val="Hyperlink"/>
                <w:noProof/>
                <w:webHidden/>
              </w:rPr>
              <w:fldChar w:fldCharType="end"/>
            </w:r>
          </w:hyperlink>
        </w:p>
        <w:p w14:paraId="049E2A5A" w14:textId="77777777" w:rsidR="00A959D2" w:rsidRDefault="00A959D2" w:rsidP="00A959D2">
          <w:pPr>
            <w:pStyle w:val="TOC1"/>
            <w:rPr>
              <w:rFonts w:ascii="Times New Roman" w:hAnsi="Times New Roman"/>
              <w:noProof/>
              <w:kern w:val="2"/>
              <w14:ligatures w14:val="standardContextual"/>
            </w:rPr>
          </w:pPr>
          <w:hyperlink r:id="rId5" w:anchor="_Toc170712186" w:history="1">
            <w:r>
              <w:rPr>
                <w:rStyle w:val="Hyperlink"/>
                <w:noProof/>
              </w:rPr>
              <w:t>Table S2. Characteristics of the INWORKS cohort stratified by hire date.</w:t>
            </w:r>
            <w:r>
              <w:rPr>
                <w:rStyle w:val="Hyperlink"/>
                <w:noProof/>
                <w:webHidden/>
              </w:rPr>
              <w:tab/>
            </w:r>
            <w:r>
              <w:rPr>
                <w:rStyle w:val="Hyperlink"/>
                <w:noProof/>
                <w:webHidden/>
              </w:rPr>
              <w:fldChar w:fldCharType="begin"/>
            </w:r>
            <w:r>
              <w:rPr>
                <w:rStyle w:val="Hyperlink"/>
                <w:noProof/>
                <w:webHidden/>
              </w:rPr>
              <w:instrText xml:space="preserve"> PAGEREF _Toc170712186 \h </w:instrText>
            </w:r>
            <w:r>
              <w:rPr>
                <w:rStyle w:val="Hyperlink"/>
                <w:noProof/>
                <w:webHidden/>
              </w:rPr>
            </w:r>
            <w:r>
              <w:rPr>
                <w:rStyle w:val="Hyperlink"/>
                <w:noProof/>
                <w:webHidden/>
              </w:rPr>
              <w:fldChar w:fldCharType="separate"/>
            </w:r>
            <w:r>
              <w:rPr>
                <w:rStyle w:val="Hyperlink"/>
                <w:noProof/>
                <w:webHidden/>
              </w:rPr>
              <w:t>3</w:t>
            </w:r>
            <w:r>
              <w:rPr>
                <w:rStyle w:val="Hyperlink"/>
                <w:noProof/>
                <w:webHidden/>
              </w:rPr>
              <w:fldChar w:fldCharType="end"/>
            </w:r>
          </w:hyperlink>
        </w:p>
        <w:p w14:paraId="42CB6AC1" w14:textId="77777777" w:rsidR="00A959D2" w:rsidRDefault="00A959D2" w:rsidP="00A959D2">
          <w:pPr>
            <w:pStyle w:val="TOC1"/>
            <w:rPr>
              <w:rFonts w:ascii="Times New Roman" w:hAnsi="Times New Roman"/>
              <w:noProof/>
              <w:kern w:val="2"/>
              <w14:ligatures w14:val="standardContextual"/>
            </w:rPr>
          </w:pPr>
          <w:hyperlink r:id="rId6" w:anchor="_Toc170712187" w:history="1">
            <w:r>
              <w:rPr>
                <w:rStyle w:val="Hyperlink"/>
                <w:noProof/>
              </w:rPr>
              <w:t>Table S3. Linear ERR per Gy by time since exposure (TSE) in INWORKS restricted to workers hired in 1958 and later.</w:t>
            </w:r>
            <w:r>
              <w:rPr>
                <w:rStyle w:val="Hyperlink"/>
                <w:noProof/>
                <w:webHidden/>
              </w:rPr>
              <w:tab/>
            </w:r>
            <w:r>
              <w:rPr>
                <w:rStyle w:val="Hyperlink"/>
                <w:noProof/>
                <w:webHidden/>
              </w:rPr>
              <w:fldChar w:fldCharType="begin"/>
            </w:r>
            <w:r>
              <w:rPr>
                <w:rStyle w:val="Hyperlink"/>
                <w:noProof/>
                <w:webHidden/>
              </w:rPr>
              <w:instrText xml:space="preserve"> PAGEREF _Toc170712187 \h </w:instrText>
            </w:r>
            <w:r>
              <w:rPr>
                <w:rStyle w:val="Hyperlink"/>
                <w:noProof/>
                <w:webHidden/>
              </w:rPr>
            </w:r>
            <w:r>
              <w:rPr>
                <w:rStyle w:val="Hyperlink"/>
                <w:noProof/>
                <w:webHidden/>
              </w:rPr>
              <w:fldChar w:fldCharType="separate"/>
            </w:r>
            <w:r>
              <w:rPr>
                <w:rStyle w:val="Hyperlink"/>
                <w:noProof/>
                <w:webHidden/>
              </w:rPr>
              <w:t>4</w:t>
            </w:r>
            <w:r>
              <w:rPr>
                <w:rStyle w:val="Hyperlink"/>
                <w:noProof/>
                <w:webHidden/>
              </w:rPr>
              <w:fldChar w:fldCharType="end"/>
            </w:r>
          </w:hyperlink>
        </w:p>
        <w:p w14:paraId="10CB4076" w14:textId="77777777" w:rsidR="00A959D2" w:rsidRDefault="00A959D2" w:rsidP="00A959D2">
          <w:pPr>
            <w:pStyle w:val="TOC1"/>
            <w:rPr>
              <w:rFonts w:ascii="Times New Roman" w:hAnsi="Times New Roman"/>
              <w:noProof/>
              <w:kern w:val="2"/>
              <w14:ligatures w14:val="standardContextual"/>
            </w:rPr>
          </w:pPr>
          <w:hyperlink r:id="rId7" w:anchor="_Toc170712188" w:history="1">
            <w:r>
              <w:rPr>
                <w:rStyle w:val="Hyperlink"/>
                <w:noProof/>
              </w:rPr>
              <w:t>Table S4. Linear ERR per Gy by time since exposure (TSE) in INWORKS restricted to workers hired prior to 1958.</w:t>
            </w:r>
            <w:r>
              <w:rPr>
                <w:rStyle w:val="Hyperlink"/>
                <w:noProof/>
                <w:webHidden/>
              </w:rPr>
              <w:tab/>
            </w:r>
            <w:r>
              <w:rPr>
                <w:rStyle w:val="Hyperlink"/>
                <w:noProof/>
                <w:webHidden/>
              </w:rPr>
              <w:fldChar w:fldCharType="begin"/>
            </w:r>
            <w:r>
              <w:rPr>
                <w:rStyle w:val="Hyperlink"/>
                <w:noProof/>
                <w:webHidden/>
              </w:rPr>
              <w:instrText xml:space="preserve"> PAGEREF _Toc170712188 \h </w:instrText>
            </w:r>
            <w:r>
              <w:rPr>
                <w:rStyle w:val="Hyperlink"/>
                <w:noProof/>
                <w:webHidden/>
              </w:rPr>
            </w:r>
            <w:r>
              <w:rPr>
                <w:rStyle w:val="Hyperlink"/>
                <w:noProof/>
                <w:webHidden/>
              </w:rPr>
              <w:fldChar w:fldCharType="separate"/>
            </w:r>
            <w:r>
              <w:rPr>
                <w:rStyle w:val="Hyperlink"/>
                <w:noProof/>
                <w:webHidden/>
              </w:rPr>
              <w:t>5</w:t>
            </w:r>
            <w:r>
              <w:rPr>
                <w:rStyle w:val="Hyperlink"/>
                <w:noProof/>
                <w:webHidden/>
              </w:rPr>
              <w:fldChar w:fldCharType="end"/>
            </w:r>
          </w:hyperlink>
        </w:p>
        <w:p w14:paraId="6074BA3E" w14:textId="77777777" w:rsidR="00A959D2" w:rsidRDefault="00A959D2" w:rsidP="00A959D2">
          <w:pPr>
            <w:pStyle w:val="TOC1"/>
            <w:rPr>
              <w:rFonts w:ascii="Times New Roman" w:hAnsi="Times New Roman"/>
              <w:noProof/>
              <w:kern w:val="2"/>
              <w14:ligatures w14:val="standardContextual"/>
            </w:rPr>
          </w:pPr>
          <w:hyperlink r:id="rId8" w:anchor="_Toc170712189" w:history="1">
            <w:r>
              <w:rPr>
                <w:rStyle w:val="Hyperlink"/>
                <w:noProof/>
              </w:rPr>
              <w:t>Table S5. Post hoc solid cancer analyses: linear ERR per Gy (90% CI) by time since exposure (TSE) in INWORKS.</w:t>
            </w:r>
            <w:r>
              <w:rPr>
                <w:rStyle w:val="Hyperlink"/>
                <w:noProof/>
                <w:webHidden/>
              </w:rPr>
              <w:tab/>
            </w:r>
            <w:r>
              <w:rPr>
                <w:rStyle w:val="Hyperlink"/>
                <w:noProof/>
                <w:webHidden/>
              </w:rPr>
              <w:fldChar w:fldCharType="begin"/>
            </w:r>
            <w:r>
              <w:rPr>
                <w:rStyle w:val="Hyperlink"/>
                <w:noProof/>
                <w:webHidden/>
              </w:rPr>
              <w:instrText xml:space="preserve"> PAGEREF _Toc170712189 \h </w:instrText>
            </w:r>
            <w:r>
              <w:rPr>
                <w:rStyle w:val="Hyperlink"/>
                <w:noProof/>
                <w:webHidden/>
              </w:rPr>
            </w:r>
            <w:r>
              <w:rPr>
                <w:rStyle w:val="Hyperlink"/>
                <w:noProof/>
                <w:webHidden/>
              </w:rPr>
              <w:fldChar w:fldCharType="separate"/>
            </w:r>
            <w:r>
              <w:rPr>
                <w:rStyle w:val="Hyperlink"/>
                <w:noProof/>
                <w:webHidden/>
              </w:rPr>
              <w:t>6</w:t>
            </w:r>
            <w:r>
              <w:rPr>
                <w:rStyle w:val="Hyperlink"/>
                <w:noProof/>
                <w:webHidden/>
              </w:rPr>
              <w:fldChar w:fldCharType="end"/>
            </w:r>
          </w:hyperlink>
        </w:p>
        <w:p w14:paraId="7919D262" w14:textId="77777777" w:rsidR="00A959D2" w:rsidRDefault="00A959D2" w:rsidP="00A959D2">
          <w:pPr>
            <w:pStyle w:val="TOC1"/>
            <w:rPr>
              <w:rFonts w:ascii="Times New Roman" w:hAnsi="Times New Roman"/>
              <w:noProof/>
              <w:kern w:val="2"/>
              <w14:ligatures w14:val="standardContextual"/>
            </w:rPr>
          </w:pPr>
          <w:hyperlink r:id="rId9" w:anchor="_Toc170712190" w:history="1">
            <w:r>
              <w:rPr>
                <w:rStyle w:val="Hyperlink"/>
                <w:noProof/>
              </w:rPr>
              <w:t>Table S6. Linear ERR per Gy by age at exposure (AE) in INWORKS restricted to workers hired in 1958 and later.</w:t>
            </w:r>
            <w:r>
              <w:rPr>
                <w:rStyle w:val="Hyperlink"/>
                <w:noProof/>
                <w:webHidden/>
              </w:rPr>
              <w:tab/>
            </w:r>
            <w:r>
              <w:rPr>
                <w:rStyle w:val="Hyperlink"/>
                <w:noProof/>
                <w:webHidden/>
              </w:rPr>
              <w:fldChar w:fldCharType="begin"/>
            </w:r>
            <w:r>
              <w:rPr>
                <w:rStyle w:val="Hyperlink"/>
                <w:noProof/>
                <w:webHidden/>
              </w:rPr>
              <w:instrText xml:space="preserve"> PAGEREF _Toc170712190 \h </w:instrText>
            </w:r>
            <w:r>
              <w:rPr>
                <w:rStyle w:val="Hyperlink"/>
                <w:noProof/>
                <w:webHidden/>
              </w:rPr>
            </w:r>
            <w:r>
              <w:rPr>
                <w:rStyle w:val="Hyperlink"/>
                <w:noProof/>
                <w:webHidden/>
              </w:rPr>
              <w:fldChar w:fldCharType="separate"/>
            </w:r>
            <w:r>
              <w:rPr>
                <w:rStyle w:val="Hyperlink"/>
                <w:noProof/>
                <w:webHidden/>
              </w:rPr>
              <w:t>7</w:t>
            </w:r>
            <w:r>
              <w:rPr>
                <w:rStyle w:val="Hyperlink"/>
                <w:noProof/>
                <w:webHidden/>
              </w:rPr>
              <w:fldChar w:fldCharType="end"/>
            </w:r>
          </w:hyperlink>
        </w:p>
        <w:p w14:paraId="6EA8EF16" w14:textId="77777777" w:rsidR="00A959D2" w:rsidRDefault="00A959D2" w:rsidP="00A959D2">
          <w:pPr>
            <w:pStyle w:val="TOC1"/>
            <w:rPr>
              <w:rFonts w:ascii="Times New Roman" w:hAnsi="Times New Roman"/>
              <w:noProof/>
              <w:kern w:val="2"/>
              <w14:ligatures w14:val="standardContextual"/>
            </w:rPr>
          </w:pPr>
          <w:hyperlink r:id="rId10" w:anchor="_Toc170712191" w:history="1">
            <w:r>
              <w:rPr>
                <w:rStyle w:val="Hyperlink"/>
                <w:noProof/>
              </w:rPr>
              <w:t>Table S7. Linear ERR per Gy by age at exposure (AE) in INWORKS restricted to workers hired prior to 1958.</w:t>
            </w:r>
            <w:r>
              <w:rPr>
                <w:rStyle w:val="Hyperlink"/>
                <w:noProof/>
                <w:webHidden/>
              </w:rPr>
              <w:tab/>
            </w:r>
            <w:r>
              <w:rPr>
                <w:rStyle w:val="Hyperlink"/>
                <w:noProof/>
                <w:webHidden/>
              </w:rPr>
              <w:fldChar w:fldCharType="begin"/>
            </w:r>
            <w:r>
              <w:rPr>
                <w:rStyle w:val="Hyperlink"/>
                <w:noProof/>
                <w:webHidden/>
              </w:rPr>
              <w:instrText xml:space="preserve"> PAGEREF _Toc170712191 \h </w:instrText>
            </w:r>
            <w:r>
              <w:rPr>
                <w:rStyle w:val="Hyperlink"/>
                <w:noProof/>
                <w:webHidden/>
              </w:rPr>
            </w:r>
            <w:r>
              <w:rPr>
                <w:rStyle w:val="Hyperlink"/>
                <w:noProof/>
                <w:webHidden/>
              </w:rPr>
              <w:fldChar w:fldCharType="separate"/>
            </w:r>
            <w:r>
              <w:rPr>
                <w:rStyle w:val="Hyperlink"/>
                <w:noProof/>
                <w:webHidden/>
              </w:rPr>
              <w:t>8</w:t>
            </w:r>
            <w:r>
              <w:rPr>
                <w:rStyle w:val="Hyperlink"/>
                <w:noProof/>
                <w:webHidden/>
              </w:rPr>
              <w:fldChar w:fldCharType="end"/>
            </w:r>
          </w:hyperlink>
        </w:p>
        <w:p w14:paraId="61E91800" w14:textId="77777777" w:rsidR="00A959D2" w:rsidRDefault="00A959D2" w:rsidP="00A959D2">
          <w:pPr>
            <w:pStyle w:val="TOC1"/>
            <w:rPr>
              <w:rFonts w:ascii="Times New Roman" w:hAnsi="Times New Roman"/>
              <w:noProof/>
              <w:kern w:val="2"/>
              <w14:ligatures w14:val="standardContextual"/>
            </w:rPr>
          </w:pPr>
          <w:hyperlink r:id="rId11" w:anchor="_Toc170712192" w:history="1">
            <w:r>
              <w:rPr>
                <w:rStyle w:val="Hyperlink"/>
                <w:noProof/>
              </w:rPr>
              <w:t>Table S8. Post hoc solid cancer analyses: linear ERR per Gy by age at exposure (AE) in INWORKS.</w:t>
            </w:r>
            <w:r>
              <w:rPr>
                <w:rStyle w:val="Hyperlink"/>
                <w:noProof/>
                <w:webHidden/>
              </w:rPr>
              <w:tab/>
            </w:r>
            <w:r>
              <w:rPr>
                <w:rStyle w:val="Hyperlink"/>
                <w:noProof/>
                <w:webHidden/>
              </w:rPr>
              <w:fldChar w:fldCharType="begin"/>
            </w:r>
            <w:r>
              <w:rPr>
                <w:rStyle w:val="Hyperlink"/>
                <w:noProof/>
                <w:webHidden/>
              </w:rPr>
              <w:instrText xml:space="preserve"> PAGEREF _Toc170712192 \h </w:instrText>
            </w:r>
            <w:r>
              <w:rPr>
                <w:rStyle w:val="Hyperlink"/>
                <w:noProof/>
                <w:webHidden/>
              </w:rPr>
            </w:r>
            <w:r>
              <w:rPr>
                <w:rStyle w:val="Hyperlink"/>
                <w:noProof/>
                <w:webHidden/>
              </w:rPr>
              <w:fldChar w:fldCharType="separate"/>
            </w:r>
            <w:r>
              <w:rPr>
                <w:rStyle w:val="Hyperlink"/>
                <w:noProof/>
                <w:webHidden/>
              </w:rPr>
              <w:t>9</w:t>
            </w:r>
            <w:r>
              <w:rPr>
                <w:rStyle w:val="Hyperlink"/>
                <w:noProof/>
                <w:webHidden/>
              </w:rPr>
              <w:fldChar w:fldCharType="end"/>
            </w:r>
          </w:hyperlink>
        </w:p>
        <w:p w14:paraId="464A9F53" w14:textId="77777777" w:rsidR="00A959D2" w:rsidRDefault="00A959D2" w:rsidP="00A959D2">
          <w:pPr>
            <w:pStyle w:val="TOC1"/>
            <w:rPr>
              <w:rFonts w:ascii="Times New Roman" w:hAnsi="Times New Roman"/>
              <w:noProof/>
              <w:kern w:val="2"/>
              <w14:ligatures w14:val="standardContextual"/>
            </w:rPr>
          </w:pPr>
          <w:hyperlink r:id="rId12" w:anchor="_Toc170712193" w:history="1">
            <w:r>
              <w:rPr>
                <w:rStyle w:val="Hyperlink"/>
                <w:noProof/>
              </w:rPr>
              <w:t>Table S9. Linear ERR per Gy by attained age (AA) in INWORKS restricted to workers hired in 1958 and later.</w:t>
            </w:r>
            <w:r>
              <w:rPr>
                <w:rStyle w:val="Hyperlink"/>
                <w:noProof/>
                <w:webHidden/>
              </w:rPr>
              <w:tab/>
            </w:r>
            <w:r>
              <w:rPr>
                <w:rStyle w:val="Hyperlink"/>
                <w:noProof/>
                <w:webHidden/>
              </w:rPr>
              <w:fldChar w:fldCharType="begin"/>
            </w:r>
            <w:r>
              <w:rPr>
                <w:rStyle w:val="Hyperlink"/>
                <w:noProof/>
                <w:webHidden/>
              </w:rPr>
              <w:instrText xml:space="preserve"> PAGEREF _Toc170712193 \h </w:instrText>
            </w:r>
            <w:r>
              <w:rPr>
                <w:rStyle w:val="Hyperlink"/>
                <w:noProof/>
                <w:webHidden/>
              </w:rPr>
            </w:r>
            <w:r>
              <w:rPr>
                <w:rStyle w:val="Hyperlink"/>
                <w:noProof/>
                <w:webHidden/>
              </w:rPr>
              <w:fldChar w:fldCharType="separate"/>
            </w:r>
            <w:r>
              <w:rPr>
                <w:rStyle w:val="Hyperlink"/>
                <w:noProof/>
                <w:webHidden/>
              </w:rPr>
              <w:t>10</w:t>
            </w:r>
            <w:r>
              <w:rPr>
                <w:rStyle w:val="Hyperlink"/>
                <w:noProof/>
                <w:webHidden/>
              </w:rPr>
              <w:fldChar w:fldCharType="end"/>
            </w:r>
          </w:hyperlink>
        </w:p>
        <w:p w14:paraId="37CF1F80" w14:textId="77777777" w:rsidR="00A959D2" w:rsidRDefault="00A959D2" w:rsidP="00A959D2">
          <w:pPr>
            <w:pStyle w:val="TOC1"/>
            <w:rPr>
              <w:rFonts w:ascii="Times New Roman" w:hAnsi="Times New Roman"/>
              <w:noProof/>
              <w:kern w:val="2"/>
              <w14:ligatures w14:val="standardContextual"/>
            </w:rPr>
          </w:pPr>
          <w:hyperlink r:id="rId13" w:anchor="_Toc170712194" w:history="1">
            <w:r>
              <w:rPr>
                <w:rStyle w:val="Hyperlink"/>
                <w:noProof/>
              </w:rPr>
              <w:t>Table S10. Linear ERR per Gy by attained age (AA) in INWORKS restricted to workers hired prior to  1958.</w:t>
            </w:r>
            <w:r>
              <w:rPr>
                <w:rStyle w:val="Hyperlink"/>
                <w:noProof/>
                <w:webHidden/>
              </w:rPr>
              <w:tab/>
            </w:r>
            <w:r>
              <w:rPr>
                <w:rStyle w:val="Hyperlink"/>
                <w:noProof/>
                <w:webHidden/>
              </w:rPr>
              <w:fldChar w:fldCharType="begin"/>
            </w:r>
            <w:r>
              <w:rPr>
                <w:rStyle w:val="Hyperlink"/>
                <w:noProof/>
                <w:webHidden/>
              </w:rPr>
              <w:instrText xml:space="preserve"> PAGEREF _Toc170712194 \h </w:instrText>
            </w:r>
            <w:r>
              <w:rPr>
                <w:rStyle w:val="Hyperlink"/>
                <w:noProof/>
                <w:webHidden/>
              </w:rPr>
            </w:r>
            <w:r>
              <w:rPr>
                <w:rStyle w:val="Hyperlink"/>
                <w:noProof/>
                <w:webHidden/>
              </w:rPr>
              <w:fldChar w:fldCharType="separate"/>
            </w:r>
            <w:r>
              <w:rPr>
                <w:rStyle w:val="Hyperlink"/>
                <w:noProof/>
                <w:webHidden/>
              </w:rPr>
              <w:t>11</w:t>
            </w:r>
            <w:r>
              <w:rPr>
                <w:rStyle w:val="Hyperlink"/>
                <w:noProof/>
                <w:webHidden/>
              </w:rPr>
              <w:fldChar w:fldCharType="end"/>
            </w:r>
          </w:hyperlink>
        </w:p>
        <w:p w14:paraId="1FF83E01" w14:textId="77777777" w:rsidR="00A959D2" w:rsidRDefault="00A959D2" w:rsidP="00A959D2">
          <w:pPr>
            <w:pStyle w:val="TOC1"/>
            <w:rPr>
              <w:rFonts w:ascii="Times New Roman" w:hAnsi="Times New Roman"/>
              <w:noProof/>
              <w:kern w:val="2"/>
              <w14:ligatures w14:val="standardContextual"/>
            </w:rPr>
          </w:pPr>
          <w:hyperlink r:id="rId14" w:anchor="_Toc170712195" w:history="1">
            <w:r>
              <w:rPr>
                <w:rStyle w:val="Hyperlink"/>
                <w:noProof/>
              </w:rPr>
              <w:t>Figure S1. The ERR Gy–1 (filled circles) and associated 90% CIs (whiskers) for categories of time since exposure (TSE) for all solid cancers and leukemia excluding CLL.</w:t>
            </w:r>
            <w:r>
              <w:rPr>
                <w:rStyle w:val="Hyperlink"/>
                <w:noProof/>
                <w:webHidden/>
              </w:rPr>
              <w:tab/>
            </w:r>
            <w:r>
              <w:rPr>
                <w:rStyle w:val="Hyperlink"/>
                <w:noProof/>
                <w:webHidden/>
              </w:rPr>
              <w:fldChar w:fldCharType="begin"/>
            </w:r>
            <w:r>
              <w:rPr>
                <w:rStyle w:val="Hyperlink"/>
                <w:noProof/>
                <w:webHidden/>
              </w:rPr>
              <w:instrText xml:space="preserve"> PAGEREF _Toc170712195 \h </w:instrText>
            </w:r>
            <w:r>
              <w:rPr>
                <w:rStyle w:val="Hyperlink"/>
                <w:noProof/>
                <w:webHidden/>
              </w:rPr>
            </w:r>
            <w:r>
              <w:rPr>
                <w:rStyle w:val="Hyperlink"/>
                <w:noProof/>
                <w:webHidden/>
              </w:rPr>
              <w:fldChar w:fldCharType="separate"/>
            </w:r>
            <w:r>
              <w:rPr>
                <w:rStyle w:val="Hyperlink"/>
                <w:noProof/>
                <w:webHidden/>
              </w:rPr>
              <w:t>12</w:t>
            </w:r>
            <w:r>
              <w:rPr>
                <w:rStyle w:val="Hyperlink"/>
                <w:noProof/>
                <w:webHidden/>
              </w:rPr>
              <w:fldChar w:fldCharType="end"/>
            </w:r>
          </w:hyperlink>
        </w:p>
        <w:p w14:paraId="116F714D" w14:textId="77777777" w:rsidR="00A959D2" w:rsidRDefault="00A959D2" w:rsidP="00A959D2">
          <w:pPr>
            <w:pStyle w:val="TOC1"/>
            <w:rPr>
              <w:rFonts w:ascii="Times New Roman" w:hAnsi="Times New Roman"/>
              <w:noProof/>
              <w:kern w:val="2"/>
              <w14:ligatures w14:val="standardContextual"/>
            </w:rPr>
          </w:pPr>
          <w:hyperlink r:id="rId15" w:anchor="_Toc170712196" w:history="1">
            <w:r>
              <w:rPr>
                <w:rStyle w:val="Hyperlink"/>
                <w:noProof/>
              </w:rPr>
              <w:t>Figure S2. The ERR Gy–1 (filled circles) and associated 90% CIs (whiskers) for categories of age at exposure (AE) for all solid cancers and leukemia excluding CLL.</w:t>
            </w:r>
            <w:r>
              <w:rPr>
                <w:rStyle w:val="Hyperlink"/>
                <w:noProof/>
                <w:webHidden/>
              </w:rPr>
              <w:tab/>
            </w:r>
            <w:r>
              <w:rPr>
                <w:rStyle w:val="Hyperlink"/>
                <w:noProof/>
                <w:webHidden/>
              </w:rPr>
              <w:fldChar w:fldCharType="begin"/>
            </w:r>
            <w:r>
              <w:rPr>
                <w:rStyle w:val="Hyperlink"/>
                <w:noProof/>
                <w:webHidden/>
              </w:rPr>
              <w:instrText xml:space="preserve"> PAGEREF _Toc170712196 \h </w:instrText>
            </w:r>
            <w:r>
              <w:rPr>
                <w:rStyle w:val="Hyperlink"/>
                <w:noProof/>
                <w:webHidden/>
              </w:rPr>
            </w:r>
            <w:r>
              <w:rPr>
                <w:rStyle w:val="Hyperlink"/>
                <w:noProof/>
                <w:webHidden/>
              </w:rPr>
              <w:fldChar w:fldCharType="separate"/>
            </w:r>
            <w:r>
              <w:rPr>
                <w:rStyle w:val="Hyperlink"/>
                <w:noProof/>
                <w:webHidden/>
              </w:rPr>
              <w:t>13</w:t>
            </w:r>
            <w:r>
              <w:rPr>
                <w:rStyle w:val="Hyperlink"/>
                <w:noProof/>
                <w:webHidden/>
              </w:rPr>
              <w:fldChar w:fldCharType="end"/>
            </w:r>
          </w:hyperlink>
        </w:p>
        <w:p w14:paraId="7B5A4EA4" w14:textId="77777777" w:rsidR="00A959D2" w:rsidRDefault="00A959D2" w:rsidP="00A959D2">
          <w:pPr>
            <w:pStyle w:val="TOC1"/>
            <w:rPr>
              <w:rFonts w:ascii="Times New Roman" w:hAnsi="Times New Roman"/>
              <w:noProof/>
              <w:kern w:val="2"/>
              <w14:ligatures w14:val="standardContextual"/>
            </w:rPr>
          </w:pPr>
          <w:hyperlink r:id="rId16" w:anchor="_Toc170712197" w:history="1">
            <w:r>
              <w:rPr>
                <w:rStyle w:val="Hyperlink"/>
                <w:noProof/>
              </w:rPr>
              <w:t>Figure S3. The ERR Gy–1 (filled circles) and associated 90% CIs (whiskers) for categories of attained age for all solid cancers and leukemia excluding CLL.</w:t>
            </w:r>
            <w:r>
              <w:rPr>
                <w:rStyle w:val="Hyperlink"/>
                <w:noProof/>
                <w:webHidden/>
              </w:rPr>
              <w:tab/>
            </w:r>
            <w:r>
              <w:rPr>
                <w:rStyle w:val="Hyperlink"/>
                <w:noProof/>
                <w:webHidden/>
              </w:rPr>
              <w:fldChar w:fldCharType="begin"/>
            </w:r>
            <w:r>
              <w:rPr>
                <w:rStyle w:val="Hyperlink"/>
                <w:noProof/>
                <w:webHidden/>
              </w:rPr>
              <w:instrText xml:space="preserve"> PAGEREF _Toc170712197 \h </w:instrText>
            </w:r>
            <w:r>
              <w:rPr>
                <w:rStyle w:val="Hyperlink"/>
                <w:noProof/>
                <w:webHidden/>
              </w:rPr>
            </w:r>
            <w:r>
              <w:rPr>
                <w:rStyle w:val="Hyperlink"/>
                <w:noProof/>
                <w:webHidden/>
              </w:rPr>
              <w:fldChar w:fldCharType="separate"/>
            </w:r>
            <w:r>
              <w:rPr>
                <w:rStyle w:val="Hyperlink"/>
                <w:noProof/>
                <w:webHidden/>
              </w:rPr>
              <w:t>14</w:t>
            </w:r>
            <w:r>
              <w:rPr>
                <w:rStyle w:val="Hyperlink"/>
                <w:noProof/>
                <w:webHidden/>
              </w:rPr>
              <w:fldChar w:fldCharType="end"/>
            </w:r>
          </w:hyperlink>
        </w:p>
        <w:p w14:paraId="5287E835" w14:textId="77777777" w:rsidR="00A959D2" w:rsidRDefault="00A959D2" w:rsidP="00A959D2">
          <w:r>
            <w:rPr>
              <w:rFonts w:cs="Times New Roman"/>
              <w:b/>
              <w:bCs/>
              <w:noProof/>
            </w:rPr>
            <w:fldChar w:fldCharType="end"/>
          </w:r>
        </w:p>
      </w:sdtContent>
    </w:sdt>
    <w:p w14:paraId="42E41232" w14:textId="77777777" w:rsidR="00A959D2" w:rsidRDefault="00A959D2" w:rsidP="00A959D2">
      <w:pPr>
        <w:spacing w:before="120" w:after="120" w:line="360" w:lineRule="auto"/>
        <w:rPr>
          <w:rFonts w:eastAsia="Times New Roman" w:cs="Times New Roman"/>
          <w:szCs w:val="24"/>
        </w:rPr>
      </w:pPr>
    </w:p>
    <w:p w14:paraId="429AD2F1" w14:textId="77777777" w:rsidR="00A959D2" w:rsidRDefault="00A959D2" w:rsidP="00A959D2">
      <w:pPr>
        <w:spacing w:after="0" w:line="240" w:lineRule="auto"/>
        <w:rPr>
          <w:rFonts w:cs="Times New Roman"/>
          <w:b/>
          <w:bCs/>
        </w:rPr>
        <w:sectPr w:rsidR="00A959D2">
          <w:pgSz w:w="12240" w:h="15840"/>
          <w:pgMar w:top="1440" w:right="1440" w:bottom="1440" w:left="1440" w:header="720" w:footer="720" w:gutter="0"/>
          <w:cols w:space="720"/>
        </w:sectPr>
      </w:pPr>
    </w:p>
    <w:p w14:paraId="489B4C08" w14:textId="77777777" w:rsidR="00A959D2" w:rsidRDefault="00A959D2" w:rsidP="00A959D2">
      <w:pPr>
        <w:pStyle w:val="Heading1"/>
        <w:rPr>
          <w:rFonts w:eastAsiaTheme="minorHAnsi"/>
        </w:rPr>
      </w:pPr>
      <w:bookmarkStart w:id="4" w:name="_Toc170712185"/>
      <w:r>
        <w:rPr>
          <w:rFonts w:eastAsiaTheme="minorHAnsi"/>
        </w:rPr>
        <w:lastRenderedPageBreak/>
        <w:t>Table S1. Outcome categories and associated codes in revisions 6–10 of the International Classification of Diseases (ICD, WHO) used for the analysis of temporal effect modification in INWORKS.</w:t>
      </w:r>
      <w:bookmarkEnd w:id="4"/>
    </w:p>
    <w:tbl>
      <w:tblPr>
        <w:tblStyle w:val="PlainTable2"/>
        <w:tblW w:w="12960" w:type="dxa"/>
        <w:tblInd w:w="0" w:type="dxa"/>
        <w:tblLayout w:type="fixed"/>
        <w:tblLook w:val="0420" w:firstRow="1" w:lastRow="0" w:firstColumn="0" w:lastColumn="0" w:noHBand="0" w:noVBand="1"/>
      </w:tblPr>
      <w:tblGrid>
        <w:gridCol w:w="2250"/>
        <w:gridCol w:w="2142"/>
        <w:gridCol w:w="2142"/>
        <w:gridCol w:w="2142"/>
        <w:gridCol w:w="2142"/>
        <w:gridCol w:w="2142"/>
      </w:tblGrid>
      <w:tr w:rsidR="00A959D2" w14:paraId="7ED2BB94" w14:textId="77777777" w:rsidTr="00A959D2">
        <w:trPr>
          <w:cnfStyle w:val="100000000000" w:firstRow="1" w:lastRow="0" w:firstColumn="0" w:lastColumn="0" w:oddVBand="0" w:evenVBand="0" w:oddHBand="0" w:evenHBand="0" w:firstRowFirstColumn="0" w:firstRowLastColumn="0" w:lastRowFirstColumn="0" w:lastRowLastColumn="0"/>
          <w:trHeight w:val="20"/>
        </w:trPr>
        <w:tc>
          <w:tcPr>
            <w:tcW w:w="2250" w:type="dxa"/>
            <w:tcBorders>
              <w:top w:val="single" w:sz="4" w:space="0" w:color="7F7F7F" w:themeColor="text1" w:themeTint="80"/>
              <w:left w:val="nil"/>
              <w:right w:val="nil"/>
            </w:tcBorders>
            <w:noWrap/>
            <w:vAlign w:val="bottom"/>
            <w:hideMark/>
          </w:tcPr>
          <w:p w14:paraId="08C098A4" w14:textId="77777777" w:rsidR="00A959D2" w:rsidRDefault="00A959D2">
            <w:pPr>
              <w:spacing w:after="0" w:line="240" w:lineRule="auto"/>
              <w:rPr>
                <w:rFonts w:cs="Times New Roman"/>
                <w:b w:val="0"/>
                <w:bCs w:val="0"/>
                <w:sz w:val="20"/>
                <w:szCs w:val="20"/>
                <w:lang w:eastAsia="en-GB"/>
              </w:rPr>
            </w:pPr>
            <w:r>
              <w:rPr>
                <w:rFonts w:cs="Times New Roman"/>
                <w:b w:val="0"/>
                <w:bCs w:val="0"/>
                <w:sz w:val="20"/>
                <w:szCs w:val="20"/>
                <w:lang w:eastAsia="en-GB"/>
              </w:rPr>
              <w:t>Outcome</w:t>
            </w:r>
          </w:p>
        </w:tc>
        <w:tc>
          <w:tcPr>
            <w:tcW w:w="2142" w:type="dxa"/>
            <w:tcBorders>
              <w:top w:val="single" w:sz="4" w:space="0" w:color="7F7F7F" w:themeColor="text1" w:themeTint="80"/>
              <w:left w:val="nil"/>
              <w:right w:val="nil"/>
            </w:tcBorders>
            <w:vAlign w:val="bottom"/>
            <w:hideMark/>
          </w:tcPr>
          <w:p w14:paraId="5FAC74DD" w14:textId="77777777" w:rsidR="00A959D2" w:rsidRDefault="00A959D2">
            <w:pPr>
              <w:spacing w:after="0" w:line="240" w:lineRule="auto"/>
              <w:rPr>
                <w:rFonts w:cs="Times New Roman"/>
                <w:b w:val="0"/>
                <w:bCs w:val="0"/>
                <w:sz w:val="20"/>
                <w:szCs w:val="20"/>
                <w:lang w:eastAsia="en-GB"/>
              </w:rPr>
            </w:pPr>
            <w:r>
              <w:rPr>
                <w:rFonts w:cs="Times New Roman"/>
                <w:b w:val="0"/>
                <w:bCs w:val="0"/>
                <w:sz w:val="20"/>
                <w:szCs w:val="20"/>
                <w:lang w:eastAsia="en-GB"/>
              </w:rPr>
              <w:t>ICD-6</w:t>
            </w:r>
          </w:p>
        </w:tc>
        <w:tc>
          <w:tcPr>
            <w:tcW w:w="2142" w:type="dxa"/>
            <w:tcBorders>
              <w:top w:val="single" w:sz="4" w:space="0" w:color="7F7F7F" w:themeColor="text1" w:themeTint="80"/>
              <w:left w:val="nil"/>
              <w:right w:val="nil"/>
            </w:tcBorders>
            <w:noWrap/>
            <w:vAlign w:val="bottom"/>
            <w:hideMark/>
          </w:tcPr>
          <w:p w14:paraId="760C1F58" w14:textId="77777777" w:rsidR="00A959D2" w:rsidRDefault="00A959D2">
            <w:pPr>
              <w:spacing w:after="0" w:line="240" w:lineRule="auto"/>
              <w:rPr>
                <w:rFonts w:cs="Times New Roman"/>
                <w:b w:val="0"/>
                <w:bCs w:val="0"/>
                <w:sz w:val="20"/>
                <w:szCs w:val="20"/>
                <w:lang w:eastAsia="en-GB"/>
              </w:rPr>
            </w:pPr>
            <w:r>
              <w:rPr>
                <w:rFonts w:cs="Times New Roman"/>
                <w:b w:val="0"/>
                <w:bCs w:val="0"/>
                <w:sz w:val="20"/>
                <w:szCs w:val="20"/>
                <w:lang w:eastAsia="en-GB"/>
              </w:rPr>
              <w:t>ICD-7</w:t>
            </w:r>
          </w:p>
        </w:tc>
        <w:tc>
          <w:tcPr>
            <w:tcW w:w="2142" w:type="dxa"/>
            <w:tcBorders>
              <w:top w:val="single" w:sz="4" w:space="0" w:color="7F7F7F" w:themeColor="text1" w:themeTint="80"/>
              <w:left w:val="nil"/>
              <w:right w:val="nil"/>
            </w:tcBorders>
            <w:noWrap/>
            <w:vAlign w:val="bottom"/>
            <w:hideMark/>
          </w:tcPr>
          <w:p w14:paraId="4A1B63BC" w14:textId="77777777" w:rsidR="00A959D2" w:rsidRDefault="00A959D2">
            <w:pPr>
              <w:spacing w:after="0" w:line="240" w:lineRule="auto"/>
              <w:rPr>
                <w:rFonts w:cs="Times New Roman"/>
                <w:b w:val="0"/>
                <w:bCs w:val="0"/>
                <w:sz w:val="20"/>
                <w:szCs w:val="20"/>
                <w:lang w:eastAsia="en-GB"/>
              </w:rPr>
            </w:pPr>
            <w:r>
              <w:rPr>
                <w:rFonts w:cs="Times New Roman"/>
                <w:b w:val="0"/>
                <w:bCs w:val="0"/>
                <w:sz w:val="20"/>
                <w:szCs w:val="20"/>
                <w:lang w:eastAsia="en-GB"/>
              </w:rPr>
              <w:t>ICD-8</w:t>
            </w:r>
          </w:p>
        </w:tc>
        <w:tc>
          <w:tcPr>
            <w:tcW w:w="2142" w:type="dxa"/>
            <w:tcBorders>
              <w:top w:val="single" w:sz="4" w:space="0" w:color="7F7F7F" w:themeColor="text1" w:themeTint="80"/>
              <w:left w:val="nil"/>
              <w:right w:val="nil"/>
            </w:tcBorders>
            <w:noWrap/>
            <w:vAlign w:val="bottom"/>
            <w:hideMark/>
          </w:tcPr>
          <w:p w14:paraId="17CE0B60" w14:textId="77777777" w:rsidR="00A959D2" w:rsidRDefault="00A959D2">
            <w:pPr>
              <w:spacing w:after="0" w:line="240" w:lineRule="auto"/>
              <w:rPr>
                <w:rFonts w:cs="Times New Roman"/>
                <w:b w:val="0"/>
                <w:bCs w:val="0"/>
                <w:sz w:val="20"/>
                <w:szCs w:val="20"/>
                <w:lang w:eastAsia="en-GB"/>
              </w:rPr>
            </w:pPr>
            <w:r>
              <w:rPr>
                <w:rFonts w:cs="Times New Roman"/>
                <w:b w:val="0"/>
                <w:bCs w:val="0"/>
                <w:sz w:val="20"/>
                <w:szCs w:val="20"/>
                <w:lang w:eastAsia="en-GB"/>
              </w:rPr>
              <w:t>ICD-9</w:t>
            </w:r>
          </w:p>
        </w:tc>
        <w:tc>
          <w:tcPr>
            <w:tcW w:w="2142" w:type="dxa"/>
            <w:tcBorders>
              <w:top w:val="single" w:sz="4" w:space="0" w:color="7F7F7F" w:themeColor="text1" w:themeTint="80"/>
              <w:left w:val="nil"/>
              <w:right w:val="nil"/>
            </w:tcBorders>
            <w:noWrap/>
            <w:vAlign w:val="bottom"/>
            <w:hideMark/>
          </w:tcPr>
          <w:p w14:paraId="569720D0" w14:textId="77777777" w:rsidR="00A959D2" w:rsidRDefault="00A959D2">
            <w:pPr>
              <w:spacing w:after="0" w:line="240" w:lineRule="auto"/>
              <w:rPr>
                <w:rFonts w:cs="Times New Roman"/>
                <w:b w:val="0"/>
                <w:bCs w:val="0"/>
                <w:sz w:val="20"/>
                <w:szCs w:val="20"/>
                <w:lang w:eastAsia="en-GB"/>
              </w:rPr>
            </w:pPr>
            <w:r>
              <w:rPr>
                <w:rFonts w:cs="Times New Roman"/>
                <w:b w:val="0"/>
                <w:bCs w:val="0"/>
                <w:sz w:val="20"/>
                <w:szCs w:val="20"/>
                <w:lang w:eastAsia="en-GB"/>
              </w:rPr>
              <w:t>ICD-10</w:t>
            </w:r>
          </w:p>
        </w:tc>
      </w:tr>
      <w:tr w:rsidR="00A959D2" w14:paraId="5652B625" w14:textId="77777777" w:rsidTr="00A959D2">
        <w:trPr>
          <w:cnfStyle w:val="000000100000" w:firstRow="0" w:lastRow="0" w:firstColumn="0" w:lastColumn="0" w:oddVBand="0" w:evenVBand="0" w:oddHBand="1" w:evenHBand="0" w:firstRowFirstColumn="0" w:firstRowLastColumn="0" w:lastRowFirstColumn="0" w:lastRowLastColumn="0"/>
          <w:trHeight w:val="20"/>
        </w:trPr>
        <w:tc>
          <w:tcPr>
            <w:tcW w:w="2250" w:type="dxa"/>
            <w:tcBorders>
              <w:left w:val="nil"/>
              <w:right w:val="nil"/>
            </w:tcBorders>
            <w:noWrap/>
            <w:hideMark/>
          </w:tcPr>
          <w:p w14:paraId="75730BCE" w14:textId="77777777" w:rsidR="00A959D2" w:rsidRDefault="00A959D2">
            <w:pPr>
              <w:spacing w:after="0" w:line="240" w:lineRule="auto"/>
              <w:rPr>
                <w:rFonts w:cs="Times New Roman"/>
                <w:sz w:val="20"/>
                <w:szCs w:val="20"/>
                <w:vertAlign w:val="superscript"/>
                <w:lang w:eastAsia="en-GB"/>
              </w:rPr>
            </w:pPr>
            <w:r>
              <w:rPr>
                <w:rFonts w:cs="Times New Roman"/>
                <w:sz w:val="20"/>
                <w:szCs w:val="20"/>
                <w:lang w:eastAsia="en-GB"/>
              </w:rPr>
              <w:t>solid cancers</w:t>
            </w:r>
            <w:r>
              <w:rPr>
                <w:rFonts w:cs="Times New Roman"/>
                <w:sz w:val="20"/>
                <w:szCs w:val="20"/>
                <w:vertAlign w:val="superscript"/>
                <w:lang w:eastAsia="en-GB"/>
              </w:rPr>
              <w:t>1</w:t>
            </w:r>
          </w:p>
        </w:tc>
        <w:tc>
          <w:tcPr>
            <w:tcW w:w="2142" w:type="dxa"/>
            <w:tcBorders>
              <w:left w:val="nil"/>
              <w:right w:val="nil"/>
            </w:tcBorders>
            <w:hideMark/>
          </w:tcPr>
          <w:p w14:paraId="5998E588" w14:textId="77777777" w:rsidR="00A959D2" w:rsidRDefault="00A959D2">
            <w:pPr>
              <w:spacing w:after="0" w:line="240" w:lineRule="auto"/>
              <w:rPr>
                <w:rFonts w:cs="Times New Roman"/>
                <w:sz w:val="20"/>
                <w:szCs w:val="20"/>
                <w:lang w:eastAsia="en-GB"/>
              </w:rPr>
            </w:pPr>
            <w:r>
              <w:rPr>
                <w:rFonts w:cs="Times New Roman"/>
                <w:sz w:val="20"/>
                <w:szCs w:val="20"/>
                <w:lang w:eastAsia="en-GB"/>
              </w:rPr>
              <w:t>140–199</w:t>
            </w:r>
          </w:p>
        </w:tc>
        <w:tc>
          <w:tcPr>
            <w:tcW w:w="2142" w:type="dxa"/>
            <w:tcBorders>
              <w:left w:val="nil"/>
              <w:right w:val="nil"/>
            </w:tcBorders>
            <w:noWrap/>
            <w:hideMark/>
          </w:tcPr>
          <w:p w14:paraId="59AA6A72" w14:textId="77777777" w:rsidR="00A959D2" w:rsidRDefault="00A959D2">
            <w:pPr>
              <w:spacing w:after="0" w:line="240" w:lineRule="auto"/>
              <w:rPr>
                <w:rFonts w:cs="Times New Roman"/>
                <w:sz w:val="20"/>
                <w:szCs w:val="20"/>
                <w:lang w:eastAsia="en-GB"/>
              </w:rPr>
            </w:pPr>
            <w:r>
              <w:rPr>
                <w:rFonts w:cs="Times New Roman"/>
                <w:sz w:val="20"/>
                <w:szCs w:val="20"/>
                <w:lang w:eastAsia="en-GB"/>
              </w:rPr>
              <w:t>140–199</w:t>
            </w:r>
          </w:p>
        </w:tc>
        <w:tc>
          <w:tcPr>
            <w:tcW w:w="2142" w:type="dxa"/>
            <w:tcBorders>
              <w:left w:val="nil"/>
              <w:right w:val="nil"/>
            </w:tcBorders>
            <w:noWrap/>
            <w:hideMark/>
          </w:tcPr>
          <w:p w14:paraId="79C281A9" w14:textId="77777777" w:rsidR="00A959D2" w:rsidRDefault="00A959D2">
            <w:pPr>
              <w:spacing w:after="0" w:line="240" w:lineRule="auto"/>
              <w:rPr>
                <w:rFonts w:cs="Times New Roman"/>
                <w:sz w:val="20"/>
                <w:szCs w:val="20"/>
                <w:lang w:eastAsia="en-GB"/>
              </w:rPr>
            </w:pPr>
            <w:r>
              <w:rPr>
                <w:rFonts w:cs="Times New Roman"/>
                <w:sz w:val="20"/>
                <w:szCs w:val="20"/>
                <w:lang w:eastAsia="en-GB"/>
              </w:rPr>
              <w:t>140–199</w:t>
            </w:r>
          </w:p>
        </w:tc>
        <w:tc>
          <w:tcPr>
            <w:tcW w:w="2142" w:type="dxa"/>
            <w:tcBorders>
              <w:left w:val="nil"/>
              <w:right w:val="nil"/>
            </w:tcBorders>
            <w:noWrap/>
            <w:hideMark/>
          </w:tcPr>
          <w:p w14:paraId="35F51FF7" w14:textId="77777777" w:rsidR="00A959D2" w:rsidRDefault="00A959D2">
            <w:pPr>
              <w:spacing w:after="0" w:line="240" w:lineRule="auto"/>
              <w:rPr>
                <w:rFonts w:cs="Times New Roman"/>
                <w:sz w:val="20"/>
                <w:szCs w:val="20"/>
                <w:lang w:eastAsia="en-GB"/>
              </w:rPr>
            </w:pPr>
            <w:r>
              <w:rPr>
                <w:rFonts w:cs="Times New Roman"/>
                <w:sz w:val="20"/>
                <w:szCs w:val="20"/>
                <w:lang w:eastAsia="en-GB"/>
              </w:rPr>
              <w:t>140–199, except 176.5 (Kaposi’s sarcoma of lymph nodes)</w:t>
            </w:r>
          </w:p>
        </w:tc>
        <w:tc>
          <w:tcPr>
            <w:tcW w:w="2142" w:type="dxa"/>
            <w:tcBorders>
              <w:left w:val="nil"/>
              <w:right w:val="nil"/>
            </w:tcBorders>
            <w:noWrap/>
            <w:hideMark/>
          </w:tcPr>
          <w:p w14:paraId="17D80C0B" w14:textId="77777777" w:rsidR="00A959D2" w:rsidRDefault="00A959D2">
            <w:pPr>
              <w:spacing w:after="0" w:line="240" w:lineRule="auto"/>
              <w:rPr>
                <w:rFonts w:cs="Times New Roman"/>
                <w:sz w:val="20"/>
                <w:szCs w:val="20"/>
                <w:lang w:eastAsia="en-GB"/>
              </w:rPr>
            </w:pPr>
            <w:r>
              <w:rPr>
                <w:rFonts w:cs="Times New Roman"/>
                <w:sz w:val="20"/>
                <w:szCs w:val="20"/>
                <w:lang w:eastAsia="en-GB"/>
              </w:rPr>
              <w:t>C00–C80, C97, except C46.3 (Kaposi’s sarcoma of lymph nodes)</w:t>
            </w:r>
          </w:p>
        </w:tc>
      </w:tr>
      <w:tr w:rsidR="00A959D2" w14:paraId="35C67BA4" w14:textId="77777777" w:rsidTr="00A959D2">
        <w:trPr>
          <w:trHeight w:val="20"/>
        </w:trPr>
        <w:tc>
          <w:tcPr>
            <w:tcW w:w="2250" w:type="dxa"/>
            <w:tcBorders>
              <w:top w:val="nil"/>
              <w:left w:val="nil"/>
              <w:bottom w:val="nil"/>
              <w:right w:val="nil"/>
            </w:tcBorders>
            <w:noWrap/>
            <w:hideMark/>
          </w:tcPr>
          <w:p w14:paraId="3E229377" w14:textId="77777777" w:rsidR="00A959D2" w:rsidRDefault="00A959D2">
            <w:pPr>
              <w:spacing w:after="0" w:line="240" w:lineRule="auto"/>
              <w:rPr>
                <w:rFonts w:cs="Times New Roman"/>
                <w:sz w:val="20"/>
                <w:szCs w:val="20"/>
                <w:lang w:eastAsia="en-GB"/>
              </w:rPr>
            </w:pPr>
            <w:r>
              <w:rPr>
                <w:rFonts w:cs="Times New Roman"/>
                <w:sz w:val="20"/>
                <w:szCs w:val="20"/>
                <w:lang w:eastAsia="en-GB"/>
              </w:rPr>
              <w:t>lung cancer</w:t>
            </w:r>
          </w:p>
        </w:tc>
        <w:tc>
          <w:tcPr>
            <w:tcW w:w="2142" w:type="dxa"/>
            <w:tcBorders>
              <w:top w:val="nil"/>
              <w:left w:val="nil"/>
              <w:bottom w:val="nil"/>
              <w:right w:val="nil"/>
            </w:tcBorders>
            <w:hideMark/>
          </w:tcPr>
          <w:p w14:paraId="4F8016E5" w14:textId="77777777" w:rsidR="00A959D2" w:rsidRDefault="00A959D2">
            <w:pPr>
              <w:spacing w:after="0" w:line="240" w:lineRule="auto"/>
              <w:rPr>
                <w:rFonts w:cs="Times New Roman"/>
                <w:sz w:val="20"/>
                <w:szCs w:val="20"/>
                <w:lang w:eastAsia="en-GB"/>
              </w:rPr>
            </w:pPr>
            <w:r>
              <w:rPr>
                <w:rFonts w:cs="Times New Roman"/>
                <w:sz w:val="20"/>
                <w:szCs w:val="20"/>
                <w:lang w:eastAsia="en-GB"/>
              </w:rPr>
              <w:t>162–163</w:t>
            </w:r>
          </w:p>
        </w:tc>
        <w:tc>
          <w:tcPr>
            <w:tcW w:w="2142" w:type="dxa"/>
            <w:tcBorders>
              <w:top w:val="nil"/>
              <w:left w:val="nil"/>
              <w:bottom w:val="nil"/>
              <w:right w:val="nil"/>
            </w:tcBorders>
            <w:noWrap/>
            <w:hideMark/>
          </w:tcPr>
          <w:p w14:paraId="7FFB20C9" w14:textId="77777777" w:rsidR="00A959D2" w:rsidRDefault="00A959D2">
            <w:pPr>
              <w:spacing w:after="0" w:line="240" w:lineRule="auto"/>
              <w:rPr>
                <w:rFonts w:cs="Times New Roman"/>
                <w:sz w:val="20"/>
                <w:szCs w:val="20"/>
                <w:lang w:eastAsia="en-GB"/>
              </w:rPr>
            </w:pPr>
            <w:r>
              <w:rPr>
                <w:rFonts w:cs="Times New Roman"/>
                <w:sz w:val="20"/>
                <w:szCs w:val="20"/>
                <w:lang w:eastAsia="en-GB"/>
              </w:rPr>
              <w:t>162.0–162.1, 162.8, 163 (pleura excluded)</w:t>
            </w:r>
          </w:p>
        </w:tc>
        <w:tc>
          <w:tcPr>
            <w:tcW w:w="2142" w:type="dxa"/>
            <w:tcBorders>
              <w:top w:val="nil"/>
              <w:left w:val="nil"/>
              <w:bottom w:val="nil"/>
              <w:right w:val="nil"/>
            </w:tcBorders>
            <w:noWrap/>
            <w:hideMark/>
          </w:tcPr>
          <w:p w14:paraId="6025B7CD" w14:textId="77777777" w:rsidR="00A959D2" w:rsidRDefault="00A959D2">
            <w:pPr>
              <w:spacing w:after="0" w:line="240" w:lineRule="auto"/>
              <w:rPr>
                <w:rFonts w:cs="Times New Roman"/>
                <w:sz w:val="20"/>
                <w:szCs w:val="20"/>
                <w:lang w:eastAsia="en-GB"/>
              </w:rPr>
            </w:pPr>
            <w:r>
              <w:rPr>
                <w:rFonts w:cs="Times New Roman"/>
                <w:sz w:val="20"/>
                <w:szCs w:val="20"/>
                <w:lang w:eastAsia="en-GB"/>
              </w:rPr>
              <w:t>162</w:t>
            </w:r>
          </w:p>
        </w:tc>
        <w:tc>
          <w:tcPr>
            <w:tcW w:w="2142" w:type="dxa"/>
            <w:tcBorders>
              <w:top w:val="nil"/>
              <w:left w:val="nil"/>
              <w:bottom w:val="nil"/>
              <w:right w:val="nil"/>
            </w:tcBorders>
            <w:noWrap/>
            <w:hideMark/>
          </w:tcPr>
          <w:p w14:paraId="22092C2F" w14:textId="77777777" w:rsidR="00A959D2" w:rsidRDefault="00A959D2">
            <w:pPr>
              <w:spacing w:after="0" w:line="240" w:lineRule="auto"/>
              <w:rPr>
                <w:rFonts w:cs="Times New Roman"/>
                <w:sz w:val="20"/>
                <w:szCs w:val="20"/>
                <w:lang w:eastAsia="en-GB"/>
              </w:rPr>
            </w:pPr>
            <w:r>
              <w:rPr>
                <w:rFonts w:cs="Times New Roman"/>
                <w:sz w:val="20"/>
                <w:szCs w:val="20"/>
                <w:lang w:eastAsia="en-GB"/>
              </w:rPr>
              <w:t>162</w:t>
            </w:r>
          </w:p>
        </w:tc>
        <w:tc>
          <w:tcPr>
            <w:tcW w:w="2142" w:type="dxa"/>
            <w:tcBorders>
              <w:top w:val="nil"/>
              <w:left w:val="nil"/>
              <w:bottom w:val="nil"/>
              <w:right w:val="nil"/>
            </w:tcBorders>
            <w:noWrap/>
            <w:hideMark/>
          </w:tcPr>
          <w:p w14:paraId="54F0D273" w14:textId="77777777" w:rsidR="00A959D2" w:rsidRDefault="00A959D2">
            <w:pPr>
              <w:spacing w:after="0" w:line="240" w:lineRule="auto"/>
              <w:rPr>
                <w:rFonts w:cs="Times New Roman"/>
                <w:sz w:val="20"/>
                <w:szCs w:val="20"/>
                <w:lang w:eastAsia="en-GB"/>
              </w:rPr>
            </w:pPr>
            <w:r>
              <w:rPr>
                <w:rFonts w:cs="Times New Roman"/>
                <w:sz w:val="20"/>
                <w:szCs w:val="20"/>
                <w:lang w:eastAsia="en-GB"/>
              </w:rPr>
              <w:t>C33–C44</w:t>
            </w:r>
          </w:p>
        </w:tc>
      </w:tr>
      <w:tr w:rsidR="00A959D2" w14:paraId="409E689C" w14:textId="77777777" w:rsidTr="00A959D2">
        <w:trPr>
          <w:cnfStyle w:val="000000100000" w:firstRow="0" w:lastRow="0" w:firstColumn="0" w:lastColumn="0" w:oddVBand="0" w:evenVBand="0" w:oddHBand="1" w:evenHBand="0" w:firstRowFirstColumn="0" w:firstRowLastColumn="0" w:lastRowFirstColumn="0" w:lastRowLastColumn="0"/>
          <w:trHeight w:val="20"/>
        </w:trPr>
        <w:tc>
          <w:tcPr>
            <w:tcW w:w="2250" w:type="dxa"/>
            <w:tcBorders>
              <w:left w:val="nil"/>
              <w:right w:val="nil"/>
            </w:tcBorders>
            <w:noWrap/>
            <w:hideMark/>
          </w:tcPr>
          <w:p w14:paraId="1A8211B4" w14:textId="77777777" w:rsidR="00A959D2" w:rsidRDefault="00A959D2">
            <w:pPr>
              <w:spacing w:after="0" w:line="240" w:lineRule="auto"/>
              <w:rPr>
                <w:rFonts w:cs="Times New Roman"/>
                <w:sz w:val="20"/>
                <w:szCs w:val="20"/>
                <w:lang w:eastAsia="en-GB"/>
              </w:rPr>
            </w:pPr>
            <w:r>
              <w:rPr>
                <w:rFonts w:cs="Times New Roman"/>
                <w:sz w:val="20"/>
                <w:szCs w:val="20"/>
                <w:lang w:eastAsia="en-GB"/>
              </w:rPr>
              <w:t>leukemia excl. CLL</w:t>
            </w:r>
          </w:p>
        </w:tc>
        <w:tc>
          <w:tcPr>
            <w:tcW w:w="2142" w:type="dxa"/>
            <w:tcBorders>
              <w:left w:val="nil"/>
              <w:right w:val="nil"/>
            </w:tcBorders>
            <w:hideMark/>
          </w:tcPr>
          <w:p w14:paraId="0AEDF90A" w14:textId="77777777" w:rsidR="00A959D2" w:rsidRDefault="00A959D2">
            <w:pPr>
              <w:spacing w:after="0" w:line="240" w:lineRule="auto"/>
              <w:rPr>
                <w:rFonts w:cs="Times New Roman"/>
                <w:sz w:val="20"/>
                <w:szCs w:val="20"/>
                <w:lang w:eastAsia="en-GB"/>
              </w:rPr>
            </w:pPr>
            <w:r>
              <w:rPr>
                <w:rFonts w:cs="Times New Roman"/>
                <w:sz w:val="20"/>
                <w:szCs w:val="20"/>
                <w:lang w:eastAsia="en-GB"/>
              </w:rPr>
              <w:t>204.1–204.3</w:t>
            </w:r>
          </w:p>
        </w:tc>
        <w:tc>
          <w:tcPr>
            <w:tcW w:w="2142" w:type="dxa"/>
            <w:tcBorders>
              <w:left w:val="nil"/>
              <w:right w:val="nil"/>
            </w:tcBorders>
            <w:noWrap/>
            <w:hideMark/>
          </w:tcPr>
          <w:p w14:paraId="6677B585" w14:textId="77777777" w:rsidR="00A959D2" w:rsidRDefault="00A959D2">
            <w:pPr>
              <w:spacing w:after="0" w:line="240" w:lineRule="auto"/>
              <w:rPr>
                <w:rFonts w:cs="Times New Roman"/>
                <w:sz w:val="20"/>
                <w:szCs w:val="20"/>
                <w:lang w:eastAsia="en-GB"/>
              </w:rPr>
            </w:pPr>
            <w:r>
              <w:rPr>
                <w:rFonts w:cs="Times New Roman"/>
                <w:sz w:val="20"/>
                <w:szCs w:val="20"/>
                <w:lang w:eastAsia="en-GB"/>
              </w:rPr>
              <w:t>204.1–204.3</w:t>
            </w:r>
          </w:p>
        </w:tc>
        <w:tc>
          <w:tcPr>
            <w:tcW w:w="2142" w:type="dxa"/>
            <w:tcBorders>
              <w:left w:val="nil"/>
              <w:right w:val="nil"/>
            </w:tcBorders>
            <w:noWrap/>
            <w:hideMark/>
          </w:tcPr>
          <w:p w14:paraId="197B94B2" w14:textId="77777777" w:rsidR="00A959D2" w:rsidRDefault="00A959D2">
            <w:pPr>
              <w:spacing w:after="0" w:line="240" w:lineRule="auto"/>
              <w:rPr>
                <w:rFonts w:cs="Times New Roman"/>
                <w:sz w:val="20"/>
                <w:szCs w:val="20"/>
                <w:lang w:eastAsia="en-GB"/>
              </w:rPr>
            </w:pPr>
            <w:r>
              <w:rPr>
                <w:rFonts w:eastAsia="Times New Roman" w:cs="Times New Roman"/>
                <w:sz w:val="20"/>
                <w:szCs w:val="20"/>
                <w:lang w:eastAsia="en-GB"/>
              </w:rPr>
              <w:t>204.0, 205.0–207.0, 207.2</w:t>
            </w:r>
          </w:p>
        </w:tc>
        <w:tc>
          <w:tcPr>
            <w:tcW w:w="2142" w:type="dxa"/>
            <w:tcBorders>
              <w:left w:val="nil"/>
              <w:right w:val="nil"/>
            </w:tcBorders>
            <w:noWrap/>
            <w:hideMark/>
          </w:tcPr>
          <w:p w14:paraId="3504414A" w14:textId="77777777" w:rsidR="00A959D2" w:rsidRDefault="00A959D2">
            <w:pPr>
              <w:spacing w:after="0" w:line="240" w:lineRule="auto"/>
              <w:rPr>
                <w:rFonts w:cs="Times New Roman"/>
                <w:sz w:val="20"/>
                <w:szCs w:val="20"/>
                <w:lang w:eastAsia="en-GB"/>
              </w:rPr>
            </w:pPr>
            <w:r>
              <w:rPr>
                <w:rFonts w:eastAsia="Times New Roman" w:cs="Times New Roman"/>
                <w:sz w:val="20"/>
                <w:szCs w:val="20"/>
                <w:lang w:eastAsia="en-GB"/>
              </w:rPr>
              <w:t>204.0, 204.2–204.8, 205–208.0, 208.2–208.8</w:t>
            </w:r>
          </w:p>
        </w:tc>
        <w:tc>
          <w:tcPr>
            <w:tcW w:w="2142" w:type="dxa"/>
            <w:tcBorders>
              <w:left w:val="nil"/>
              <w:right w:val="nil"/>
            </w:tcBorders>
            <w:noWrap/>
            <w:hideMark/>
          </w:tcPr>
          <w:p w14:paraId="7F497870" w14:textId="77777777" w:rsidR="00A959D2" w:rsidRDefault="00A959D2">
            <w:pPr>
              <w:spacing w:after="0" w:line="240" w:lineRule="auto"/>
              <w:rPr>
                <w:rFonts w:cs="Times New Roman"/>
                <w:sz w:val="20"/>
                <w:szCs w:val="20"/>
                <w:lang w:eastAsia="en-GB"/>
              </w:rPr>
            </w:pPr>
            <w:r>
              <w:rPr>
                <w:rFonts w:eastAsia="Times New Roman" w:cs="Times New Roman"/>
                <w:sz w:val="20"/>
                <w:szCs w:val="20"/>
                <w:lang w:eastAsia="en-GB"/>
              </w:rPr>
              <w:t>C91.0, C91.2–C91.7, C92.0–C95.0, C95.2–C95.7</w:t>
            </w:r>
          </w:p>
        </w:tc>
      </w:tr>
      <w:tr w:rsidR="00A959D2" w14:paraId="264C8FA6" w14:textId="77777777" w:rsidTr="00A959D2">
        <w:trPr>
          <w:trHeight w:val="20"/>
        </w:trPr>
        <w:tc>
          <w:tcPr>
            <w:tcW w:w="2250" w:type="dxa"/>
            <w:tcBorders>
              <w:top w:val="nil"/>
              <w:left w:val="nil"/>
              <w:bottom w:val="nil"/>
              <w:right w:val="nil"/>
            </w:tcBorders>
            <w:noWrap/>
            <w:hideMark/>
          </w:tcPr>
          <w:p w14:paraId="181FEF55" w14:textId="77777777" w:rsidR="00A959D2" w:rsidRDefault="00A959D2">
            <w:pPr>
              <w:spacing w:after="0" w:line="240" w:lineRule="auto"/>
              <w:rPr>
                <w:rFonts w:cs="Times New Roman"/>
                <w:sz w:val="20"/>
                <w:szCs w:val="20"/>
                <w:lang w:eastAsia="en-GB"/>
              </w:rPr>
            </w:pPr>
            <w:r>
              <w:rPr>
                <w:rFonts w:cs="Times New Roman"/>
                <w:sz w:val="20"/>
                <w:szCs w:val="20"/>
                <w:lang w:eastAsia="en-GB"/>
              </w:rPr>
              <w:t>CML</w:t>
            </w:r>
          </w:p>
        </w:tc>
        <w:tc>
          <w:tcPr>
            <w:tcW w:w="2142" w:type="dxa"/>
            <w:tcBorders>
              <w:top w:val="nil"/>
              <w:left w:val="nil"/>
              <w:bottom w:val="nil"/>
              <w:right w:val="nil"/>
            </w:tcBorders>
            <w:hideMark/>
          </w:tcPr>
          <w:p w14:paraId="1C2D4E5F" w14:textId="77777777" w:rsidR="00A959D2" w:rsidRDefault="00A959D2">
            <w:pPr>
              <w:spacing w:after="0" w:line="240" w:lineRule="auto"/>
              <w:rPr>
                <w:rFonts w:cs="Times New Roman"/>
                <w:sz w:val="20"/>
                <w:szCs w:val="20"/>
                <w:lang w:eastAsia="en-GB"/>
              </w:rPr>
            </w:pPr>
            <w:r>
              <w:rPr>
                <w:rFonts w:cs="Times New Roman"/>
                <w:sz w:val="20"/>
                <w:szCs w:val="20"/>
                <w:lang w:eastAsia="en-GB"/>
              </w:rPr>
              <w:t>NA</w:t>
            </w:r>
          </w:p>
        </w:tc>
        <w:tc>
          <w:tcPr>
            <w:tcW w:w="2142" w:type="dxa"/>
            <w:tcBorders>
              <w:top w:val="nil"/>
              <w:left w:val="nil"/>
              <w:bottom w:val="nil"/>
              <w:right w:val="nil"/>
            </w:tcBorders>
            <w:noWrap/>
            <w:hideMark/>
          </w:tcPr>
          <w:p w14:paraId="112458B9" w14:textId="77777777" w:rsidR="00A959D2" w:rsidRDefault="00A959D2">
            <w:pPr>
              <w:spacing w:after="0" w:line="240" w:lineRule="auto"/>
              <w:rPr>
                <w:rFonts w:cs="Times New Roman"/>
                <w:sz w:val="20"/>
                <w:szCs w:val="20"/>
                <w:lang w:eastAsia="en-GB"/>
              </w:rPr>
            </w:pPr>
            <w:r>
              <w:rPr>
                <w:rFonts w:cs="Times New Roman"/>
                <w:sz w:val="20"/>
                <w:szCs w:val="20"/>
                <w:lang w:eastAsia="en-GB"/>
              </w:rPr>
              <w:t>NA</w:t>
            </w:r>
          </w:p>
        </w:tc>
        <w:tc>
          <w:tcPr>
            <w:tcW w:w="2142" w:type="dxa"/>
            <w:tcBorders>
              <w:top w:val="nil"/>
              <w:left w:val="nil"/>
              <w:bottom w:val="nil"/>
              <w:right w:val="nil"/>
            </w:tcBorders>
            <w:noWrap/>
            <w:hideMark/>
          </w:tcPr>
          <w:p w14:paraId="3A6C6C40" w14:textId="77777777" w:rsidR="00A959D2" w:rsidRDefault="00A959D2">
            <w:pPr>
              <w:spacing w:after="0" w:line="240" w:lineRule="auto"/>
              <w:rPr>
                <w:rFonts w:cs="Times New Roman"/>
                <w:sz w:val="20"/>
                <w:szCs w:val="20"/>
                <w:lang w:eastAsia="en-GB"/>
              </w:rPr>
            </w:pPr>
            <w:r>
              <w:rPr>
                <w:rFonts w:cs="Times New Roman"/>
                <w:sz w:val="20"/>
                <w:szCs w:val="20"/>
                <w:lang w:eastAsia="en-GB"/>
              </w:rPr>
              <w:t>205.1</w:t>
            </w:r>
          </w:p>
        </w:tc>
        <w:tc>
          <w:tcPr>
            <w:tcW w:w="2142" w:type="dxa"/>
            <w:tcBorders>
              <w:top w:val="nil"/>
              <w:left w:val="nil"/>
              <w:bottom w:val="nil"/>
              <w:right w:val="nil"/>
            </w:tcBorders>
            <w:noWrap/>
            <w:hideMark/>
          </w:tcPr>
          <w:p w14:paraId="6C81B22F" w14:textId="77777777" w:rsidR="00A959D2" w:rsidRDefault="00A959D2">
            <w:pPr>
              <w:spacing w:after="0" w:line="240" w:lineRule="auto"/>
              <w:rPr>
                <w:rFonts w:cs="Times New Roman"/>
                <w:sz w:val="20"/>
                <w:szCs w:val="20"/>
                <w:lang w:eastAsia="en-GB"/>
              </w:rPr>
            </w:pPr>
            <w:r>
              <w:rPr>
                <w:rFonts w:cs="Times New Roman"/>
                <w:sz w:val="20"/>
                <w:szCs w:val="20"/>
                <w:lang w:eastAsia="en-GB"/>
              </w:rPr>
              <w:t>205.1, 206.1</w:t>
            </w:r>
          </w:p>
        </w:tc>
        <w:tc>
          <w:tcPr>
            <w:tcW w:w="2142" w:type="dxa"/>
            <w:tcBorders>
              <w:top w:val="nil"/>
              <w:left w:val="nil"/>
              <w:bottom w:val="nil"/>
              <w:right w:val="nil"/>
            </w:tcBorders>
            <w:noWrap/>
            <w:hideMark/>
          </w:tcPr>
          <w:p w14:paraId="469D943C" w14:textId="77777777" w:rsidR="00A959D2" w:rsidRDefault="00A959D2">
            <w:pPr>
              <w:spacing w:after="0" w:line="240" w:lineRule="auto"/>
              <w:rPr>
                <w:rFonts w:cs="Times New Roman"/>
                <w:sz w:val="20"/>
                <w:szCs w:val="20"/>
                <w:lang w:eastAsia="en-GB"/>
              </w:rPr>
            </w:pPr>
            <w:r>
              <w:rPr>
                <w:rFonts w:cs="Times New Roman"/>
                <w:sz w:val="20"/>
                <w:szCs w:val="20"/>
                <w:lang w:eastAsia="en-GB"/>
              </w:rPr>
              <w:t>C92.1, C93.1, C94.8</w:t>
            </w:r>
          </w:p>
        </w:tc>
      </w:tr>
      <w:tr w:rsidR="00A959D2" w14:paraId="24F42B15" w14:textId="77777777" w:rsidTr="00A959D2">
        <w:trPr>
          <w:cnfStyle w:val="000000100000" w:firstRow="0" w:lastRow="0" w:firstColumn="0" w:lastColumn="0" w:oddVBand="0" w:evenVBand="0" w:oddHBand="1" w:evenHBand="0" w:firstRowFirstColumn="0" w:firstRowLastColumn="0" w:lastRowFirstColumn="0" w:lastRowLastColumn="0"/>
          <w:trHeight w:val="20"/>
        </w:trPr>
        <w:tc>
          <w:tcPr>
            <w:tcW w:w="2250" w:type="dxa"/>
            <w:tcBorders>
              <w:left w:val="nil"/>
              <w:right w:val="nil"/>
            </w:tcBorders>
            <w:noWrap/>
            <w:hideMark/>
          </w:tcPr>
          <w:p w14:paraId="622FA294" w14:textId="77777777" w:rsidR="00A959D2" w:rsidRDefault="00A959D2">
            <w:pPr>
              <w:spacing w:after="0" w:line="240" w:lineRule="auto"/>
              <w:rPr>
                <w:rFonts w:cs="Times New Roman"/>
                <w:sz w:val="20"/>
                <w:szCs w:val="20"/>
                <w:lang w:eastAsia="en-GB"/>
              </w:rPr>
            </w:pPr>
            <w:r>
              <w:rPr>
                <w:rFonts w:cs="Times New Roman"/>
                <w:sz w:val="20"/>
                <w:szCs w:val="20"/>
                <w:lang w:eastAsia="en-GB"/>
              </w:rPr>
              <w:t>AML</w:t>
            </w:r>
          </w:p>
        </w:tc>
        <w:tc>
          <w:tcPr>
            <w:tcW w:w="2142" w:type="dxa"/>
            <w:tcBorders>
              <w:left w:val="nil"/>
              <w:right w:val="nil"/>
            </w:tcBorders>
            <w:hideMark/>
          </w:tcPr>
          <w:p w14:paraId="587CE859" w14:textId="77777777" w:rsidR="00A959D2" w:rsidRDefault="00A959D2">
            <w:pPr>
              <w:spacing w:after="0" w:line="240" w:lineRule="auto"/>
              <w:rPr>
                <w:rFonts w:cs="Times New Roman"/>
                <w:sz w:val="20"/>
                <w:szCs w:val="20"/>
                <w:lang w:eastAsia="en-GB"/>
              </w:rPr>
            </w:pPr>
            <w:r>
              <w:rPr>
                <w:rFonts w:cs="Times New Roman"/>
                <w:sz w:val="20"/>
                <w:szCs w:val="20"/>
                <w:lang w:eastAsia="en-GB"/>
              </w:rPr>
              <w:t>NA</w:t>
            </w:r>
          </w:p>
        </w:tc>
        <w:tc>
          <w:tcPr>
            <w:tcW w:w="2142" w:type="dxa"/>
            <w:tcBorders>
              <w:left w:val="nil"/>
              <w:right w:val="nil"/>
            </w:tcBorders>
            <w:noWrap/>
            <w:hideMark/>
          </w:tcPr>
          <w:p w14:paraId="4AEA7D57" w14:textId="77777777" w:rsidR="00A959D2" w:rsidRDefault="00A959D2">
            <w:pPr>
              <w:spacing w:after="0" w:line="240" w:lineRule="auto"/>
              <w:rPr>
                <w:rFonts w:cs="Times New Roman"/>
                <w:sz w:val="20"/>
                <w:szCs w:val="20"/>
                <w:lang w:eastAsia="en-GB"/>
              </w:rPr>
            </w:pPr>
            <w:r>
              <w:rPr>
                <w:rFonts w:cs="Times New Roman"/>
                <w:sz w:val="20"/>
                <w:szCs w:val="20"/>
                <w:lang w:eastAsia="en-GB"/>
              </w:rPr>
              <w:t>NA</w:t>
            </w:r>
          </w:p>
        </w:tc>
        <w:tc>
          <w:tcPr>
            <w:tcW w:w="2142" w:type="dxa"/>
            <w:tcBorders>
              <w:left w:val="nil"/>
              <w:right w:val="nil"/>
            </w:tcBorders>
            <w:noWrap/>
            <w:hideMark/>
          </w:tcPr>
          <w:p w14:paraId="20D758BC" w14:textId="77777777" w:rsidR="00A959D2" w:rsidRDefault="00A959D2">
            <w:pPr>
              <w:spacing w:after="0" w:line="240" w:lineRule="auto"/>
              <w:rPr>
                <w:rFonts w:cs="Times New Roman"/>
                <w:sz w:val="20"/>
                <w:szCs w:val="20"/>
                <w:lang w:eastAsia="en-GB"/>
              </w:rPr>
            </w:pPr>
            <w:r>
              <w:rPr>
                <w:rFonts w:cs="Times New Roman"/>
                <w:sz w:val="20"/>
                <w:szCs w:val="20"/>
                <w:lang w:eastAsia="en-GB"/>
              </w:rPr>
              <w:t>205.0, 206.0</w:t>
            </w:r>
          </w:p>
        </w:tc>
        <w:tc>
          <w:tcPr>
            <w:tcW w:w="2142" w:type="dxa"/>
            <w:tcBorders>
              <w:left w:val="nil"/>
              <w:right w:val="nil"/>
            </w:tcBorders>
            <w:noWrap/>
            <w:hideMark/>
          </w:tcPr>
          <w:p w14:paraId="0073EDE1" w14:textId="77777777" w:rsidR="00A959D2" w:rsidRDefault="00A959D2">
            <w:pPr>
              <w:spacing w:after="0" w:line="240" w:lineRule="auto"/>
              <w:rPr>
                <w:rFonts w:cs="Times New Roman"/>
                <w:sz w:val="20"/>
                <w:szCs w:val="20"/>
                <w:lang w:eastAsia="en-GB"/>
              </w:rPr>
            </w:pPr>
            <w:r>
              <w:rPr>
                <w:rFonts w:cs="Times New Roman"/>
                <w:sz w:val="20"/>
                <w:szCs w:val="20"/>
                <w:lang w:eastAsia="en-GB"/>
              </w:rPr>
              <w:t>205.0, 205.3, 206.0, 207.0, 207.2</w:t>
            </w:r>
          </w:p>
        </w:tc>
        <w:tc>
          <w:tcPr>
            <w:tcW w:w="2142" w:type="dxa"/>
            <w:tcBorders>
              <w:left w:val="nil"/>
              <w:right w:val="nil"/>
            </w:tcBorders>
            <w:noWrap/>
            <w:hideMark/>
          </w:tcPr>
          <w:p w14:paraId="7A799272" w14:textId="77777777" w:rsidR="00A959D2" w:rsidRDefault="00A959D2">
            <w:pPr>
              <w:spacing w:after="0" w:line="240" w:lineRule="auto"/>
              <w:rPr>
                <w:rFonts w:cs="Times New Roman"/>
                <w:sz w:val="20"/>
                <w:szCs w:val="20"/>
                <w:lang w:eastAsia="en-GB"/>
              </w:rPr>
            </w:pPr>
            <w:r>
              <w:rPr>
                <w:rFonts w:cs="Times New Roman"/>
                <w:sz w:val="20"/>
                <w:szCs w:val="20"/>
                <w:lang w:eastAsia="en-GB"/>
              </w:rPr>
              <w:t>C92.0, C92.3–C92.6, C93.0, C94.0, C94.2, C94.4, C94.5</w:t>
            </w:r>
          </w:p>
        </w:tc>
      </w:tr>
      <w:tr w:rsidR="00A959D2" w14:paraId="3B927863" w14:textId="77777777" w:rsidTr="00A959D2">
        <w:trPr>
          <w:trHeight w:val="20"/>
        </w:trPr>
        <w:tc>
          <w:tcPr>
            <w:tcW w:w="2250" w:type="dxa"/>
            <w:tcBorders>
              <w:top w:val="nil"/>
              <w:left w:val="nil"/>
              <w:bottom w:val="nil"/>
              <w:right w:val="nil"/>
            </w:tcBorders>
            <w:noWrap/>
            <w:hideMark/>
          </w:tcPr>
          <w:p w14:paraId="462599D3" w14:textId="77777777" w:rsidR="00A959D2" w:rsidRDefault="00A959D2">
            <w:pPr>
              <w:spacing w:after="0" w:line="240" w:lineRule="auto"/>
              <w:rPr>
                <w:rFonts w:cs="Times New Roman"/>
                <w:sz w:val="20"/>
                <w:szCs w:val="20"/>
                <w:lang w:eastAsia="en-GB"/>
              </w:rPr>
            </w:pPr>
            <w:r>
              <w:rPr>
                <w:rFonts w:cs="Times New Roman"/>
                <w:sz w:val="20"/>
                <w:szCs w:val="20"/>
                <w:lang w:eastAsia="en-GB"/>
              </w:rPr>
              <w:t>MDS</w:t>
            </w:r>
          </w:p>
        </w:tc>
        <w:tc>
          <w:tcPr>
            <w:tcW w:w="2142" w:type="dxa"/>
            <w:tcBorders>
              <w:top w:val="nil"/>
              <w:left w:val="nil"/>
              <w:bottom w:val="nil"/>
              <w:right w:val="nil"/>
            </w:tcBorders>
            <w:hideMark/>
          </w:tcPr>
          <w:p w14:paraId="2B8AFB49" w14:textId="77777777" w:rsidR="00A959D2" w:rsidRDefault="00A959D2">
            <w:pPr>
              <w:spacing w:after="0" w:line="240" w:lineRule="auto"/>
              <w:rPr>
                <w:rFonts w:cs="Times New Roman"/>
                <w:sz w:val="20"/>
                <w:szCs w:val="20"/>
                <w:lang w:eastAsia="en-GB"/>
              </w:rPr>
            </w:pPr>
            <w:r>
              <w:rPr>
                <w:rFonts w:cs="Times New Roman"/>
                <w:sz w:val="20"/>
                <w:szCs w:val="20"/>
                <w:lang w:eastAsia="en-GB"/>
              </w:rPr>
              <w:t>NA</w:t>
            </w:r>
          </w:p>
        </w:tc>
        <w:tc>
          <w:tcPr>
            <w:tcW w:w="2142" w:type="dxa"/>
            <w:tcBorders>
              <w:top w:val="nil"/>
              <w:left w:val="nil"/>
              <w:bottom w:val="nil"/>
              <w:right w:val="nil"/>
            </w:tcBorders>
            <w:noWrap/>
            <w:hideMark/>
          </w:tcPr>
          <w:p w14:paraId="0DD6EBE0" w14:textId="77777777" w:rsidR="00A959D2" w:rsidRDefault="00A959D2">
            <w:pPr>
              <w:spacing w:after="0" w:line="240" w:lineRule="auto"/>
              <w:rPr>
                <w:rFonts w:cs="Times New Roman"/>
                <w:sz w:val="20"/>
                <w:szCs w:val="20"/>
                <w:lang w:eastAsia="en-GB"/>
              </w:rPr>
            </w:pPr>
            <w:r>
              <w:rPr>
                <w:rFonts w:cs="Times New Roman"/>
                <w:sz w:val="20"/>
                <w:szCs w:val="20"/>
                <w:lang w:eastAsia="en-GB"/>
              </w:rPr>
              <w:t>NA</w:t>
            </w:r>
          </w:p>
        </w:tc>
        <w:tc>
          <w:tcPr>
            <w:tcW w:w="2142" w:type="dxa"/>
            <w:tcBorders>
              <w:top w:val="nil"/>
              <w:left w:val="nil"/>
              <w:bottom w:val="nil"/>
              <w:right w:val="nil"/>
            </w:tcBorders>
            <w:noWrap/>
            <w:hideMark/>
          </w:tcPr>
          <w:p w14:paraId="0923A760" w14:textId="77777777" w:rsidR="00A959D2" w:rsidRDefault="00A959D2">
            <w:pPr>
              <w:spacing w:after="0" w:line="240" w:lineRule="auto"/>
              <w:rPr>
                <w:rFonts w:cs="Times New Roman"/>
                <w:sz w:val="20"/>
                <w:szCs w:val="20"/>
                <w:lang w:eastAsia="en-GB"/>
              </w:rPr>
            </w:pPr>
            <w:r>
              <w:rPr>
                <w:rFonts w:cs="Times New Roman"/>
                <w:sz w:val="20"/>
                <w:szCs w:val="20"/>
                <w:lang w:eastAsia="en-GB"/>
              </w:rPr>
              <w:t>NA</w:t>
            </w:r>
          </w:p>
        </w:tc>
        <w:tc>
          <w:tcPr>
            <w:tcW w:w="2142" w:type="dxa"/>
            <w:tcBorders>
              <w:top w:val="nil"/>
              <w:left w:val="nil"/>
              <w:bottom w:val="nil"/>
              <w:right w:val="nil"/>
            </w:tcBorders>
            <w:noWrap/>
            <w:hideMark/>
          </w:tcPr>
          <w:p w14:paraId="37D8CDCA" w14:textId="77777777" w:rsidR="00A959D2" w:rsidRDefault="00A959D2">
            <w:pPr>
              <w:spacing w:after="0" w:line="240" w:lineRule="auto"/>
              <w:rPr>
                <w:rFonts w:cs="Times New Roman"/>
                <w:sz w:val="20"/>
                <w:szCs w:val="20"/>
                <w:lang w:eastAsia="en-GB"/>
              </w:rPr>
            </w:pPr>
            <w:r>
              <w:rPr>
                <w:rFonts w:cs="Times New Roman"/>
                <w:sz w:val="20"/>
                <w:szCs w:val="20"/>
                <w:lang w:eastAsia="en-GB"/>
              </w:rPr>
              <w:t>NA</w:t>
            </w:r>
          </w:p>
        </w:tc>
        <w:tc>
          <w:tcPr>
            <w:tcW w:w="2142" w:type="dxa"/>
            <w:tcBorders>
              <w:top w:val="nil"/>
              <w:left w:val="nil"/>
              <w:bottom w:val="nil"/>
              <w:right w:val="nil"/>
            </w:tcBorders>
            <w:noWrap/>
            <w:hideMark/>
          </w:tcPr>
          <w:p w14:paraId="135B95E7" w14:textId="77777777" w:rsidR="00A959D2" w:rsidRDefault="00A959D2">
            <w:pPr>
              <w:spacing w:after="0" w:line="240" w:lineRule="auto"/>
              <w:rPr>
                <w:rFonts w:cs="Times New Roman"/>
                <w:sz w:val="20"/>
                <w:szCs w:val="20"/>
                <w:lang w:eastAsia="en-GB"/>
              </w:rPr>
            </w:pPr>
            <w:r>
              <w:rPr>
                <w:rFonts w:cs="Times New Roman"/>
                <w:sz w:val="20"/>
                <w:szCs w:val="20"/>
                <w:lang w:eastAsia="en-GB"/>
              </w:rPr>
              <w:t>D46</w:t>
            </w:r>
          </w:p>
        </w:tc>
      </w:tr>
      <w:tr w:rsidR="00A959D2" w14:paraId="75FF023B" w14:textId="77777777" w:rsidTr="00A959D2">
        <w:trPr>
          <w:cnfStyle w:val="000000100000" w:firstRow="0" w:lastRow="0" w:firstColumn="0" w:lastColumn="0" w:oddVBand="0" w:evenVBand="0" w:oddHBand="1" w:evenHBand="0" w:firstRowFirstColumn="0" w:firstRowLastColumn="0" w:lastRowFirstColumn="0" w:lastRowLastColumn="0"/>
          <w:trHeight w:val="20"/>
        </w:trPr>
        <w:tc>
          <w:tcPr>
            <w:tcW w:w="2250" w:type="dxa"/>
            <w:tcBorders>
              <w:left w:val="nil"/>
              <w:right w:val="nil"/>
            </w:tcBorders>
            <w:noWrap/>
            <w:hideMark/>
          </w:tcPr>
          <w:p w14:paraId="7D215404" w14:textId="77777777" w:rsidR="00A959D2" w:rsidRDefault="00A959D2">
            <w:pPr>
              <w:spacing w:after="0" w:line="240" w:lineRule="auto"/>
              <w:rPr>
                <w:rFonts w:cs="Times New Roman"/>
                <w:sz w:val="20"/>
                <w:szCs w:val="20"/>
                <w:lang w:eastAsia="en-GB"/>
              </w:rPr>
            </w:pPr>
            <w:r>
              <w:rPr>
                <w:rFonts w:cs="Times New Roman"/>
                <w:sz w:val="20"/>
                <w:szCs w:val="20"/>
                <w:lang w:eastAsia="en-GB"/>
              </w:rPr>
              <w:t>NHL</w:t>
            </w:r>
          </w:p>
        </w:tc>
        <w:tc>
          <w:tcPr>
            <w:tcW w:w="2142" w:type="dxa"/>
            <w:tcBorders>
              <w:left w:val="nil"/>
              <w:right w:val="nil"/>
            </w:tcBorders>
            <w:hideMark/>
          </w:tcPr>
          <w:p w14:paraId="02A1066F" w14:textId="77777777" w:rsidR="00A959D2" w:rsidRDefault="00A959D2">
            <w:pPr>
              <w:spacing w:after="0" w:line="240" w:lineRule="auto"/>
              <w:rPr>
                <w:rFonts w:cs="Times New Roman"/>
                <w:sz w:val="20"/>
                <w:szCs w:val="20"/>
                <w:lang w:eastAsia="en-GB"/>
              </w:rPr>
            </w:pPr>
            <w:r>
              <w:rPr>
                <w:rFonts w:cs="Times New Roman"/>
                <w:sz w:val="20"/>
                <w:szCs w:val="20"/>
                <w:lang w:eastAsia="en-GB"/>
              </w:rPr>
              <w:t>200, 202, 205</w:t>
            </w:r>
          </w:p>
        </w:tc>
        <w:tc>
          <w:tcPr>
            <w:tcW w:w="2142" w:type="dxa"/>
            <w:tcBorders>
              <w:left w:val="nil"/>
              <w:right w:val="nil"/>
            </w:tcBorders>
            <w:noWrap/>
            <w:hideMark/>
          </w:tcPr>
          <w:p w14:paraId="76806FDE" w14:textId="77777777" w:rsidR="00A959D2" w:rsidRDefault="00A959D2">
            <w:pPr>
              <w:spacing w:after="0" w:line="240" w:lineRule="auto"/>
              <w:rPr>
                <w:rFonts w:cs="Times New Roman"/>
                <w:sz w:val="20"/>
                <w:szCs w:val="20"/>
                <w:lang w:eastAsia="en-GB"/>
              </w:rPr>
            </w:pPr>
            <w:r>
              <w:rPr>
                <w:rFonts w:cs="Times New Roman"/>
                <w:sz w:val="20"/>
                <w:szCs w:val="20"/>
                <w:lang w:eastAsia="en-GB"/>
              </w:rPr>
              <w:t>200, 202, 205</w:t>
            </w:r>
          </w:p>
        </w:tc>
        <w:tc>
          <w:tcPr>
            <w:tcW w:w="2142" w:type="dxa"/>
            <w:tcBorders>
              <w:left w:val="nil"/>
              <w:right w:val="nil"/>
            </w:tcBorders>
            <w:noWrap/>
            <w:hideMark/>
          </w:tcPr>
          <w:p w14:paraId="3850838C" w14:textId="77777777" w:rsidR="00A959D2" w:rsidRDefault="00A959D2">
            <w:pPr>
              <w:spacing w:after="0" w:line="240" w:lineRule="auto"/>
              <w:rPr>
                <w:rFonts w:cs="Times New Roman"/>
                <w:sz w:val="20"/>
                <w:szCs w:val="20"/>
                <w:lang w:eastAsia="en-GB"/>
              </w:rPr>
            </w:pPr>
            <w:r>
              <w:rPr>
                <w:rFonts w:cs="Times New Roman"/>
                <w:sz w:val="20"/>
                <w:szCs w:val="20"/>
                <w:lang w:eastAsia="en-GB"/>
              </w:rPr>
              <w:t>200, 202, 275.5</w:t>
            </w:r>
          </w:p>
        </w:tc>
        <w:tc>
          <w:tcPr>
            <w:tcW w:w="2142" w:type="dxa"/>
            <w:tcBorders>
              <w:left w:val="nil"/>
              <w:right w:val="nil"/>
            </w:tcBorders>
            <w:noWrap/>
            <w:hideMark/>
          </w:tcPr>
          <w:p w14:paraId="03D371FF" w14:textId="77777777" w:rsidR="00A959D2" w:rsidRDefault="00A959D2">
            <w:pPr>
              <w:spacing w:after="0" w:line="240" w:lineRule="auto"/>
              <w:rPr>
                <w:rFonts w:cs="Times New Roman"/>
                <w:sz w:val="20"/>
                <w:szCs w:val="20"/>
                <w:lang w:eastAsia="en-GB"/>
              </w:rPr>
            </w:pPr>
            <w:r>
              <w:rPr>
                <w:rFonts w:cs="Times New Roman"/>
                <w:sz w:val="20"/>
                <w:szCs w:val="20"/>
                <w:lang w:eastAsia="en-GB"/>
              </w:rPr>
              <w:t>200, 202, 273.3</w:t>
            </w:r>
          </w:p>
        </w:tc>
        <w:tc>
          <w:tcPr>
            <w:tcW w:w="2142" w:type="dxa"/>
            <w:tcBorders>
              <w:left w:val="nil"/>
              <w:right w:val="nil"/>
            </w:tcBorders>
            <w:noWrap/>
            <w:hideMark/>
          </w:tcPr>
          <w:p w14:paraId="61C8F8D6" w14:textId="77777777" w:rsidR="00A959D2" w:rsidRDefault="00A959D2">
            <w:pPr>
              <w:spacing w:after="0" w:line="240" w:lineRule="auto"/>
              <w:rPr>
                <w:rFonts w:cs="Times New Roman"/>
                <w:sz w:val="20"/>
                <w:szCs w:val="20"/>
                <w:lang w:eastAsia="en-GB"/>
              </w:rPr>
            </w:pPr>
            <w:r>
              <w:rPr>
                <w:rFonts w:cs="Times New Roman"/>
                <w:sz w:val="20"/>
                <w:szCs w:val="20"/>
                <w:lang w:eastAsia="en-GB"/>
              </w:rPr>
              <w:t>C82–C85, C88, C96</w:t>
            </w:r>
          </w:p>
        </w:tc>
      </w:tr>
      <w:tr w:rsidR="00A959D2" w14:paraId="1A5C4B04" w14:textId="77777777" w:rsidTr="00A959D2">
        <w:trPr>
          <w:trHeight w:val="20"/>
        </w:trPr>
        <w:tc>
          <w:tcPr>
            <w:tcW w:w="2250" w:type="dxa"/>
            <w:tcBorders>
              <w:top w:val="nil"/>
              <w:left w:val="nil"/>
              <w:bottom w:val="single" w:sz="4" w:space="0" w:color="7F7F7F" w:themeColor="text1" w:themeTint="80"/>
              <w:right w:val="nil"/>
            </w:tcBorders>
            <w:noWrap/>
            <w:hideMark/>
          </w:tcPr>
          <w:p w14:paraId="53057F21" w14:textId="77777777" w:rsidR="00A959D2" w:rsidRDefault="00A959D2">
            <w:pPr>
              <w:spacing w:after="0" w:line="240" w:lineRule="auto"/>
              <w:rPr>
                <w:rFonts w:cs="Times New Roman"/>
                <w:sz w:val="20"/>
                <w:szCs w:val="20"/>
                <w:lang w:eastAsia="en-GB"/>
              </w:rPr>
            </w:pPr>
            <w:r>
              <w:rPr>
                <w:rFonts w:cs="Times New Roman"/>
                <w:sz w:val="20"/>
                <w:szCs w:val="20"/>
                <w:lang w:eastAsia="en-GB"/>
              </w:rPr>
              <w:t>MM</w:t>
            </w:r>
          </w:p>
        </w:tc>
        <w:tc>
          <w:tcPr>
            <w:tcW w:w="2142" w:type="dxa"/>
            <w:tcBorders>
              <w:top w:val="nil"/>
              <w:left w:val="nil"/>
              <w:bottom w:val="single" w:sz="4" w:space="0" w:color="7F7F7F" w:themeColor="text1" w:themeTint="80"/>
              <w:right w:val="nil"/>
            </w:tcBorders>
            <w:hideMark/>
          </w:tcPr>
          <w:p w14:paraId="14EAEBD5" w14:textId="77777777" w:rsidR="00A959D2" w:rsidRDefault="00A959D2">
            <w:pPr>
              <w:spacing w:after="0" w:line="240" w:lineRule="auto"/>
              <w:rPr>
                <w:rFonts w:cs="Times New Roman"/>
                <w:sz w:val="20"/>
                <w:szCs w:val="20"/>
                <w:lang w:eastAsia="en-GB"/>
              </w:rPr>
            </w:pPr>
            <w:r>
              <w:rPr>
                <w:rFonts w:cs="Times New Roman"/>
                <w:sz w:val="20"/>
                <w:szCs w:val="20"/>
                <w:lang w:eastAsia="en-GB"/>
              </w:rPr>
              <w:t>203</w:t>
            </w:r>
          </w:p>
        </w:tc>
        <w:tc>
          <w:tcPr>
            <w:tcW w:w="2142" w:type="dxa"/>
            <w:tcBorders>
              <w:top w:val="nil"/>
              <w:left w:val="nil"/>
              <w:bottom w:val="single" w:sz="4" w:space="0" w:color="7F7F7F" w:themeColor="text1" w:themeTint="80"/>
              <w:right w:val="nil"/>
            </w:tcBorders>
            <w:noWrap/>
            <w:hideMark/>
          </w:tcPr>
          <w:p w14:paraId="136611DD" w14:textId="77777777" w:rsidR="00A959D2" w:rsidRDefault="00A959D2">
            <w:pPr>
              <w:spacing w:after="0" w:line="240" w:lineRule="auto"/>
              <w:rPr>
                <w:rFonts w:cs="Times New Roman"/>
                <w:sz w:val="20"/>
                <w:szCs w:val="20"/>
                <w:lang w:eastAsia="en-GB"/>
              </w:rPr>
            </w:pPr>
            <w:r>
              <w:rPr>
                <w:rFonts w:cs="Times New Roman"/>
                <w:sz w:val="20"/>
                <w:szCs w:val="20"/>
                <w:lang w:eastAsia="en-GB"/>
              </w:rPr>
              <w:t>203</w:t>
            </w:r>
          </w:p>
        </w:tc>
        <w:tc>
          <w:tcPr>
            <w:tcW w:w="2142" w:type="dxa"/>
            <w:tcBorders>
              <w:top w:val="nil"/>
              <w:left w:val="nil"/>
              <w:bottom w:val="single" w:sz="4" w:space="0" w:color="7F7F7F" w:themeColor="text1" w:themeTint="80"/>
              <w:right w:val="nil"/>
            </w:tcBorders>
            <w:noWrap/>
            <w:hideMark/>
          </w:tcPr>
          <w:p w14:paraId="4DC809B3" w14:textId="77777777" w:rsidR="00A959D2" w:rsidRDefault="00A959D2">
            <w:pPr>
              <w:spacing w:after="0" w:line="240" w:lineRule="auto"/>
              <w:rPr>
                <w:rFonts w:cs="Times New Roman"/>
                <w:sz w:val="20"/>
                <w:szCs w:val="20"/>
                <w:lang w:eastAsia="en-GB"/>
              </w:rPr>
            </w:pPr>
            <w:r>
              <w:rPr>
                <w:rFonts w:cs="Times New Roman"/>
                <w:sz w:val="20"/>
                <w:szCs w:val="20"/>
                <w:lang w:eastAsia="en-GB"/>
              </w:rPr>
              <w:t>203</w:t>
            </w:r>
          </w:p>
        </w:tc>
        <w:tc>
          <w:tcPr>
            <w:tcW w:w="2142" w:type="dxa"/>
            <w:tcBorders>
              <w:top w:val="nil"/>
              <w:left w:val="nil"/>
              <w:bottom w:val="single" w:sz="4" w:space="0" w:color="7F7F7F" w:themeColor="text1" w:themeTint="80"/>
              <w:right w:val="nil"/>
            </w:tcBorders>
            <w:noWrap/>
            <w:hideMark/>
          </w:tcPr>
          <w:p w14:paraId="0E28FDA2" w14:textId="77777777" w:rsidR="00A959D2" w:rsidRDefault="00A959D2">
            <w:pPr>
              <w:spacing w:after="0" w:line="240" w:lineRule="auto"/>
              <w:rPr>
                <w:rFonts w:cs="Times New Roman"/>
                <w:sz w:val="20"/>
                <w:szCs w:val="20"/>
                <w:lang w:eastAsia="en-GB"/>
              </w:rPr>
            </w:pPr>
            <w:r>
              <w:rPr>
                <w:rFonts w:cs="Times New Roman"/>
                <w:sz w:val="20"/>
                <w:szCs w:val="20"/>
                <w:lang w:eastAsia="en-GB"/>
              </w:rPr>
              <w:t>203</w:t>
            </w:r>
          </w:p>
        </w:tc>
        <w:tc>
          <w:tcPr>
            <w:tcW w:w="2142" w:type="dxa"/>
            <w:tcBorders>
              <w:top w:val="nil"/>
              <w:left w:val="nil"/>
              <w:bottom w:val="single" w:sz="4" w:space="0" w:color="7F7F7F" w:themeColor="text1" w:themeTint="80"/>
              <w:right w:val="nil"/>
            </w:tcBorders>
            <w:noWrap/>
            <w:hideMark/>
          </w:tcPr>
          <w:p w14:paraId="5596EF04" w14:textId="77777777" w:rsidR="00A959D2" w:rsidRDefault="00A959D2">
            <w:pPr>
              <w:spacing w:after="0" w:line="240" w:lineRule="auto"/>
              <w:rPr>
                <w:rFonts w:cs="Times New Roman"/>
                <w:sz w:val="20"/>
                <w:szCs w:val="20"/>
                <w:lang w:eastAsia="en-GB"/>
              </w:rPr>
            </w:pPr>
            <w:r>
              <w:rPr>
                <w:rFonts w:cs="Times New Roman"/>
                <w:sz w:val="20"/>
                <w:szCs w:val="20"/>
                <w:lang w:eastAsia="en-GB"/>
              </w:rPr>
              <w:t>C90</w:t>
            </w:r>
          </w:p>
        </w:tc>
      </w:tr>
    </w:tbl>
    <w:p w14:paraId="61B694C5" w14:textId="77777777" w:rsidR="00A959D2" w:rsidRDefault="00A959D2" w:rsidP="00A959D2">
      <w:pPr>
        <w:rPr>
          <w:rFonts w:cs="Times New Roman"/>
        </w:rPr>
      </w:pPr>
      <w:r>
        <w:rPr>
          <w:rFonts w:cs="Times New Roman"/>
          <w:vertAlign w:val="superscript"/>
        </w:rPr>
        <w:t>1</w:t>
      </w:r>
      <w:r>
        <w:rPr>
          <w:rFonts w:cs="Times New Roman"/>
        </w:rPr>
        <w:t xml:space="preserve"> In addition to all solid cancers, solid cancers excluding lung cancer was assessed separately but not explicitly shown in the table. For solid cancers excluding lung, the associated codes for lung cancer, as shown in the table above, were omitted.  </w:t>
      </w:r>
    </w:p>
    <w:p w14:paraId="34762BE0" w14:textId="77777777" w:rsidR="00A959D2" w:rsidRDefault="00A959D2" w:rsidP="00A959D2">
      <w:pPr>
        <w:rPr>
          <w:rFonts w:cs="Times New Roman"/>
        </w:rPr>
      </w:pPr>
      <w:r>
        <w:rPr>
          <w:rFonts w:cs="Times New Roman"/>
        </w:rPr>
        <w:t>Abbreviations: AML, acute myeloid leukemia; CLL, chronic lymphocytic leukemia; CML, chronic myeloid leukemia;</w:t>
      </w:r>
      <w:r>
        <w:rPr>
          <w:bCs/>
          <w:szCs w:val="18"/>
        </w:rPr>
        <w:t xml:space="preserve"> </w:t>
      </w:r>
      <w:r>
        <w:rPr>
          <w:rFonts w:cs="Times New Roman"/>
        </w:rPr>
        <w:t>MDS, myelodysplastic syndrome; MM, multiple myeloma; NA, not applicable; NHL, non-Hodgkin lymphoma.</w:t>
      </w:r>
    </w:p>
    <w:p w14:paraId="347DEFD7" w14:textId="77777777" w:rsidR="00A959D2" w:rsidRDefault="00A959D2" w:rsidP="00A959D2">
      <w:pPr>
        <w:spacing w:after="0"/>
        <w:rPr>
          <w:rFonts w:cs="Times New Roman"/>
        </w:rPr>
        <w:sectPr w:rsidR="00A959D2">
          <w:pgSz w:w="15840" w:h="12240" w:orient="landscape"/>
          <w:pgMar w:top="1440" w:right="1440" w:bottom="1440" w:left="1440" w:header="720" w:footer="720" w:gutter="0"/>
          <w:cols w:space="720"/>
        </w:sectPr>
      </w:pPr>
    </w:p>
    <w:p w14:paraId="5E66DF2C" w14:textId="77777777" w:rsidR="00A959D2" w:rsidRDefault="00A959D2" w:rsidP="00A959D2">
      <w:pPr>
        <w:pStyle w:val="Heading1"/>
        <w:rPr>
          <w:rFonts w:eastAsiaTheme="minorHAnsi"/>
        </w:rPr>
      </w:pPr>
      <w:bookmarkStart w:id="5" w:name="_Toc170712186"/>
      <w:r>
        <w:rPr>
          <w:rFonts w:eastAsiaTheme="minorHAnsi"/>
        </w:rPr>
        <w:lastRenderedPageBreak/>
        <w:t>Table S2. Characteristics of the INWORKS cohort stratified by hire year (&lt;1958, 1958+).</w:t>
      </w:r>
      <w:bookmarkEnd w:id="5"/>
    </w:p>
    <w:tbl>
      <w:tblPr>
        <w:tblStyle w:val="PlainTable21"/>
        <w:tblW w:w="5000" w:type="pct"/>
        <w:tblInd w:w="0" w:type="dxa"/>
        <w:tblLook w:val="0620" w:firstRow="1" w:lastRow="0" w:firstColumn="0" w:lastColumn="0" w:noHBand="1" w:noVBand="1"/>
      </w:tblPr>
      <w:tblGrid>
        <w:gridCol w:w="2520"/>
        <w:gridCol w:w="811"/>
        <w:gridCol w:w="809"/>
        <w:gridCol w:w="811"/>
        <w:gridCol w:w="780"/>
        <w:gridCol w:w="943"/>
        <w:gridCol w:w="946"/>
        <w:gridCol w:w="835"/>
        <w:gridCol w:w="835"/>
        <w:gridCol w:w="946"/>
        <w:gridCol w:w="835"/>
        <w:gridCol w:w="943"/>
        <w:gridCol w:w="946"/>
      </w:tblGrid>
      <w:tr w:rsidR="00A959D2" w14:paraId="426037FC" w14:textId="77777777" w:rsidTr="00A959D2">
        <w:trPr>
          <w:cnfStyle w:val="100000000000" w:firstRow="1" w:lastRow="0" w:firstColumn="0" w:lastColumn="0" w:oddVBand="0" w:evenVBand="0" w:oddHBand="0" w:evenHBand="0" w:firstRowFirstColumn="0" w:firstRowLastColumn="0" w:lastRowFirstColumn="0" w:lastRowLastColumn="0"/>
          <w:trHeight w:val="20"/>
        </w:trPr>
        <w:tc>
          <w:tcPr>
            <w:tcW w:w="972" w:type="pct"/>
            <w:vMerge w:val="restart"/>
            <w:tcBorders>
              <w:top w:val="single" w:sz="4" w:space="0" w:color="7F7F7F"/>
              <w:left w:val="nil"/>
              <w:bottom w:val="single" w:sz="4" w:space="0" w:color="auto"/>
              <w:right w:val="nil"/>
            </w:tcBorders>
            <w:vAlign w:val="bottom"/>
            <w:hideMark/>
          </w:tcPr>
          <w:p w14:paraId="2B8C938C" w14:textId="77777777" w:rsidR="00A959D2" w:rsidRDefault="00A959D2">
            <w:pPr>
              <w:autoSpaceDE w:val="0"/>
              <w:autoSpaceDN w:val="0"/>
              <w:adjustRightInd w:val="0"/>
              <w:spacing w:after="0" w:line="240" w:lineRule="auto"/>
              <w:rPr>
                <w:rFonts w:eastAsia="Calibri" w:cs="Times New Roman"/>
                <w:sz w:val="20"/>
                <w:szCs w:val="20"/>
              </w:rPr>
            </w:pPr>
            <w:r>
              <w:t xml:space="preserve"> </w:t>
            </w:r>
            <w:r>
              <w:rPr>
                <w:rFonts w:eastAsia="Calibri" w:cs="Times New Roman"/>
                <w:sz w:val="20"/>
                <w:szCs w:val="20"/>
              </w:rPr>
              <w:t>Characteristic</w:t>
            </w:r>
          </w:p>
        </w:tc>
        <w:tc>
          <w:tcPr>
            <w:tcW w:w="938" w:type="pct"/>
            <w:gridSpan w:val="3"/>
            <w:tcBorders>
              <w:top w:val="single" w:sz="4" w:space="0" w:color="7F7F7F"/>
              <w:left w:val="nil"/>
              <w:bottom w:val="single" w:sz="4" w:space="0" w:color="auto"/>
              <w:right w:val="nil"/>
            </w:tcBorders>
            <w:vAlign w:val="bottom"/>
            <w:hideMark/>
          </w:tcPr>
          <w:p w14:paraId="4B051F4D" w14:textId="77777777" w:rsidR="00A959D2" w:rsidRDefault="00A959D2">
            <w:pPr>
              <w:autoSpaceDE w:val="0"/>
              <w:autoSpaceDN w:val="0"/>
              <w:adjustRightInd w:val="0"/>
              <w:spacing w:after="0" w:line="240" w:lineRule="auto"/>
              <w:jc w:val="center"/>
              <w:rPr>
                <w:rFonts w:eastAsia="Calibri" w:cs="Times New Roman"/>
                <w:sz w:val="20"/>
                <w:szCs w:val="20"/>
              </w:rPr>
            </w:pPr>
            <w:proofErr w:type="gramStart"/>
            <w:r>
              <w:rPr>
                <w:rFonts w:eastAsia="Calibri" w:cs="Times New Roman"/>
                <w:sz w:val="20"/>
                <w:szCs w:val="20"/>
              </w:rPr>
              <w:t>France  (</w:t>
            </w:r>
            <w:proofErr w:type="gramEnd"/>
            <w:r>
              <w:rPr>
                <w:rFonts w:eastAsia="Calibri" w:cs="Times New Roman"/>
                <w:sz w:val="20"/>
                <w:szCs w:val="20"/>
              </w:rPr>
              <w:t>1968–2014)</w:t>
            </w:r>
          </w:p>
        </w:tc>
        <w:tc>
          <w:tcPr>
            <w:tcW w:w="1030" w:type="pct"/>
            <w:gridSpan w:val="3"/>
            <w:tcBorders>
              <w:top w:val="single" w:sz="4" w:space="0" w:color="7F7F7F"/>
              <w:left w:val="nil"/>
              <w:bottom w:val="single" w:sz="4" w:space="0" w:color="auto"/>
              <w:right w:val="nil"/>
            </w:tcBorders>
            <w:vAlign w:val="bottom"/>
            <w:hideMark/>
          </w:tcPr>
          <w:p w14:paraId="1E8EA4B7" w14:textId="77777777" w:rsidR="00A959D2" w:rsidRDefault="00A959D2">
            <w:pPr>
              <w:autoSpaceDE w:val="0"/>
              <w:autoSpaceDN w:val="0"/>
              <w:adjustRightInd w:val="0"/>
              <w:spacing w:after="0" w:line="240" w:lineRule="auto"/>
              <w:jc w:val="center"/>
              <w:rPr>
                <w:rFonts w:eastAsia="Calibri" w:cs="Times New Roman"/>
                <w:sz w:val="20"/>
                <w:szCs w:val="20"/>
              </w:rPr>
            </w:pPr>
            <w:r>
              <w:rPr>
                <w:rFonts w:eastAsia="Calibri" w:cs="Times New Roman"/>
                <w:sz w:val="20"/>
                <w:szCs w:val="20"/>
              </w:rPr>
              <w:t>UK (1955–2012)</w:t>
            </w:r>
          </w:p>
        </w:tc>
        <w:tc>
          <w:tcPr>
            <w:tcW w:w="1009" w:type="pct"/>
            <w:gridSpan w:val="3"/>
            <w:tcBorders>
              <w:top w:val="single" w:sz="4" w:space="0" w:color="7F7F7F"/>
              <w:left w:val="nil"/>
              <w:bottom w:val="single" w:sz="4" w:space="0" w:color="auto"/>
              <w:right w:val="nil"/>
            </w:tcBorders>
            <w:vAlign w:val="bottom"/>
            <w:hideMark/>
          </w:tcPr>
          <w:p w14:paraId="6151CEDB" w14:textId="77777777" w:rsidR="00A959D2" w:rsidRDefault="00A959D2">
            <w:pPr>
              <w:autoSpaceDE w:val="0"/>
              <w:autoSpaceDN w:val="0"/>
              <w:adjustRightInd w:val="0"/>
              <w:spacing w:after="0" w:line="240" w:lineRule="auto"/>
              <w:jc w:val="center"/>
              <w:rPr>
                <w:rFonts w:eastAsia="Calibri" w:cs="Times New Roman"/>
                <w:sz w:val="20"/>
                <w:szCs w:val="20"/>
              </w:rPr>
            </w:pPr>
            <w:r>
              <w:rPr>
                <w:rFonts w:eastAsia="Calibri" w:cs="Times New Roman"/>
                <w:sz w:val="20"/>
                <w:szCs w:val="20"/>
              </w:rPr>
              <w:t>US (1944–2016)</w:t>
            </w:r>
          </w:p>
        </w:tc>
        <w:tc>
          <w:tcPr>
            <w:tcW w:w="1051" w:type="pct"/>
            <w:gridSpan w:val="3"/>
            <w:tcBorders>
              <w:top w:val="single" w:sz="4" w:space="0" w:color="7F7F7F"/>
              <w:left w:val="nil"/>
              <w:bottom w:val="single" w:sz="4" w:space="0" w:color="auto"/>
              <w:right w:val="nil"/>
            </w:tcBorders>
            <w:vAlign w:val="bottom"/>
            <w:hideMark/>
          </w:tcPr>
          <w:p w14:paraId="1A798140" w14:textId="77777777" w:rsidR="00A959D2" w:rsidRDefault="00A959D2">
            <w:pPr>
              <w:autoSpaceDE w:val="0"/>
              <w:autoSpaceDN w:val="0"/>
              <w:adjustRightInd w:val="0"/>
              <w:spacing w:after="0" w:line="240" w:lineRule="auto"/>
              <w:jc w:val="center"/>
              <w:rPr>
                <w:rFonts w:eastAsia="Calibri" w:cs="Times New Roman"/>
                <w:sz w:val="20"/>
                <w:szCs w:val="20"/>
              </w:rPr>
            </w:pPr>
            <w:r>
              <w:rPr>
                <w:rFonts w:eastAsia="Calibri" w:cs="Times New Roman"/>
                <w:sz w:val="20"/>
                <w:szCs w:val="20"/>
              </w:rPr>
              <w:t>INWORKS (1944–2016)</w:t>
            </w:r>
          </w:p>
        </w:tc>
      </w:tr>
      <w:tr w:rsidR="00A959D2" w14:paraId="4418E400" w14:textId="77777777" w:rsidTr="00A959D2">
        <w:trPr>
          <w:trHeight w:val="20"/>
        </w:trPr>
        <w:tc>
          <w:tcPr>
            <w:tcW w:w="0" w:type="auto"/>
            <w:vMerge/>
            <w:tcBorders>
              <w:top w:val="single" w:sz="4" w:space="0" w:color="7F7F7F"/>
              <w:left w:val="nil"/>
              <w:bottom w:val="single" w:sz="4" w:space="0" w:color="auto"/>
              <w:right w:val="nil"/>
            </w:tcBorders>
            <w:vAlign w:val="center"/>
            <w:hideMark/>
          </w:tcPr>
          <w:p w14:paraId="0050A02F" w14:textId="77777777" w:rsidR="00A959D2" w:rsidRDefault="00A959D2">
            <w:pPr>
              <w:spacing w:after="0" w:line="240" w:lineRule="auto"/>
              <w:rPr>
                <w:rFonts w:eastAsia="Calibri" w:cs="Times New Roman"/>
                <w:b/>
                <w:bCs/>
                <w:sz w:val="20"/>
                <w:szCs w:val="20"/>
              </w:rPr>
            </w:pPr>
          </w:p>
        </w:tc>
        <w:tc>
          <w:tcPr>
            <w:tcW w:w="313" w:type="pct"/>
            <w:tcBorders>
              <w:top w:val="single" w:sz="4" w:space="0" w:color="auto"/>
              <w:left w:val="nil"/>
              <w:bottom w:val="single" w:sz="4" w:space="0" w:color="auto"/>
              <w:right w:val="nil"/>
            </w:tcBorders>
            <w:vAlign w:val="bottom"/>
            <w:hideMark/>
          </w:tcPr>
          <w:p w14:paraId="301DD230" w14:textId="77777777" w:rsidR="00A959D2" w:rsidRDefault="00A959D2">
            <w:pPr>
              <w:autoSpaceDE w:val="0"/>
              <w:autoSpaceDN w:val="0"/>
              <w:adjustRightInd w:val="0"/>
              <w:spacing w:after="0" w:line="240" w:lineRule="auto"/>
              <w:jc w:val="center"/>
              <w:rPr>
                <w:rFonts w:eastAsia="Calibri" w:cs="Times New Roman"/>
                <w:sz w:val="20"/>
                <w:szCs w:val="20"/>
              </w:rPr>
            </w:pPr>
            <w:r>
              <w:rPr>
                <w:rFonts w:eastAsia="Calibri" w:cs="Times New Roman"/>
                <w:sz w:val="20"/>
                <w:szCs w:val="20"/>
              </w:rPr>
              <w:t>&lt;1958</w:t>
            </w:r>
          </w:p>
        </w:tc>
        <w:tc>
          <w:tcPr>
            <w:tcW w:w="312" w:type="pct"/>
            <w:tcBorders>
              <w:top w:val="single" w:sz="4" w:space="0" w:color="auto"/>
              <w:left w:val="nil"/>
              <w:bottom w:val="single" w:sz="4" w:space="0" w:color="auto"/>
              <w:right w:val="nil"/>
            </w:tcBorders>
            <w:vAlign w:val="bottom"/>
            <w:hideMark/>
          </w:tcPr>
          <w:p w14:paraId="03154E3D" w14:textId="77777777" w:rsidR="00A959D2" w:rsidRDefault="00A959D2">
            <w:pPr>
              <w:autoSpaceDE w:val="0"/>
              <w:autoSpaceDN w:val="0"/>
              <w:adjustRightInd w:val="0"/>
              <w:spacing w:after="0" w:line="240" w:lineRule="auto"/>
              <w:jc w:val="center"/>
              <w:rPr>
                <w:rFonts w:eastAsia="Calibri" w:cs="Times New Roman"/>
                <w:sz w:val="20"/>
                <w:szCs w:val="20"/>
              </w:rPr>
            </w:pPr>
            <w:r>
              <w:rPr>
                <w:rFonts w:eastAsia="Calibri" w:cs="Times New Roman"/>
                <w:sz w:val="20"/>
                <w:szCs w:val="20"/>
              </w:rPr>
              <w:t>1958+</w:t>
            </w:r>
          </w:p>
        </w:tc>
        <w:tc>
          <w:tcPr>
            <w:tcW w:w="313" w:type="pct"/>
            <w:tcBorders>
              <w:top w:val="single" w:sz="4" w:space="0" w:color="auto"/>
              <w:left w:val="nil"/>
              <w:bottom w:val="single" w:sz="4" w:space="0" w:color="auto"/>
              <w:right w:val="nil"/>
            </w:tcBorders>
            <w:vAlign w:val="bottom"/>
            <w:hideMark/>
          </w:tcPr>
          <w:p w14:paraId="63673101" w14:textId="77777777" w:rsidR="00A959D2" w:rsidRDefault="00A959D2">
            <w:pPr>
              <w:autoSpaceDE w:val="0"/>
              <w:autoSpaceDN w:val="0"/>
              <w:adjustRightInd w:val="0"/>
              <w:spacing w:after="0" w:line="240" w:lineRule="auto"/>
              <w:jc w:val="center"/>
              <w:rPr>
                <w:rFonts w:eastAsia="Calibri" w:cs="Times New Roman"/>
                <w:sz w:val="20"/>
                <w:szCs w:val="20"/>
              </w:rPr>
            </w:pPr>
            <w:r>
              <w:rPr>
                <w:rFonts w:eastAsia="Calibri" w:cs="Times New Roman"/>
                <w:sz w:val="20"/>
                <w:szCs w:val="20"/>
              </w:rPr>
              <w:t>Full</w:t>
            </w:r>
          </w:p>
        </w:tc>
        <w:tc>
          <w:tcPr>
            <w:tcW w:w="301" w:type="pct"/>
            <w:tcBorders>
              <w:top w:val="single" w:sz="4" w:space="0" w:color="auto"/>
              <w:left w:val="nil"/>
              <w:bottom w:val="single" w:sz="4" w:space="0" w:color="auto"/>
              <w:right w:val="nil"/>
            </w:tcBorders>
            <w:vAlign w:val="bottom"/>
            <w:hideMark/>
          </w:tcPr>
          <w:p w14:paraId="08CFF213" w14:textId="77777777" w:rsidR="00A959D2" w:rsidRDefault="00A959D2">
            <w:pPr>
              <w:autoSpaceDE w:val="0"/>
              <w:autoSpaceDN w:val="0"/>
              <w:adjustRightInd w:val="0"/>
              <w:spacing w:after="0" w:line="240" w:lineRule="auto"/>
              <w:jc w:val="center"/>
              <w:rPr>
                <w:rFonts w:eastAsia="Calibri" w:cs="Times New Roman"/>
                <w:sz w:val="20"/>
                <w:szCs w:val="20"/>
              </w:rPr>
            </w:pPr>
            <w:r>
              <w:rPr>
                <w:rFonts w:eastAsia="Calibri" w:cs="Times New Roman"/>
                <w:sz w:val="20"/>
                <w:szCs w:val="20"/>
              </w:rPr>
              <w:t>&lt;1958</w:t>
            </w:r>
          </w:p>
        </w:tc>
        <w:tc>
          <w:tcPr>
            <w:tcW w:w="364" w:type="pct"/>
            <w:tcBorders>
              <w:top w:val="single" w:sz="4" w:space="0" w:color="auto"/>
              <w:left w:val="nil"/>
              <w:bottom w:val="single" w:sz="4" w:space="0" w:color="auto"/>
              <w:right w:val="nil"/>
            </w:tcBorders>
            <w:vAlign w:val="bottom"/>
            <w:hideMark/>
          </w:tcPr>
          <w:p w14:paraId="2C866CF0" w14:textId="77777777" w:rsidR="00A959D2" w:rsidRDefault="00A959D2">
            <w:pPr>
              <w:autoSpaceDE w:val="0"/>
              <w:autoSpaceDN w:val="0"/>
              <w:adjustRightInd w:val="0"/>
              <w:spacing w:after="0" w:line="240" w:lineRule="auto"/>
              <w:jc w:val="center"/>
              <w:rPr>
                <w:rFonts w:eastAsia="Calibri" w:cs="Times New Roman"/>
                <w:sz w:val="20"/>
                <w:szCs w:val="20"/>
              </w:rPr>
            </w:pPr>
            <w:r>
              <w:rPr>
                <w:rFonts w:eastAsia="Calibri" w:cs="Times New Roman"/>
                <w:sz w:val="20"/>
                <w:szCs w:val="20"/>
              </w:rPr>
              <w:t>1958+</w:t>
            </w:r>
          </w:p>
        </w:tc>
        <w:tc>
          <w:tcPr>
            <w:tcW w:w="365" w:type="pct"/>
            <w:tcBorders>
              <w:top w:val="single" w:sz="4" w:space="0" w:color="auto"/>
              <w:left w:val="nil"/>
              <w:bottom w:val="single" w:sz="4" w:space="0" w:color="auto"/>
              <w:right w:val="nil"/>
            </w:tcBorders>
            <w:vAlign w:val="bottom"/>
            <w:hideMark/>
          </w:tcPr>
          <w:p w14:paraId="3C0E0935" w14:textId="77777777" w:rsidR="00A959D2" w:rsidRDefault="00A959D2">
            <w:pPr>
              <w:autoSpaceDE w:val="0"/>
              <w:autoSpaceDN w:val="0"/>
              <w:adjustRightInd w:val="0"/>
              <w:spacing w:after="0" w:line="240" w:lineRule="auto"/>
              <w:jc w:val="center"/>
              <w:rPr>
                <w:rFonts w:eastAsia="Calibri" w:cs="Times New Roman"/>
                <w:sz w:val="20"/>
                <w:szCs w:val="20"/>
              </w:rPr>
            </w:pPr>
            <w:r>
              <w:rPr>
                <w:rFonts w:eastAsia="Calibri" w:cs="Times New Roman"/>
                <w:sz w:val="20"/>
                <w:szCs w:val="20"/>
              </w:rPr>
              <w:t>Full</w:t>
            </w:r>
          </w:p>
        </w:tc>
        <w:tc>
          <w:tcPr>
            <w:tcW w:w="322" w:type="pct"/>
            <w:tcBorders>
              <w:top w:val="single" w:sz="4" w:space="0" w:color="auto"/>
              <w:left w:val="nil"/>
              <w:bottom w:val="single" w:sz="4" w:space="0" w:color="auto"/>
              <w:right w:val="nil"/>
            </w:tcBorders>
            <w:vAlign w:val="bottom"/>
            <w:hideMark/>
          </w:tcPr>
          <w:p w14:paraId="0183FDD1" w14:textId="77777777" w:rsidR="00A959D2" w:rsidRDefault="00A959D2">
            <w:pPr>
              <w:autoSpaceDE w:val="0"/>
              <w:autoSpaceDN w:val="0"/>
              <w:adjustRightInd w:val="0"/>
              <w:spacing w:after="0" w:line="240" w:lineRule="auto"/>
              <w:jc w:val="center"/>
              <w:rPr>
                <w:rFonts w:eastAsia="Calibri" w:cs="Times New Roman"/>
                <w:sz w:val="20"/>
                <w:szCs w:val="20"/>
              </w:rPr>
            </w:pPr>
            <w:r>
              <w:rPr>
                <w:rFonts w:eastAsia="Calibri" w:cs="Times New Roman"/>
                <w:sz w:val="20"/>
                <w:szCs w:val="20"/>
              </w:rPr>
              <w:t>&lt;1958</w:t>
            </w:r>
          </w:p>
        </w:tc>
        <w:tc>
          <w:tcPr>
            <w:tcW w:w="322" w:type="pct"/>
            <w:tcBorders>
              <w:top w:val="single" w:sz="4" w:space="0" w:color="auto"/>
              <w:left w:val="nil"/>
              <w:bottom w:val="single" w:sz="4" w:space="0" w:color="auto"/>
              <w:right w:val="nil"/>
            </w:tcBorders>
            <w:vAlign w:val="bottom"/>
            <w:hideMark/>
          </w:tcPr>
          <w:p w14:paraId="3FACD9F2" w14:textId="77777777" w:rsidR="00A959D2" w:rsidRDefault="00A959D2">
            <w:pPr>
              <w:autoSpaceDE w:val="0"/>
              <w:autoSpaceDN w:val="0"/>
              <w:adjustRightInd w:val="0"/>
              <w:spacing w:after="0" w:line="240" w:lineRule="auto"/>
              <w:jc w:val="center"/>
              <w:rPr>
                <w:rFonts w:eastAsia="Calibri" w:cs="Times New Roman"/>
                <w:sz w:val="20"/>
                <w:szCs w:val="20"/>
              </w:rPr>
            </w:pPr>
            <w:r>
              <w:rPr>
                <w:rFonts w:eastAsia="Calibri" w:cs="Times New Roman"/>
                <w:sz w:val="20"/>
                <w:szCs w:val="20"/>
              </w:rPr>
              <w:t>1958+</w:t>
            </w:r>
          </w:p>
        </w:tc>
        <w:tc>
          <w:tcPr>
            <w:tcW w:w="365" w:type="pct"/>
            <w:tcBorders>
              <w:top w:val="single" w:sz="4" w:space="0" w:color="auto"/>
              <w:left w:val="nil"/>
              <w:bottom w:val="single" w:sz="4" w:space="0" w:color="auto"/>
              <w:right w:val="nil"/>
            </w:tcBorders>
            <w:vAlign w:val="bottom"/>
            <w:hideMark/>
          </w:tcPr>
          <w:p w14:paraId="6531FA65" w14:textId="77777777" w:rsidR="00A959D2" w:rsidRDefault="00A959D2">
            <w:pPr>
              <w:autoSpaceDE w:val="0"/>
              <w:autoSpaceDN w:val="0"/>
              <w:adjustRightInd w:val="0"/>
              <w:spacing w:after="0" w:line="240" w:lineRule="auto"/>
              <w:jc w:val="center"/>
              <w:rPr>
                <w:rFonts w:eastAsia="Calibri" w:cs="Times New Roman"/>
                <w:sz w:val="20"/>
                <w:szCs w:val="20"/>
              </w:rPr>
            </w:pPr>
            <w:r>
              <w:rPr>
                <w:rFonts w:eastAsia="Calibri" w:cs="Times New Roman"/>
                <w:sz w:val="20"/>
                <w:szCs w:val="20"/>
              </w:rPr>
              <w:t>Full</w:t>
            </w:r>
          </w:p>
        </w:tc>
        <w:tc>
          <w:tcPr>
            <w:tcW w:w="322" w:type="pct"/>
            <w:tcBorders>
              <w:top w:val="single" w:sz="4" w:space="0" w:color="auto"/>
              <w:left w:val="nil"/>
              <w:bottom w:val="single" w:sz="4" w:space="0" w:color="auto"/>
              <w:right w:val="nil"/>
            </w:tcBorders>
            <w:vAlign w:val="bottom"/>
            <w:hideMark/>
          </w:tcPr>
          <w:p w14:paraId="495FE60F" w14:textId="77777777" w:rsidR="00A959D2" w:rsidRDefault="00A959D2">
            <w:pPr>
              <w:autoSpaceDE w:val="0"/>
              <w:autoSpaceDN w:val="0"/>
              <w:adjustRightInd w:val="0"/>
              <w:spacing w:after="0" w:line="240" w:lineRule="auto"/>
              <w:jc w:val="center"/>
              <w:rPr>
                <w:rFonts w:eastAsia="Calibri" w:cs="Times New Roman"/>
                <w:sz w:val="20"/>
                <w:szCs w:val="20"/>
              </w:rPr>
            </w:pPr>
            <w:r>
              <w:rPr>
                <w:rFonts w:eastAsia="Calibri" w:cs="Times New Roman"/>
                <w:sz w:val="20"/>
                <w:szCs w:val="20"/>
              </w:rPr>
              <w:t>&lt;1958</w:t>
            </w:r>
          </w:p>
        </w:tc>
        <w:tc>
          <w:tcPr>
            <w:tcW w:w="364" w:type="pct"/>
            <w:tcBorders>
              <w:top w:val="single" w:sz="4" w:space="0" w:color="auto"/>
              <w:left w:val="nil"/>
              <w:bottom w:val="single" w:sz="4" w:space="0" w:color="auto"/>
              <w:right w:val="nil"/>
            </w:tcBorders>
            <w:vAlign w:val="bottom"/>
            <w:hideMark/>
          </w:tcPr>
          <w:p w14:paraId="7F09A077" w14:textId="77777777" w:rsidR="00A959D2" w:rsidRDefault="00A959D2">
            <w:pPr>
              <w:autoSpaceDE w:val="0"/>
              <w:autoSpaceDN w:val="0"/>
              <w:adjustRightInd w:val="0"/>
              <w:spacing w:after="0" w:line="240" w:lineRule="auto"/>
              <w:jc w:val="center"/>
              <w:rPr>
                <w:rFonts w:eastAsia="Calibri" w:cs="Times New Roman"/>
                <w:sz w:val="20"/>
                <w:szCs w:val="20"/>
              </w:rPr>
            </w:pPr>
            <w:r>
              <w:rPr>
                <w:rFonts w:eastAsia="Calibri" w:cs="Times New Roman"/>
                <w:sz w:val="20"/>
                <w:szCs w:val="20"/>
              </w:rPr>
              <w:t>1958+</w:t>
            </w:r>
          </w:p>
        </w:tc>
        <w:tc>
          <w:tcPr>
            <w:tcW w:w="365" w:type="pct"/>
            <w:tcBorders>
              <w:top w:val="single" w:sz="4" w:space="0" w:color="auto"/>
              <w:left w:val="nil"/>
              <w:bottom w:val="single" w:sz="4" w:space="0" w:color="auto"/>
              <w:right w:val="nil"/>
            </w:tcBorders>
            <w:vAlign w:val="bottom"/>
            <w:hideMark/>
          </w:tcPr>
          <w:p w14:paraId="2F5DFF53" w14:textId="77777777" w:rsidR="00A959D2" w:rsidRDefault="00A959D2">
            <w:pPr>
              <w:autoSpaceDE w:val="0"/>
              <w:autoSpaceDN w:val="0"/>
              <w:adjustRightInd w:val="0"/>
              <w:spacing w:after="0" w:line="240" w:lineRule="auto"/>
              <w:jc w:val="center"/>
              <w:rPr>
                <w:rFonts w:eastAsia="Calibri" w:cs="Times New Roman"/>
                <w:sz w:val="20"/>
                <w:szCs w:val="20"/>
              </w:rPr>
            </w:pPr>
            <w:r>
              <w:rPr>
                <w:rFonts w:eastAsia="Calibri" w:cs="Times New Roman"/>
                <w:sz w:val="20"/>
                <w:szCs w:val="20"/>
              </w:rPr>
              <w:t>Full</w:t>
            </w:r>
          </w:p>
        </w:tc>
      </w:tr>
      <w:tr w:rsidR="00A959D2" w14:paraId="78EDE197" w14:textId="77777777" w:rsidTr="00A959D2">
        <w:trPr>
          <w:trHeight w:val="20"/>
        </w:trPr>
        <w:tc>
          <w:tcPr>
            <w:tcW w:w="972" w:type="pct"/>
            <w:tcBorders>
              <w:top w:val="single" w:sz="4" w:space="0" w:color="auto"/>
              <w:left w:val="nil"/>
              <w:bottom w:val="nil"/>
              <w:right w:val="nil"/>
            </w:tcBorders>
            <w:hideMark/>
          </w:tcPr>
          <w:p w14:paraId="09EFAD78" w14:textId="77777777" w:rsidR="00A959D2" w:rsidRDefault="00A959D2">
            <w:pPr>
              <w:autoSpaceDE w:val="0"/>
              <w:autoSpaceDN w:val="0"/>
              <w:adjustRightInd w:val="0"/>
              <w:spacing w:after="0" w:line="240" w:lineRule="auto"/>
              <w:rPr>
                <w:rFonts w:eastAsia="Calibri" w:cs="Times New Roman"/>
                <w:sz w:val="20"/>
                <w:szCs w:val="20"/>
              </w:rPr>
            </w:pPr>
            <w:r>
              <w:rPr>
                <w:rFonts w:eastAsia="Calibri" w:cs="Times New Roman"/>
                <w:sz w:val="20"/>
                <w:szCs w:val="20"/>
              </w:rPr>
              <w:t>workers</w:t>
            </w:r>
          </w:p>
        </w:tc>
        <w:tc>
          <w:tcPr>
            <w:tcW w:w="313" w:type="pct"/>
            <w:tcBorders>
              <w:top w:val="single" w:sz="4" w:space="0" w:color="auto"/>
              <w:left w:val="nil"/>
              <w:bottom w:val="nil"/>
              <w:right w:val="nil"/>
            </w:tcBorders>
            <w:hideMark/>
          </w:tcPr>
          <w:p w14:paraId="4ADE836C"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5,156</w:t>
            </w:r>
          </w:p>
        </w:tc>
        <w:tc>
          <w:tcPr>
            <w:tcW w:w="312" w:type="pct"/>
            <w:tcBorders>
              <w:top w:val="single" w:sz="4" w:space="0" w:color="auto"/>
              <w:left w:val="nil"/>
              <w:bottom w:val="nil"/>
              <w:right w:val="nil"/>
            </w:tcBorders>
            <w:hideMark/>
          </w:tcPr>
          <w:p w14:paraId="5564B43A"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55,541</w:t>
            </w:r>
          </w:p>
        </w:tc>
        <w:tc>
          <w:tcPr>
            <w:tcW w:w="313" w:type="pct"/>
            <w:tcBorders>
              <w:top w:val="single" w:sz="4" w:space="0" w:color="auto"/>
              <w:left w:val="nil"/>
              <w:bottom w:val="nil"/>
              <w:right w:val="nil"/>
            </w:tcBorders>
            <w:hideMark/>
          </w:tcPr>
          <w:p w14:paraId="136307CA"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60,697</w:t>
            </w:r>
          </w:p>
        </w:tc>
        <w:tc>
          <w:tcPr>
            <w:tcW w:w="301" w:type="pct"/>
            <w:tcBorders>
              <w:top w:val="single" w:sz="4" w:space="0" w:color="auto"/>
              <w:left w:val="nil"/>
              <w:bottom w:val="nil"/>
              <w:right w:val="nil"/>
            </w:tcBorders>
            <w:hideMark/>
          </w:tcPr>
          <w:p w14:paraId="592E8761"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24,449</w:t>
            </w:r>
          </w:p>
        </w:tc>
        <w:tc>
          <w:tcPr>
            <w:tcW w:w="364" w:type="pct"/>
            <w:tcBorders>
              <w:top w:val="single" w:sz="4" w:space="0" w:color="auto"/>
              <w:left w:val="nil"/>
              <w:bottom w:val="nil"/>
              <w:right w:val="nil"/>
            </w:tcBorders>
            <w:hideMark/>
          </w:tcPr>
          <w:p w14:paraId="690C7A83"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123,423</w:t>
            </w:r>
          </w:p>
        </w:tc>
        <w:tc>
          <w:tcPr>
            <w:tcW w:w="365" w:type="pct"/>
            <w:tcBorders>
              <w:top w:val="single" w:sz="4" w:space="0" w:color="auto"/>
              <w:left w:val="nil"/>
              <w:bottom w:val="nil"/>
              <w:right w:val="nil"/>
            </w:tcBorders>
            <w:hideMark/>
          </w:tcPr>
          <w:p w14:paraId="1EC4F179"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147,872</w:t>
            </w:r>
          </w:p>
        </w:tc>
        <w:tc>
          <w:tcPr>
            <w:tcW w:w="322" w:type="pct"/>
            <w:tcBorders>
              <w:top w:val="single" w:sz="4" w:space="0" w:color="auto"/>
              <w:left w:val="nil"/>
              <w:bottom w:val="nil"/>
              <w:right w:val="nil"/>
            </w:tcBorders>
            <w:hideMark/>
          </w:tcPr>
          <w:p w14:paraId="0470686E"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41,688</w:t>
            </w:r>
          </w:p>
        </w:tc>
        <w:tc>
          <w:tcPr>
            <w:tcW w:w="322" w:type="pct"/>
            <w:tcBorders>
              <w:top w:val="single" w:sz="4" w:space="0" w:color="auto"/>
              <w:left w:val="nil"/>
              <w:bottom w:val="nil"/>
              <w:right w:val="nil"/>
            </w:tcBorders>
            <w:hideMark/>
          </w:tcPr>
          <w:p w14:paraId="676303A6"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59,675</w:t>
            </w:r>
          </w:p>
        </w:tc>
        <w:tc>
          <w:tcPr>
            <w:tcW w:w="365" w:type="pct"/>
            <w:tcBorders>
              <w:top w:val="single" w:sz="4" w:space="0" w:color="auto"/>
              <w:left w:val="nil"/>
              <w:bottom w:val="nil"/>
              <w:right w:val="nil"/>
            </w:tcBorders>
            <w:hideMark/>
          </w:tcPr>
          <w:p w14:paraId="5C8FE047"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101,363</w:t>
            </w:r>
          </w:p>
        </w:tc>
        <w:tc>
          <w:tcPr>
            <w:tcW w:w="322" w:type="pct"/>
            <w:tcBorders>
              <w:top w:val="single" w:sz="4" w:space="0" w:color="auto"/>
              <w:left w:val="nil"/>
              <w:bottom w:val="nil"/>
              <w:right w:val="nil"/>
            </w:tcBorders>
            <w:vAlign w:val="bottom"/>
            <w:hideMark/>
          </w:tcPr>
          <w:p w14:paraId="169BEFFE"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71,293</w:t>
            </w:r>
          </w:p>
        </w:tc>
        <w:tc>
          <w:tcPr>
            <w:tcW w:w="364" w:type="pct"/>
            <w:tcBorders>
              <w:top w:val="single" w:sz="4" w:space="0" w:color="auto"/>
              <w:left w:val="nil"/>
              <w:bottom w:val="nil"/>
              <w:right w:val="nil"/>
            </w:tcBorders>
            <w:vAlign w:val="bottom"/>
            <w:hideMark/>
          </w:tcPr>
          <w:p w14:paraId="7752A1D6"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238,639</w:t>
            </w:r>
          </w:p>
        </w:tc>
        <w:tc>
          <w:tcPr>
            <w:tcW w:w="365" w:type="pct"/>
            <w:tcBorders>
              <w:top w:val="single" w:sz="4" w:space="0" w:color="auto"/>
              <w:left w:val="nil"/>
              <w:bottom w:val="nil"/>
              <w:right w:val="nil"/>
            </w:tcBorders>
            <w:vAlign w:val="bottom"/>
            <w:hideMark/>
          </w:tcPr>
          <w:p w14:paraId="38178248"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309,932</w:t>
            </w:r>
          </w:p>
        </w:tc>
      </w:tr>
      <w:tr w:rsidR="00A959D2" w14:paraId="15453A15" w14:textId="77777777" w:rsidTr="00A959D2">
        <w:trPr>
          <w:trHeight w:val="20"/>
        </w:trPr>
        <w:tc>
          <w:tcPr>
            <w:tcW w:w="972" w:type="pct"/>
            <w:tcBorders>
              <w:top w:val="nil"/>
              <w:left w:val="nil"/>
              <w:bottom w:val="nil"/>
              <w:right w:val="nil"/>
            </w:tcBorders>
            <w:hideMark/>
          </w:tcPr>
          <w:p w14:paraId="58F44B1A" w14:textId="77777777" w:rsidR="00A959D2" w:rsidRDefault="00A959D2">
            <w:pPr>
              <w:autoSpaceDE w:val="0"/>
              <w:autoSpaceDN w:val="0"/>
              <w:adjustRightInd w:val="0"/>
              <w:spacing w:after="0" w:line="240" w:lineRule="auto"/>
              <w:rPr>
                <w:rFonts w:eastAsia="Calibri" w:cs="Times New Roman"/>
                <w:sz w:val="20"/>
                <w:szCs w:val="20"/>
              </w:rPr>
            </w:pPr>
            <w:r>
              <w:rPr>
                <w:rFonts w:eastAsia="Calibri" w:cs="Times New Roman"/>
                <w:sz w:val="20"/>
                <w:szCs w:val="20"/>
              </w:rPr>
              <w:t>person-years (millions)</w:t>
            </w:r>
          </w:p>
        </w:tc>
        <w:tc>
          <w:tcPr>
            <w:tcW w:w="313" w:type="pct"/>
            <w:tcBorders>
              <w:top w:val="nil"/>
              <w:left w:val="nil"/>
              <w:bottom w:val="nil"/>
              <w:right w:val="nil"/>
            </w:tcBorders>
            <w:hideMark/>
          </w:tcPr>
          <w:p w14:paraId="2EF1F7FE"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0.19</w:t>
            </w:r>
          </w:p>
        </w:tc>
        <w:tc>
          <w:tcPr>
            <w:tcW w:w="312" w:type="pct"/>
            <w:tcBorders>
              <w:top w:val="nil"/>
              <w:left w:val="nil"/>
              <w:bottom w:val="nil"/>
              <w:right w:val="nil"/>
            </w:tcBorders>
            <w:hideMark/>
          </w:tcPr>
          <w:p w14:paraId="13C3930F"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1.89</w:t>
            </w:r>
          </w:p>
        </w:tc>
        <w:tc>
          <w:tcPr>
            <w:tcW w:w="313" w:type="pct"/>
            <w:tcBorders>
              <w:top w:val="nil"/>
              <w:left w:val="nil"/>
              <w:bottom w:val="nil"/>
              <w:right w:val="nil"/>
            </w:tcBorders>
            <w:hideMark/>
          </w:tcPr>
          <w:p w14:paraId="50ED5A60"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2.08</w:t>
            </w:r>
          </w:p>
        </w:tc>
        <w:tc>
          <w:tcPr>
            <w:tcW w:w="301" w:type="pct"/>
            <w:tcBorders>
              <w:top w:val="nil"/>
              <w:left w:val="nil"/>
              <w:bottom w:val="nil"/>
              <w:right w:val="nil"/>
            </w:tcBorders>
            <w:hideMark/>
          </w:tcPr>
          <w:p w14:paraId="3CB0E9FE"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0.89</w:t>
            </w:r>
          </w:p>
        </w:tc>
        <w:tc>
          <w:tcPr>
            <w:tcW w:w="364" w:type="pct"/>
            <w:tcBorders>
              <w:top w:val="nil"/>
              <w:left w:val="nil"/>
              <w:bottom w:val="nil"/>
              <w:right w:val="nil"/>
            </w:tcBorders>
            <w:hideMark/>
          </w:tcPr>
          <w:p w14:paraId="6A0D9C4C"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3.78</w:t>
            </w:r>
          </w:p>
        </w:tc>
        <w:tc>
          <w:tcPr>
            <w:tcW w:w="365" w:type="pct"/>
            <w:tcBorders>
              <w:top w:val="nil"/>
              <w:left w:val="nil"/>
              <w:bottom w:val="nil"/>
              <w:right w:val="nil"/>
            </w:tcBorders>
            <w:hideMark/>
          </w:tcPr>
          <w:p w14:paraId="27320673"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4.67</w:t>
            </w:r>
          </w:p>
        </w:tc>
        <w:tc>
          <w:tcPr>
            <w:tcW w:w="322" w:type="pct"/>
            <w:tcBorders>
              <w:top w:val="nil"/>
              <w:left w:val="nil"/>
              <w:bottom w:val="nil"/>
              <w:right w:val="nil"/>
            </w:tcBorders>
            <w:hideMark/>
          </w:tcPr>
          <w:p w14:paraId="452E2066"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1.78</w:t>
            </w:r>
          </w:p>
        </w:tc>
        <w:tc>
          <w:tcPr>
            <w:tcW w:w="322" w:type="pct"/>
            <w:tcBorders>
              <w:top w:val="nil"/>
              <w:left w:val="nil"/>
              <w:bottom w:val="nil"/>
              <w:right w:val="nil"/>
            </w:tcBorders>
            <w:hideMark/>
          </w:tcPr>
          <w:p w14:paraId="159DD2DB"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2.20</w:t>
            </w:r>
          </w:p>
        </w:tc>
        <w:tc>
          <w:tcPr>
            <w:tcW w:w="365" w:type="pct"/>
            <w:tcBorders>
              <w:top w:val="nil"/>
              <w:left w:val="nil"/>
              <w:bottom w:val="nil"/>
              <w:right w:val="nil"/>
            </w:tcBorders>
            <w:hideMark/>
          </w:tcPr>
          <w:p w14:paraId="62AEE151"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3.98</w:t>
            </w:r>
          </w:p>
        </w:tc>
        <w:tc>
          <w:tcPr>
            <w:tcW w:w="322" w:type="pct"/>
            <w:tcBorders>
              <w:top w:val="nil"/>
              <w:left w:val="nil"/>
              <w:bottom w:val="nil"/>
              <w:right w:val="nil"/>
            </w:tcBorders>
            <w:vAlign w:val="bottom"/>
            <w:hideMark/>
          </w:tcPr>
          <w:p w14:paraId="6A06BE62"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2.86</w:t>
            </w:r>
          </w:p>
        </w:tc>
        <w:tc>
          <w:tcPr>
            <w:tcW w:w="364" w:type="pct"/>
            <w:tcBorders>
              <w:top w:val="nil"/>
              <w:left w:val="nil"/>
              <w:bottom w:val="nil"/>
              <w:right w:val="nil"/>
            </w:tcBorders>
            <w:vAlign w:val="bottom"/>
            <w:hideMark/>
          </w:tcPr>
          <w:p w14:paraId="1FC2AD44"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7.87</w:t>
            </w:r>
          </w:p>
        </w:tc>
        <w:tc>
          <w:tcPr>
            <w:tcW w:w="365" w:type="pct"/>
            <w:tcBorders>
              <w:top w:val="nil"/>
              <w:left w:val="nil"/>
              <w:bottom w:val="nil"/>
              <w:right w:val="nil"/>
            </w:tcBorders>
            <w:vAlign w:val="bottom"/>
            <w:hideMark/>
          </w:tcPr>
          <w:p w14:paraId="0A7DC041"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10.72</w:t>
            </w:r>
          </w:p>
        </w:tc>
      </w:tr>
      <w:tr w:rsidR="00A959D2" w14:paraId="2F2B8B4B" w14:textId="77777777" w:rsidTr="00A959D2">
        <w:trPr>
          <w:trHeight w:val="20"/>
        </w:trPr>
        <w:tc>
          <w:tcPr>
            <w:tcW w:w="972" w:type="pct"/>
            <w:tcBorders>
              <w:top w:val="nil"/>
              <w:left w:val="nil"/>
              <w:bottom w:val="nil"/>
              <w:right w:val="nil"/>
            </w:tcBorders>
            <w:hideMark/>
          </w:tcPr>
          <w:p w14:paraId="1BD20183" w14:textId="77777777" w:rsidR="00A959D2" w:rsidRDefault="00A959D2">
            <w:pPr>
              <w:autoSpaceDE w:val="0"/>
              <w:autoSpaceDN w:val="0"/>
              <w:adjustRightInd w:val="0"/>
              <w:spacing w:after="0" w:line="240" w:lineRule="auto"/>
              <w:rPr>
                <w:rFonts w:eastAsia="Calibri" w:cs="Times New Roman"/>
                <w:sz w:val="20"/>
                <w:szCs w:val="20"/>
              </w:rPr>
            </w:pPr>
            <w:r>
              <w:rPr>
                <w:rFonts w:eastAsia="Calibri" w:cs="Times New Roman"/>
                <w:sz w:val="20"/>
                <w:szCs w:val="20"/>
              </w:rPr>
              <w:t xml:space="preserve">     male</w:t>
            </w:r>
          </w:p>
        </w:tc>
        <w:tc>
          <w:tcPr>
            <w:tcW w:w="313" w:type="pct"/>
            <w:tcBorders>
              <w:top w:val="nil"/>
              <w:left w:val="nil"/>
              <w:bottom w:val="nil"/>
              <w:right w:val="nil"/>
            </w:tcBorders>
            <w:hideMark/>
          </w:tcPr>
          <w:p w14:paraId="6290B5CF"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0.16</w:t>
            </w:r>
          </w:p>
        </w:tc>
        <w:tc>
          <w:tcPr>
            <w:tcW w:w="312" w:type="pct"/>
            <w:tcBorders>
              <w:top w:val="nil"/>
              <w:left w:val="nil"/>
              <w:bottom w:val="nil"/>
              <w:right w:val="nil"/>
            </w:tcBorders>
            <w:hideMark/>
          </w:tcPr>
          <w:p w14:paraId="649BC161"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1.64</w:t>
            </w:r>
          </w:p>
        </w:tc>
        <w:tc>
          <w:tcPr>
            <w:tcW w:w="313" w:type="pct"/>
            <w:tcBorders>
              <w:top w:val="nil"/>
              <w:left w:val="nil"/>
              <w:bottom w:val="nil"/>
              <w:right w:val="nil"/>
            </w:tcBorders>
            <w:hideMark/>
          </w:tcPr>
          <w:p w14:paraId="465697C1"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1.8</w:t>
            </w:r>
          </w:p>
        </w:tc>
        <w:tc>
          <w:tcPr>
            <w:tcW w:w="301" w:type="pct"/>
            <w:tcBorders>
              <w:top w:val="nil"/>
              <w:left w:val="nil"/>
              <w:bottom w:val="nil"/>
              <w:right w:val="nil"/>
            </w:tcBorders>
            <w:hideMark/>
          </w:tcPr>
          <w:p w14:paraId="0308A813"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0.83</w:t>
            </w:r>
          </w:p>
        </w:tc>
        <w:tc>
          <w:tcPr>
            <w:tcW w:w="364" w:type="pct"/>
            <w:tcBorders>
              <w:top w:val="nil"/>
              <w:left w:val="nil"/>
              <w:bottom w:val="nil"/>
              <w:right w:val="nil"/>
            </w:tcBorders>
            <w:hideMark/>
          </w:tcPr>
          <w:p w14:paraId="7E249606"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3.44</w:t>
            </w:r>
          </w:p>
        </w:tc>
        <w:tc>
          <w:tcPr>
            <w:tcW w:w="365" w:type="pct"/>
            <w:tcBorders>
              <w:top w:val="nil"/>
              <w:left w:val="nil"/>
              <w:bottom w:val="nil"/>
              <w:right w:val="nil"/>
            </w:tcBorders>
            <w:hideMark/>
          </w:tcPr>
          <w:p w14:paraId="5C9C5C11"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4.27</w:t>
            </w:r>
          </w:p>
        </w:tc>
        <w:tc>
          <w:tcPr>
            <w:tcW w:w="322" w:type="pct"/>
            <w:tcBorders>
              <w:top w:val="nil"/>
              <w:left w:val="nil"/>
              <w:bottom w:val="nil"/>
              <w:right w:val="nil"/>
            </w:tcBorders>
            <w:hideMark/>
          </w:tcPr>
          <w:p w14:paraId="7584DAB4"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1.47</w:t>
            </w:r>
          </w:p>
        </w:tc>
        <w:tc>
          <w:tcPr>
            <w:tcW w:w="322" w:type="pct"/>
            <w:tcBorders>
              <w:top w:val="nil"/>
              <w:left w:val="nil"/>
              <w:bottom w:val="nil"/>
              <w:right w:val="nil"/>
            </w:tcBorders>
            <w:hideMark/>
          </w:tcPr>
          <w:p w14:paraId="04C72621"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1.70</w:t>
            </w:r>
          </w:p>
        </w:tc>
        <w:tc>
          <w:tcPr>
            <w:tcW w:w="365" w:type="pct"/>
            <w:tcBorders>
              <w:top w:val="nil"/>
              <w:left w:val="nil"/>
              <w:bottom w:val="nil"/>
              <w:right w:val="nil"/>
            </w:tcBorders>
            <w:hideMark/>
          </w:tcPr>
          <w:p w14:paraId="670E617B"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3.19</w:t>
            </w:r>
          </w:p>
        </w:tc>
        <w:tc>
          <w:tcPr>
            <w:tcW w:w="322" w:type="pct"/>
            <w:tcBorders>
              <w:top w:val="nil"/>
              <w:left w:val="nil"/>
              <w:bottom w:val="nil"/>
              <w:right w:val="nil"/>
            </w:tcBorders>
            <w:vAlign w:val="bottom"/>
            <w:hideMark/>
          </w:tcPr>
          <w:p w14:paraId="2DBE8CF1"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2.46</w:t>
            </w:r>
          </w:p>
        </w:tc>
        <w:tc>
          <w:tcPr>
            <w:tcW w:w="364" w:type="pct"/>
            <w:tcBorders>
              <w:top w:val="nil"/>
              <w:left w:val="nil"/>
              <w:bottom w:val="nil"/>
              <w:right w:val="nil"/>
            </w:tcBorders>
            <w:vAlign w:val="bottom"/>
            <w:hideMark/>
          </w:tcPr>
          <w:p w14:paraId="0231CA8D"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6.78</w:t>
            </w:r>
          </w:p>
        </w:tc>
        <w:tc>
          <w:tcPr>
            <w:tcW w:w="365" w:type="pct"/>
            <w:tcBorders>
              <w:top w:val="nil"/>
              <w:left w:val="nil"/>
              <w:bottom w:val="nil"/>
              <w:right w:val="nil"/>
            </w:tcBorders>
            <w:vAlign w:val="bottom"/>
            <w:hideMark/>
          </w:tcPr>
          <w:p w14:paraId="4B344443"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9.72</w:t>
            </w:r>
          </w:p>
        </w:tc>
      </w:tr>
      <w:tr w:rsidR="00A959D2" w14:paraId="193CBAB8" w14:textId="77777777" w:rsidTr="00A959D2">
        <w:trPr>
          <w:trHeight w:val="20"/>
        </w:trPr>
        <w:tc>
          <w:tcPr>
            <w:tcW w:w="972" w:type="pct"/>
            <w:tcBorders>
              <w:top w:val="nil"/>
              <w:left w:val="nil"/>
              <w:bottom w:val="nil"/>
              <w:right w:val="nil"/>
            </w:tcBorders>
            <w:hideMark/>
          </w:tcPr>
          <w:p w14:paraId="348B9BA1" w14:textId="77777777" w:rsidR="00A959D2" w:rsidRDefault="00A959D2">
            <w:pPr>
              <w:autoSpaceDE w:val="0"/>
              <w:autoSpaceDN w:val="0"/>
              <w:adjustRightInd w:val="0"/>
              <w:spacing w:after="0" w:line="240" w:lineRule="auto"/>
              <w:rPr>
                <w:rFonts w:eastAsia="Calibri" w:cs="Times New Roman"/>
                <w:sz w:val="20"/>
                <w:szCs w:val="20"/>
              </w:rPr>
            </w:pPr>
            <w:r>
              <w:rPr>
                <w:rFonts w:eastAsia="Calibri" w:cs="Times New Roman"/>
                <w:sz w:val="20"/>
                <w:szCs w:val="20"/>
              </w:rPr>
              <w:t xml:space="preserve">     female</w:t>
            </w:r>
          </w:p>
        </w:tc>
        <w:tc>
          <w:tcPr>
            <w:tcW w:w="313" w:type="pct"/>
            <w:tcBorders>
              <w:top w:val="nil"/>
              <w:left w:val="nil"/>
              <w:bottom w:val="nil"/>
              <w:right w:val="nil"/>
            </w:tcBorders>
            <w:hideMark/>
          </w:tcPr>
          <w:p w14:paraId="6ADE5217"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0.031</w:t>
            </w:r>
          </w:p>
        </w:tc>
        <w:tc>
          <w:tcPr>
            <w:tcW w:w="312" w:type="pct"/>
            <w:tcBorders>
              <w:top w:val="nil"/>
              <w:left w:val="nil"/>
              <w:bottom w:val="nil"/>
              <w:right w:val="nil"/>
            </w:tcBorders>
            <w:hideMark/>
          </w:tcPr>
          <w:p w14:paraId="6E003E0E"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0.25</w:t>
            </w:r>
          </w:p>
        </w:tc>
        <w:tc>
          <w:tcPr>
            <w:tcW w:w="313" w:type="pct"/>
            <w:tcBorders>
              <w:top w:val="nil"/>
              <w:left w:val="nil"/>
              <w:bottom w:val="nil"/>
              <w:right w:val="nil"/>
            </w:tcBorders>
            <w:hideMark/>
          </w:tcPr>
          <w:p w14:paraId="1A59891D"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0.28</w:t>
            </w:r>
          </w:p>
        </w:tc>
        <w:tc>
          <w:tcPr>
            <w:tcW w:w="301" w:type="pct"/>
            <w:tcBorders>
              <w:top w:val="nil"/>
              <w:left w:val="nil"/>
              <w:bottom w:val="nil"/>
              <w:right w:val="nil"/>
            </w:tcBorders>
            <w:hideMark/>
          </w:tcPr>
          <w:p w14:paraId="77EDD1E8"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0.05</w:t>
            </w:r>
          </w:p>
        </w:tc>
        <w:tc>
          <w:tcPr>
            <w:tcW w:w="364" w:type="pct"/>
            <w:tcBorders>
              <w:top w:val="nil"/>
              <w:left w:val="nil"/>
              <w:bottom w:val="nil"/>
              <w:right w:val="nil"/>
            </w:tcBorders>
            <w:hideMark/>
          </w:tcPr>
          <w:p w14:paraId="799AB035"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0.34</w:t>
            </w:r>
          </w:p>
        </w:tc>
        <w:tc>
          <w:tcPr>
            <w:tcW w:w="365" w:type="pct"/>
            <w:tcBorders>
              <w:top w:val="nil"/>
              <w:left w:val="nil"/>
              <w:bottom w:val="nil"/>
              <w:right w:val="nil"/>
            </w:tcBorders>
            <w:hideMark/>
          </w:tcPr>
          <w:p w14:paraId="3E66D611"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0.40</w:t>
            </w:r>
          </w:p>
        </w:tc>
        <w:tc>
          <w:tcPr>
            <w:tcW w:w="322" w:type="pct"/>
            <w:tcBorders>
              <w:top w:val="nil"/>
              <w:left w:val="nil"/>
              <w:bottom w:val="nil"/>
              <w:right w:val="nil"/>
            </w:tcBorders>
            <w:hideMark/>
          </w:tcPr>
          <w:p w14:paraId="0A2F2AE9"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0.31</w:t>
            </w:r>
          </w:p>
        </w:tc>
        <w:tc>
          <w:tcPr>
            <w:tcW w:w="322" w:type="pct"/>
            <w:tcBorders>
              <w:top w:val="nil"/>
              <w:left w:val="nil"/>
              <w:bottom w:val="nil"/>
              <w:right w:val="nil"/>
            </w:tcBorders>
            <w:hideMark/>
          </w:tcPr>
          <w:p w14:paraId="4E8DF33A"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0.50</w:t>
            </w:r>
          </w:p>
        </w:tc>
        <w:tc>
          <w:tcPr>
            <w:tcW w:w="365" w:type="pct"/>
            <w:tcBorders>
              <w:top w:val="nil"/>
              <w:left w:val="nil"/>
              <w:bottom w:val="nil"/>
              <w:right w:val="nil"/>
            </w:tcBorders>
            <w:hideMark/>
          </w:tcPr>
          <w:p w14:paraId="36B8D5F5"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0.81</w:t>
            </w:r>
          </w:p>
        </w:tc>
        <w:tc>
          <w:tcPr>
            <w:tcW w:w="322" w:type="pct"/>
            <w:tcBorders>
              <w:top w:val="nil"/>
              <w:left w:val="nil"/>
              <w:bottom w:val="nil"/>
              <w:right w:val="nil"/>
            </w:tcBorders>
            <w:vAlign w:val="bottom"/>
            <w:hideMark/>
          </w:tcPr>
          <w:p w14:paraId="6BF4E255"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0.39</w:t>
            </w:r>
          </w:p>
        </w:tc>
        <w:tc>
          <w:tcPr>
            <w:tcW w:w="364" w:type="pct"/>
            <w:tcBorders>
              <w:top w:val="nil"/>
              <w:left w:val="nil"/>
              <w:bottom w:val="nil"/>
              <w:right w:val="nil"/>
            </w:tcBorders>
            <w:vAlign w:val="bottom"/>
            <w:hideMark/>
          </w:tcPr>
          <w:p w14:paraId="2C9BB7EA"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1.09</w:t>
            </w:r>
          </w:p>
        </w:tc>
        <w:tc>
          <w:tcPr>
            <w:tcW w:w="365" w:type="pct"/>
            <w:tcBorders>
              <w:top w:val="nil"/>
              <w:left w:val="nil"/>
              <w:bottom w:val="nil"/>
              <w:right w:val="nil"/>
            </w:tcBorders>
            <w:vAlign w:val="bottom"/>
            <w:hideMark/>
          </w:tcPr>
          <w:p w14:paraId="6CEB482C"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1.48</w:t>
            </w:r>
          </w:p>
        </w:tc>
      </w:tr>
      <w:tr w:rsidR="00A959D2" w14:paraId="0D24312F" w14:textId="77777777" w:rsidTr="00A959D2">
        <w:trPr>
          <w:trHeight w:val="20"/>
        </w:trPr>
        <w:tc>
          <w:tcPr>
            <w:tcW w:w="972" w:type="pct"/>
            <w:tcBorders>
              <w:top w:val="nil"/>
              <w:left w:val="nil"/>
              <w:bottom w:val="nil"/>
              <w:right w:val="nil"/>
            </w:tcBorders>
            <w:hideMark/>
          </w:tcPr>
          <w:p w14:paraId="49D3ECB3" w14:textId="77777777" w:rsidR="00A959D2" w:rsidRDefault="00A959D2">
            <w:pPr>
              <w:autoSpaceDE w:val="0"/>
              <w:autoSpaceDN w:val="0"/>
              <w:adjustRightInd w:val="0"/>
              <w:spacing w:after="0" w:line="240" w:lineRule="auto"/>
              <w:rPr>
                <w:rFonts w:eastAsia="Calibri" w:cs="Times New Roman"/>
                <w:sz w:val="20"/>
                <w:szCs w:val="20"/>
              </w:rPr>
            </w:pPr>
            <w:r>
              <w:rPr>
                <w:rFonts w:eastAsia="Calibri" w:cs="Times New Roman"/>
                <w:sz w:val="20"/>
                <w:szCs w:val="20"/>
              </w:rPr>
              <w:t>mean follow-up (years)</w:t>
            </w:r>
          </w:p>
        </w:tc>
        <w:tc>
          <w:tcPr>
            <w:tcW w:w="313" w:type="pct"/>
            <w:tcBorders>
              <w:top w:val="nil"/>
              <w:left w:val="nil"/>
              <w:bottom w:val="nil"/>
              <w:right w:val="nil"/>
            </w:tcBorders>
            <w:hideMark/>
          </w:tcPr>
          <w:p w14:paraId="622C7048"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36.4</w:t>
            </w:r>
          </w:p>
        </w:tc>
        <w:tc>
          <w:tcPr>
            <w:tcW w:w="312" w:type="pct"/>
            <w:tcBorders>
              <w:top w:val="nil"/>
              <w:left w:val="nil"/>
              <w:bottom w:val="nil"/>
              <w:right w:val="nil"/>
            </w:tcBorders>
            <w:hideMark/>
          </w:tcPr>
          <w:p w14:paraId="5DDC7184"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34.0</w:t>
            </w:r>
          </w:p>
        </w:tc>
        <w:tc>
          <w:tcPr>
            <w:tcW w:w="313" w:type="pct"/>
            <w:tcBorders>
              <w:top w:val="nil"/>
              <w:left w:val="nil"/>
              <w:bottom w:val="nil"/>
              <w:right w:val="nil"/>
            </w:tcBorders>
            <w:hideMark/>
          </w:tcPr>
          <w:p w14:paraId="6CFBBC5A"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34.2</w:t>
            </w:r>
          </w:p>
        </w:tc>
        <w:tc>
          <w:tcPr>
            <w:tcW w:w="301" w:type="pct"/>
            <w:tcBorders>
              <w:top w:val="nil"/>
              <w:left w:val="nil"/>
              <w:bottom w:val="nil"/>
              <w:right w:val="nil"/>
            </w:tcBorders>
            <w:hideMark/>
          </w:tcPr>
          <w:p w14:paraId="1075BC03"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36.2</w:t>
            </w:r>
          </w:p>
        </w:tc>
        <w:tc>
          <w:tcPr>
            <w:tcW w:w="364" w:type="pct"/>
            <w:tcBorders>
              <w:top w:val="nil"/>
              <w:left w:val="nil"/>
              <w:bottom w:val="nil"/>
              <w:right w:val="nil"/>
            </w:tcBorders>
            <w:hideMark/>
          </w:tcPr>
          <w:p w14:paraId="0FBA878C"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30.6</w:t>
            </w:r>
          </w:p>
        </w:tc>
        <w:tc>
          <w:tcPr>
            <w:tcW w:w="365" w:type="pct"/>
            <w:tcBorders>
              <w:top w:val="nil"/>
              <w:left w:val="nil"/>
              <w:bottom w:val="nil"/>
              <w:right w:val="nil"/>
            </w:tcBorders>
            <w:hideMark/>
          </w:tcPr>
          <w:p w14:paraId="01EED224"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31.6</w:t>
            </w:r>
          </w:p>
        </w:tc>
        <w:tc>
          <w:tcPr>
            <w:tcW w:w="322" w:type="pct"/>
            <w:tcBorders>
              <w:top w:val="nil"/>
              <w:left w:val="nil"/>
              <w:bottom w:val="nil"/>
              <w:right w:val="nil"/>
            </w:tcBorders>
            <w:vAlign w:val="bottom"/>
            <w:hideMark/>
          </w:tcPr>
          <w:p w14:paraId="42005F1B"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42.7</w:t>
            </w:r>
          </w:p>
        </w:tc>
        <w:tc>
          <w:tcPr>
            <w:tcW w:w="322" w:type="pct"/>
            <w:tcBorders>
              <w:top w:val="nil"/>
              <w:left w:val="nil"/>
              <w:bottom w:val="nil"/>
              <w:right w:val="nil"/>
            </w:tcBorders>
            <w:vAlign w:val="bottom"/>
            <w:hideMark/>
          </w:tcPr>
          <w:p w14:paraId="234D7936"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36.9</w:t>
            </w:r>
          </w:p>
        </w:tc>
        <w:tc>
          <w:tcPr>
            <w:tcW w:w="365" w:type="pct"/>
            <w:tcBorders>
              <w:top w:val="nil"/>
              <w:left w:val="nil"/>
              <w:bottom w:val="nil"/>
              <w:right w:val="nil"/>
            </w:tcBorders>
            <w:hideMark/>
          </w:tcPr>
          <w:p w14:paraId="6E2FD465"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39.3</w:t>
            </w:r>
          </w:p>
        </w:tc>
        <w:tc>
          <w:tcPr>
            <w:tcW w:w="322" w:type="pct"/>
            <w:tcBorders>
              <w:top w:val="nil"/>
              <w:left w:val="nil"/>
              <w:bottom w:val="nil"/>
              <w:right w:val="nil"/>
            </w:tcBorders>
            <w:vAlign w:val="bottom"/>
            <w:hideMark/>
          </w:tcPr>
          <w:p w14:paraId="3BF42758"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40.0</w:t>
            </w:r>
          </w:p>
        </w:tc>
        <w:tc>
          <w:tcPr>
            <w:tcW w:w="364" w:type="pct"/>
            <w:tcBorders>
              <w:top w:val="nil"/>
              <w:left w:val="nil"/>
              <w:bottom w:val="nil"/>
              <w:right w:val="nil"/>
            </w:tcBorders>
            <w:vAlign w:val="bottom"/>
            <w:hideMark/>
          </w:tcPr>
          <w:p w14:paraId="2096302A"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33.0</w:t>
            </w:r>
          </w:p>
        </w:tc>
        <w:tc>
          <w:tcPr>
            <w:tcW w:w="365" w:type="pct"/>
            <w:tcBorders>
              <w:top w:val="nil"/>
              <w:left w:val="nil"/>
              <w:bottom w:val="nil"/>
              <w:right w:val="nil"/>
            </w:tcBorders>
            <w:vAlign w:val="bottom"/>
            <w:hideMark/>
          </w:tcPr>
          <w:p w14:paraId="3CC282E4"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34.6</w:t>
            </w:r>
          </w:p>
        </w:tc>
      </w:tr>
      <w:tr w:rsidR="00A959D2" w14:paraId="2F9D275F" w14:textId="77777777" w:rsidTr="00A959D2">
        <w:trPr>
          <w:trHeight w:val="20"/>
        </w:trPr>
        <w:tc>
          <w:tcPr>
            <w:tcW w:w="972" w:type="pct"/>
            <w:tcBorders>
              <w:top w:val="nil"/>
              <w:left w:val="nil"/>
              <w:bottom w:val="nil"/>
              <w:right w:val="nil"/>
            </w:tcBorders>
            <w:hideMark/>
          </w:tcPr>
          <w:p w14:paraId="407F8F12" w14:textId="77777777" w:rsidR="00A959D2" w:rsidRDefault="00A959D2">
            <w:pPr>
              <w:autoSpaceDE w:val="0"/>
              <w:autoSpaceDN w:val="0"/>
              <w:adjustRightInd w:val="0"/>
              <w:spacing w:after="0" w:line="240" w:lineRule="auto"/>
              <w:rPr>
                <w:rFonts w:eastAsia="Calibri" w:cs="Times New Roman"/>
                <w:sz w:val="20"/>
                <w:szCs w:val="20"/>
              </w:rPr>
            </w:pPr>
            <w:r>
              <w:rPr>
                <w:rFonts w:eastAsia="Calibri" w:cs="Times New Roman"/>
                <w:sz w:val="20"/>
                <w:szCs w:val="20"/>
              </w:rPr>
              <w:t>mean age at EOF (years)</w:t>
            </w:r>
          </w:p>
        </w:tc>
        <w:tc>
          <w:tcPr>
            <w:tcW w:w="313" w:type="pct"/>
            <w:tcBorders>
              <w:top w:val="nil"/>
              <w:left w:val="nil"/>
              <w:bottom w:val="nil"/>
              <w:right w:val="nil"/>
            </w:tcBorders>
            <w:hideMark/>
          </w:tcPr>
          <w:p w14:paraId="78A08BD0"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78.2</w:t>
            </w:r>
          </w:p>
        </w:tc>
        <w:tc>
          <w:tcPr>
            <w:tcW w:w="312" w:type="pct"/>
            <w:tcBorders>
              <w:top w:val="nil"/>
              <w:left w:val="nil"/>
              <w:bottom w:val="nil"/>
              <w:right w:val="nil"/>
            </w:tcBorders>
            <w:hideMark/>
          </w:tcPr>
          <w:p w14:paraId="4220A871"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63.5</w:t>
            </w:r>
          </w:p>
        </w:tc>
        <w:tc>
          <w:tcPr>
            <w:tcW w:w="313" w:type="pct"/>
            <w:tcBorders>
              <w:top w:val="nil"/>
              <w:left w:val="nil"/>
              <w:bottom w:val="nil"/>
              <w:right w:val="nil"/>
            </w:tcBorders>
            <w:hideMark/>
          </w:tcPr>
          <w:p w14:paraId="79EAD6E1"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64.8</w:t>
            </w:r>
          </w:p>
        </w:tc>
        <w:tc>
          <w:tcPr>
            <w:tcW w:w="301" w:type="pct"/>
            <w:tcBorders>
              <w:top w:val="nil"/>
              <w:left w:val="nil"/>
              <w:bottom w:val="nil"/>
              <w:right w:val="nil"/>
            </w:tcBorders>
            <w:hideMark/>
          </w:tcPr>
          <w:p w14:paraId="41428227"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74.0</w:t>
            </w:r>
          </w:p>
        </w:tc>
        <w:tc>
          <w:tcPr>
            <w:tcW w:w="364" w:type="pct"/>
            <w:tcBorders>
              <w:top w:val="nil"/>
              <w:left w:val="nil"/>
              <w:bottom w:val="nil"/>
              <w:right w:val="nil"/>
            </w:tcBorders>
            <w:hideMark/>
          </w:tcPr>
          <w:p w14:paraId="2F87FB4B"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60.2</w:t>
            </w:r>
          </w:p>
        </w:tc>
        <w:tc>
          <w:tcPr>
            <w:tcW w:w="365" w:type="pct"/>
            <w:tcBorders>
              <w:top w:val="nil"/>
              <w:left w:val="nil"/>
              <w:bottom w:val="nil"/>
              <w:right w:val="nil"/>
            </w:tcBorders>
            <w:hideMark/>
          </w:tcPr>
          <w:p w14:paraId="0EC04005"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62.5</w:t>
            </w:r>
          </w:p>
        </w:tc>
        <w:tc>
          <w:tcPr>
            <w:tcW w:w="322" w:type="pct"/>
            <w:tcBorders>
              <w:top w:val="nil"/>
              <w:left w:val="nil"/>
              <w:bottom w:val="nil"/>
              <w:right w:val="nil"/>
            </w:tcBorders>
            <w:vAlign w:val="bottom"/>
            <w:hideMark/>
          </w:tcPr>
          <w:p w14:paraId="0064B625"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76.4</w:t>
            </w:r>
          </w:p>
        </w:tc>
        <w:tc>
          <w:tcPr>
            <w:tcW w:w="322" w:type="pct"/>
            <w:tcBorders>
              <w:top w:val="nil"/>
              <w:left w:val="nil"/>
              <w:bottom w:val="nil"/>
              <w:right w:val="nil"/>
            </w:tcBorders>
            <w:vAlign w:val="bottom"/>
            <w:hideMark/>
          </w:tcPr>
          <w:p w14:paraId="32AC5101"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67.9</w:t>
            </w:r>
          </w:p>
        </w:tc>
        <w:tc>
          <w:tcPr>
            <w:tcW w:w="365" w:type="pct"/>
            <w:tcBorders>
              <w:top w:val="nil"/>
              <w:left w:val="nil"/>
              <w:bottom w:val="nil"/>
              <w:right w:val="nil"/>
            </w:tcBorders>
            <w:hideMark/>
          </w:tcPr>
          <w:p w14:paraId="17AC699C"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71.4</w:t>
            </w:r>
          </w:p>
        </w:tc>
        <w:tc>
          <w:tcPr>
            <w:tcW w:w="322" w:type="pct"/>
            <w:tcBorders>
              <w:top w:val="nil"/>
              <w:left w:val="nil"/>
              <w:bottom w:val="nil"/>
              <w:right w:val="nil"/>
            </w:tcBorders>
            <w:vAlign w:val="bottom"/>
            <w:hideMark/>
          </w:tcPr>
          <w:p w14:paraId="4C5C4A28"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75.7</w:t>
            </w:r>
          </w:p>
        </w:tc>
        <w:tc>
          <w:tcPr>
            <w:tcW w:w="364" w:type="pct"/>
            <w:tcBorders>
              <w:top w:val="nil"/>
              <w:left w:val="nil"/>
              <w:bottom w:val="nil"/>
              <w:right w:val="nil"/>
            </w:tcBorders>
            <w:vAlign w:val="bottom"/>
            <w:hideMark/>
          </w:tcPr>
          <w:p w14:paraId="0B95BB20"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62.9</w:t>
            </w:r>
          </w:p>
        </w:tc>
        <w:tc>
          <w:tcPr>
            <w:tcW w:w="365" w:type="pct"/>
            <w:tcBorders>
              <w:top w:val="nil"/>
              <w:left w:val="nil"/>
              <w:bottom w:val="nil"/>
              <w:right w:val="nil"/>
            </w:tcBorders>
            <w:vAlign w:val="bottom"/>
            <w:hideMark/>
          </w:tcPr>
          <w:p w14:paraId="0A385EE5"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65.9</w:t>
            </w:r>
          </w:p>
        </w:tc>
      </w:tr>
      <w:tr w:rsidR="00A959D2" w14:paraId="390F0FEA" w14:textId="77777777" w:rsidTr="00A959D2">
        <w:trPr>
          <w:trHeight w:val="20"/>
        </w:trPr>
        <w:tc>
          <w:tcPr>
            <w:tcW w:w="972" w:type="pct"/>
            <w:tcBorders>
              <w:top w:val="nil"/>
              <w:left w:val="nil"/>
              <w:bottom w:val="nil"/>
              <w:right w:val="nil"/>
            </w:tcBorders>
            <w:hideMark/>
          </w:tcPr>
          <w:p w14:paraId="3AFC397C" w14:textId="77777777" w:rsidR="00A959D2" w:rsidRDefault="00A959D2">
            <w:pPr>
              <w:autoSpaceDE w:val="0"/>
              <w:autoSpaceDN w:val="0"/>
              <w:adjustRightInd w:val="0"/>
              <w:spacing w:after="0" w:line="240" w:lineRule="auto"/>
              <w:rPr>
                <w:rFonts w:eastAsia="Calibri" w:cs="Times New Roman"/>
                <w:sz w:val="20"/>
                <w:szCs w:val="20"/>
              </w:rPr>
            </w:pPr>
            <w:r>
              <w:rPr>
                <w:rFonts w:eastAsia="Calibri" w:cs="Times New Roman"/>
                <w:sz w:val="20"/>
                <w:szCs w:val="20"/>
              </w:rPr>
              <w:t>mean colon dose (</w:t>
            </w:r>
            <w:proofErr w:type="spellStart"/>
            <w:r>
              <w:rPr>
                <w:rFonts w:eastAsia="Calibri" w:cs="Times New Roman"/>
                <w:sz w:val="20"/>
                <w:szCs w:val="20"/>
              </w:rPr>
              <w:t>mGy</w:t>
            </w:r>
            <w:proofErr w:type="spellEnd"/>
            <w:r>
              <w:rPr>
                <w:rFonts w:eastAsia="Calibri" w:cs="Times New Roman"/>
                <w:sz w:val="20"/>
                <w:szCs w:val="20"/>
              </w:rPr>
              <w:t>)</w:t>
            </w:r>
          </w:p>
        </w:tc>
        <w:tc>
          <w:tcPr>
            <w:tcW w:w="313" w:type="pct"/>
            <w:tcBorders>
              <w:top w:val="nil"/>
              <w:left w:val="nil"/>
              <w:bottom w:val="nil"/>
              <w:right w:val="nil"/>
            </w:tcBorders>
            <w:hideMark/>
          </w:tcPr>
          <w:p w14:paraId="793618F1"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18.0</w:t>
            </w:r>
          </w:p>
        </w:tc>
        <w:tc>
          <w:tcPr>
            <w:tcW w:w="312" w:type="pct"/>
            <w:tcBorders>
              <w:top w:val="nil"/>
              <w:left w:val="nil"/>
              <w:bottom w:val="nil"/>
              <w:right w:val="nil"/>
            </w:tcBorders>
            <w:hideMark/>
          </w:tcPr>
          <w:p w14:paraId="2B67E005"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12.4</w:t>
            </w:r>
          </w:p>
        </w:tc>
        <w:tc>
          <w:tcPr>
            <w:tcW w:w="313" w:type="pct"/>
            <w:tcBorders>
              <w:top w:val="nil"/>
              <w:left w:val="nil"/>
              <w:bottom w:val="nil"/>
              <w:right w:val="nil"/>
            </w:tcBorders>
            <w:hideMark/>
          </w:tcPr>
          <w:p w14:paraId="4B09ED11" w14:textId="77777777" w:rsidR="00A959D2" w:rsidRDefault="00A959D2">
            <w:pPr>
              <w:tabs>
                <w:tab w:val="left" w:pos="1240"/>
              </w:tabs>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12.9</w:t>
            </w:r>
          </w:p>
        </w:tc>
        <w:tc>
          <w:tcPr>
            <w:tcW w:w="301" w:type="pct"/>
            <w:tcBorders>
              <w:top w:val="nil"/>
              <w:left w:val="nil"/>
              <w:bottom w:val="nil"/>
              <w:right w:val="nil"/>
            </w:tcBorders>
            <w:hideMark/>
          </w:tcPr>
          <w:p w14:paraId="56D8896E"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39.5</w:t>
            </w:r>
          </w:p>
        </w:tc>
        <w:tc>
          <w:tcPr>
            <w:tcW w:w="364" w:type="pct"/>
            <w:tcBorders>
              <w:top w:val="nil"/>
              <w:left w:val="nil"/>
              <w:bottom w:val="nil"/>
              <w:right w:val="nil"/>
            </w:tcBorders>
            <w:hideMark/>
          </w:tcPr>
          <w:p w14:paraId="4C1D1C26"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16.4</w:t>
            </w:r>
          </w:p>
        </w:tc>
        <w:tc>
          <w:tcPr>
            <w:tcW w:w="365" w:type="pct"/>
            <w:tcBorders>
              <w:top w:val="nil"/>
              <w:left w:val="nil"/>
              <w:bottom w:val="nil"/>
              <w:right w:val="nil"/>
            </w:tcBorders>
            <w:hideMark/>
          </w:tcPr>
          <w:p w14:paraId="13CDB9D2"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20.2</w:t>
            </w:r>
          </w:p>
        </w:tc>
        <w:tc>
          <w:tcPr>
            <w:tcW w:w="322" w:type="pct"/>
            <w:tcBorders>
              <w:top w:val="nil"/>
              <w:left w:val="nil"/>
              <w:bottom w:val="nil"/>
              <w:right w:val="nil"/>
            </w:tcBorders>
            <w:vAlign w:val="bottom"/>
            <w:hideMark/>
          </w:tcPr>
          <w:p w14:paraId="565E62DD"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26.5</w:t>
            </w:r>
          </w:p>
        </w:tc>
        <w:tc>
          <w:tcPr>
            <w:tcW w:w="322" w:type="pct"/>
            <w:tcBorders>
              <w:top w:val="nil"/>
              <w:left w:val="nil"/>
              <w:bottom w:val="nil"/>
              <w:right w:val="nil"/>
            </w:tcBorders>
            <w:vAlign w:val="bottom"/>
            <w:hideMark/>
          </w:tcPr>
          <w:p w14:paraId="7E038D40"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10.1</w:t>
            </w:r>
          </w:p>
        </w:tc>
        <w:tc>
          <w:tcPr>
            <w:tcW w:w="365" w:type="pct"/>
            <w:tcBorders>
              <w:top w:val="nil"/>
              <w:left w:val="nil"/>
              <w:bottom w:val="nil"/>
              <w:right w:val="nil"/>
            </w:tcBorders>
            <w:hideMark/>
          </w:tcPr>
          <w:p w14:paraId="694ECFB3"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16.8</w:t>
            </w:r>
          </w:p>
        </w:tc>
        <w:tc>
          <w:tcPr>
            <w:tcW w:w="322" w:type="pct"/>
            <w:tcBorders>
              <w:top w:val="nil"/>
              <w:left w:val="nil"/>
              <w:bottom w:val="nil"/>
              <w:right w:val="nil"/>
            </w:tcBorders>
            <w:vAlign w:val="bottom"/>
            <w:hideMark/>
          </w:tcPr>
          <w:p w14:paraId="0F83052F"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30.3</w:t>
            </w:r>
          </w:p>
        </w:tc>
        <w:tc>
          <w:tcPr>
            <w:tcW w:w="364" w:type="pct"/>
            <w:tcBorders>
              <w:top w:val="nil"/>
              <w:left w:val="nil"/>
              <w:bottom w:val="nil"/>
              <w:right w:val="nil"/>
            </w:tcBorders>
            <w:vAlign w:val="bottom"/>
            <w:hideMark/>
          </w:tcPr>
          <w:p w14:paraId="306A98EB"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13.9</w:t>
            </w:r>
          </w:p>
        </w:tc>
        <w:tc>
          <w:tcPr>
            <w:tcW w:w="365" w:type="pct"/>
            <w:tcBorders>
              <w:top w:val="nil"/>
              <w:left w:val="nil"/>
              <w:bottom w:val="nil"/>
              <w:right w:val="nil"/>
            </w:tcBorders>
            <w:vAlign w:val="bottom"/>
            <w:hideMark/>
          </w:tcPr>
          <w:p w14:paraId="047935BC"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17.7</w:t>
            </w:r>
          </w:p>
        </w:tc>
      </w:tr>
      <w:tr w:rsidR="00A959D2" w14:paraId="5DA0B0E2" w14:textId="77777777" w:rsidTr="00A959D2">
        <w:trPr>
          <w:trHeight w:val="20"/>
        </w:trPr>
        <w:tc>
          <w:tcPr>
            <w:tcW w:w="972" w:type="pct"/>
            <w:tcBorders>
              <w:top w:val="nil"/>
              <w:left w:val="nil"/>
              <w:bottom w:val="nil"/>
              <w:right w:val="nil"/>
            </w:tcBorders>
            <w:hideMark/>
          </w:tcPr>
          <w:p w14:paraId="11E25AB4" w14:textId="77777777" w:rsidR="00A959D2" w:rsidRDefault="00A959D2">
            <w:pPr>
              <w:autoSpaceDE w:val="0"/>
              <w:autoSpaceDN w:val="0"/>
              <w:adjustRightInd w:val="0"/>
              <w:spacing w:after="0" w:line="240" w:lineRule="auto"/>
              <w:rPr>
                <w:rFonts w:eastAsia="Calibri" w:cs="Times New Roman"/>
                <w:sz w:val="20"/>
                <w:szCs w:val="20"/>
              </w:rPr>
            </w:pPr>
            <w:r>
              <w:rPr>
                <w:rFonts w:eastAsia="Calibri" w:cs="Times New Roman"/>
                <w:sz w:val="20"/>
                <w:szCs w:val="20"/>
              </w:rPr>
              <w:t>solid cancer deaths</w:t>
            </w:r>
          </w:p>
        </w:tc>
        <w:tc>
          <w:tcPr>
            <w:tcW w:w="313" w:type="pct"/>
            <w:tcBorders>
              <w:top w:val="nil"/>
              <w:left w:val="nil"/>
              <w:bottom w:val="nil"/>
              <w:right w:val="nil"/>
            </w:tcBorders>
            <w:hideMark/>
          </w:tcPr>
          <w:p w14:paraId="33BE64F0"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1,055</w:t>
            </w:r>
          </w:p>
        </w:tc>
        <w:tc>
          <w:tcPr>
            <w:tcW w:w="312" w:type="pct"/>
            <w:tcBorders>
              <w:top w:val="nil"/>
              <w:left w:val="nil"/>
              <w:bottom w:val="nil"/>
              <w:right w:val="nil"/>
            </w:tcBorders>
            <w:hideMark/>
          </w:tcPr>
          <w:p w14:paraId="2A3311D9"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3,391</w:t>
            </w:r>
          </w:p>
        </w:tc>
        <w:tc>
          <w:tcPr>
            <w:tcW w:w="313" w:type="pct"/>
            <w:tcBorders>
              <w:top w:val="nil"/>
              <w:left w:val="nil"/>
              <w:bottom w:val="nil"/>
              <w:right w:val="nil"/>
            </w:tcBorders>
            <w:hideMark/>
          </w:tcPr>
          <w:p w14:paraId="04407054"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4,446</w:t>
            </w:r>
          </w:p>
        </w:tc>
        <w:tc>
          <w:tcPr>
            <w:tcW w:w="301" w:type="pct"/>
            <w:tcBorders>
              <w:top w:val="nil"/>
              <w:left w:val="nil"/>
              <w:bottom w:val="nil"/>
              <w:right w:val="nil"/>
            </w:tcBorders>
            <w:hideMark/>
          </w:tcPr>
          <w:p w14:paraId="3721E65C"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4,353</w:t>
            </w:r>
          </w:p>
        </w:tc>
        <w:tc>
          <w:tcPr>
            <w:tcW w:w="364" w:type="pct"/>
            <w:tcBorders>
              <w:top w:val="nil"/>
              <w:left w:val="nil"/>
              <w:bottom w:val="nil"/>
              <w:right w:val="nil"/>
            </w:tcBorders>
            <w:hideMark/>
          </w:tcPr>
          <w:p w14:paraId="2A8F38D5"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7,221</w:t>
            </w:r>
          </w:p>
        </w:tc>
        <w:tc>
          <w:tcPr>
            <w:tcW w:w="365" w:type="pct"/>
            <w:tcBorders>
              <w:top w:val="nil"/>
              <w:left w:val="nil"/>
              <w:bottom w:val="nil"/>
              <w:right w:val="nil"/>
            </w:tcBorders>
            <w:hideMark/>
          </w:tcPr>
          <w:p w14:paraId="5383FBF3"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11,574</w:t>
            </w:r>
          </w:p>
        </w:tc>
        <w:tc>
          <w:tcPr>
            <w:tcW w:w="322" w:type="pct"/>
            <w:tcBorders>
              <w:top w:val="nil"/>
              <w:left w:val="nil"/>
              <w:bottom w:val="nil"/>
              <w:right w:val="nil"/>
            </w:tcBorders>
            <w:vAlign w:val="bottom"/>
            <w:hideMark/>
          </w:tcPr>
          <w:p w14:paraId="09657871"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7,813</w:t>
            </w:r>
          </w:p>
        </w:tc>
        <w:tc>
          <w:tcPr>
            <w:tcW w:w="322" w:type="pct"/>
            <w:tcBorders>
              <w:top w:val="nil"/>
              <w:left w:val="nil"/>
              <w:bottom w:val="nil"/>
              <w:right w:val="nil"/>
            </w:tcBorders>
            <w:vAlign w:val="bottom"/>
            <w:hideMark/>
          </w:tcPr>
          <w:p w14:paraId="14CA2E64"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4,256</w:t>
            </w:r>
          </w:p>
        </w:tc>
        <w:tc>
          <w:tcPr>
            <w:tcW w:w="365" w:type="pct"/>
            <w:tcBorders>
              <w:top w:val="nil"/>
              <w:left w:val="nil"/>
              <w:bottom w:val="nil"/>
              <w:right w:val="nil"/>
            </w:tcBorders>
            <w:hideMark/>
          </w:tcPr>
          <w:p w14:paraId="2B6273AB"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12,069</w:t>
            </w:r>
          </w:p>
        </w:tc>
        <w:tc>
          <w:tcPr>
            <w:tcW w:w="322" w:type="pct"/>
            <w:tcBorders>
              <w:top w:val="nil"/>
              <w:left w:val="nil"/>
              <w:bottom w:val="nil"/>
              <w:right w:val="nil"/>
            </w:tcBorders>
            <w:vAlign w:val="bottom"/>
            <w:hideMark/>
          </w:tcPr>
          <w:p w14:paraId="7AFC2994"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13,221</w:t>
            </w:r>
          </w:p>
        </w:tc>
        <w:tc>
          <w:tcPr>
            <w:tcW w:w="364" w:type="pct"/>
            <w:tcBorders>
              <w:top w:val="nil"/>
              <w:left w:val="nil"/>
              <w:bottom w:val="nil"/>
              <w:right w:val="nil"/>
            </w:tcBorders>
            <w:vAlign w:val="bottom"/>
            <w:hideMark/>
          </w:tcPr>
          <w:p w14:paraId="36D41764"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14,868</w:t>
            </w:r>
          </w:p>
        </w:tc>
        <w:tc>
          <w:tcPr>
            <w:tcW w:w="365" w:type="pct"/>
            <w:tcBorders>
              <w:top w:val="nil"/>
              <w:left w:val="nil"/>
              <w:bottom w:val="nil"/>
              <w:right w:val="nil"/>
            </w:tcBorders>
            <w:vAlign w:val="bottom"/>
            <w:hideMark/>
          </w:tcPr>
          <w:p w14:paraId="01921E4A"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28,089</w:t>
            </w:r>
          </w:p>
        </w:tc>
      </w:tr>
      <w:tr w:rsidR="00A959D2" w14:paraId="2839D580" w14:textId="77777777" w:rsidTr="00A959D2">
        <w:trPr>
          <w:trHeight w:val="20"/>
        </w:trPr>
        <w:tc>
          <w:tcPr>
            <w:tcW w:w="972" w:type="pct"/>
            <w:tcBorders>
              <w:top w:val="nil"/>
              <w:left w:val="nil"/>
              <w:bottom w:val="nil"/>
              <w:right w:val="nil"/>
            </w:tcBorders>
            <w:hideMark/>
          </w:tcPr>
          <w:p w14:paraId="78AEAA30" w14:textId="77777777" w:rsidR="00A959D2" w:rsidRDefault="00A959D2">
            <w:pPr>
              <w:autoSpaceDE w:val="0"/>
              <w:autoSpaceDN w:val="0"/>
              <w:adjustRightInd w:val="0"/>
              <w:spacing w:after="0" w:line="240" w:lineRule="auto"/>
              <w:rPr>
                <w:rFonts w:eastAsia="Calibri" w:cs="Times New Roman"/>
                <w:sz w:val="20"/>
                <w:szCs w:val="20"/>
              </w:rPr>
            </w:pPr>
            <w:r>
              <w:rPr>
                <w:rFonts w:eastAsia="Calibri" w:cs="Times New Roman"/>
                <w:sz w:val="20"/>
                <w:szCs w:val="20"/>
              </w:rPr>
              <w:t>lung cancer deaths</w:t>
            </w:r>
          </w:p>
        </w:tc>
        <w:tc>
          <w:tcPr>
            <w:tcW w:w="313" w:type="pct"/>
            <w:tcBorders>
              <w:top w:val="nil"/>
              <w:left w:val="nil"/>
              <w:bottom w:val="nil"/>
              <w:right w:val="nil"/>
            </w:tcBorders>
            <w:hideMark/>
          </w:tcPr>
          <w:p w14:paraId="5FC3E1CE"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243</w:t>
            </w:r>
          </w:p>
        </w:tc>
        <w:tc>
          <w:tcPr>
            <w:tcW w:w="312" w:type="pct"/>
            <w:tcBorders>
              <w:top w:val="nil"/>
              <w:left w:val="nil"/>
              <w:bottom w:val="nil"/>
              <w:right w:val="nil"/>
            </w:tcBorders>
            <w:hideMark/>
          </w:tcPr>
          <w:p w14:paraId="78BA8B1A"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886</w:t>
            </w:r>
          </w:p>
        </w:tc>
        <w:tc>
          <w:tcPr>
            <w:tcW w:w="313" w:type="pct"/>
            <w:tcBorders>
              <w:top w:val="nil"/>
              <w:left w:val="nil"/>
              <w:bottom w:val="nil"/>
              <w:right w:val="nil"/>
            </w:tcBorders>
            <w:hideMark/>
          </w:tcPr>
          <w:p w14:paraId="27775A89"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1,129</w:t>
            </w:r>
          </w:p>
        </w:tc>
        <w:tc>
          <w:tcPr>
            <w:tcW w:w="301" w:type="pct"/>
            <w:tcBorders>
              <w:top w:val="nil"/>
              <w:left w:val="nil"/>
              <w:bottom w:val="nil"/>
              <w:right w:val="nil"/>
            </w:tcBorders>
            <w:hideMark/>
          </w:tcPr>
          <w:p w14:paraId="28D8F770"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1,259</w:t>
            </w:r>
          </w:p>
        </w:tc>
        <w:tc>
          <w:tcPr>
            <w:tcW w:w="364" w:type="pct"/>
            <w:tcBorders>
              <w:top w:val="nil"/>
              <w:left w:val="nil"/>
              <w:bottom w:val="nil"/>
              <w:right w:val="nil"/>
            </w:tcBorders>
            <w:hideMark/>
          </w:tcPr>
          <w:p w14:paraId="269949F9"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2,007</w:t>
            </w:r>
          </w:p>
        </w:tc>
        <w:tc>
          <w:tcPr>
            <w:tcW w:w="365" w:type="pct"/>
            <w:tcBorders>
              <w:top w:val="nil"/>
              <w:left w:val="nil"/>
              <w:bottom w:val="nil"/>
              <w:right w:val="nil"/>
            </w:tcBorders>
            <w:hideMark/>
          </w:tcPr>
          <w:p w14:paraId="61B79778"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3,266</w:t>
            </w:r>
          </w:p>
        </w:tc>
        <w:tc>
          <w:tcPr>
            <w:tcW w:w="322" w:type="pct"/>
            <w:tcBorders>
              <w:top w:val="nil"/>
              <w:left w:val="nil"/>
              <w:bottom w:val="nil"/>
              <w:right w:val="nil"/>
            </w:tcBorders>
            <w:vAlign w:val="bottom"/>
            <w:hideMark/>
          </w:tcPr>
          <w:p w14:paraId="5B3AB168"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2,588</w:t>
            </w:r>
          </w:p>
        </w:tc>
        <w:tc>
          <w:tcPr>
            <w:tcW w:w="322" w:type="pct"/>
            <w:tcBorders>
              <w:top w:val="nil"/>
              <w:left w:val="nil"/>
              <w:bottom w:val="nil"/>
              <w:right w:val="nil"/>
            </w:tcBorders>
            <w:vAlign w:val="bottom"/>
            <w:hideMark/>
          </w:tcPr>
          <w:p w14:paraId="75B4C250"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1,283</w:t>
            </w:r>
          </w:p>
        </w:tc>
        <w:tc>
          <w:tcPr>
            <w:tcW w:w="365" w:type="pct"/>
            <w:tcBorders>
              <w:top w:val="nil"/>
              <w:left w:val="nil"/>
              <w:bottom w:val="nil"/>
              <w:right w:val="nil"/>
            </w:tcBorders>
            <w:hideMark/>
          </w:tcPr>
          <w:p w14:paraId="328F679B"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3,871</w:t>
            </w:r>
          </w:p>
        </w:tc>
        <w:tc>
          <w:tcPr>
            <w:tcW w:w="322" w:type="pct"/>
            <w:tcBorders>
              <w:top w:val="nil"/>
              <w:left w:val="nil"/>
              <w:bottom w:val="nil"/>
              <w:right w:val="nil"/>
            </w:tcBorders>
            <w:vAlign w:val="bottom"/>
            <w:hideMark/>
          </w:tcPr>
          <w:p w14:paraId="4286788E"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4,090</w:t>
            </w:r>
          </w:p>
        </w:tc>
        <w:tc>
          <w:tcPr>
            <w:tcW w:w="364" w:type="pct"/>
            <w:tcBorders>
              <w:top w:val="nil"/>
              <w:left w:val="nil"/>
              <w:bottom w:val="nil"/>
              <w:right w:val="nil"/>
            </w:tcBorders>
            <w:vAlign w:val="bottom"/>
            <w:hideMark/>
          </w:tcPr>
          <w:p w14:paraId="3BCBB1DC"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4,176</w:t>
            </w:r>
          </w:p>
        </w:tc>
        <w:tc>
          <w:tcPr>
            <w:tcW w:w="365" w:type="pct"/>
            <w:tcBorders>
              <w:top w:val="nil"/>
              <w:left w:val="nil"/>
              <w:bottom w:val="nil"/>
              <w:right w:val="nil"/>
            </w:tcBorders>
            <w:vAlign w:val="bottom"/>
            <w:hideMark/>
          </w:tcPr>
          <w:p w14:paraId="10730956"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8,266</w:t>
            </w:r>
          </w:p>
        </w:tc>
      </w:tr>
      <w:tr w:rsidR="00A959D2" w14:paraId="29DD1D35" w14:textId="77777777" w:rsidTr="00A959D2">
        <w:trPr>
          <w:trHeight w:val="20"/>
        </w:trPr>
        <w:tc>
          <w:tcPr>
            <w:tcW w:w="972" w:type="pct"/>
            <w:tcBorders>
              <w:top w:val="nil"/>
              <w:left w:val="nil"/>
              <w:bottom w:val="single" w:sz="4" w:space="0" w:color="7F7F7F"/>
              <w:right w:val="nil"/>
            </w:tcBorders>
            <w:hideMark/>
          </w:tcPr>
          <w:p w14:paraId="4DC05E40" w14:textId="77777777" w:rsidR="00A959D2" w:rsidRDefault="00A959D2">
            <w:pPr>
              <w:autoSpaceDE w:val="0"/>
              <w:autoSpaceDN w:val="0"/>
              <w:adjustRightInd w:val="0"/>
              <w:spacing w:after="0" w:line="240" w:lineRule="auto"/>
              <w:rPr>
                <w:rFonts w:eastAsia="Calibri" w:cs="Times New Roman"/>
                <w:sz w:val="20"/>
                <w:szCs w:val="20"/>
              </w:rPr>
            </w:pPr>
            <w:r>
              <w:rPr>
                <w:rFonts w:eastAsia="Calibri" w:cs="Times New Roman"/>
                <w:sz w:val="20"/>
                <w:szCs w:val="20"/>
              </w:rPr>
              <w:t>leukemia, excl. CLL deaths</w:t>
            </w:r>
          </w:p>
        </w:tc>
        <w:tc>
          <w:tcPr>
            <w:tcW w:w="313" w:type="pct"/>
            <w:tcBorders>
              <w:top w:val="nil"/>
              <w:left w:val="nil"/>
              <w:bottom w:val="single" w:sz="4" w:space="0" w:color="7F7F7F"/>
              <w:right w:val="nil"/>
            </w:tcBorders>
            <w:hideMark/>
          </w:tcPr>
          <w:p w14:paraId="67EC936A"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22</w:t>
            </w:r>
          </w:p>
        </w:tc>
        <w:tc>
          <w:tcPr>
            <w:tcW w:w="312" w:type="pct"/>
            <w:tcBorders>
              <w:top w:val="nil"/>
              <w:left w:val="nil"/>
              <w:bottom w:val="single" w:sz="4" w:space="0" w:color="7F7F7F"/>
              <w:right w:val="nil"/>
            </w:tcBorders>
            <w:hideMark/>
          </w:tcPr>
          <w:p w14:paraId="79E0455C"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100</w:t>
            </w:r>
          </w:p>
        </w:tc>
        <w:tc>
          <w:tcPr>
            <w:tcW w:w="313" w:type="pct"/>
            <w:tcBorders>
              <w:top w:val="nil"/>
              <w:left w:val="nil"/>
              <w:bottom w:val="single" w:sz="4" w:space="0" w:color="7F7F7F"/>
              <w:right w:val="nil"/>
            </w:tcBorders>
            <w:hideMark/>
          </w:tcPr>
          <w:p w14:paraId="2BD1E44B"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122</w:t>
            </w:r>
          </w:p>
        </w:tc>
        <w:tc>
          <w:tcPr>
            <w:tcW w:w="301" w:type="pct"/>
            <w:tcBorders>
              <w:top w:val="nil"/>
              <w:left w:val="nil"/>
              <w:bottom w:val="single" w:sz="4" w:space="0" w:color="7F7F7F"/>
              <w:right w:val="nil"/>
            </w:tcBorders>
            <w:hideMark/>
          </w:tcPr>
          <w:p w14:paraId="2E2FCD1D"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105</w:t>
            </w:r>
          </w:p>
        </w:tc>
        <w:tc>
          <w:tcPr>
            <w:tcW w:w="364" w:type="pct"/>
            <w:tcBorders>
              <w:top w:val="nil"/>
              <w:left w:val="nil"/>
              <w:bottom w:val="single" w:sz="4" w:space="0" w:color="7F7F7F"/>
              <w:right w:val="nil"/>
            </w:tcBorders>
            <w:hideMark/>
          </w:tcPr>
          <w:p w14:paraId="7ADCB064"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159</w:t>
            </w:r>
          </w:p>
        </w:tc>
        <w:tc>
          <w:tcPr>
            <w:tcW w:w="365" w:type="pct"/>
            <w:tcBorders>
              <w:top w:val="nil"/>
              <w:left w:val="nil"/>
              <w:bottom w:val="single" w:sz="4" w:space="0" w:color="7F7F7F"/>
              <w:right w:val="nil"/>
            </w:tcBorders>
            <w:hideMark/>
          </w:tcPr>
          <w:p w14:paraId="7F67EAE1"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264</w:t>
            </w:r>
          </w:p>
        </w:tc>
        <w:tc>
          <w:tcPr>
            <w:tcW w:w="322" w:type="pct"/>
            <w:tcBorders>
              <w:top w:val="nil"/>
              <w:left w:val="nil"/>
              <w:bottom w:val="single" w:sz="4" w:space="0" w:color="7F7F7F"/>
              <w:right w:val="nil"/>
            </w:tcBorders>
            <w:vAlign w:val="bottom"/>
            <w:hideMark/>
          </w:tcPr>
          <w:p w14:paraId="50AAB1FF"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239</w:t>
            </w:r>
          </w:p>
        </w:tc>
        <w:tc>
          <w:tcPr>
            <w:tcW w:w="322" w:type="pct"/>
            <w:tcBorders>
              <w:top w:val="nil"/>
              <w:left w:val="nil"/>
              <w:bottom w:val="single" w:sz="4" w:space="0" w:color="7F7F7F"/>
              <w:right w:val="nil"/>
            </w:tcBorders>
            <w:vAlign w:val="bottom"/>
            <w:hideMark/>
          </w:tcPr>
          <w:p w14:paraId="3F7B7202"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146</w:t>
            </w:r>
          </w:p>
        </w:tc>
        <w:tc>
          <w:tcPr>
            <w:tcW w:w="365" w:type="pct"/>
            <w:tcBorders>
              <w:top w:val="nil"/>
              <w:left w:val="nil"/>
              <w:bottom w:val="single" w:sz="4" w:space="0" w:color="7F7F7F"/>
              <w:right w:val="nil"/>
            </w:tcBorders>
            <w:hideMark/>
          </w:tcPr>
          <w:p w14:paraId="7DD17F8E"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385</w:t>
            </w:r>
          </w:p>
        </w:tc>
        <w:tc>
          <w:tcPr>
            <w:tcW w:w="322" w:type="pct"/>
            <w:tcBorders>
              <w:top w:val="nil"/>
              <w:left w:val="nil"/>
              <w:bottom w:val="single" w:sz="4" w:space="0" w:color="7F7F7F"/>
              <w:right w:val="nil"/>
            </w:tcBorders>
            <w:vAlign w:val="bottom"/>
            <w:hideMark/>
          </w:tcPr>
          <w:p w14:paraId="691759B4"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366</w:t>
            </w:r>
          </w:p>
        </w:tc>
        <w:tc>
          <w:tcPr>
            <w:tcW w:w="364" w:type="pct"/>
            <w:tcBorders>
              <w:top w:val="nil"/>
              <w:left w:val="nil"/>
              <w:bottom w:val="single" w:sz="4" w:space="0" w:color="7F7F7F"/>
              <w:right w:val="nil"/>
            </w:tcBorders>
            <w:vAlign w:val="bottom"/>
            <w:hideMark/>
          </w:tcPr>
          <w:p w14:paraId="3FD9369E"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405</w:t>
            </w:r>
          </w:p>
        </w:tc>
        <w:tc>
          <w:tcPr>
            <w:tcW w:w="365" w:type="pct"/>
            <w:tcBorders>
              <w:top w:val="nil"/>
              <w:left w:val="nil"/>
              <w:bottom w:val="single" w:sz="4" w:space="0" w:color="7F7F7F"/>
              <w:right w:val="nil"/>
            </w:tcBorders>
            <w:vAlign w:val="bottom"/>
            <w:hideMark/>
          </w:tcPr>
          <w:p w14:paraId="0B111847" w14:textId="77777777" w:rsidR="00A959D2" w:rsidRDefault="00A959D2">
            <w:pPr>
              <w:autoSpaceDE w:val="0"/>
              <w:autoSpaceDN w:val="0"/>
              <w:adjustRightInd w:val="0"/>
              <w:spacing w:after="0" w:line="240" w:lineRule="auto"/>
              <w:jc w:val="right"/>
              <w:rPr>
                <w:rFonts w:eastAsia="Calibri" w:cs="Times New Roman"/>
                <w:sz w:val="20"/>
                <w:szCs w:val="20"/>
              </w:rPr>
            </w:pPr>
            <w:r>
              <w:rPr>
                <w:rFonts w:eastAsia="Calibri" w:cs="Times New Roman"/>
                <w:sz w:val="20"/>
                <w:szCs w:val="20"/>
              </w:rPr>
              <w:t>771</w:t>
            </w:r>
          </w:p>
        </w:tc>
      </w:tr>
    </w:tbl>
    <w:p w14:paraId="22B643B0" w14:textId="77777777" w:rsidR="00A959D2" w:rsidRDefault="00A959D2" w:rsidP="00A959D2">
      <w:pPr>
        <w:spacing w:after="0" w:line="240" w:lineRule="auto"/>
        <w:rPr>
          <w:rFonts w:cs="Times New Roman"/>
        </w:rPr>
      </w:pPr>
      <w:r>
        <w:rPr>
          <w:rFonts w:cs="Times New Roman"/>
        </w:rPr>
        <w:t xml:space="preserve">Abbreviations: CLL, chronic lymphocytic leukemia; INWORKS, International Nuclear Workers Study; UK United Kingdom, US, United States of America.  </w:t>
      </w:r>
    </w:p>
    <w:p w14:paraId="454F6AB7" w14:textId="77777777" w:rsidR="00A959D2" w:rsidRDefault="00A959D2" w:rsidP="00A959D2">
      <w:pPr>
        <w:spacing w:after="0"/>
        <w:rPr>
          <w:rFonts w:cs="Times New Roman"/>
        </w:rPr>
        <w:sectPr w:rsidR="00A959D2">
          <w:pgSz w:w="15840" w:h="12240" w:orient="landscape"/>
          <w:pgMar w:top="1440" w:right="1440" w:bottom="1440" w:left="1440" w:header="720" w:footer="720" w:gutter="0"/>
          <w:cols w:space="720"/>
        </w:sectPr>
      </w:pPr>
    </w:p>
    <w:p w14:paraId="12BDB5AA" w14:textId="77777777" w:rsidR="00A959D2" w:rsidRDefault="00A959D2" w:rsidP="00A959D2">
      <w:pPr>
        <w:pStyle w:val="Heading1"/>
        <w:rPr>
          <w:rFonts w:eastAsiaTheme="minorHAnsi"/>
          <w:vertAlign w:val="superscript"/>
        </w:rPr>
      </w:pPr>
      <w:bookmarkStart w:id="6" w:name="_Toc170712187"/>
      <w:bookmarkStart w:id="7" w:name="_Hlk170626680"/>
      <w:r>
        <w:rPr>
          <w:rFonts w:eastAsiaTheme="minorHAnsi"/>
        </w:rPr>
        <w:lastRenderedPageBreak/>
        <w:t xml:space="preserve">Table S3. Linear ERR per </w:t>
      </w:r>
      <w:proofErr w:type="spellStart"/>
      <w:r>
        <w:rPr>
          <w:rFonts w:eastAsiaTheme="minorHAnsi"/>
        </w:rPr>
        <w:t>Gy</w:t>
      </w:r>
      <w:proofErr w:type="spellEnd"/>
      <w:r>
        <w:rPr>
          <w:rFonts w:eastAsiaTheme="minorHAnsi"/>
        </w:rPr>
        <w:t xml:space="preserve"> by time since exposure (TSE) in INWORKS restricted to workers hired in 1958 and later.</w:t>
      </w:r>
      <w:bookmarkEnd w:id="6"/>
      <w:r>
        <w:rPr>
          <w:rFonts w:eastAsiaTheme="minorHAnsi"/>
          <w:vertAlign w:val="superscript"/>
        </w:rPr>
        <w:t>1</w:t>
      </w:r>
    </w:p>
    <w:tbl>
      <w:tblPr>
        <w:tblStyle w:val="LightShading"/>
        <w:tblW w:w="0" w:type="auto"/>
        <w:tblInd w:w="0" w:type="dxa"/>
        <w:tblLayout w:type="fixed"/>
        <w:tblLook w:val="0620" w:firstRow="1" w:lastRow="0" w:firstColumn="0" w:lastColumn="0" w:noHBand="1" w:noVBand="1"/>
      </w:tblPr>
      <w:tblGrid>
        <w:gridCol w:w="2349"/>
        <w:gridCol w:w="1924"/>
        <w:gridCol w:w="1924"/>
        <w:gridCol w:w="1924"/>
        <w:gridCol w:w="1924"/>
        <w:gridCol w:w="1925"/>
        <w:gridCol w:w="990"/>
      </w:tblGrid>
      <w:tr w:rsidR="00A959D2" w14:paraId="39AC5CD7" w14:textId="77777777" w:rsidTr="00A959D2">
        <w:trPr>
          <w:cnfStyle w:val="100000000000" w:firstRow="1" w:lastRow="0" w:firstColumn="0" w:lastColumn="0" w:oddVBand="0" w:evenVBand="0" w:oddHBand="0" w:evenHBand="0" w:firstRowFirstColumn="0" w:firstRowLastColumn="0" w:lastRowFirstColumn="0" w:lastRowLastColumn="0"/>
          <w:trHeight w:val="300"/>
        </w:trPr>
        <w:tc>
          <w:tcPr>
            <w:tcW w:w="2349" w:type="dxa"/>
            <w:vMerge w:val="restart"/>
            <w:noWrap/>
            <w:vAlign w:val="bottom"/>
            <w:hideMark/>
          </w:tcPr>
          <w:p w14:paraId="12EF03AB" w14:textId="77777777" w:rsidR="00A959D2" w:rsidRDefault="00A959D2">
            <w:pPr>
              <w:spacing w:after="0" w:line="240" w:lineRule="auto"/>
              <w:rPr>
                <w:rFonts w:eastAsia="Times New Roman" w:cs="Times New Roman"/>
                <w:b w:val="0"/>
                <w:color w:val="000000"/>
                <w:sz w:val="20"/>
                <w:szCs w:val="20"/>
              </w:rPr>
            </w:pPr>
            <w:r>
              <w:rPr>
                <w:rFonts w:eastAsia="Times New Roman" w:cs="Times New Roman"/>
                <w:b w:val="0"/>
                <w:color w:val="000000"/>
                <w:sz w:val="20"/>
                <w:szCs w:val="20"/>
              </w:rPr>
              <w:t>Outcome</w:t>
            </w:r>
          </w:p>
        </w:tc>
        <w:tc>
          <w:tcPr>
            <w:tcW w:w="9621" w:type="dxa"/>
            <w:gridSpan w:val="5"/>
            <w:noWrap/>
            <w:vAlign w:val="bottom"/>
            <w:hideMark/>
          </w:tcPr>
          <w:p w14:paraId="766C607B" w14:textId="77777777" w:rsidR="00A959D2" w:rsidRDefault="00A959D2">
            <w:pPr>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 xml:space="preserve">ERR per </w:t>
            </w:r>
            <w:proofErr w:type="spellStart"/>
            <w:r>
              <w:rPr>
                <w:rFonts w:eastAsia="Times New Roman" w:cs="Times New Roman"/>
                <w:b w:val="0"/>
                <w:color w:val="000000"/>
                <w:sz w:val="20"/>
                <w:szCs w:val="20"/>
              </w:rPr>
              <w:t>Gy</w:t>
            </w:r>
            <w:proofErr w:type="spellEnd"/>
            <w:r>
              <w:rPr>
                <w:rFonts w:eastAsia="Times New Roman" w:cs="Times New Roman"/>
                <w:b w:val="0"/>
                <w:color w:val="000000"/>
                <w:sz w:val="20"/>
                <w:szCs w:val="20"/>
              </w:rPr>
              <w:t xml:space="preserve"> (90% CI) by time since exposure (years)</w:t>
            </w:r>
          </w:p>
        </w:tc>
        <w:tc>
          <w:tcPr>
            <w:tcW w:w="990" w:type="dxa"/>
            <w:vMerge w:val="restart"/>
            <w:noWrap/>
            <w:vAlign w:val="bottom"/>
            <w:hideMark/>
          </w:tcPr>
          <w:p w14:paraId="36BE32B7" w14:textId="77777777" w:rsidR="00A959D2" w:rsidRDefault="00A959D2">
            <w:pPr>
              <w:spacing w:after="0" w:line="240" w:lineRule="auto"/>
              <w:jc w:val="center"/>
              <w:rPr>
                <w:rFonts w:eastAsia="Times New Roman" w:cs="Times New Roman"/>
                <w:b w:val="0"/>
                <w:color w:val="000000"/>
                <w:sz w:val="20"/>
                <w:szCs w:val="20"/>
                <w:vertAlign w:val="superscript"/>
              </w:rPr>
            </w:pPr>
            <w:r>
              <w:rPr>
                <w:rFonts w:eastAsia="Times New Roman" w:cs="Times New Roman"/>
                <w:b w:val="0"/>
                <w:i/>
                <w:iCs/>
                <w:color w:val="000000"/>
                <w:sz w:val="20"/>
                <w:szCs w:val="20"/>
              </w:rPr>
              <w:t xml:space="preserve">P </w:t>
            </w:r>
            <w:r>
              <w:rPr>
                <w:rFonts w:eastAsia="Times New Roman" w:cs="Times New Roman"/>
                <w:b w:val="0"/>
                <w:color w:val="000000"/>
                <w:sz w:val="20"/>
                <w:szCs w:val="20"/>
                <w:vertAlign w:val="superscript"/>
              </w:rPr>
              <w:t>2</w:t>
            </w:r>
          </w:p>
        </w:tc>
      </w:tr>
      <w:tr w:rsidR="00A959D2" w14:paraId="6E6B348E" w14:textId="77777777" w:rsidTr="00A959D2">
        <w:trPr>
          <w:trHeight w:val="300"/>
        </w:trPr>
        <w:tc>
          <w:tcPr>
            <w:tcW w:w="2349" w:type="dxa"/>
            <w:vMerge/>
            <w:tcBorders>
              <w:top w:val="single" w:sz="8" w:space="0" w:color="000000" w:themeColor="text1"/>
              <w:left w:val="nil"/>
              <w:bottom w:val="single" w:sz="8" w:space="0" w:color="000000" w:themeColor="text1"/>
              <w:right w:val="nil"/>
            </w:tcBorders>
            <w:vAlign w:val="center"/>
            <w:hideMark/>
          </w:tcPr>
          <w:p w14:paraId="24726D16" w14:textId="77777777" w:rsidR="00A959D2" w:rsidRDefault="00A959D2">
            <w:pPr>
              <w:spacing w:after="0" w:line="240" w:lineRule="auto"/>
              <w:rPr>
                <w:rFonts w:eastAsia="Times New Roman" w:cs="Times New Roman"/>
                <w:bCs/>
                <w:color w:val="000000"/>
                <w:sz w:val="20"/>
                <w:szCs w:val="20"/>
              </w:rPr>
            </w:pPr>
          </w:p>
        </w:tc>
        <w:tc>
          <w:tcPr>
            <w:tcW w:w="1924" w:type="dxa"/>
            <w:tcBorders>
              <w:top w:val="nil"/>
              <w:left w:val="nil"/>
              <w:bottom w:val="single" w:sz="8" w:space="0" w:color="000000" w:themeColor="text1"/>
              <w:right w:val="nil"/>
            </w:tcBorders>
            <w:noWrap/>
            <w:vAlign w:val="bottom"/>
            <w:hideMark/>
          </w:tcPr>
          <w:p w14:paraId="54CFBBAF"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r>
              <w:rPr>
                <w:rFonts w:eastAsia="Times New Roman" w:cs="Times New Roman"/>
                <w:bCs/>
                <w:color w:val="000000"/>
                <w:sz w:val="20"/>
                <w:szCs w:val="20"/>
              </w:rPr>
              <w:sym w:font="Symbol MT" w:char="F02D"/>
            </w:r>
            <w:r>
              <w:rPr>
                <w:rFonts w:eastAsia="Times New Roman" w:cs="Times New Roman"/>
                <w:bCs/>
                <w:color w:val="000000"/>
                <w:sz w:val="20"/>
                <w:szCs w:val="20"/>
              </w:rPr>
              <w:sym w:font="Symbol MT" w:char="F03C"/>
            </w:r>
            <w:r>
              <w:rPr>
                <w:rFonts w:eastAsia="Times New Roman" w:cs="Times New Roman"/>
                <w:bCs/>
                <w:color w:val="000000"/>
                <w:sz w:val="20"/>
                <w:szCs w:val="20"/>
              </w:rPr>
              <w:t>10</w:t>
            </w:r>
          </w:p>
        </w:tc>
        <w:tc>
          <w:tcPr>
            <w:tcW w:w="1924" w:type="dxa"/>
            <w:tcBorders>
              <w:top w:val="nil"/>
              <w:left w:val="nil"/>
              <w:bottom w:val="single" w:sz="8" w:space="0" w:color="000000" w:themeColor="text1"/>
              <w:right w:val="nil"/>
            </w:tcBorders>
            <w:noWrap/>
            <w:vAlign w:val="bottom"/>
            <w:hideMark/>
          </w:tcPr>
          <w:p w14:paraId="4060087C"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w:t>
            </w:r>
            <w:r>
              <w:rPr>
                <w:rFonts w:eastAsia="Times New Roman" w:cs="Times New Roman"/>
                <w:bCs/>
                <w:color w:val="000000"/>
                <w:sz w:val="20"/>
                <w:szCs w:val="20"/>
              </w:rPr>
              <w:sym w:font="Symbol MT" w:char="F02D"/>
            </w:r>
            <w:r>
              <w:rPr>
                <w:rFonts w:eastAsia="Times New Roman" w:cs="Times New Roman"/>
                <w:bCs/>
                <w:color w:val="000000"/>
                <w:sz w:val="20"/>
                <w:szCs w:val="20"/>
              </w:rPr>
              <w:sym w:font="Symbol MT" w:char="F03C"/>
            </w:r>
            <w:r>
              <w:rPr>
                <w:rFonts w:eastAsia="Times New Roman" w:cs="Times New Roman"/>
                <w:bCs/>
                <w:color w:val="000000"/>
                <w:sz w:val="20"/>
                <w:szCs w:val="20"/>
              </w:rPr>
              <w:t>20</w:t>
            </w:r>
          </w:p>
        </w:tc>
        <w:tc>
          <w:tcPr>
            <w:tcW w:w="1924" w:type="dxa"/>
            <w:tcBorders>
              <w:top w:val="nil"/>
              <w:left w:val="nil"/>
              <w:bottom w:val="single" w:sz="8" w:space="0" w:color="000000" w:themeColor="text1"/>
              <w:right w:val="nil"/>
            </w:tcBorders>
            <w:vAlign w:val="bottom"/>
            <w:hideMark/>
          </w:tcPr>
          <w:p w14:paraId="3F3243B4"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20</w:t>
            </w:r>
            <w:r>
              <w:rPr>
                <w:rFonts w:eastAsia="Times New Roman" w:cs="Times New Roman"/>
                <w:bCs/>
                <w:color w:val="000000"/>
                <w:sz w:val="20"/>
                <w:szCs w:val="20"/>
              </w:rPr>
              <w:sym w:font="Symbol MT" w:char="F02D"/>
            </w:r>
            <w:r>
              <w:rPr>
                <w:rFonts w:eastAsia="Times New Roman" w:cs="Times New Roman"/>
                <w:bCs/>
                <w:color w:val="000000"/>
                <w:sz w:val="20"/>
                <w:szCs w:val="20"/>
              </w:rPr>
              <w:sym w:font="Symbol MT" w:char="F03C"/>
            </w:r>
            <w:r>
              <w:rPr>
                <w:rFonts w:eastAsia="Times New Roman" w:cs="Times New Roman"/>
                <w:bCs/>
                <w:color w:val="000000"/>
                <w:sz w:val="20"/>
                <w:szCs w:val="20"/>
              </w:rPr>
              <w:t>30</w:t>
            </w:r>
          </w:p>
        </w:tc>
        <w:tc>
          <w:tcPr>
            <w:tcW w:w="1924" w:type="dxa"/>
            <w:tcBorders>
              <w:top w:val="nil"/>
              <w:left w:val="nil"/>
              <w:bottom w:val="single" w:sz="8" w:space="0" w:color="000000" w:themeColor="text1"/>
              <w:right w:val="nil"/>
            </w:tcBorders>
            <w:vAlign w:val="bottom"/>
            <w:hideMark/>
          </w:tcPr>
          <w:p w14:paraId="065C353F"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30</w:t>
            </w:r>
            <w:r>
              <w:rPr>
                <w:rFonts w:eastAsia="Times New Roman" w:cs="Times New Roman"/>
                <w:bCs/>
                <w:color w:val="000000"/>
                <w:sz w:val="20"/>
                <w:szCs w:val="20"/>
              </w:rPr>
              <w:sym w:font="Symbol MT" w:char="F02D"/>
            </w:r>
            <w:r>
              <w:rPr>
                <w:rFonts w:eastAsia="Times New Roman" w:cs="Times New Roman"/>
                <w:bCs/>
                <w:color w:val="000000"/>
                <w:sz w:val="20"/>
                <w:szCs w:val="20"/>
              </w:rPr>
              <w:sym w:font="Symbol MT" w:char="F03C"/>
            </w:r>
            <w:r>
              <w:rPr>
                <w:rFonts w:eastAsia="Times New Roman" w:cs="Times New Roman"/>
                <w:bCs/>
                <w:color w:val="000000"/>
                <w:sz w:val="20"/>
                <w:szCs w:val="20"/>
              </w:rPr>
              <w:t>40</w:t>
            </w:r>
          </w:p>
        </w:tc>
        <w:tc>
          <w:tcPr>
            <w:tcW w:w="1925" w:type="dxa"/>
            <w:tcBorders>
              <w:top w:val="nil"/>
              <w:left w:val="nil"/>
              <w:bottom w:val="single" w:sz="8" w:space="0" w:color="000000" w:themeColor="text1"/>
              <w:right w:val="nil"/>
            </w:tcBorders>
            <w:vAlign w:val="bottom"/>
            <w:hideMark/>
          </w:tcPr>
          <w:p w14:paraId="1A737819"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40+</w:t>
            </w:r>
          </w:p>
        </w:tc>
        <w:tc>
          <w:tcPr>
            <w:tcW w:w="990" w:type="dxa"/>
            <w:vMerge/>
            <w:tcBorders>
              <w:top w:val="single" w:sz="8" w:space="0" w:color="000000" w:themeColor="text1"/>
              <w:left w:val="nil"/>
              <w:bottom w:val="single" w:sz="8" w:space="0" w:color="000000" w:themeColor="text1"/>
              <w:right w:val="nil"/>
            </w:tcBorders>
            <w:vAlign w:val="center"/>
            <w:hideMark/>
          </w:tcPr>
          <w:p w14:paraId="5AD31220" w14:textId="77777777" w:rsidR="00A959D2" w:rsidRDefault="00A959D2">
            <w:pPr>
              <w:spacing w:after="0" w:line="240" w:lineRule="auto"/>
              <w:rPr>
                <w:rFonts w:eastAsia="Times New Roman" w:cs="Times New Roman"/>
                <w:bCs/>
                <w:color w:val="000000"/>
                <w:sz w:val="20"/>
                <w:szCs w:val="20"/>
                <w:vertAlign w:val="superscript"/>
              </w:rPr>
            </w:pPr>
          </w:p>
        </w:tc>
      </w:tr>
      <w:tr w:rsidR="00A959D2" w14:paraId="27B590D4" w14:textId="77777777" w:rsidTr="00A959D2">
        <w:trPr>
          <w:trHeight w:val="300"/>
        </w:trPr>
        <w:tc>
          <w:tcPr>
            <w:tcW w:w="6" w:type="dxa"/>
            <w:tcBorders>
              <w:top w:val="nil"/>
              <w:left w:val="nil"/>
              <w:bottom w:val="nil"/>
              <w:right w:val="nil"/>
            </w:tcBorders>
            <w:noWrap/>
            <w:vAlign w:val="bottom"/>
            <w:hideMark/>
          </w:tcPr>
          <w:p w14:paraId="21CC311C" w14:textId="77777777" w:rsidR="00A959D2" w:rsidRDefault="00A959D2">
            <w:pPr>
              <w:spacing w:after="0" w:line="240" w:lineRule="auto"/>
              <w:rPr>
                <w:rFonts w:cs="Times New Roman"/>
                <w:bCs/>
                <w:sz w:val="20"/>
                <w:szCs w:val="20"/>
              </w:rPr>
            </w:pPr>
            <w:r>
              <w:rPr>
                <w:rFonts w:cs="Times New Roman"/>
                <w:bCs/>
                <w:sz w:val="20"/>
                <w:szCs w:val="20"/>
              </w:rPr>
              <w:t>solid cancers</w:t>
            </w:r>
          </w:p>
        </w:tc>
        <w:tc>
          <w:tcPr>
            <w:tcW w:w="6" w:type="dxa"/>
            <w:tcBorders>
              <w:top w:val="nil"/>
              <w:left w:val="nil"/>
              <w:bottom w:val="nil"/>
              <w:right w:val="nil"/>
            </w:tcBorders>
            <w:noWrap/>
            <w:vAlign w:val="bottom"/>
            <w:hideMark/>
          </w:tcPr>
          <w:p w14:paraId="3184CD06"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NA</w:t>
            </w:r>
          </w:p>
        </w:tc>
        <w:tc>
          <w:tcPr>
            <w:tcW w:w="6" w:type="dxa"/>
            <w:tcBorders>
              <w:top w:val="nil"/>
              <w:left w:val="nil"/>
              <w:bottom w:val="nil"/>
              <w:right w:val="nil"/>
            </w:tcBorders>
            <w:noWrap/>
            <w:vAlign w:val="bottom"/>
            <w:hideMark/>
          </w:tcPr>
          <w:p w14:paraId="4EBA2E74"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1.82 (0.57, 3.07)</w:t>
            </w:r>
          </w:p>
        </w:tc>
        <w:tc>
          <w:tcPr>
            <w:tcW w:w="6" w:type="dxa"/>
            <w:tcBorders>
              <w:top w:val="nil"/>
              <w:left w:val="nil"/>
              <w:bottom w:val="nil"/>
              <w:right w:val="nil"/>
            </w:tcBorders>
            <w:vAlign w:val="bottom"/>
            <w:hideMark/>
          </w:tcPr>
          <w:p w14:paraId="5794F8B9"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0.58 (–0.50, 1.65)</w:t>
            </w:r>
          </w:p>
        </w:tc>
        <w:tc>
          <w:tcPr>
            <w:tcW w:w="6" w:type="dxa"/>
            <w:tcBorders>
              <w:top w:val="nil"/>
              <w:left w:val="nil"/>
              <w:bottom w:val="nil"/>
              <w:right w:val="nil"/>
            </w:tcBorders>
            <w:vAlign w:val="bottom"/>
            <w:hideMark/>
          </w:tcPr>
          <w:p w14:paraId="0916B03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1.55 (0.45, 2.65)</w:t>
            </w:r>
          </w:p>
        </w:tc>
        <w:tc>
          <w:tcPr>
            <w:tcW w:w="6" w:type="dxa"/>
            <w:tcBorders>
              <w:top w:val="nil"/>
              <w:left w:val="nil"/>
              <w:bottom w:val="nil"/>
              <w:right w:val="nil"/>
            </w:tcBorders>
            <w:vAlign w:val="bottom"/>
            <w:hideMark/>
          </w:tcPr>
          <w:p w14:paraId="4673141C"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0.51 (–0.97, 1.99)</w:t>
            </w:r>
          </w:p>
        </w:tc>
        <w:tc>
          <w:tcPr>
            <w:tcW w:w="6" w:type="dxa"/>
            <w:tcBorders>
              <w:top w:val="nil"/>
              <w:left w:val="nil"/>
              <w:bottom w:val="nil"/>
              <w:right w:val="nil"/>
            </w:tcBorders>
            <w:noWrap/>
            <w:vAlign w:val="bottom"/>
            <w:hideMark/>
          </w:tcPr>
          <w:p w14:paraId="47D73FC0"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0.629</w:t>
            </w:r>
          </w:p>
        </w:tc>
      </w:tr>
      <w:tr w:rsidR="00A959D2" w14:paraId="1A391DE3" w14:textId="77777777" w:rsidTr="00A959D2">
        <w:trPr>
          <w:trHeight w:val="300"/>
        </w:trPr>
        <w:tc>
          <w:tcPr>
            <w:tcW w:w="6" w:type="dxa"/>
            <w:tcBorders>
              <w:top w:val="nil"/>
              <w:left w:val="nil"/>
              <w:bottom w:val="nil"/>
              <w:right w:val="nil"/>
            </w:tcBorders>
            <w:noWrap/>
            <w:vAlign w:val="bottom"/>
            <w:hideMark/>
          </w:tcPr>
          <w:p w14:paraId="7B81D3F4" w14:textId="77777777" w:rsidR="00A959D2" w:rsidRDefault="00A959D2">
            <w:pPr>
              <w:spacing w:after="0" w:line="240" w:lineRule="auto"/>
              <w:rPr>
                <w:rFonts w:cs="Times New Roman"/>
                <w:bCs/>
                <w:sz w:val="20"/>
                <w:szCs w:val="20"/>
              </w:rPr>
            </w:pPr>
            <w:r>
              <w:rPr>
                <w:rFonts w:cs="Times New Roman"/>
                <w:bCs/>
                <w:sz w:val="20"/>
                <w:szCs w:val="20"/>
              </w:rPr>
              <w:t>solid cancers excl. lung</w:t>
            </w:r>
          </w:p>
        </w:tc>
        <w:tc>
          <w:tcPr>
            <w:tcW w:w="6" w:type="dxa"/>
            <w:tcBorders>
              <w:top w:val="nil"/>
              <w:left w:val="nil"/>
              <w:bottom w:val="nil"/>
              <w:right w:val="nil"/>
            </w:tcBorders>
            <w:noWrap/>
            <w:vAlign w:val="bottom"/>
            <w:hideMark/>
          </w:tcPr>
          <w:p w14:paraId="3EAD27A9"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NA</w:t>
            </w:r>
          </w:p>
        </w:tc>
        <w:tc>
          <w:tcPr>
            <w:tcW w:w="6" w:type="dxa"/>
            <w:tcBorders>
              <w:top w:val="nil"/>
              <w:left w:val="nil"/>
              <w:bottom w:val="nil"/>
              <w:right w:val="nil"/>
            </w:tcBorders>
            <w:shd w:val="clear" w:color="auto" w:fill="FFFFFF"/>
            <w:noWrap/>
            <w:vAlign w:val="bottom"/>
            <w:hideMark/>
          </w:tcPr>
          <w:p w14:paraId="13D74727"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2.23 (0.69, 3.77)</w:t>
            </w:r>
          </w:p>
        </w:tc>
        <w:tc>
          <w:tcPr>
            <w:tcW w:w="6" w:type="dxa"/>
            <w:tcBorders>
              <w:top w:val="nil"/>
              <w:left w:val="nil"/>
              <w:bottom w:val="nil"/>
              <w:right w:val="nil"/>
            </w:tcBorders>
            <w:shd w:val="clear" w:color="auto" w:fill="FFFFFF"/>
            <w:vAlign w:val="bottom"/>
            <w:hideMark/>
          </w:tcPr>
          <w:p w14:paraId="44D164F4"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0.53 (–0.76, 1.82)</w:t>
            </w:r>
          </w:p>
        </w:tc>
        <w:tc>
          <w:tcPr>
            <w:tcW w:w="6" w:type="dxa"/>
            <w:tcBorders>
              <w:top w:val="nil"/>
              <w:left w:val="nil"/>
              <w:bottom w:val="nil"/>
              <w:right w:val="nil"/>
            </w:tcBorders>
            <w:shd w:val="clear" w:color="auto" w:fill="FFFFFF"/>
            <w:vAlign w:val="bottom"/>
            <w:hideMark/>
          </w:tcPr>
          <w:p w14:paraId="301AD0EA"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1.40 (0.11, 2.69)</w:t>
            </w:r>
          </w:p>
        </w:tc>
        <w:tc>
          <w:tcPr>
            <w:tcW w:w="6" w:type="dxa"/>
            <w:tcBorders>
              <w:top w:val="nil"/>
              <w:left w:val="nil"/>
              <w:bottom w:val="nil"/>
              <w:right w:val="nil"/>
            </w:tcBorders>
            <w:shd w:val="clear" w:color="auto" w:fill="FFFFFF"/>
            <w:vAlign w:val="bottom"/>
            <w:hideMark/>
          </w:tcPr>
          <w:p w14:paraId="0FCD668B"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0.29 (–1.35, 1.93)</w:t>
            </w:r>
          </w:p>
        </w:tc>
        <w:tc>
          <w:tcPr>
            <w:tcW w:w="6" w:type="dxa"/>
            <w:tcBorders>
              <w:top w:val="nil"/>
              <w:left w:val="nil"/>
              <w:bottom w:val="nil"/>
              <w:right w:val="nil"/>
            </w:tcBorders>
            <w:shd w:val="clear" w:color="auto" w:fill="FFFFFF"/>
            <w:noWrap/>
            <w:vAlign w:val="bottom"/>
            <w:hideMark/>
          </w:tcPr>
          <w:p w14:paraId="55E3AB8D"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0.511</w:t>
            </w:r>
          </w:p>
        </w:tc>
      </w:tr>
      <w:tr w:rsidR="00A959D2" w14:paraId="74037040" w14:textId="77777777" w:rsidTr="00A959D2">
        <w:trPr>
          <w:trHeight w:val="300"/>
        </w:trPr>
        <w:tc>
          <w:tcPr>
            <w:tcW w:w="6" w:type="dxa"/>
            <w:tcBorders>
              <w:top w:val="nil"/>
              <w:left w:val="nil"/>
              <w:bottom w:val="nil"/>
              <w:right w:val="nil"/>
            </w:tcBorders>
            <w:noWrap/>
            <w:vAlign w:val="bottom"/>
            <w:hideMark/>
          </w:tcPr>
          <w:p w14:paraId="1C3C42E4" w14:textId="77777777" w:rsidR="00A959D2" w:rsidRDefault="00A959D2">
            <w:pPr>
              <w:spacing w:after="0" w:line="240" w:lineRule="auto"/>
              <w:rPr>
                <w:rFonts w:cs="Times New Roman"/>
                <w:bCs/>
                <w:sz w:val="20"/>
                <w:szCs w:val="20"/>
              </w:rPr>
            </w:pPr>
            <w:r>
              <w:rPr>
                <w:rFonts w:cs="Times New Roman"/>
                <w:bCs/>
                <w:sz w:val="20"/>
                <w:szCs w:val="20"/>
              </w:rPr>
              <w:t xml:space="preserve">lung cancer </w:t>
            </w:r>
          </w:p>
        </w:tc>
        <w:tc>
          <w:tcPr>
            <w:tcW w:w="6" w:type="dxa"/>
            <w:tcBorders>
              <w:top w:val="nil"/>
              <w:left w:val="nil"/>
              <w:bottom w:val="nil"/>
              <w:right w:val="nil"/>
            </w:tcBorders>
            <w:noWrap/>
            <w:vAlign w:val="bottom"/>
            <w:hideMark/>
          </w:tcPr>
          <w:p w14:paraId="4EDEEBDC"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NA</w:t>
            </w:r>
          </w:p>
        </w:tc>
        <w:tc>
          <w:tcPr>
            <w:tcW w:w="6" w:type="dxa"/>
            <w:tcBorders>
              <w:top w:val="nil"/>
              <w:left w:val="nil"/>
              <w:bottom w:val="nil"/>
              <w:right w:val="nil"/>
            </w:tcBorders>
            <w:noWrap/>
            <w:vAlign w:val="bottom"/>
            <w:hideMark/>
          </w:tcPr>
          <w:p w14:paraId="590B384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0.91 (–1.28, 3.09)</w:t>
            </w:r>
          </w:p>
        </w:tc>
        <w:tc>
          <w:tcPr>
            <w:tcW w:w="6" w:type="dxa"/>
            <w:tcBorders>
              <w:top w:val="nil"/>
              <w:left w:val="nil"/>
              <w:bottom w:val="nil"/>
              <w:right w:val="nil"/>
            </w:tcBorders>
            <w:vAlign w:val="bottom"/>
            <w:hideMark/>
          </w:tcPr>
          <w:p w14:paraId="1E79ED95"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0.56 (–1.42, 2.53)</w:t>
            </w:r>
          </w:p>
        </w:tc>
        <w:tc>
          <w:tcPr>
            <w:tcW w:w="6" w:type="dxa"/>
            <w:tcBorders>
              <w:top w:val="nil"/>
              <w:left w:val="nil"/>
              <w:bottom w:val="nil"/>
              <w:right w:val="nil"/>
            </w:tcBorders>
            <w:vAlign w:val="bottom"/>
            <w:hideMark/>
          </w:tcPr>
          <w:p w14:paraId="469C2A0C"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2.12 (–0.06, 4.30)</w:t>
            </w:r>
          </w:p>
        </w:tc>
        <w:tc>
          <w:tcPr>
            <w:tcW w:w="6" w:type="dxa"/>
            <w:tcBorders>
              <w:top w:val="nil"/>
              <w:left w:val="nil"/>
              <w:bottom w:val="nil"/>
              <w:right w:val="nil"/>
            </w:tcBorders>
            <w:vAlign w:val="bottom"/>
            <w:hideMark/>
          </w:tcPr>
          <w:p w14:paraId="7005DBAF"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1.37 (–2.01, 4.75)</w:t>
            </w:r>
          </w:p>
        </w:tc>
        <w:tc>
          <w:tcPr>
            <w:tcW w:w="6" w:type="dxa"/>
            <w:tcBorders>
              <w:top w:val="nil"/>
              <w:left w:val="nil"/>
              <w:bottom w:val="nil"/>
              <w:right w:val="nil"/>
            </w:tcBorders>
            <w:noWrap/>
            <w:vAlign w:val="bottom"/>
            <w:hideMark/>
          </w:tcPr>
          <w:p w14:paraId="2BC9B3CC"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0.837</w:t>
            </w:r>
          </w:p>
        </w:tc>
      </w:tr>
      <w:tr w:rsidR="00A959D2" w14:paraId="4A5B0584" w14:textId="77777777" w:rsidTr="00A959D2">
        <w:trPr>
          <w:trHeight w:val="300"/>
        </w:trPr>
        <w:tc>
          <w:tcPr>
            <w:tcW w:w="2349" w:type="dxa"/>
            <w:tcBorders>
              <w:top w:val="nil"/>
              <w:left w:val="nil"/>
              <w:bottom w:val="nil"/>
              <w:right w:val="nil"/>
            </w:tcBorders>
            <w:noWrap/>
            <w:vAlign w:val="bottom"/>
            <w:hideMark/>
          </w:tcPr>
          <w:p w14:paraId="42F62A9B" w14:textId="77777777" w:rsidR="00A959D2" w:rsidRDefault="00A959D2">
            <w:pPr>
              <w:spacing w:after="0" w:line="240" w:lineRule="auto"/>
              <w:rPr>
                <w:rFonts w:cs="Times New Roman"/>
                <w:bCs/>
                <w:sz w:val="20"/>
                <w:szCs w:val="20"/>
              </w:rPr>
            </w:pPr>
            <w:r>
              <w:rPr>
                <w:rFonts w:cs="Times New Roman"/>
                <w:bCs/>
                <w:sz w:val="20"/>
                <w:szCs w:val="20"/>
              </w:rPr>
              <w:t>leukemias excl. CLL</w:t>
            </w:r>
          </w:p>
        </w:tc>
        <w:tc>
          <w:tcPr>
            <w:tcW w:w="1924" w:type="dxa"/>
            <w:tcBorders>
              <w:top w:val="nil"/>
              <w:left w:val="nil"/>
              <w:bottom w:val="nil"/>
              <w:right w:val="nil"/>
            </w:tcBorders>
            <w:noWrap/>
            <w:vAlign w:val="bottom"/>
            <w:hideMark/>
          </w:tcPr>
          <w:p w14:paraId="78CD50C0"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–1.10 (–17.8, 15.6)</w:t>
            </w:r>
          </w:p>
        </w:tc>
        <w:tc>
          <w:tcPr>
            <w:tcW w:w="1924" w:type="dxa"/>
            <w:tcBorders>
              <w:top w:val="nil"/>
              <w:left w:val="nil"/>
              <w:bottom w:val="nil"/>
              <w:right w:val="nil"/>
            </w:tcBorders>
            <w:noWrap/>
            <w:vAlign w:val="bottom"/>
            <w:hideMark/>
          </w:tcPr>
          <w:p w14:paraId="779FCAC9"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–0.73 (–13.9, 12.5)</w:t>
            </w:r>
          </w:p>
        </w:tc>
        <w:tc>
          <w:tcPr>
            <w:tcW w:w="1924" w:type="dxa"/>
            <w:tcBorders>
              <w:top w:val="nil"/>
              <w:left w:val="nil"/>
              <w:bottom w:val="nil"/>
              <w:right w:val="nil"/>
            </w:tcBorders>
            <w:vAlign w:val="bottom"/>
            <w:hideMark/>
          </w:tcPr>
          <w:p w14:paraId="483376BB"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5.03 (–3.56, 13.6)</w:t>
            </w:r>
          </w:p>
        </w:tc>
        <w:tc>
          <w:tcPr>
            <w:tcW w:w="1924" w:type="dxa"/>
            <w:tcBorders>
              <w:top w:val="nil"/>
              <w:left w:val="nil"/>
              <w:bottom w:val="nil"/>
              <w:right w:val="nil"/>
            </w:tcBorders>
            <w:vAlign w:val="bottom"/>
            <w:hideMark/>
          </w:tcPr>
          <w:p w14:paraId="795ECB8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1.99 (–5.81, 9.79)</w:t>
            </w:r>
          </w:p>
        </w:tc>
        <w:tc>
          <w:tcPr>
            <w:tcW w:w="1925" w:type="dxa"/>
            <w:tcBorders>
              <w:top w:val="nil"/>
              <w:left w:val="nil"/>
              <w:bottom w:val="nil"/>
              <w:right w:val="nil"/>
            </w:tcBorders>
            <w:vAlign w:val="bottom"/>
            <w:hideMark/>
          </w:tcPr>
          <w:p w14:paraId="44B40EC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2.48 (–5.21, 10.2)</w:t>
            </w:r>
          </w:p>
        </w:tc>
        <w:tc>
          <w:tcPr>
            <w:tcW w:w="990" w:type="dxa"/>
            <w:tcBorders>
              <w:top w:val="nil"/>
              <w:left w:val="nil"/>
              <w:bottom w:val="nil"/>
              <w:right w:val="nil"/>
            </w:tcBorders>
            <w:noWrap/>
            <w:vAlign w:val="bottom"/>
            <w:hideMark/>
          </w:tcPr>
          <w:p w14:paraId="4AA8D75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0.603</w:t>
            </w:r>
          </w:p>
        </w:tc>
      </w:tr>
      <w:tr w:rsidR="00A959D2" w14:paraId="05099E4D" w14:textId="77777777" w:rsidTr="00A959D2">
        <w:trPr>
          <w:trHeight w:val="300"/>
        </w:trPr>
        <w:tc>
          <w:tcPr>
            <w:tcW w:w="2349" w:type="dxa"/>
            <w:tcBorders>
              <w:top w:val="nil"/>
              <w:left w:val="nil"/>
              <w:bottom w:val="nil"/>
              <w:right w:val="nil"/>
            </w:tcBorders>
            <w:noWrap/>
            <w:vAlign w:val="bottom"/>
            <w:hideMark/>
          </w:tcPr>
          <w:p w14:paraId="20EF8706" w14:textId="77777777" w:rsidR="00A959D2" w:rsidRDefault="00A959D2">
            <w:pPr>
              <w:spacing w:after="0" w:line="240" w:lineRule="auto"/>
              <w:ind w:left="288"/>
              <w:rPr>
                <w:rFonts w:cs="Times New Roman"/>
                <w:bCs/>
                <w:sz w:val="20"/>
                <w:szCs w:val="20"/>
              </w:rPr>
            </w:pPr>
            <w:r>
              <w:rPr>
                <w:rFonts w:cs="Times New Roman"/>
                <w:bCs/>
                <w:sz w:val="20"/>
                <w:szCs w:val="20"/>
              </w:rPr>
              <w:t>CML</w:t>
            </w:r>
          </w:p>
        </w:tc>
        <w:tc>
          <w:tcPr>
            <w:tcW w:w="1924" w:type="dxa"/>
            <w:tcBorders>
              <w:top w:val="nil"/>
              <w:left w:val="nil"/>
              <w:bottom w:val="nil"/>
              <w:right w:val="nil"/>
            </w:tcBorders>
            <w:noWrap/>
            <w:vAlign w:val="bottom"/>
            <w:hideMark/>
          </w:tcPr>
          <w:p w14:paraId="201BC48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28.9 (–23.0, 80.8)</w:t>
            </w:r>
          </w:p>
        </w:tc>
        <w:tc>
          <w:tcPr>
            <w:tcW w:w="1924" w:type="dxa"/>
            <w:tcBorders>
              <w:top w:val="nil"/>
              <w:left w:val="nil"/>
              <w:bottom w:val="nil"/>
              <w:right w:val="nil"/>
            </w:tcBorders>
            <w:noWrap/>
            <w:vAlign w:val="bottom"/>
            <w:hideMark/>
          </w:tcPr>
          <w:p w14:paraId="644E3BBD"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–0.34 (–171, 170)</w:t>
            </w:r>
          </w:p>
        </w:tc>
        <w:tc>
          <w:tcPr>
            <w:tcW w:w="1924" w:type="dxa"/>
            <w:tcBorders>
              <w:top w:val="nil"/>
              <w:left w:val="nil"/>
              <w:bottom w:val="nil"/>
              <w:right w:val="nil"/>
            </w:tcBorders>
            <w:vAlign w:val="bottom"/>
            <w:hideMark/>
          </w:tcPr>
          <w:p w14:paraId="2856A850"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34.9 (–21.1, 90.8)</w:t>
            </w:r>
          </w:p>
        </w:tc>
        <w:tc>
          <w:tcPr>
            <w:tcW w:w="1924" w:type="dxa"/>
            <w:tcBorders>
              <w:top w:val="nil"/>
              <w:left w:val="nil"/>
              <w:bottom w:val="nil"/>
              <w:right w:val="nil"/>
            </w:tcBorders>
            <w:vAlign w:val="bottom"/>
            <w:hideMark/>
          </w:tcPr>
          <w:p w14:paraId="1F83D90F"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–1.18 (–60.9, 58.6)</w:t>
            </w:r>
          </w:p>
        </w:tc>
        <w:tc>
          <w:tcPr>
            <w:tcW w:w="1925" w:type="dxa"/>
            <w:tcBorders>
              <w:top w:val="nil"/>
              <w:left w:val="nil"/>
              <w:bottom w:val="nil"/>
              <w:right w:val="nil"/>
            </w:tcBorders>
            <w:vAlign w:val="bottom"/>
            <w:hideMark/>
          </w:tcPr>
          <w:p w14:paraId="202ADFA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25.8 (–31.1, 82.7)</w:t>
            </w:r>
          </w:p>
        </w:tc>
        <w:tc>
          <w:tcPr>
            <w:tcW w:w="990" w:type="dxa"/>
            <w:tcBorders>
              <w:top w:val="nil"/>
              <w:left w:val="nil"/>
              <w:bottom w:val="nil"/>
              <w:right w:val="nil"/>
            </w:tcBorders>
            <w:noWrap/>
            <w:vAlign w:val="bottom"/>
            <w:hideMark/>
          </w:tcPr>
          <w:p w14:paraId="27D3D7C6"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0.353</w:t>
            </w:r>
          </w:p>
        </w:tc>
      </w:tr>
      <w:tr w:rsidR="00A959D2" w14:paraId="5AE3505C" w14:textId="77777777" w:rsidTr="00A959D2">
        <w:trPr>
          <w:trHeight w:val="300"/>
        </w:trPr>
        <w:tc>
          <w:tcPr>
            <w:tcW w:w="2349" w:type="dxa"/>
            <w:tcBorders>
              <w:top w:val="nil"/>
              <w:left w:val="nil"/>
              <w:bottom w:val="nil"/>
              <w:right w:val="nil"/>
            </w:tcBorders>
            <w:noWrap/>
            <w:vAlign w:val="bottom"/>
            <w:hideMark/>
          </w:tcPr>
          <w:p w14:paraId="5D0A9B81" w14:textId="77777777" w:rsidR="00A959D2" w:rsidRDefault="00A959D2">
            <w:pPr>
              <w:spacing w:after="0" w:line="240" w:lineRule="auto"/>
              <w:ind w:left="288"/>
              <w:rPr>
                <w:rFonts w:cs="Times New Roman"/>
                <w:bCs/>
                <w:sz w:val="20"/>
                <w:szCs w:val="20"/>
              </w:rPr>
            </w:pPr>
            <w:r>
              <w:rPr>
                <w:rFonts w:cs="Times New Roman"/>
                <w:bCs/>
                <w:sz w:val="20"/>
                <w:szCs w:val="20"/>
              </w:rPr>
              <w:t>AML</w:t>
            </w:r>
          </w:p>
        </w:tc>
        <w:tc>
          <w:tcPr>
            <w:tcW w:w="1924" w:type="dxa"/>
            <w:tcBorders>
              <w:top w:val="nil"/>
              <w:left w:val="nil"/>
              <w:bottom w:val="nil"/>
              <w:right w:val="nil"/>
            </w:tcBorders>
            <w:noWrap/>
            <w:vAlign w:val="bottom"/>
            <w:hideMark/>
          </w:tcPr>
          <w:p w14:paraId="7AFC922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–1.10 (–93.6, 91.4)</w:t>
            </w:r>
          </w:p>
        </w:tc>
        <w:tc>
          <w:tcPr>
            <w:tcW w:w="1924" w:type="dxa"/>
            <w:tcBorders>
              <w:top w:val="nil"/>
              <w:left w:val="nil"/>
              <w:bottom w:val="nil"/>
              <w:right w:val="nil"/>
            </w:tcBorders>
            <w:noWrap/>
            <w:vAlign w:val="bottom"/>
            <w:hideMark/>
          </w:tcPr>
          <w:p w14:paraId="467FF0C2"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–0.49 (–24.0, 23.0)</w:t>
            </w:r>
          </w:p>
        </w:tc>
        <w:tc>
          <w:tcPr>
            <w:tcW w:w="1924" w:type="dxa"/>
            <w:tcBorders>
              <w:top w:val="nil"/>
              <w:left w:val="nil"/>
              <w:bottom w:val="nil"/>
              <w:right w:val="nil"/>
            </w:tcBorders>
            <w:vAlign w:val="bottom"/>
            <w:hideMark/>
          </w:tcPr>
          <w:p w14:paraId="35440F6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1.45 (–8.76, 11.7)</w:t>
            </w:r>
          </w:p>
        </w:tc>
        <w:tc>
          <w:tcPr>
            <w:tcW w:w="1924" w:type="dxa"/>
            <w:tcBorders>
              <w:top w:val="nil"/>
              <w:left w:val="nil"/>
              <w:bottom w:val="nil"/>
              <w:right w:val="nil"/>
            </w:tcBorders>
            <w:vAlign w:val="bottom"/>
            <w:hideMark/>
          </w:tcPr>
          <w:p w14:paraId="0F10B75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0.39 (–7.92, 8.69)</w:t>
            </w:r>
          </w:p>
        </w:tc>
        <w:tc>
          <w:tcPr>
            <w:tcW w:w="1925" w:type="dxa"/>
            <w:tcBorders>
              <w:top w:val="nil"/>
              <w:left w:val="nil"/>
              <w:bottom w:val="nil"/>
              <w:right w:val="nil"/>
            </w:tcBorders>
            <w:vAlign w:val="bottom"/>
            <w:hideMark/>
          </w:tcPr>
          <w:p w14:paraId="0F56704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0.67 (–6.55, 7.90)</w:t>
            </w:r>
          </w:p>
        </w:tc>
        <w:tc>
          <w:tcPr>
            <w:tcW w:w="990" w:type="dxa"/>
            <w:tcBorders>
              <w:top w:val="nil"/>
              <w:left w:val="nil"/>
              <w:bottom w:val="nil"/>
              <w:right w:val="nil"/>
            </w:tcBorders>
            <w:noWrap/>
            <w:vAlign w:val="bottom"/>
            <w:hideMark/>
          </w:tcPr>
          <w:p w14:paraId="021E2E4F"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0.864</w:t>
            </w:r>
          </w:p>
        </w:tc>
      </w:tr>
      <w:tr w:rsidR="00A959D2" w14:paraId="34E756A4" w14:textId="77777777" w:rsidTr="00A959D2">
        <w:trPr>
          <w:trHeight w:val="300"/>
        </w:trPr>
        <w:tc>
          <w:tcPr>
            <w:tcW w:w="2349" w:type="dxa"/>
            <w:tcBorders>
              <w:top w:val="nil"/>
              <w:left w:val="nil"/>
              <w:bottom w:val="nil"/>
              <w:right w:val="nil"/>
            </w:tcBorders>
            <w:noWrap/>
            <w:vAlign w:val="bottom"/>
            <w:hideMark/>
          </w:tcPr>
          <w:p w14:paraId="5D8EB416" w14:textId="77777777" w:rsidR="00A959D2" w:rsidRDefault="00A959D2">
            <w:pPr>
              <w:spacing w:after="0" w:line="240" w:lineRule="auto"/>
              <w:rPr>
                <w:rFonts w:cs="Times New Roman"/>
                <w:bCs/>
                <w:sz w:val="20"/>
                <w:szCs w:val="20"/>
              </w:rPr>
            </w:pPr>
            <w:r>
              <w:rPr>
                <w:rFonts w:cs="Times New Roman"/>
                <w:bCs/>
                <w:sz w:val="20"/>
                <w:szCs w:val="20"/>
              </w:rPr>
              <w:t>AML+MDS</w:t>
            </w:r>
          </w:p>
        </w:tc>
        <w:tc>
          <w:tcPr>
            <w:tcW w:w="1924" w:type="dxa"/>
            <w:tcBorders>
              <w:top w:val="nil"/>
              <w:left w:val="nil"/>
              <w:bottom w:val="nil"/>
              <w:right w:val="nil"/>
            </w:tcBorders>
            <w:noWrap/>
            <w:vAlign w:val="bottom"/>
            <w:hideMark/>
          </w:tcPr>
          <w:p w14:paraId="469F989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–1.10 (–84.2, 82.1)</w:t>
            </w:r>
          </w:p>
        </w:tc>
        <w:tc>
          <w:tcPr>
            <w:tcW w:w="1924" w:type="dxa"/>
            <w:tcBorders>
              <w:top w:val="nil"/>
              <w:left w:val="nil"/>
              <w:bottom w:val="nil"/>
              <w:right w:val="nil"/>
            </w:tcBorders>
            <w:noWrap/>
            <w:vAlign w:val="bottom"/>
            <w:hideMark/>
          </w:tcPr>
          <w:p w14:paraId="73ADC892"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–0.10 (–17.5, 17.3)</w:t>
            </w:r>
          </w:p>
        </w:tc>
        <w:tc>
          <w:tcPr>
            <w:tcW w:w="1924" w:type="dxa"/>
            <w:tcBorders>
              <w:top w:val="nil"/>
              <w:left w:val="nil"/>
              <w:bottom w:val="nil"/>
              <w:right w:val="nil"/>
            </w:tcBorders>
            <w:vAlign w:val="bottom"/>
            <w:hideMark/>
          </w:tcPr>
          <w:p w14:paraId="6CF48292"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2.28 (–6.33, 10.9)</w:t>
            </w:r>
          </w:p>
        </w:tc>
        <w:tc>
          <w:tcPr>
            <w:tcW w:w="1924" w:type="dxa"/>
            <w:tcBorders>
              <w:top w:val="nil"/>
              <w:left w:val="nil"/>
              <w:bottom w:val="nil"/>
              <w:right w:val="nil"/>
            </w:tcBorders>
            <w:vAlign w:val="bottom"/>
            <w:hideMark/>
          </w:tcPr>
          <w:p w14:paraId="7B420CDA"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1.41 (–5.83, 8.66)</w:t>
            </w:r>
          </w:p>
        </w:tc>
        <w:tc>
          <w:tcPr>
            <w:tcW w:w="1925" w:type="dxa"/>
            <w:tcBorders>
              <w:top w:val="nil"/>
              <w:left w:val="nil"/>
              <w:bottom w:val="nil"/>
              <w:right w:val="nil"/>
            </w:tcBorders>
            <w:vAlign w:val="bottom"/>
            <w:hideMark/>
          </w:tcPr>
          <w:p w14:paraId="2FF4041A"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1.24 (–5.09, 7.57)</w:t>
            </w:r>
          </w:p>
        </w:tc>
        <w:tc>
          <w:tcPr>
            <w:tcW w:w="990" w:type="dxa"/>
            <w:tcBorders>
              <w:top w:val="nil"/>
              <w:left w:val="nil"/>
              <w:bottom w:val="nil"/>
              <w:right w:val="nil"/>
            </w:tcBorders>
            <w:noWrap/>
            <w:vAlign w:val="bottom"/>
            <w:hideMark/>
          </w:tcPr>
          <w:p w14:paraId="3F4E2B7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0.861</w:t>
            </w:r>
          </w:p>
        </w:tc>
      </w:tr>
      <w:tr w:rsidR="00A959D2" w14:paraId="66F14648" w14:textId="77777777" w:rsidTr="00A959D2">
        <w:trPr>
          <w:trHeight w:val="300"/>
        </w:trPr>
        <w:tc>
          <w:tcPr>
            <w:tcW w:w="2349" w:type="dxa"/>
            <w:tcBorders>
              <w:top w:val="nil"/>
              <w:left w:val="nil"/>
              <w:bottom w:val="nil"/>
              <w:right w:val="nil"/>
            </w:tcBorders>
            <w:noWrap/>
            <w:vAlign w:val="bottom"/>
            <w:hideMark/>
          </w:tcPr>
          <w:p w14:paraId="29F3B190" w14:textId="77777777" w:rsidR="00A959D2" w:rsidRDefault="00A959D2">
            <w:pPr>
              <w:spacing w:after="0" w:line="240" w:lineRule="auto"/>
              <w:rPr>
                <w:rFonts w:cs="Times New Roman"/>
                <w:bCs/>
                <w:sz w:val="20"/>
                <w:szCs w:val="20"/>
              </w:rPr>
            </w:pPr>
            <w:r>
              <w:rPr>
                <w:rFonts w:cs="Times New Roman"/>
                <w:bCs/>
                <w:sz w:val="20"/>
                <w:szCs w:val="20"/>
              </w:rPr>
              <w:t>MM</w:t>
            </w:r>
          </w:p>
        </w:tc>
        <w:tc>
          <w:tcPr>
            <w:tcW w:w="1924" w:type="dxa"/>
            <w:tcBorders>
              <w:top w:val="nil"/>
              <w:left w:val="nil"/>
              <w:bottom w:val="nil"/>
              <w:right w:val="nil"/>
            </w:tcBorders>
            <w:noWrap/>
            <w:vAlign w:val="bottom"/>
            <w:hideMark/>
          </w:tcPr>
          <w:p w14:paraId="04EFAEF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–0.81 (–23.4, 21.8)</w:t>
            </w:r>
          </w:p>
        </w:tc>
        <w:tc>
          <w:tcPr>
            <w:tcW w:w="1924" w:type="dxa"/>
            <w:tcBorders>
              <w:top w:val="nil"/>
              <w:left w:val="nil"/>
              <w:bottom w:val="nil"/>
              <w:right w:val="nil"/>
            </w:tcBorders>
            <w:noWrap/>
            <w:vAlign w:val="bottom"/>
            <w:hideMark/>
          </w:tcPr>
          <w:p w14:paraId="7A170DEB"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–1.09 (–14.2, 12.0)</w:t>
            </w:r>
          </w:p>
        </w:tc>
        <w:tc>
          <w:tcPr>
            <w:tcW w:w="1924" w:type="dxa"/>
            <w:tcBorders>
              <w:top w:val="nil"/>
              <w:left w:val="nil"/>
              <w:bottom w:val="nil"/>
              <w:right w:val="nil"/>
            </w:tcBorders>
            <w:vAlign w:val="bottom"/>
            <w:hideMark/>
          </w:tcPr>
          <w:p w14:paraId="617DDD5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0.73 (–6.34, 7.80)</w:t>
            </w:r>
          </w:p>
        </w:tc>
        <w:tc>
          <w:tcPr>
            <w:tcW w:w="1924" w:type="dxa"/>
            <w:tcBorders>
              <w:top w:val="nil"/>
              <w:left w:val="nil"/>
              <w:bottom w:val="nil"/>
              <w:right w:val="nil"/>
            </w:tcBorders>
            <w:vAlign w:val="bottom"/>
            <w:hideMark/>
          </w:tcPr>
          <w:p w14:paraId="34A04A76"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3.06 (–6.18, 12.3)</w:t>
            </w:r>
          </w:p>
        </w:tc>
        <w:tc>
          <w:tcPr>
            <w:tcW w:w="1925" w:type="dxa"/>
            <w:tcBorders>
              <w:top w:val="nil"/>
              <w:left w:val="nil"/>
              <w:bottom w:val="nil"/>
              <w:right w:val="nil"/>
            </w:tcBorders>
            <w:vAlign w:val="bottom"/>
            <w:hideMark/>
          </w:tcPr>
          <w:p w14:paraId="04556923"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2.48 (–10.1, 15.1)</w:t>
            </w:r>
          </w:p>
        </w:tc>
        <w:tc>
          <w:tcPr>
            <w:tcW w:w="990" w:type="dxa"/>
            <w:tcBorders>
              <w:top w:val="nil"/>
              <w:left w:val="nil"/>
              <w:bottom w:val="nil"/>
              <w:right w:val="nil"/>
            </w:tcBorders>
            <w:noWrap/>
            <w:vAlign w:val="bottom"/>
            <w:hideMark/>
          </w:tcPr>
          <w:p w14:paraId="5BAF1624"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0.824</w:t>
            </w:r>
          </w:p>
        </w:tc>
      </w:tr>
      <w:tr w:rsidR="00A959D2" w14:paraId="3F3790F2" w14:textId="77777777" w:rsidTr="00A959D2">
        <w:trPr>
          <w:trHeight w:val="300"/>
        </w:trPr>
        <w:tc>
          <w:tcPr>
            <w:tcW w:w="2349" w:type="dxa"/>
            <w:tcBorders>
              <w:top w:val="nil"/>
              <w:left w:val="nil"/>
              <w:bottom w:val="single" w:sz="8" w:space="0" w:color="000000" w:themeColor="text1"/>
              <w:right w:val="nil"/>
            </w:tcBorders>
            <w:noWrap/>
            <w:vAlign w:val="bottom"/>
            <w:hideMark/>
          </w:tcPr>
          <w:p w14:paraId="512224E0" w14:textId="77777777" w:rsidR="00A959D2" w:rsidRDefault="00A959D2">
            <w:pPr>
              <w:spacing w:after="0" w:line="240" w:lineRule="auto"/>
              <w:rPr>
                <w:rFonts w:cs="Times New Roman"/>
                <w:bCs/>
                <w:sz w:val="20"/>
                <w:szCs w:val="20"/>
              </w:rPr>
            </w:pPr>
            <w:r>
              <w:rPr>
                <w:rFonts w:cs="Times New Roman"/>
                <w:bCs/>
                <w:sz w:val="20"/>
                <w:szCs w:val="20"/>
              </w:rPr>
              <w:t>NHL</w:t>
            </w:r>
          </w:p>
        </w:tc>
        <w:tc>
          <w:tcPr>
            <w:tcW w:w="1924" w:type="dxa"/>
            <w:tcBorders>
              <w:top w:val="nil"/>
              <w:left w:val="nil"/>
              <w:bottom w:val="single" w:sz="8" w:space="0" w:color="000000" w:themeColor="text1"/>
              <w:right w:val="nil"/>
            </w:tcBorders>
            <w:noWrap/>
            <w:vAlign w:val="bottom"/>
            <w:hideMark/>
          </w:tcPr>
          <w:p w14:paraId="25ED94B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NA</w:t>
            </w:r>
          </w:p>
        </w:tc>
        <w:tc>
          <w:tcPr>
            <w:tcW w:w="1924" w:type="dxa"/>
            <w:tcBorders>
              <w:top w:val="nil"/>
              <w:left w:val="nil"/>
              <w:bottom w:val="single" w:sz="8" w:space="0" w:color="000000" w:themeColor="text1"/>
              <w:right w:val="nil"/>
            </w:tcBorders>
            <w:noWrap/>
            <w:vAlign w:val="bottom"/>
            <w:hideMark/>
          </w:tcPr>
          <w:p w14:paraId="266F2D8A"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–1.10 (–6.59, 4.40)</w:t>
            </w:r>
          </w:p>
        </w:tc>
        <w:tc>
          <w:tcPr>
            <w:tcW w:w="1924" w:type="dxa"/>
            <w:tcBorders>
              <w:top w:val="nil"/>
              <w:left w:val="nil"/>
              <w:bottom w:val="single" w:sz="8" w:space="0" w:color="000000" w:themeColor="text1"/>
              <w:right w:val="nil"/>
            </w:tcBorders>
            <w:vAlign w:val="bottom"/>
            <w:hideMark/>
          </w:tcPr>
          <w:p w14:paraId="1232C0A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0.35 (–4.21, 4.91)</w:t>
            </w:r>
          </w:p>
        </w:tc>
        <w:tc>
          <w:tcPr>
            <w:tcW w:w="1924" w:type="dxa"/>
            <w:tcBorders>
              <w:top w:val="nil"/>
              <w:left w:val="nil"/>
              <w:bottom w:val="single" w:sz="8" w:space="0" w:color="000000" w:themeColor="text1"/>
              <w:right w:val="nil"/>
            </w:tcBorders>
            <w:vAlign w:val="bottom"/>
            <w:hideMark/>
          </w:tcPr>
          <w:p w14:paraId="401699D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0.87 (–4.48, 6.21)</w:t>
            </w:r>
          </w:p>
        </w:tc>
        <w:tc>
          <w:tcPr>
            <w:tcW w:w="1925" w:type="dxa"/>
            <w:tcBorders>
              <w:top w:val="nil"/>
              <w:left w:val="nil"/>
              <w:bottom w:val="single" w:sz="8" w:space="0" w:color="000000" w:themeColor="text1"/>
              <w:right w:val="nil"/>
            </w:tcBorders>
            <w:vAlign w:val="bottom"/>
            <w:hideMark/>
          </w:tcPr>
          <w:p w14:paraId="3E19BE8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0.62 (–6.63, 7.86)</w:t>
            </w:r>
          </w:p>
        </w:tc>
        <w:tc>
          <w:tcPr>
            <w:tcW w:w="990" w:type="dxa"/>
            <w:tcBorders>
              <w:top w:val="nil"/>
              <w:left w:val="nil"/>
              <w:bottom w:val="single" w:sz="8" w:space="0" w:color="000000" w:themeColor="text1"/>
              <w:right w:val="nil"/>
            </w:tcBorders>
            <w:noWrap/>
            <w:vAlign w:val="bottom"/>
            <w:hideMark/>
          </w:tcPr>
          <w:p w14:paraId="7CAE211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0.803</w:t>
            </w:r>
          </w:p>
        </w:tc>
      </w:tr>
    </w:tbl>
    <w:p w14:paraId="51C072D9" w14:textId="77777777" w:rsidR="00A959D2" w:rsidRDefault="00A959D2" w:rsidP="00A959D2">
      <w:pPr>
        <w:spacing w:after="0" w:line="240" w:lineRule="auto"/>
        <w:rPr>
          <w:rFonts w:cs="Times New Roman"/>
        </w:rPr>
      </w:pPr>
      <w:r>
        <w:rPr>
          <w:rFonts w:cs="Times New Roman"/>
          <w:vertAlign w:val="superscript"/>
        </w:rPr>
        <w:t>1</w:t>
      </w:r>
      <w:r>
        <w:t xml:space="preserve"> </w:t>
      </w:r>
      <w:r>
        <w:rPr>
          <w:rFonts w:cs="Times New Roman"/>
        </w:rPr>
        <w:t>Estimates below the boundary (i.e., ERR &lt; –1) that result from linear extrapolation are reported without censor.</w:t>
      </w:r>
    </w:p>
    <w:p w14:paraId="5F02CDFD" w14:textId="77777777" w:rsidR="00A959D2" w:rsidRDefault="00A959D2" w:rsidP="00A959D2">
      <w:pPr>
        <w:spacing w:after="0" w:line="240" w:lineRule="auto"/>
        <w:rPr>
          <w:rFonts w:cs="Times New Roman"/>
        </w:rPr>
      </w:pPr>
      <w:bookmarkStart w:id="8" w:name="_Hlk158708286"/>
      <w:r>
        <w:rPr>
          <w:rFonts w:cs="Times New Roman"/>
          <w:vertAlign w:val="superscript"/>
        </w:rPr>
        <w:t xml:space="preserve">2 </w:t>
      </w:r>
      <w:r>
        <w:rPr>
          <w:rFonts w:cs="Times New Roman"/>
        </w:rPr>
        <w:t xml:space="preserve">Test of the homogeneity of windows, where </w:t>
      </w:r>
      <w:r>
        <w:rPr>
          <w:rFonts w:cs="Times New Roman"/>
          <w:i/>
          <w:iCs/>
        </w:rPr>
        <w:t>P</w:t>
      </w:r>
      <w:r>
        <w:rPr>
          <w:rFonts w:cs="Times New Roman"/>
        </w:rPr>
        <w:t xml:space="preserve"> is the p-value for the reported likelihood ratio test statistic and is evaluated under a Chi-square distribution with </w:t>
      </w:r>
      <w:r>
        <w:rPr>
          <w:rFonts w:cs="Times New Roman"/>
          <w:i/>
          <w:iCs/>
        </w:rPr>
        <w:t>k</w:t>
      </w:r>
      <w:r>
        <w:rPr>
          <w:rFonts w:cs="Times New Roman"/>
        </w:rPr>
        <w:t xml:space="preserve">-1 degrees of freedom for a model with </w:t>
      </w:r>
      <w:r>
        <w:rPr>
          <w:rFonts w:cs="Times New Roman"/>
          <w:i/>
          <w:iCs/>
        </w:rPr>
        <w:t>k</w:t>
      </w:r>
      <w:r>
        <w:rPr>
          <w:rFonts w:cs="Times New Roman"/>
        </w:rPr>
        <w:t xml:space="preserve"> dose parameters.</w:t>
      </w:r>
    </w:p>
    <w:bookmarkEnd w:id="8"/>
    <w:p w14:paraId="09A556FA" w14:textId="77777777" w:rsidR="00A959D2" w:rsidRDefault="00A959D2" w:rsidP="00A959D2">
      <w:pPr>
        <w:spacing w:after="0" w:line="240" w:lineRule="auto"/>
        <w:rPr>
          <w:rFonts w:cs="Times New Roman"/>
        </w:rPr>
      </w:pPr>
      <w:r>
        <w:rPr>
          <w:rFonts w:cs="Times New Roman"/>
        </w:rPr>
        <w:t>Abbreviations: CI, confidence interval; CLL, chronic lymphocytic leukemia; CML, chronic myeloid leukemia; ERR, excess relative rate; MDS, myelodysplastic syndrome; MM, multiple myeloma; NA, not applicable; NHL, non-Hodgkin lymphoma.</w:t>
      </w:r>
      <w:bookmarkEnd w:id="7"/>
      <w:r>
        <w:rPr>
          <w:rFonts w:cs="Times New Roman"/>
        </w:rPr>
        <w:t xml:space="preserve"> </w:t>
      </w:r>
    </w:p>
    <w:p w14:paraId="27067629" w14:textId="77777777" w:rsidR="00A959D2" w:rsidRDefault="00A959D2" w:rsidP="00A959D2">
      <w:pPr>
        <w:spacing w:after="0" w:line="240" w:lineRule="auto"/>
        <w:rPr>
          <w:rFonts w:cs="Times New Roman"/>
        </w:rPr>
        <w:sectPr w:rsidR="00A959D2">
          <w:pgSz w:w="15840" w:h="12240" w:orient="landscape"/>
          <w:pgMar w:top="1440" w:right="1440" w:bottom="1440" w:left="1440" w:header="720" w:footer="720" w:gutter="0"/>
          <w:cols w:space="720"/>
        </w:sectPr>
      </w:pPr>
    </w:p>
    <w:p w14:paraId="3DEFC55B" w14:textId="77777777" w:rsidR="00A959D2" w:rsidRDefault="00A959D2" w:rsidP="00A959D2">
      <w:pPr>
        <w:pStyle w:val="Heading1"/>
        <w:rPr>
          <w:rFonts w:eastAsiaTheme="minorHAnsi"/>
          <w:vertAlign w:val="superscript"/>
        </w:rPr>
      </w:pPr>
      <w:bookmarkStart w:id="9" w:name="_Toc170712188"/>
      <w:r>
        <w:rPr>
          <w:rFonts w:eastAsiaTheme="minorHAnsi"/>
        </w:rPr>
        <w:lastRenderedPageBreak/>
        <w:t xml:space="preserve">Table S4. Linear ERR per </w:t>
      </w:r>
      <w:proofErr w:type="spellStart"/>
      <w:r>
        <w:rPr>
          <w:rFonts w:eastAsiaTheme="minorHAnsi"/>
        </w:rPr>
        <w:t>Gy</w:t>
      </w:r>
      <w:proofErr w:type="spellEnd"/>
      <w:r>
        <w:rPr>
          <w:rFonts w:eastAsiaTheme="minorHAnsi"/>
        </w:rPr>
        <w:t xml:space="preserve"> by time since exposure (TSE) in INWORKS restricted to workers hired prior to 1958.</w:t>
      </w:r>
      <w:bookmarkEnd w:id="9"/>
      <w:r>
        <w:rPr>
          <w:rFonts w:eastAsiaTheme="minorHAnsi"/>
          <w:vertAlign w:val="superscript"/>
        </w:rPr>
        <w:t>1</w:t>
      </w:r>
    </w:p>
    <w:tbl>
      <w:tblPr>
        <w:tblStyle w:val="LightShading"/>
        <w:tblW w:w="0" w:type="auto"/>
        <w:tblInd w:w="0" w:type="dxa"/>
        <w:tblLayout w:type="fixed"/>
        <w:tblLook w:val="0620" w:firstRow="1" w:lastRow="0" w:firstColumn="0" w:lastColumn="0" w:noHBand="1" w:noVBand="1"/>
      </w:tblPr>
      <w:tblGrid>
        <w:gridCol w:w="2160"/>
        <w:gridCol w:w="1929"/>
        <w:gridCol w:w="1928"/>
        <w:gridCol w:w="1928"/>
        <w:gridCol w:w="1928"/>
        <w:gridCol w:w="1928"/>
        <w:gridCol w:w="1159"/>
      </w:tblGrid>
      <w:tr w:rsidR="00A959D2" w14:paraId="3470AD0E" w14:textId="77777777" w:rsidTr="00A959D2">
        <w:trPr>
          <w:cnfStyle w:val="100000000000" w:firstRow="1" w:lastRow="0" w:firstColumn="0" w:lastColumn="0" w:oddVBand="0" w:evenVBand="0" w:oddHBand="0" w:evenHBand="0" w:firstRowFirstColumn="0" w:firstRowLastColumn="0" w:lastRowFirstColumn="0" w:lastRowLastColumn="0"/>
          <w:trHeight w:val="300"/>
        </w:trPr>
        <w:tc>
          <w:tcPr>
            <w:tcW w:w="2160" w:type="dxa"/>
            <w:vMerge w:val="restart"/>
            <w:tcBorders>
              <w:bottom w:val="single" w:sz="8" w:space="0" w:color="auto"/>
            </w:tcBorders>
            <w:noWrap/>
            <w:vAlign w:val="bottom"/>
            <w:hideMark/>
          </w:tcPr>
          <w:p w14:paraId="32731252" w14:textId="77777777" w:rsidR="00A959D2" w:rsidRDefault="00A959D2">
            <w:pPr>
              <w:spacing w:after="0" w:line="240" w:lineRule="auto"/>
              <w:rPr>
                <w:rFonts w:eastAsia="Times New Roman" w:cs="Times New Roman"/>
                <w:b w:val="0"/>
                <w:color w:val="000000"/>
                <w:sz w:val="20"/>
                <w:szCs w:val="20"/>
              </w:rPr>
            </w:pPr>
            <w:r>
              <w:rPr>
                <w:rFonts w:eastAsia="Times New Roman" w:cs="Times New Roman"/>
                <w:b w:val="0"/>
                <w:color w:val="000000"/>
                <w:sz w:val="20"/>
                <w:szCs w:val="20"/>
              </w:rPr>
              <w:t>Outcome</w:t>
            </w:r>
          </w:p>
        </w:tc>
        <w:tc>
          <w:tcPr>
            <w:tcW w:w="9641" w:type="dxa"/>
            <w:gridSpan w:val="5"/>
            <w:tcBorders>
              <w:bottom w:val="single" w:sz="8" w:space="0" w:color="auto"/>
            </w:tcBorders>
            <w:noWrap/>
            <w:vAlign w:val="bottom"/>
            <w:hideMark/>
          </w:tcPr>
          <w:p w14:paraId="03929A9A" w14:textId="77777777" w:rsidR="00A959D2" w:rsidRDefault="00A959D2">
            <w:pPr>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 xml:space="preserve">ERR per </w:t>
            </w:r>
            <w:proofErr w:type="spellStart"/>
            <w:r>
              <w:rPr>
                <w:rFonts w:eastAsia="Times New Roman" w:cs="Times New Roman"/>
                <w:b w:val="0"/>
                <w:color w:val="000000"/>
                <w:sz w:val="20"/>
                <w:szCs w:val="20"/>
              </w:rPr>
              <w:t>Gy</w:t>
            </w:r>
            <w:proofErr w:type="spellEnd"/>
            <w:r>
              <w:rPr>
                <w:rFonts w:eastAsia="Times New Roman" w:cs="Times New Roman"/>
                <w:b w:val="0"/>
                <w:color w:val="000000"/>
                <w:sz w:val="20"/>
                <w:szCs w:val="20"/>
              </w:rPr>
              <w:t xml:space="preserve"> (90% CI) by time since exposure (years)</w:t>
            </w:r>
          </w:p>
        </w:tc>
        <w:tc>
          <w:tcPr>
            <w:tcW w:w="1159" w:type="dxa"/>
            <w:vMerge w:val="restart"/>
            <w:tcBorders>
              <w:bottom w:val="single" w:sz="8" w:space="0" w:color="auto"/>
            </w:tcBorders>
            <w:noWrap/>
            <w:vAlign w:val="bottom"/>
            <w:hideMark/>
          </w:tcPr>
          <w:p w14:paraId="2A41AC03" w14:textId="77777777" w:rsidR="00A959D2" w:rsidRDefault="00A959D2">
            <w:pPr>
              <w:spacing w:after="0" w:line="240" w:lineRule="auto"/>
              <w:jc w:val="center"/>
              <w:rPr>
                <w:rFonts w:eastAsia="Times New Roman" w:cs="Times New Roman"/>
                <w:b w:val="0"/>
                <w:color w:val="000000"/>
                <w:sz w:val="20"/>
                <w:szCs w:val="20"/>
                <w:vertAlign w:val="superscript"/>
              </w:rPr>
            </w:pPr>
            <w:r>
              <w:rPr>
                <w:rFonts w:eastAsia="Times New Roman" w:cs="Times New Roman"/>
                <w:b w:val="0"/>
                <w:i/>
                <w:iCs/>
                <w:color w:val="000000"/>
                <w:sz w:val="20"/>
                <w:szCs w:val="20"/>
              </w:rPr>
              <w:t xml:space="preserve">P </w:t>
            </w:r>
            <w:r>
              <w:rPr>
                <w:rFonts w:eastAsia="Times New Roman" w:cs="Times New Roman"/>
                <w:b w:val="0"/>
                <w:color w:val="000000"/>
                <w:sz w:val="20"/>
                <w:szCs w:val="20"/>
                <w:vertAlign w:val="superscript"/>
              </w:rPr>
              <w:t>2</w:t>
            </w:r>
          </w:p>
        </w:tc>
      </w:tr>
      <w:tr w:rsidR="00A959D2" w14:paraId="5B8E5583" w14:textId="77777777" w:rsidTr="00A959D2">
        <w:trPr>
          <w:trHeight w:val="300"/>
        </w:trPr>
        <w:tc>
          <w:tcPr>
            <w:tcW w:w="2160" w:type="dxa"/>
            <w:vMerge/>
            <w:tcBorders>
              <w:top w:val="single" w:sz="8" w:space="0" w:color="000000" w:themeColor="text1"/>
              <w:left w:val="nil"/>
              <w:bottom w:val="single" w:sz="8" w:space="0" w:color="auto"/>
              <w:right w:val="nil"/>
            </w:tcBorders>
            <w:vAlign w:val="center"/>
            <w:hideMark/>
          </w:tcPr>
          <w:p w14:paraId="61ABD43E" w14:textId="77777777" w:rsidR="00A959D2" w:rsidRDefault="00A959D2">
            <w:pPr>
              <w:spacing w:after="0" w:line="240" w:lineRule="auto"/>
              <w:rPr>
                <w:rFonts w:eastAsia="Times New Roman" w:cs="Times New Roman"/>
                <w:bCs/>
                <w:color w:val="000000"/>
                <w:sz w:val="20"/>
                <w:szCs w:val="20"/>
              </w:rPr>
            </w:pPr>
          </w:p>
        </w:tc>
        <w:tc>
          <w:tcPr>
            <w:tcW w:w="1929" w:type="dxa"/>
            <w:tcBorders>
              <w:top w:val="single" w:sz="8" w:space="0" w:color="auto"/>
              <w:left w:val="nil"/>
              <w:bottom w:val="single" w:sz="8" w:space="0" w:color="auto"/>
              <w:right w:val="nil"/>
            </w:tcBorders>
            <w:noWrap/>
            <w:vAlign w:val="bottom"/>
            <w:hideMark/>
          </w:tcPr>
          <w:p w14:paraId="17FA266B"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r>
              <w:rPr>
                <w:rFonts w:eastAsia="Times New Roman" w:cs="Times New Roman"/>
                <w:bCs/>
                <w:color w:val="000000"/>
                <w:sz w:val="20"/>
                <w:szCs w:val="20"/>
              </w:rPr>
              <w:sym w:font="Symbol MT" w:char="F02D"/>
            </w:r>
            <w:r>
              <w:rPr>
                <w:rFonts w:eastAsia="Times New Roman" w:cs="Times New Roman"/>
                <w:bCs/>
                <w:color w:val="000000"/>
                <w:sz w:val="20"/>
                <w:szCs w:val="20"/>
              </w:rPr>
              <w:sym w:font="Symbol MT" w:char="F03C"/>
            </w:r>
            <w:r>
              <w:rPr>
                <w:rFonts w:eastAsia="Times New Roman" w:cs="Times New Roman"/>
                <w:bCs/>
                <w:color w:val="000000"/>
                <w:sz w:val="20"/>
                <w:szCs w:val="20"/>
              </w:rPr>
              <w:t>10</w:t>
            </w:r>
          </w:p>
        </w:tc>
        <w:tc>
          <w:tcPr>
            <w:tcW w:w="1928" w:type="dxa"/>
            <w:tcBorders>
              <w:top w:val="single" w:sz="8" w:space="0" w:color="auto"/>
              <w:left w:val="nil"/>
              <w:bottom w:val="single" w:sz="8" w:space="0" w:color="auto"/>
              <w:right w:val="nil"/>
            </w:tcBorders>
            <w:noWrap/>
            <w:vAlign w:val="bottom"/>
            <w:hideMark/>
          </w:tcPr>
          <w:p w14:paraId="72A08CD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w:t>
            </w:r>
            <w:r>
              <w:rPr>
                <w:rFonts w:eastAsia="Times New Roman" w:cs="Times New Roman"/>
                <w:bCs/>
                <w:color w:val="000000"/>
                <w:sz w:val="20"/>
                <w:szCs w:val="20"/>
              </w:rPr>
              <w:sym w:font="Symbol MT" w:char="F02D"/>
            </w:r>
            <w:r>
              <w:rPr>
                <w:rFonts w:eastAsia="Times New Roman" w:cs="Times New Roman"/>
                <w:bCs/>
                <w:color w:val="000000"/>
                <w:sz w:val="20"/>
                <w:szCs w:val="20"/>
              </w:rPr>
              <w:sym w:font="Symbol MT" w:char="F03C"/>
            </w:r>
            <w:r>
              <w:rPr>
                <w:rFonts w:eastAsia="Times New Roman" w:cs="Times New Roman"/>
                <w:bCs/>
                <w:color w:val="000000"/>
                <w:sz w:val="20"/>
                <w:szCs w:val="20"/>
              </w:rPr>
              <w:t>20</w:t>
            </w:r>
          </w:p>
        </w:tc>
        <w:tc>
          <w:tcPr>
            <w:tcW w:w="1928" w:type="dxa"/>
            <w:tcBorders>
              <w:top w:val="single" w:sz="8" w:space="0" w:color="auto"/>
              <w:left w:val="nil"/>
              <w:bottom w:val="single" w:sz="8" w:space="0" w:color="auto"/>
              <w:right w:val="nil"/>
            </w:tcBorders>
            <w:vAlign w:val="bottom"/>
            <w:hideMark/>
          </w:tcPr>
          <w:p w14:paraId="144725BD"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20</w:t>
            </w:r>
            <w:r>
              <w:rPr>
                <w:rFonts w:eastAsia="Times New Roman" w:cs="Times New Roman"/>
                <w:bCs/>
                <w:color w:val="000000"/>
                <w:sz w:val="20"/>
                <w:szCs w:val="20"/>
              </w:rPr>
              <w:sym w:font="Symbol MT" w:char="F02D"/>
            </w:r>
            <w:r>
              <w:rPr>
                <w:rFonts w:eastAsia="Times New Roman" w:cs="Times New Roman"/>
                <w:bCs/>
                <w:color w:val="000000"/>
                <w:sz w:val="20"/>
                <w:szCs w:val="20"/>
              </w:rPr>
              <w:sym w:font="Symbol MT" w:char="F03C"/>
            </w:r>
            <w:r>
              <w:rPr>
                <w:rFonts w:eastAsia="Times New Roman" w:cs="Times New Roman"/>
                <w:bCs/>
                <w:color w:val="000000"/>
                <w:sz w:val="20"/>
                <w:szCs w:val="20"/>
              </w:rPr>
              <w:t>30</w:t>
            </w:r>
          </w:p>
        </w:tc>
        <w:tc>
          <w:tcPr>
            <w:tcW w:w="1928" w:type="dxa"/>
            <w:tcBorders>
              <w:top w:val="single" w:sz="8" w:space="0" w:color="auto"/>
              <w:left w:val="nil"/>
              <w:bottom w:val="single" w:sz="8" w:space="0" w:color="auto"/>
              <w:right w:val="nil"/>
            </w:tcBorders>
            <w:vAlign w:val="bottom"/>
            <w:hideMark/>
          </w:tcPr>
          <w:p w14:paraId="087F8839"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30</w:t>
            </w:r>
            <w:r>
              <w:rPr>
                <w:rFonts w:eastAsia="Times New Roman" w:cs="Times New Roman"/>
                <w:bCs/>
                <w:color w:val="000000"/>
                <w:sz w:val="20"/>
                <w:szCs w:val="20"/>
              </w:rPr>
              <w:sym w:font="Symbol MT" w:char="F02D"/>
            </w:r>
            <w:r>
              <w:rPr>
                <w:rFonts w:eastAsia="Times New Roman" w:cs="Times New Roman"/>
                <w:bCs/>
                <w:color w:val="000000"/>
                <w:sz w:val="20"/>
                <w:szCs w:val="20"/>
              </w:rPr>
              <w:sym w:font="Symbol MT" w:char="F03C"/>
            </w:r>
            <w:r>
              <w:rPr>
                <w:rFonts w:eastAsia="Times New Roman" w:cs="Times New Roman"/>
                <w:bCs/>
                <w:color w:val="000000"/>
                <w:sz w:val="20"/>
                <w:szCs w:val="20"/>
              </w:rPr>
              <w:t>40</w:t>
            </w:r>
          </w:p>
        </w:tc>
        <w:tc>
          <w:tcPr>
            <w:tcW w:w="1928" w:type="dxa"/>
            <w:tcBorders>
              <w:top w:val="single" w:sz="8" w:space="0" w:color="auto"/>
              <w:left w:val="nil"/>
              <w:bottom w:val="single" w:sz="8" w:space="0" w:color="auto"/>
              <w:right w:val="nil"/>
            </w:tcBorders>
            <w:vAlign w:val="bottom"/>
            <w:hideMark/>
          </w:tcPr>
          <w:p w14:paraId="1F99ADE7"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40+</w:t>
            </w:r>
          </w:p>
        </w:tc>
        <w:tc>
          <w:tcPr>
            <w:tcW w:w="1159" w:type="dxa"/>
            <w:vMerge/>
            <w:tcBorders>
              <w:top w:val="single" w:sz="8" w:space="0" w:color="000000" w:themeColor="text1"/>
              <w:left w:val="nil"/>
              <w:bottom w:val="single" w:sz="8" w:space="0" w:color="auto"/>
              <w:right w:val="nil"/>
            </w:tcBorders>
            <w:vAlign w:val="center"/>
            <w:hideMark/>
          </w:tcPr>
          <w:p w14:paraId="65B13D6C" w14:textId="77777777" w:rsidR="00A959D2" w:rsidRDefault="00A959D2">
            <w:pPr>
              <w:spacing w:after="0" w:line="240" w:lineRule="auto"/>
              <w:rPr>
                <w:rFonts w:eastAsia="Times New Roman" w:cs="Times New Roman"/>
                <w:bCs/>
                <w:color w:val="000000"/>
                <w:sz w:val="20"/>
                <w:szCs w:val="20"/>
                <w:vertAlign w:val="superscript"/>
              </w:rPr>
            </w:pPr>
          </w:p>
        </w:tc>
      </w:tr>
      <w:tr w:rsidR="00A959D2" w14:paraId="4D5D06F7" w14:textId="77777777" w:rsidTr="00A959D2">
        <w:trPr>
          <w:trHeight w:val="300"/>
        </w:trPr>
        <w:tc>
          <w:tcPr>
            <w:tcW w:w="2160" w:type="dxa"/>
            <w:tcBorders>
              <w:top w:val="single" w:sz="8" w:space="0" w:color="auto"/>
              <w:left w:val="nil"/>
              <w:bottom w:val="nil"/>
              <w:right w:val="nil"/>
            </w:tcBorders>
            <w:noWrap/>
            <w:vAlign w:val="bottom"/>
            <w:hideMark/>
          </w:tcPr>
          <w:p w14:paraId="7E737766" w14:textId="77777777" w:rsidR="00A959D2" w:rsidRDefault="00A959D2">
            <w:pPr>
              <w:spacing w:after="0" w:line="240" w:lineRule="auto"/>
              <w:rPr>
                <w:rFonts w:cs="Times New Roman"/>
                <w:bCs/>
                <w:sz w:val="20"/>
                <w:szCs w:val="20"/>
              </w:rPr>
            </w:pPr>
            <w:r>
              <w:rPr>
                <w:rFonts w:cs="Times New Roman"/>
                <w:bCs/>
                <w:sz w:val="20"/>
                <w:szCs w:val="20"/>
              </w:rPr>
              <w:t>solid cancers</w:t>
            </w:r>
          </w:p>
        </w:tc>
        <w:tc>
          <w:tcPr>
            <w:tcW w:w="1929" w:type="dxa"/>
            <w:tcBorders>
              <w:top w:val="single" w:sz="8" w:space="0" w:color="auto"/>
              <w:left w:val="nil"/>
              <w:bottom w:val="nil"/>
              <w:right w:val="nil"/>
            </w:tcBorders>
            <w:noWrap/>
            <w:vAlign w:val="bottom"/>
            <w:hideMark/>
          </w:tcPr>
          <w:p w14:paraId="2EB88B14"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NA</w:t>
            </w:r>
          </w:p>
        </w:tc>
        <w:tc>
          <w:tcPr>
            <w:tcW w:w="1928" w:type="dxa"/>
            <w:tcBorders>
              <w:top w:val="single" w:sz="8" w:space="0" w:color="auto"/>
              <w:left w:val="nil"/>
              <w:bottom w:val="nil"/>
              <w:right w:val="nil"/>
            </w:tcBorders>
            <w:shd w:val="clear" w:color="auto" w:fill="FFFFFF"/>
            <w:noWrap/>
            <w:vAlign w:val="bottom"/>
            <w:hideMark/>
          </w:tcPr>
          <w:p w14:paraId="78BC3E07"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–0.16 (–1.10, 0.77)</w:t>
            </w:r>
          </w:p>
        </w:tc>
        <w:tc>
          <w:tcPr>
            <w:tcW w:w="1928" w:type="dxa"/>
            <w:tcBorders>
              <w:top w:val="single" w:sz="8" w:space="0" w:color="auto"/>
              <w:left w:val="nil"/>
              <w:bottom w:val="nil"/>
              <w:right w:val="nil"/>
            </w:tcBorders>
            <w:shd w:val="clear" w:color="auto" w:fill="FFFFFF"/>
            <w:vAlign w:val="bottom"/>
            <w:hideMark/>
          </w:tcPr>
          <w:p w14:paraId="68A4827C"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0.86 (0.00, 1.73)</w:t>
            </w:r>
          </w:p>
        </w:tc>
        <w:tc>
          <w:tcPr>
            <w:tcW w:w="1928" w:type="dxa"/>
            <w:tcBorders>
              <w:top w:val="single" w:sz="8" w:space="0" w:color="auto"/>
              <w:left w:val="nil"/>
              <w:bottom w:val="nil"/>
              <w:right w:val="nil"/>
            </w:tcBorders>
            <w:shd w:val="clear" w:color="auto" w:fill="FFFFFF"/>
            <w:vAlign w:val="bottom"/>
            <w:hideMark/>
          </w:tcPr>
          <w:p w14:paraId="0A2EB747"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–0.25 (–1.04, 0.55)</w:t>
            </w:r>
          </w:p>
        </w:tc>
        <w:tc>
          <w:tcPr>
            <w:tcW w:w="1928" w:type="dxa"/>
            <w:tcBorders>
              <w:top w:val="single" w:sz="8" w:space="0" w:color="auto"/>
              <w:left w:val="nil"/>
              <w:bottom w:val="nil"/>
              <w:right w:val="nil"/>
            </w:tcBorders>
            <w:shd w:val="clear" w:color="auto" w:fill="FFFFFF"/>
            <w:vAlign w:val="bottom"/>
            <w:hideMark/>
          </w:tcPr>
          <w:p w14:paraId="3D39C54E"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0.10 (–0.57, 0.78)</w:t>
            </w:r>
          </w:p>
        </w:tc>
        <w:tc>
          <w:tcPr>
            <w:tcW w:w="1159" w:type="dxa"/>
            <w:tcBorders>
              <w:top w:val="single" w:sz="8" w:space="0" w:color="auto"/>
              <w:left w:val="nil"/>
              <w:bottom w:val="nil"/>
              <w:right w:val="nil"/>
            </w:tcBorders>
            <w:shd w:val="clear" w:color="auto" w:fill="FFFFFF"/>
            <w:noWrap/>
            <w:vAlign w:val="bottom"/>
            <w:hideMark/>
          </w:tcPr>
          <w:p w14:paraId="6C53291C"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0.558</w:t>
            </w:r>
          </w:p>
        </w:tc>
      </w:tr>
      <w:tr w:rsidR="00A959D2" w14:paraId="0A36E214" w14:textId="77777777" w:rsidTr="00A959D2">
        <w:trPr>
          <w:trHeight w:val="300"/>
        </w:trPr>
        <w:tc>
          <w:tcPr>
            <w:tcW w:w="2160" w:type="dxa"/>
            <w:tcBorders>
              <w:top w:val="nil"/>
              <w:left w:val="nil"/>
              <w:bottom w:val="nil"/>
              <w:right w:val="nil"/>
            </w:tcBorders>
            <w:noWrap/>
            <w:vAlign w:val="bottom"/>
            <w:hideMark/>
          </w:tcPr>
          <w:p w14:paraId="04E10BE0" w14:textId="77777777" w:rsidR="00A959D2" w:rsidRDefault="00A959D2">
            <w:pPr>
              <w:spacing w:after="0" w:line="240" w:lineRule="auto"/>
              <w:rPr>
                <w:rFonts w:cs="Times New Roman"/>
                <w:bCs/>
                <w:sz w:val="20"/>
                <w:szCs w:val="20"/>
              </w:rPr>
            </w:pPr>
            <w:r>
              <w:rPr>
                <w:rFonts w:cs="Times New Roman"/>
                <w:bCs/>
                <w:sz w:val="20"/>
                <w:szCs w:val="20"/>
              </w:rPr>
              <w:t>solid cancers excl. lung</w:t>
            </w:r>
          </w:p>
        </w:tc>
        <w:tc>
          <w:tcPr>
            <w:tcW w:w="1929" w:type="dxa"/>
            <w:tcBorders>
              <w:top w:val="nil"/>
              <w:left w:val="nil"/>
              <w:bottom w:val="nil"/>
              <w:right w:val="nil"/>
            </w:tcBorders>
            <w:noWrap/>
            <w:vAlign w:val="bottom"/>
            <w:hideMark/>
          </w:tcPr>
          <w:p w14:paraId="48913132"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NA</w:t>
            </w:r>
          </w:p>
        </w:tc>
        <w:tc>
          <w:tcPr>
            <w:tcW w:w="1928" w:type="dxa"/>
            <w:tcBorders>
              <w:top w:val="nil"/>
              <w:left w:val="nil"/>
              <w:bottom w:val="nil"/>
              <w:right w:val="nil"/>
            </w:tcBorders>
            <w:shd w:val="clear" w:color="auto" w:fill="FFFFFF"/>
            <w:noWrap/>
            <w:vAlign w:val="bottom"/>
            <w:hideMark/>
          </w:tcPr>
          <w:p w14:paraId="05191413" w14:textId="77777777" w:rsidR="00A959D2" w:rsidRDefault="00A959D2">
            <w:pPr>
              <w:spacing w:after="0" w:line="240" w:lineRule="auto"/>
              <w:jc w:val="center"/>
              <w:rPr>
                <w:rFonts w:cs="Times New Roman"/>
                <w:color w:val="333333"/>
                <w:sz w:val="20"/>
                <w:szCs w:val="20"/>
              </w:rPr>
            </w:pPr>
            <w:r>
              <w:rPr>
                <w:rFonts w:cs="Times New Roman"/>
                <w:color w:val="333333"/>
                <w:sz w:val="20"/>
                <w:szCs w:val="20"/>
              </w:rPr>
              <w:t>–0.48 (–1.61, 0.65)</w:t>
            </w:r>
          </w:p>
        </w:tc>
        <w:tc>
          <w:tcPr>
            <w:tcW w:w="1928" w:type="dxa"/>
            <w:tcBorders>
              <w:top w:val="nil"/>
              <w:left w:val="nil"/>
              <w:bottom w:val="nil"/>
              <w:right w:val="nil"/>
            </w:tcBorders>
            <w:shd w:val="clear" w:color="auto" w:fill="FFFFFF"/>
            <w:vAlign w:val="bottom"/>
            <w:hideMark/>
          </w:tcPr>
          <w:p w14:paraId="2E23C644" w14:textId="77777777" w:rsidR="00A959D2" w:rsidRDefault="00A959D2">
            <w:pPr>
              <w:spacing w:after="0" w:line="240" w:lineRule="auto"/>
              <w:jc w:val="center"/>
              <w:rPr>
                <w:rFonts w:cs="Times New Roman"/>
                <w:color w:val="333333"/>
                <w:sz w:val="20"/>
                <w:szCs w:val="20"/>
              </w:rPr>
            </w:pPr>
            <w:r>
              <w:rPr>
                <w:rFonts w:cs="Times New Roman"/>
                <w:color w:val="333333"/>
                <w:sz w:val="20"/>
                <w:szCs w:val="20"/>
              </w:rPr>
              <w:t>0.37 (–0.69, 1.44)</w:t>
            </w:r>
          </w:p>
        </w:tc>
        <w:tc>
          <w:tcPr>
            <w:tcW w:w="1928" w:type="dxa"/>
            <w:tcBorders>
              <w:top w:val="nil"/>
              <w:left w:val="nil"/>
              <w:bottom w:val="nil"/>
              <w:right w:val="nil"/>
            </w:tcBorders>
            <w:shd w:val="clear" w:color="auto" w:fill="FFFFFF"/>
            <w:vAlign w:val="bottom"/>
            <w:hideMark/>
          </w:tcPr>
          <w:p w14:paraId="2D79DC5F" w14:textId="77777777" w:rsidR="00A959D2" w:rsidRDefault="00A959D2">
            <w:pPr>
              <w:spacing w:after="0" w:line="240" w:lineRule="auto"/>
              <w:jc w:val="center"/>
              <w:rPr>
                <w:rFonts w:cs="Times New Roman"/>
                <w:color w:val="333333"/>
                <w:sz w:val="20"/>
                <w:szCs w:val="20"/>
              </w:rPr>
            </w:pPr>
            <w:r>
              <w:rPr>
                <w:rFonts w:cs="Times New Roman"/>
                <w:color w:val="333333"/>
                <w:sz w:val="20"/>
                <w:szCs w:val="20"/>
              </w:rPr>
              <w:t>–0.03 (–0.98, 0.91)</w:t>
            </w:r>
          </w:p>
        </w:tc>
        <w:tc>
          <w:tcPr>
            <w:tcW w:w="1928" w:type="dxa"/>
            <w:tcBorders>
              <w:top w:val="nil"/>
              <w:left w:val="nil"/>
              <w:bottom w:val="nil"/>
              <w:right w:val="nil"/>
            </w:tcBorders>
            <w:shd w:val="clear" w:color="auto" w:fill="FFFFFF"/>
            <w:vAlign w:val="bottom"/>
            <w:hideMark/>
          </w:tcPr>
          <w:p w14:paraId="3707EECC" w14:textId="77777777" w:rsidR="00A959D2" w:rsidRDefault="00A959D2">
            <w:pPr>
              <w:spacing w:after="0" w:line="240" w:lineRule="auto"/>
              <w:jc w:val="center"/>
              <w:rPr>
                <w:rFonts w:cs="Times New Roman"/>
                <w:color w:val="333333"/>
                <w:sz w:val="20"/>
                <w:szCs w:val="20"/>
              </w:rPr>
            </w:pPr>
            <w:r>
              <w:rPr>
                <w:rFonts w:cs="Times New Roman"/>
                <w:color w:val="333333"/>
                <w:sz w:val="20"/>
                <w:szCs w:val="20"/>
              </w:rPr>
              <w:t>0.19 (–0.59, 0.97)</w:t>
            </w:r>
          </w:p>
        </w:tc>
        <w:tc>
          <w:tcPr>
            <w:tcW w:w="1159" w:type="dxa"/>
            <w:tcBorders>
              <w:top w:val="nil"/>
              <w:left w:val="nil"/>
              <w:bottom w:val="nil"/>
              <w:right w:val="nil"/>
            </w:tcBorders>
            <w:shd w:val="clear" w:color="auto" w:fill="FFFFFF"/>
            <w:noWrap/>
            <w:vAlign w:val="bottom"/>
            <w:hideMark/>
          </w:tcPr>
          <w:p w14:paraId="4660CA1F" w14:textId="77777777" w:rsidR="00A959D2" w:rsidRDefault="00A959D2">
            <w:pPr>
              <w:spacing w:after="0" w:line="240" w:lineRule="auto"/>
              <w:jc w:val="center"/>
              <w:rPr>
                <w:rFonts w:cs="Times New Roman"/>
                <w:color w:val="333333"/>
                <w:sz w:val="20"/>
                <w:szCs w:val="20"/>
              </w:rPr>
            </w:pPr>
            <w:r>
              <w:rPr>
                <w:rFonts w:cs="Times New Roman"/>
                <w:color w:val="333333"/>
                <w:sz w:val="20"/>
                <w:szCs w:val="20"/>
              </w:rPr>
              <w:t>0.889</w:t>
            </w:r>
          </w:p>
        </w:tc>
      </w:tr>
      <w:tr w:rsidR="00A959D2" w14:paraId="681DC6A0" w14:textId="77777777" w:rsidTr="00A959D2">
        <w:trPr>
          <w:trHeight w:val="300"/>
        </w:trPr>
        <w:tc>
          <w:tcPr>
            <w:tcW w:w="2160" w:type="dxa"/>
            <w:tcBorders>
              <w:top w:val="nil"/>
              <w:left w:val="nil"/>
              <w:bottom w:val="nil"/>
              <w:right w:val="nil"/>
            </w:tcBorders>
            <w:noWrap/>
            <w:vAlign w:val="bottom"/>
            <w:hideMark/>
          </w:tcPr>
          <w:p w14:paraId="768BD26F" w14:textId="77777777" w:rsidR="00A959D2" w:rsidRDefault="00A959D2">
            <w:pPr>
              <w:spacing w:after="0" w:line="240" w:lineRule="auto"/>
              <w:rPr>
                <w:rFonts w:cs="Times New Roman"/>
                <w:bCs/>
                <w:sz w:val="20"/>
                <w:szCs w:val="20"/>
              </w:rPr>
            </w:pPr>
            <w:r>
              <w:rPr>
                <w:rFonts w:cs="Times New Roman"/>
                <w:bCs/>
                <w:sz w:val="20"/>
                <w:szCs w:val="20"/>
              </w:rPr>
              <w:t xml:space="preserve">lung cancer </w:t>
            </w:r>
          </w:p>
        </w:tc>
        <w:tc>
          <w:tcPr>
            <w:tcW w:w="1929" w:type="dxa"/>
            <w:tcBorders>
              <w:top w:val="nil"/>
              <w:left w:val="nil"/>
              <w:bottom w:val="nil"/>
              <w:right w:val="nil"/>
            </w:tcBorders>
            <w:noWrap/>
            <w:vAlign w:val="bottom"/>
            <w:hideMark/>
          </w:tcPr>
          <w:p w14:paraId="6D14DCDD"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NA</w:t>
            </w:r>
          </w:p>
        </w:tc>
        <w:tc>
          <w:tcPr>
            <w:tcW w:w="1928" w:type="dxa"/>
            <w:tcBorders>
              <w:top w:val="nil"/>
              <w:left w:val="nil"/>
              <w:bottom w:val="nil"/>
              <w:right w:val="nil"/>
            </w:tcBorders>
            <w:shd w:val="clear" w:color="auto" w:fill="FFFFFF"/>
            <w:noWrap/>
            <w:vAlign w:val="bottom"/>
            <w:hideMark/>
          </w:tcPr>
          <w:p w14:paraId="546A03E5"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0.53 (–1.16, 2.21)</w:t>
            </w:r>
          </w:p>
        </w:tc>
        <w:tc>
          <w:tcPr>
            <w:tcW w:w="1928" w:type="dxa"/>
            <w:tcBorders>
              <w:top w:val="nil"/>
              <w:left w:val="nil"/>
              <w:bottom w:val="nil"/>
              <w:right w:val="nil"/>
            </w:tcBorders>
            <w:shd w:val="clear" w:color="auto" w:fill="FFFFFF"/>
            <w:vAlign w:val="bottom"/>
            <w:hideMark/>
          </w:tcPr>
          <w:p w14:paraId="02243A8B"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1.83 (0.22, 3.44)</w:t>
            </w:r>
          </w:p>
        </w:tc>
        <w:tc>
          <w:tcPr>
            <w:tcW w:w="1928" w:type="dxa"/>
            <w:tcBorders>
              <w:top w:val="nil"/>
              <w:left w:val="nil"/>
              <w:bottom w:val="nil"/>
              <w:right w:val="nil"/>
            </w:tcBorders>
            <w:shd w:val="clear" w:color="auto" w:fill="FFFFFF"/>
            <w:vAlign w:val="bottom"/>
            <w:hideMark/>
          </w:tcPr>
          <w:p w14:paraId="42E68B83"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–0.50 (–2.01, 1.00)</w:t>
            </w:r>
          </w:p>
        </w:tc>
        <w:tc>
          <w:tcPr>
            <w:tcW w:w="1928" w:type="dxa"/>
            <w:tcBorders>
              <w:top w:val="nil"/>
              <w:left w:val="nil"/>
              <w:bottom w:val="nil"/>
              <w:right w:val="nil"/>
            </w:tcBorders>
            <w:shd w:val="clear" w:color="auto" w:fill="FFFFFF"/>
            <w:vAlign w:val="bottom"/>
            <w:hideMark/>
          </w:tcPr>
          <w:p w14:paraId="2182F018"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–0.32 (–1.66, 1.01)</w:t>
            </w:r>
          </w:p>
        </w:tc>
        <w:tc>
          <w:tcPr>
            <w:tcW w:w="1159" w:type="dxa"/>
            <w:tcBorders>
              <w:top w:val="nil"/>
              <w:left w:val="nil"/>
              <w:bottom w:val="nil"/>
              <w:right w:val="nil"/>
            </w:tcBorders>
            <w:shd w:val="clear" w:color="auto" w:fill="FFFFFF"/>
            <w:noWrap/>
            <w:vAlign w:val="bottom"/>
            <w:hideMark/>
          </w:tcPr>
          <w:p w14:paraId="3741887C"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0.264</w:t>
            </w:r>
          </w:p>
        </w:tc>
      </w:tr>
      <w:tr w:rsidR="00A959D2" w14:paraId="214AA70F" w14:textId="77777777" w:rsidTr="00A959D2">
        <w:trPr>
          <w:trHeight w:val="300"/>
        </w:trPr>
        <w:tc>
          <w:tcPr>
            <w:tcW w:w="2160" w:type="dxa"/>
            <w:tcBorders>
              <w:top w:val="nil"/>
              <w:left w:val="nil"/>
              <w:bottom w:val="nil"/>
              <w:right w:val="nil"/>
            </w:tcBorders>
            <w:noWrap/>
            <w:vAlign w:val="bottom"/>
            <w:hideMark/>
          </w:tcPr>
          <w:p w14:paraId="5959D033" w14:textId="77777777" w:rsidR="00A959D2" w:rsidRDefault="00A959D2">
            <w:pPr>
              <w:spacing w:after="0" w:line="240" w:lineRule="auto"/>
              <w:rPr>
                <w:rFonts w:cs="Times New Roman"/>
                <w:bCs/>
                <w:sz w:val="20"/>
                <w:szCs w:val="20"/>
              </w:rPr>
            </w:pPr>
            <w:r>
              <w:rPr>
                <w:rFonts w:cs="Times New Roman"/>
                <w:bCs/>
                <w:sz w:val="20"/>
                <w:szCs w:val="20"/>
              </w:rPr>
              <w:t>leukemias excl. CLL</w:t>
            </w:r>
          </w:p>
        </w:tc>
        <w:tc>
          <w:tcPr>
            <w:tcW w:w="1929" w:type="dxa"/>
            <w:tcBorders>
              <w:top w:val="nil"/>
              <w:left w:val="nil"/>
              <w:bottom w:val="nil"/>
              <w:right w:val="nil"/>
            </w:tcBorders>
            <w:shd w:val="clear" w:color="auto" w:fill="FFFFFF"/>
            <w:noWrap/>
            <w:vAlign w:val="bottom"/>
            <w:hideMark/>
          </w:tcPr>
          <w:p w14:paraId="659519D4"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0.10 (–7.56, 7.76)</w:t>
            </w:r>
          </w:p>
        </w:tc>
        <w:tc>
          <w:tcPr>
            <w:tcW w:w="1928" w:type="dxa"/>
            <w:tcBorders>
              <w:top w:val="nil"/>
              <w:left w:val="nil"/>
              <w:bottom w:val="nil"/>
              <w:right w:val="nil"/>
            </w:tcBorders>
            <w:shd w:val="clear" w:color="auto" w:fill="FFFFFF"/>
            <w:noWrap/>
            <w:vAlign w:val="bottom"/>
            <w:hideMark/>
          </w:tcPr>
          <w:p w14:paraId="240CCA09"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1.90 (–5.58, 9.38)</w:t>
            </w:r>
          </w:p>
        </w:tc>
        <w:tc>
          <w:tcPr>
            <w:tcW w:w="1928" w:type="dxa"/>
            <w:tcBorders>
              <w:top w:val="nil"/>
              <w:left w:val="nil"/>
              <w:bottom w:val="nil"/>
              <w:right w:val="nil"/>
            </w:tcBorders>
            <w:shd w:val="clear" w:color="auto" w:fill="FFFFFF"/>
            <w:vAlign w:val="bottom"/>
            <w:hideMark/>
          </w:tcPr>
          <w:p w14:paraId="19AF83F4"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3.70 (–4.15, 11.6)</w:t>
            </w:r>
          </w:p>
        </w:tc>
        <w:tc>
          <w:tcPr>
            <w:tcW w:w="1928" w:type="dxa"/>
            <w:tcBorders>
              <w:top w:val="nil"/>
              <w:left w:val="nil"/>
              <w:bottom w:val="nil"/>
              <w:right w:val="nil"/>
            </w:tcBorders>
            <w:shd w:val="clear" w:color="auto" w:fill="FFFFFF"/>
            <w:vAlign w:val="bottom"/>
            <w:hideMark/>
          </w:tcPr>
          <w:p w14:paraId="7D65E275"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7.58 (–0.36, 15.5)</w:t>
            </w:r>
          </w:p>
        </w:tc>
        <w:tc>
          <w:tcPr>
            <w:tcW w:w="1928" w:type="dxa"/>
            <w:tcBorders>
              <w:top w:val="nil"/>
              <w:left w:val="nil"/>
              <w:bottom w:val="nil"/>
              <w:right w:val="nil"/>
            </w:tcBorders>
            <w:shd w:val="clear" w:color="auto" w:fill="FFFFFF"/>
            <w:vAlign w:val="bottom"/>
            <w:hideMark/>
          </w:tcPr>
          <w:p w14:paraId="48AD92E5"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–0.20 (–5.26, 4.86)</w:t>
            </w:r>
          </w:p>
        </w:tc>
        <w:tc>
          <w:tcPr>
            <w:tcW w:w="1159" w:type="dxa"/>
            <w:tcBorders>
              <w:top w:val="nil"/>
              <w:left w:val="nil"/>
              <w:bottom w:val="nil"/>
              <w:right w:val="nil"/>
            </w:tcBorders>
            <w:shd w:val="clear" w:color="auto" w:fill="FFFFFF"/>
            <w:noWrap/>
            <w:vAlign w:val="bottom"/>
            <w:hideMark/>
          </w:tcPr>
          <w:p w14:paraId="45E946B7"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0.724</w:t>
            </w:r>
          </w:p>
        </w:tc>
      </w:tr>
      <w:tr w:rsidR="00A959D2" w14:paraId="2C7279C8" w14:textId="77777777" w:rsidTr="00A959D2">
        <w:trPr>
          <w:trHeight w:val="300"/>
        </w:trPr>
        <w:tc>
          <w:tcPr>
            <w:tcW w:w="2160" w:type="dxa"/>
            <w:tcBorders>
              <w:top w:val="nil"/>
              <w:left w:val="nil"/>
              <w:bottom w:val="nil"/>
              <w:right w:val="nil"/>
            </w:tcBorders>
            <w:noWrap/>
            <w:vAlign w:val="bottom"/>
            <w:hideMark/>
          </w:tcPr>
          <w:p w14:paraId="47F7B65A" w14:textId="77777777" w:rsidR="00A959D2" w:rsidRDefault="00A959D2">
            <w:pPr>
              <w:spacing w:after="0" w:line="240" w:lineRule="auto"/>
              <w:ind w:left="288"/>
              <w:rPr>
                <w:rFonts w:cs="Times New Roman"/>
                <w:bCs/>
                <w:sz w:val="20"/>
                <w:szCs w:val="20"/>
              </w:rPr>
            </w:pPr>
            <w:r>
              <w:rPr>
                <w:rFonts w:cs="Times New Roman"/>
                <w:bCs/>
                <w:sz w:val="20"/>
                <w:szCs w:val="20"/>
              </w:rPr>
              <w:t>CML</w:t>
            </w:r>
          </w:p>
        </w:tc>
        <w:tc>
          <w:tcPr>
            <w:tcW w:w="1929" w:type="dxa"/>
            <w:tcBorders>
              <w:top w:val="nil"/>
              <w:left w:val="nil"/>
              <w:bottom w:val="nil"/>
              <w:right w:val="nil"/>
            </w:tcBorders>
            <w:shd w:val="clear" w:color="auto" w:fill="FFFFFF"/>
            <w:noWrap/>
            <w:vAlign w:val="bottom"/>
            <w:hideMark/>
          </w:tcPr>
          <w:p w14:paraId="051B749D"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2.16 (–18.8, 23.1)</w:t>
            </w:r>
          </w:p>
        </w:tc>
        <w:tc>
          <w:tcPr>
            <w:tcW w:w="1928" w:type="dxa"/>
            <w:tcBorders>
              <w:top w:val="nil"/>
              <w:left w:val="nil"/>
              <w:bottom w:val="nil"/>
              <w:right w:val="nil"/>
            </w:tcBorders>
            <w:shd w:val="clear" w:color="auto" w:fill="FFFFFF"/>
            <w:noWrap/>
            <w:vAlign w:val="bottom"/>
            <w:hideMark/>
          </w:tcPr>
          <w:p w14:paraId="09555D51"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6.79 (–20.3, 33.8)</w:t>
            </w:r>
          </w:p>
        </w:tc>
        <w:tc>
          <w:tcPr>
            <w:tcW w:w="1928" w:type="dxa"/>
            <w:tcBorders>
              <w:top w:val="nil"/>
              <w:left w:val="nil"/>
              <w:bottom w:val="nil"/>
              <w:right w:val="nil"/>
            </w:tcBorders>
            <w:shd w:val="clear" w:color="auto" w:fill="FFFFFF"/>
            <w:vAlign w:val="bottom"/>
            <w:hideMark/>
          </w:tcPr>
          <w:p w14:paraId="2AE99B55"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NC</w:t>
            </w:r>
          </w:p>
        </w:tc>
        <w:tc>
          <w:tcPr>
            <w:tcW w:w="1928" w:type="dxa"/>
            <w:tcBorders>
              <w:top w:val="nil"/>
              <w:left w:val="nil"/>
              <w:bottom w:val="nil"/>
              <w:right w:val="nil"/>
            </w:tcBorders>
            <w:shd w:val="clear" w:color="auto" w:fill="FFFFFF"/>
            <w:vAlign w:val="bottom"/>
            <w:hideMark/>
          </w:tcPr>
          <w:p w14:paraId="5EF8DA7A"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NC</w:t>
            </w:r>
          </w:p>
        </w:tc>
        <w:tc>
          <w:tcPr>
            <w:tcW w:w="1928" w:type="dxa"/>
            <w:tcBorders>
              <w:top w:val="nil"/>
              <w:left w:val="nil"/>
              <w:bottom w:val="nil"/>
              <w:right w:val="nil"/>
            </w:tcBorders>
            <w:shd w:val="clear" w:color="auto" w:fill="FFFFFF"/>
            <w:vAlign w:val="bottom"/>
            <w:hideMark/>
          </w:tcPr>
          <w:p w14:paraId="0BE268EB"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NC</w:t>
            </w:r>
          </w:p>
        </w:tc>
        <w:tc>
          <w:tcPr>
            <w:tcW w:w="1159" w:type="dxa"/>
            <w:tcBorders>
              <w:top w:val="nil"/>
              <w:left w:val="nil"/>
              <w:bottom w:val="nil"/>
              <w:right w:val="nil"/>
            </w:tcBorders>
            <w:shd w:val="clear" w:color="auto" w:fill="FFFFFF"/>
            <w:noWrap/>
            <w:vAlign w:val="bottom"/>
            <w:hideMark/>
          </w:tcPr>
          <w:p w14:paraId="07DFB6BF"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NC</w:t>
            </w:r>
          </w:p>
        </w:tc>
      </w:tr>
      <w:tr w:rsidR="00A959D2" w14:paraId="35A75580" w14:textId="77777777" w:rsidTr="00A959D2">
        <w:trPr>
          <w:trHeight w:val="300"/>
        </w:trPr>
        <w:tc>
          <w:tcPr>
            <w:tcW w:w="2160" w:type="dxa"/>
            <w:tcBorders>
              <w:top w:val="nil"/>
              <w:left w:val="nil"/>
              <w:bottom w:val="nil"/>
              <w:right w:val="nil"/>
            </w:tcBorders>
            <w:noWrap/>
            <w:vAlign w:val="bottom"/>
            <w:hideMark/>
          </w:tcPr>
          <w:p w14:paraId="3EB6B091" w14:textId="77777777" w:rsidR="00A959D2" w:rsidRDefault="00A959D2">
            <w:pPr>
              <w:spacing w:after="0" w:line="240" w:lineRule="auto"/>
              <w:ind w:left="288"/>
              <w:rPr>
                <w:rFonts w:cs="Times New Roman"/>
                <w:bCs/>
                <w:sz w:val="20"/>
                <w:szCs w:val="20"/>
              </w:rPr>
            </w:pPr>
            <w:r>
              <w:rPr>
                <w:rFonts w:cs="Times New Roman"/>
                <w:bCs/>
                <w:sz w:val="20"/>
                <w:szCs w:val="20"/>
              </w:rPr>
              <w:t>AML</w:t>
            </w:r>
          </w:p>
        </w:tc>
        <w:tc>
          <w:tcPr>
            <w:tcW w:w="1929" w:type="dxa"/>
            <w:tcBorders>
              <w:top w:val="nil"/>
              <w:left w:val="nil"/>
              <w:bottom w:val="nil"/>
              <w:right w:val="nil"/>
            </w:tcBorders>
            <w:shd w:val="clear" w:color="auto" w:fill="FFFFFF"/>
            <w:noWrap/>
            <w:vAlign w:val="bottom"/>
            <w:hideMark/>
          </w:tcPr>
          <w:p w14:paraId="01A08C63"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0.33 (–9.49, 10.2)</w:t>
            </w:r>
          </w:p>
        </w:tc>
        <w:tc>
          <w:tcPr>
            <w:tcW w:w="1928" w:type="dxa"/>
            <w:tcBorders>
              <w:top w:val="nil"/>
              <w:left w:val="nil"/>
              <w:bottom w:val="nil"/>
              <w:right w:val="nil"/>
            </w:tcBorders>
            <w:shd w:val="clear" w:color="auto" w:fill="FFFFFF"/>
            <w:noWrap/>
            <w:vAlign w:val="bottom"/>
            <w:hideMark/>
          </w:tcPr>
          <w:p w14:paraId="0736600D"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–0.92 (–16.4, 14.6)</w:t>
            </w:r>
          </w:p>
        </w:tc>
        <w:tc>
          <w:tcPr>
            <w:tcW w:w="1928" w:type="dxa"/>
            <w:tcBorders>
              <w:top w:val="nil"/>
              <w:left w:val="nil"/>
              <w:bottom w:val="nil"/>
              <w:right w:val="nil"/>
            </w:tcBorders>
            <w:shd w:val="clear" w:color="auto" w:fill="FFFFFF"/>
            <w:vAlign w:val="bottom"/>
            <w:hideMark/>
          </w:tcPr>
          <w:p w14:paraId="4C0F7B09"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0.73 (–7.16, 8.62)</w:t>
            </w:r>
          </w:p>
        </w:tc>
        <w:tc>
          <w:tcPr>
            <w:tcW w:w="1928" w:type="dxa"/>
            <w:tcBorders>
              <w:top w:val="nil"/>
              <w:left w:val="nil"/>
              <w:bottom w:val="nil"/>
              <w:right w:val="nil"/>
            </w:tcBorders>
            <w:shd w:val="clear" w:color="auto" w:fill="FFFFFF"/>
            <w:vAlign w:val="bottom"/>
            <w:hideMark/>
          </w:tcPr>
          <w:p w14:paraId="08EFE2F9"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1.54 (–5.12, 8.21)</w:t>
            </w:r>
          </w:p>
        </w:tc>
        <w:tc>
          <w:tcPr>
            <w:tcW w:w="1928" w:type="dxa"/>
            <w:tcBorders>
              <w:top w:val="nil"/>
              <w:left w:val="nil"/>
              <w:bottom w:val="nil"/>
              <w:right w:val="nil"/>
            </w:tcBorders>
            <w:shd w:val="clear" w:color="auto" w:fill="FFFFFF"/>
            <w:vAlign w:val="bottom"/>
            <w:hideMark/>
          </w:tcPr>
          <w:p w14:paraId="75E32C64"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0.26 (–6.65, 7.16)</w:t>
            </w:r>
          </w:p>
        </w:tc>
        <w:tc>
          <w:tcPr>
            <w:tcW w:w="1159" w:type="dxa"/>
            <w:tcBorders>
              <w:top w:val="nil"/>
              <w:left w:val="nil"/>
              <w:bottom w:val="nil"/>
              <w:right w:val="nil"/>
            </w:tcBorders>
            <w:shd w:val="clear" w:color="auto" w:fill="FFFFFF"/>
            <w:noWrap/>
            <w:vAlign w:val="bottom"/>
            <w:hideMark/>
          </w:tcPr>
          <w:p w14:paraId="272AF28A"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0.923</w:t>
            </w:r>
          </w:p>
        </w:tc>
      </w:tr>
      <w:tr w:rsidR="00A959D2" w14:paraId="5995B1C1" w14:textId="77777777" w:rsidTr="00A959D2">
        <w:trPr>
          <w:trHeight w:val="300"/>
        </w:trPr>
        <w:tc>
          <w:tcPr>
            <w:tcW w:w="2160" w:type="dxa"/>
            <w:tcBorders>
              <w:top w:val="nil"/>
              <w:left w:val="nil"/>
              <w:bottom w:val="nil"/>
              <w:right w:val="nil"/>
            </w:tcBorders>
            <w:noWrap/>
            <w:vAlign w:val="bottom"/>
            <w:hideMark/>
          </w:tcPr>
          <w:p w14:paraId="6F87E045" w14:textId="77777777" w:rsidR="00A959D2" w:rsidRDefault="00A959D2">
            <w:pPr>
              <w:spacing w:after="0" w:line="240" w:lineRule="auto"/>
              <w:rPr>
                <w:rFonts w:cs="Times New Roman"/>
                <w:bCs/>
                <w:sz w:val="20"/>
                <w:szCs w:val="20"/>
              </w:rPr>
            </w:pPr>
            <w:r>
              <w:rPr>
                <w:rFonts w:cs="Times New Roman"/>
                <w:bCs/>
                <w:sz w:val="20"/>
                <w:szCs w:val="20"/>
              </w:rPr>
              <w:t>AML+MDS</w:t>
            </w:r>
          </w:p>
        </w:tc>
        <w:tc>
          <w:tcPr>
            <w:tcW w:w="1929" w:type="dxa"/>
            <w:tcBorders>
              <w:top w:val="nil"/>
              <w:left w:val="nil"/>
              <w:bottom w:val="nil"/>
              <w:right w:val="nil"/>
            </w:tcBorders>
            <w:shd w:val="clear" w:color="auto" w:fill="FFFFFF"/>
            <w:noWrap/>
            <w:vAlign w:val="bottom"/>
            <w:hideMark/>
          </w:tcPr>
          <w:p w14:paraId="4AB3AFED"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0.48 (–9.43, 10.4)</w:t>
            </w:r>
          </w:p>
        </w:tc>
        <w:tc>
          <w:tcPr>
            <w:tcW w:w="1928" w:type="dxa"/>
            <w:tcBorders>
              <w:top w:val="nil"/>
              <w:left w:val="nil"/>
              <w:bottom w:val="nil"/>
              <w:right w:val="nil"/>
            </w:tcBorders>
            <w:shd w:val="clear" w:color="auto" w:fill="FFFFFF"/>
            <w:noWrap/>
            <w:vAlign w:val="bottom"/>
            <w:hideMark/>
          </w:tcPr>
          <w:p w14:paraId="6A70F07C"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–0.92 (–13.8, 12.0)</w:t>
            </w:r>
          </w:p>
        </w:tc>
        <w:tc>
          <w:tcPr>
            <w:tcW w:w="1928" w:type="dxa"/>
            <w:tcBorders>
              <w:top w:val="nil"/>
              <w:left w:val="nil"/>
              <w:bottom w:val="nil"/>
              <w:right w:val="nil"/>
            </w:tcBorders>
            <w:shd w:val="clear" w:color="auto" w:fill="FFFFFF"/>
            <w:vAlign w:val="bottom"/>
            <w:hideMark/>
          </w:tcPr>
          <w:p w14:paraId="09C6B9A4"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0.17 (–6.74, 7.08)</w:t>
            </w:r>
          </w:p>
        </w:tc>
        <w:tc>
          <w:tcPr>
            <w:tcW w:w="1928" w:type="dxa"/>
            <w:tcBorders>
              <w:top w:val="nil"/>
              <w:left w:val="nil"/>
              <w:bottom w:val="nil"/>
              <w:right w:val="nil"/>
            </w:tcBorders>
            <w:shd w:val="clear" w:color="auto" w:fill="FFFFFF"/>
            <w:vAlign w:val="bottom"/>
            <w:hideMark/>
          </w:tcPr>
          <w:p w14:paraId="27CC6DF8"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1.12 (–4.53, 6.77)</w:t>
            </w:r>
          </w:p>
        </w:tc>
        <w:tc>
          <w:tcPr>
            <w:tcW w:w="1928" w:type="dxa"/>
            <w:tcBorders>
              <w:top w:val="nil"/>
              <w:left w:val="nil"/>
              <w:bottom w:val="nil"/>
              <w:right w:val="nil"/>
            </w:tcBorders>
            <w:shd w:val="clear" w:color="auto" w:fill="FFFFFF"/>
            <w:vAlign w:val="bottom"/>
            <w:hideMark/>
          </w:tcPr>
          <w:p w14:paraId="68A38F12"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2.80 (–1.77, 7.38)</w:t>
            </w:r>
          </w:p>
        </w:tc>
        <w:tc>
          <w:tcPr>
            <w:tcW w:w="1159" w:type="dxa"/>
            <w:tcBorders>
              <w:top w:val="nil"/>
              <w:left w:val="nil"/>
              <w:bottom w:val="nil"/>
              <w:right w:val="nil"/>
            </w:tcBorders>
            <w:shd w:val="clear" w:color="auto" w:fill="FFFFFF"/>
            <w:noWrap/>
            <w:vAlign w:val="bottom"/>
            <w:hideMark/>
          </w:tcPr>
          <w:p w14:paraId="65B4866B"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0.887</w:t>
            </w:r>
          </w:p>
        </w:tc>
      </w:tr>
      <w:tr w:rsidR="00A959D2" w14:paraId="4887F378" w14:textId="77777777" w:rsidTr="00A959D2">
        <w:trPr>
          <w:trHeight w:val="300"/>
        </w:trPr>
        <w:tc>
          <w:tcPr>
            <w:tcW w:w="2160" w:type="dxa"/>
            <w:tcBorders>
              <w:top w:val="nil"/>
              <w:left w:val="nil"/>
              <w:bottom w:val="nil"/>
              <w:right w:val="nil"/>
            </w:tcBorders>
            <w:noWrap/>
            <w:vAlign w:val="bottom"/>
            <w:hideMark/>
          </w:tcPr>
          <w:p w14:paraId="5ED10EC1" w14:textId="77777777" w:rsidR="00A959D2" w:rsidRDefault="00A959D2">
            <w:pPr>
              <w:spacing w:after="0" w:line="240" w:lineRule="auto"/>
              <w:rPr>
                <w:rFonts w:cs="Times New Roman"/>
                <w:bCs/>
                <w:sz w:val="20"/>
                <w:szCs w:val="20"/>
              </w:rPr>
            </w:pPr>
            <w:r>
              <w:rPr>
                <w:rFonts w:cs="Times New Roman"/>
                <w:bCs/>
                <w:sz w:val="20"/>
                <w:szCs w:val="20"/>
              </w:rPr>
              <w:t>MM</w:t>
            </w:r>
          </w:p>
        </w:tc>
        <w:tc>
          <w:tcPr>
            <w:tcW w:w="1929" w:type="dxa"/>
            <w:tcBorders>
              <w:top w:val="nil"/>
              <w:left w:val="nil"/>
              <w:bottom w:val="nil"/>
              <w:right w:val="nil"/>
            </w:tcBorders>
            <w:shd w:val="clear" w:color="auto" w:fill="FFFFFF"/>
            <w:noWrap/>
            <w:vAlign w:val="bottom"/>
            <w:hideMark/>
          </w:tcPr>
          <w:p w14:paraId="152FF38F"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0.89 (–12.9, 14.7)</w:t>
            </w:r>
          </w:p>
        </w:tc>
        <w:tc>
          <w:tcPr>
            <w:tcW w:w="1928" w:type="dxa"/>
            <w:tcBorders>
              <w:top w:val="nil"/>
              <w:left w:val="nil"/>
              <w:bottom w:val="nil"/>
              <w:right w:val="nil"/>
            </w:tcBorders>
            <w:shd w:val="clear" w:color="auto" w:fill="FFFFFF"/>
            <w:noWrap/>
            <w:vAlign w:val="bottom"/>
            <w:hideMark/>
          </w:tcPr>
          <w:p w14:paraId="6B9F6893"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2.13 (–7.17, 11.4)</w:t>
            </w:r>
          </w:p>
        </w:tc>
        <w:tc>
          <w:tcPr>
            <w:tcW w:w="1928" w:type="dxa"/>
            <w:tcBorders>
              <w:top w:val="nil"/>
              <w:left w:val="nil"/>
              <w:bottom w:val="nil"/>
              <w:right w:val="nil"/>
            </w:tcBorders>
            <w:shd w:val="clear" w:color="auto" w:fill="FFFFFF"/>
            <w:vAlign w:val="bottom"/>
            <w:hideMark/>
          </w:tcPr>
          <w:p w14:paraId="5D7BAF02"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1.77 (–5.33, 8.88)</w:t>
            </w:r>
          </w:p>
        </w:tc>
        <w:tc>
          <w:tcPr>
            <w:tcW w:w="1928" w:type="dxa"/>
            <w:tcBorders>
              <w:top w:val="nil"/>
              <w:left w:val="nil"/>
              <w:bottom w:val="nil"/>
              <w:right w:val="nil"/>
            </w:tcBorders>
            <w:shd w:val="clear" w:color="auto" w:fill="FFFFFF"/>
            <w:vAlign w:val="bottom"/>
            <w:hideMark/>
          </w:tcPr>
          <w:p w14:paraId="6CF5D73C"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–0.85 (–7.16, 5.46)</w:t>
            </w:r>
          </w:p>
        </w:tc>
        <w:tc>
          <w:tcPr>
            <w:tcW w:w="1928" w:type="dxa"/>
            <w:tcBorders>
              <w:top w:val="nil"/>
              <w:left w:val="nil"/>
              <w:bottom w:val="nil"/>
              <w:right w:val="nil"/>
            </w:tcBorders>
            <w:shd w:val="clear" w:color="auto" w:fill="FFFFFF"/>
            <w:vAlign w:val="bottom"/>
            <w:hideMark/>
          </w:tcPr>
          <w:p w14:paraId="2E4F0E23"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–0.91 (–4.79, 2.98)</w:t>
            </w:r>
          </w:p>
        </w:tc>
        <w:tc>
          <w:tcPr>
            <w:tcW w:w="1159" w:type="dxa"/>
            <w:tcBorders>
              <w:top w:val="nil"/>
              <w:left w:val="nil"/>
              <w:bottom w:val="nil"/>
              <w:right w:val="nil"/>
            </w:tcBorders>
            <w:shd w:val="clear" w:color="auto" w:fill="FFFFFF"/>
            <w:noWrap/>
            <w:vAlign w:val="bottom"/>
            <w:hideMark/>
          </w:tcPr>
          <w:p w14:paraId="29DE1993"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0.381</w:t>
            </w:r>
          </w:p>
        </w:tc>
      </w:tr>
      <w:tr w:rsidR="00A959D2" w14:paraId="5B71C65C" w14:textId="77777777" w:rsidTr="00A959D2">
        <w:trPr>
          <w:trHeight w:val="300"/>
        </w:trPr>
        <w:tc>
          <w:tcPr>
            <w:tcW w:w="2160" w:type="dxa"/>
            <w:tcBorders>
              <w:top w:val="nil"/>
              <w:left w:val="nil"/>
              <w:bottom w:val="single" w:sz="8" w:space="0" w:color="000000" w:themeColor="text1"/>
              <w:right w:val="nil"/>
            </w:tcBorders>
            <w:noWrap/>
            <w:vAlign w:val="bottom"/>
            <w:hideMark/>
          </w:tcPr>
          <w:p w14:paraId="22941EFC" w14:textId="77777777" w:rsidR="00A959D2" w:rsidRDefault="00A959D2">
            <w:pPr>
              <w:spacing w:after="0" w:line="240" w:lineRule="auto"/>
              <w:rPr>
                <w:rFonts w:cs="Times New Roman"/>
                <w:bCs/>
                <w:sz w:val="20"/>
                <w:szCs w:val="20"/>
              </w:rPr>
            </w:pPr>
            <w:r>
              <w:rPr>
                <w:rFonts w:cs="Times New Roman"/>
                <w:bCs/>
                <w:sz w:val="20"/>
                <w:szCs w:val="20"/>
              </w:rPr>
              <w:t>NHL</w:t>
            </w:r>
          </w:p>
        </w:tc>
        <w:tc>
          <w:tcPr>
            <w:tcW w:w="1929" w:type="dxa"/>
            <w:tcBorders>
              <w:top w:val="nil"/>
              <w:left w:val="nil"/>
              <w:bottom w:val="single" w:sz="8" w:space="0" w:color="000000" w:themeColor="text1"/>
              <w:right w:val="nil"/>
            </w:tcBorders>
            <w:shd w:val="clear" w:color="auto" w:fill="FFFFFF"/>
            <w:noWrap/>
            <w:vAlign w:val="bottom"/>
            <w:hideMark/>
          </w:tcPr>
          <w:p w14:paraId="27755B9A"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NA</w:t>
            </w:r>
          </w:p>
        </w:tc>
        <w:tc>
          <w:tcPr>
            <w:tcW w:w="1928" w:type="dxa"/>
            <w:tcBorders>
              <w:top w:val="nil"/>
              <w:left w:val="nil"/>
              <w:bottom w:val="single" w:sz="8" w:space="0" w:color="000000" w:themeColor="text1"/>
              <w:right w:val="nil"/>
            </w:tcBorders>
            <w:shd w:val="clear" w:color="auto" w:fill="FFFFFF"/>
            <w:noWrap/>
            <w:vAlign w:val="bottom"/>
            <w:hideMark/>
          </w:tcPr>
          <w:p w14:paraId="5C47E34F"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–0.92 (–6.08, 4.24)</w:t>
            </w:r>
          </w:p>
        </w:tc>
        <w:tc>
          <w:tcPr>
            <w:tcW w:w="1928" w:type="dxa"/>
            <w:tcBorders>
              <w:top w:val="nil"/>
              <w:left w:val="nil"/>
              <w:bottom w:val="single" w:sz="8" w:space="0" w:color="000000" w:themeColor="text1"/>
              <w:right w:val="nil"/>
            </w:tcBorders>
            <w:shd w:val="clear" w:color="auto" w:fill="FFFFFF"/>
            <w:vAlign w:val="bottom"/>
            <w:hideMark/>
          </w:tcPr>
          <w:p w14:paraId="4CE828A9"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0.67 (–4.09, 5.44)</w:t>
            </w:r>
          </w:p>
        </w:tc>
        <w:tc>
          <w:tcPr>
            <w:tcW w:w="1928" w:type="dxa"/>
            <w:tcBorders>
              <w:top w:val="nil"/>
              <w:left w:val="nil"/>
              <w:bottom w:val="single" w:sz="8" w:space="0" w:color="000000" w:themeColor="text1"/>
              <w:right w:val="nil"/>
            </w:tcBorders>
            <w:shd w:val="clear" w:color="auto" w:fill="FFFFFF"/>
            <w:vAlign w:val="bottom"/>
            <w:hideMark/>
          </w:tcPr>
          <w:p w14:paraId="016CC8DE"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0.31 (–4.47, 5.09)</w:t>
            </w:r>
          </w:p>
        </w:tc>
        <w:tc>
          <w:tcPr>
            <w:tcW w:w="1928" w:type="dxa"/>
            <w:tcBorders>
              <w:top w:val="nil"/>
              <w:left w:val="nil"/>
              <w:bottom w:val="single" w:sz="8" w:space="0" w:color="000000" w:themeColor="text1"/>
              <w:right w:val="nil"/>
            </w:tcBorders>
            <w:shd w:val="clear" w:color="auto" w:fill="FFFFFF"/>
            <w:vAlign w:val="bottom"/>
            <w:hideMark/>
          </w:tcPr>
          <w:p w14:paraId="4562AE96"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0.62 (–3.28, 4.53)</w:t>
            </w:r>
          </w:p>
        </w:tc>
        <w:tc>
          <w:tcPr>
            <w:tcW w:w="1159" w:type="dxa"/>
            <w:tcBorders>
              <w:top w:val="nil"/>
              <w:left w:val="nil"/>
              <w:bottom w:val="single" w:sz="8" w:space="0" w:color="000000" w:themeColor="text1"/>
              <w:right w:val="nil"/>
            </w:tcBorders>
            <w:shd w:val="clear" w:color="auto" w:fill="FFFFFF"/>
            <w:noWrap/>
            <w:vAlign w:val="bottom"/>
            <w:hideMark/>
          </w:tcPr>
          <w:p w14:paraId="75D08456"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0.963</w:t>
            </w:r>
          </w:p>
        </w:tc>
      </w:tr>
    </w:tbl>
    <w:p w14:paraId="36D39FA6" w14:textId="77777777" w:rsidR="00A959D2" w:rsidRDefault="00A959D2" w:rsidP="00A959D2">
      <w:pPr>
        <w:spacing w:after="0" w:line="240" w:lineRule="auto"/>
        <w:rPr>
          <w:rFonts w:cs="Times New Roman"/>
        </w:rPr>
      </w:pPr>
      <w:r>
        <w:rPr>
          <w:rFonts w:cs="Times New Roman"/>
          <w:vertAlign w:val="superscript"/>
        </w:rPr>
        <w:t>1</w:t>
      </w:r>
      <w:r>
        <w:t xml:space="preserve"> </w:t>
      </w:r>
      <w:r>
        <w:rPr>
          <w:rFonts w:cs="Times New Roman"/>
        </w:rPr>
        <w:t>Estimates below the boundary (i.e., ERR &lt; –1) that result from linear extrapolation are reported without censor.</w:t>
      </w:r>
    </w:p>
    <w:p w14:paraId="6FA0702E" w14:textId="77777777" w:rsidR="00A959D2" w:rsidRDefault="00A959D2" w:rsidP="00A959D2">
      <w:pPr>
        <w:spacing w:after="0" w:line="240" w:lineRule="auto"/>
        <w:rPr>
          <w:rFonts w:cs="Times New Roman"/>
        </w:rPr>
      </w:pPr>
      <w:r>
        <w:rPr>
          <w:rFonts w:cs="Times New Roman"/>
          <w:vertAlign w:val="superscript"/>
        </w:rPr>
        <w:t xml:space="preserve">2 </w:t>
      </w:r>
      <w:r>
        <w:rPr>
          <w:rFonts w:cs="Times New Roman"/>
        </w:rPr>
        <w:t xml:space="preserve">Test of the homogeneity of windows, where </w:t>
      </w:r>
      <w:r>
        <w:rPr>
          <w:rFonts w:cs="Times New Roman"/>
          <w:i/>
          <w:iCs/>
        </w:rPr>
        <w:t>P</w:t>
      </w:r>
      <w:r>
        <w:rPr>
          <w:rFonts w:cs="Times New Roman"/>
        </w:rPr>
        <w:t xml:space="preserve"> is the p-value for the reported likelihood ratio test statistic and is evaluated under a Chi-square distribution with </w:t>
      </w:r>
      <w:r>
        <w:rPr>
          <w:rFonts w:cs="Times New Roman"/>
          <w:i/>
          <w:iCs/>
        </w:rPr>
        <w:t>k</w:t>
      </w:r>
      <w:r>
        <w:rPr>
          <w:rFonts w:cs="Times New Roman"/>
        </w:rPr>
        <w:t xml:space="preserve">-1 degrees of freedom for a model with </w:t>
      </w:r>
      <w:r>
        <w:rPr>
          <w:rFonts w:cs="Times New Roman"/>
          <w:i/>
          <w:iCs/>
        </w:rPr>
        <w:t>k</w:t>
      </w:r>
      <w:r>
        <w:rPr>
          <w:rFonts w:cs="Times New Roman"/>
        </w:rPr>
        <w:t xml:space="preserve"> dose parameters.</w:t>
      </w:r>
    </w:p>
    <w:p w14:paraId="78FC7C7C" w14:textId="77777777" w:rsidR="00A959D2" w:rsidRDefault="00A959D2" w:rsidP="00A959D2">
      <w:pPr>
        <w:spacing w:after="0" w:line="240" w:lineRule="auto"/>
        <w:rPr>
          <w:rFonts w:cs="Times New Roman"/>
        </w:rPr>
      </w:pPr>
      <w:r>
        <w:rPr>
          <w:rFonts w:cs="Times New Roman"/>
        </w:rPr>
        <w:t>Abbreviations: CI, confidence interval; CLL, chronic lymphocytic leukemia; CML, chronic myeloid leukemia; ERR, excess relative rate; MDS, myelodysplastic syndrome; MM, multiple myeloma; NA, not applicable; NC, not calculable; NHL, non-Hodgkin lymphoma.</w:t>
      </w:r>
    </w:p>
    <w:p w14:paraId="094090EB" w14:textId="77777777" w:rsidR="00A959D2" w:rsidRDefault="00A959D2" w:rsidP="00A959D2">
      <w:pPr>
        <w:spacing w:after="0" w:line="240" w:lineRule="auto"/>
        <w:rPr>
          <w:rFonts w:cs="Times New Roman"/>
        </w:rPr>
        <w:sectPr w:rsidR="00A959D2">
          <w:pgSz w:w="15840" w:h="12240" w:orient="landscape"/>
          <w:pgMar w:top="1440" w:right="1440" w:bottom="1440" w:left="1440" w:header="720" w:footer="720" w:gutter="0"/>
          <w:cols w:space="720"/>
        </w:sectPr>
      </w:pPr>
    </w:p>
    <w:p w14:paraId="0D044231" w14:textId="77777777" w:rsidR="00A959D2" w:rsidRDefault="00A959D2" w:rsidP="00A959D2">
      <w:pPr>
        <w:pStyle w:val="Heading1"/>
        <w:rPr>
          <w:rFonts w:eastAsiaTheme="minorHAnsi"/>
        </w:rPr>
      </w:pPr>
      <w:r>
        <w:rPr>
          <w:rFonts w:eastAsiaTheme="minorHAnsi"/>
        </w:rPr>
        <w:lastRenderedPageBreak/>
        <w:t xml:space="preserve"> </w:t>
      </w:r>
      <w:bookmarkStart w:id="10" w:name="_Toc170712189"/>
      <w:r>
        <w:rPr>
          <w:rFonts w:eastAsiaTheme="minorHAnsi"/>
        </w:rPr>
        <w:t xml:space="preserve">Table S5. </w:t>
      </w:r>
      <w:r>
        <w:rPr>
          <w:rFonts w:eastAsiaTheme="minorHAnsi"/>
          <w:i/>
          <w:iCs/>
        </w:rPr>
        <w:t>Post hoc</w:t>
      </w:r>
      <w:r>
        <w:rPr>
          <w:rFonts w:eastAsiaTheme="minorHAnsi"/>
        </w:rPr>
        <w:t xml:space="preserve"> solid cancer analyses: linear ERR per </w:t>
      </w:r>
      <w:proofErr w:type="spellStart"/>
      <w:r>
        <w:rPr>
          <w:rFonts w:eastAsiaTheme="minorHAnsi"/>
        </w:rPr>
        <w:t>Gy</w:t>
      </w:r>
      <w:proofErr w:type="spellEnd"/>
      <w:r>
        <w:rPr>
          <w:rFonts w:eastAsiaTheme="minorHAnsi"/>
        </w:rPr>
        <w:t xml:space="preserve"> (90% CI) by time since exposure (TSE) in INWORKS.</w:t>
      </w:r>
      <w:bookmarkEnd w:id="10"/>
    </w:p>
    <w:tbl>
      <w:tblPr>
        <w:tblStyle w:val="LightShading"/>
        <w:tblW w:w="5000" w:type="pct"/>
        <w:tblInd w:w="0" w:type="dxa"/>
        <w:tblLook w:val="0620" w:firstRow="1" w:lastRow="0" w:firstColumn="0" w:lastColumn="0" w:noHBand="1" w:noVBand="1"/>
      </w:tblPr>
      <w:tblGrid>
        <w:gridCol w:w="1066"/>
        <w:gridCol w:w="2142"/>
        <w:gridCol w:w="307"/>
        <w:gridCol w:w="2142"/>
        <w:gridCol w:w="2486"/>
        <w:gridCol w:w="1217"/>
      </w:tblGrid>
      <w:tr w:rsidR="00A959D2" w14:paraId="4367D29F" w14:textId="77777777" w:rsidTr="00A959D2">
        <w:trPr>
          <w:cnfStyle w:val="100000000000" w:firstRow="1" w:lastRow="0" w:firstColumn="0" w:lastColumn="0" w:oddVBand="0" w:evenVBand="0" w:oddHBand="0" w:evenHBand="0" w:firstRowFirstColumn="0" w:firstRowLastColumn="0" w:lastRowFirstColumn="0" w:lastRowLastColumn="0"/>
          <w:trHeight w:val="300"/>
        </w:trPr>
        <w:tc>
          <w:tcPr>
            <w:tcW w:w="569" w:type="pct"/>
            <w:vMerge w:val="restart"/>
            <w:tcBorders>
              <w:bottom w:val="single" w:sz="4" w:space="0" w:color="auto"/>
            </w:tcBorders>
            <w:noWrap/>
            <w:vAlign w:val="bottom"/>
            <w:hideMark/>
          </w:tcPr>
          <w:p w14:paraId="776C1BD4" w14:textId="77777777" w:rsidR="00A959D2" w:rsidRDefault="00A959D2">
            <w:pPr>
              <w:spacing w:after="0" w:line="240" w:lineRule="auto"/>
              <w:rPr>
                <w:rFonts w:eastAsia="Times New Roman" w:cs="Times New Roman"/>
                <w:b w:val="0"/>
                <w:color w:val="000000"/>
                <w:sz w:val="20"/>
                <w:szCs w:val="20"/>
              </w:rPr>
            </w:pPr>
            <w:bookmarkStart w:id="11" w:name="_Hlk155160955"/>
            <w:r>
              <w:rPr>
                <w:rFonts w:eastAsia="Times New Roman" w:cs="Times New Roman"/>
                <w:b w:val="0"/>
                <w:color w:val="000000"/>
                <w:sz w:val="20"/>
                <w:szCs w:val="20"/>
              </w:rPr>
              <w:t>Cohort</w:t>
            </w:r>
          </w:p>
        </w:tc>
        <w:tc>
          <w:tcPr>
            <w:tcW w:w="1144" w:type="pct"/>
            <w:vAlign w:val="bottom"/>
            <w:hideMark/>
          </w:tcPr>
          <w:p w14:paraId="09747F8B" w14:textId="77777777" w:rsidR="00A959D2" w:rsidRDefault="00A959D2">
            <w:pPr>
              <w:spacing w:after="0" w:line="240" w:lineRule="auto"/>
              <w:jc w:val="center"/>
              <w:rPr>
                <w:rFonts w:eastAsia="Times New Roman" w:cs="Times New Roman"/>
                <w:bCs w:val="0"/>
                <w:color w:val="000000"/>
                <w:sz w:val="20"/>
                <w:szCs w:val="20"/>
                <w:vertAlign w:val="superscript"/>
              </w:rPr>
            </w:pPr>
            <w:r>
              <w:rPr>
                <w:rFonts w:eastAsia="Times New Roman" w:cs="Times New Roman"/>
                <w:bCs w:val="0"/>
                <w:color w:val="000000"/>
                <w:sz w:val="20"/>
                <w:szCs w:val="20"/>
              </w:rPr>
              <w:t>Model 1</w:t>
            </w:r>
            <w:r>
              <w:rPr>
                <w:rFonts w:eastAsia="Times New Roman" w:cs="Times New Roman"/>
                <w:bCs w:val="0"/>
                <w:color w:val="000000"/>
                <w:sz w:val="20"/>
                <w:szCs w:val="20"/>
                <w:vertAlign w:val="superscript"/>
              </w:rPr>
              <w:t>1</w:t>
            </w:r>
          </w:p>
        </w:tc>
        <w:tc>
          <w:tcPr>
            <w:tcW w:w="164" w:type="pct"/>
            <w:tcBorders>
              <w:bottom w:val="nil"/>
            </w:tcBorders>
          </w:tcPr>
          <w:p w14:paraId="554D9DC9" w14:textId="77777777" w:rsidR="00A959D2" w:rsidRDefault="00A959D2">
            <w:pPr>
              <w:spacing w:after="0" w:line="240" w:lineRule="auto"/>
              <w:jc w:val="center"/>
              <w:rPr>
                <w:rFonts w:eastAsia="Times New Roman" w:cs="Times New Roman"/>
                <w:bCs w:val="0"/>
                <w:color w:val="000000"/>
                <w:sz w:val="20"/>
                <w:szCs w:val="20"/>
              </w:rPr>
            </w:pPr>
          </w:p>
        </w:tc>
        <w:tc>
          <w:tcPr>
            <w:tcW w:w="3122" w:type="pct"/>
            <w:gridSpan w:val="3"/>
            <w:vAlign w:val="bottom"/>
            <w:hideMark/>
          </w:tcPr>
          <w:p w14:paraId="1DAAFAE5" w14:textId="77777777" w:rsidR="00A959D2" w:rsidRDefault="00A959D2">
            <w:pPr>
              <w:spacing w:after="0" w:line="240" w:lineRule="auto"/>
              <w:jc w:val="center"/>
              <w:rPr>
                <w:rFonts w:eastAsia="Times New Roman" w:cs="Times New Roman"/>
                <w:b w:val="0"/>
                <w:color w:val="000000"/>
                <w:sz w:val="20"/>
                <w:szCs w:val="20"/>
              </w:rPr>
            </w:pPr>
            <w:r>
              <w:rPr>
                <w:rFonts w:eastAsia="Times New Roman" w:cs="Times New Roman"/>
                <w:bCs w:val="0"/>
                <w:color w:val="000000"/>
                <w:sz w:val="20"/>
                <w:szCs w:val="20"/>
              </w:rPr>
              <w:t>Model 2</w:t>
            </w:r>
          </w:p>
        </w:tc>
      </w:tr>
      <w:tr w:rsidR="00A959D2" w14:paraId="0A25BBC7" w14:textId="77777777" w:rsidTr="00A959D2">
        <w:trPr>
          <w:trHeight w:val="300"/>
        </w:trPr>
        <w:tc>
          <w:tcPr>
            <w:tcW w:w="0" w:type="auto"/>
            <w:vMerge/>
            <w:tcBorders>
              <w:top w:val="single" w:sz="8" w:space="0" w:color="000000" w:themeColor="text1"/>
              <w:left w:val="nil"/>
              <w:bottom w:val="single" w:sz="4" w:space="0" w:color="auto"/>
              <w:right w:val="nil"/>
            </w:tcBorders>
            <w:vAlign w:val="center"/>
            <w:hideMark/>
          </w:tcPr>
          <w:p w14:paraId="0107F6C8" w14:textId="77777777" w:rsidR="00A959D2" w:rsidRDefault="00A959D2">
            <w:pPr>
              <w:spacing w:after="0" w:line="240" w:lineRule="auto"/>
              <w:rPr>
                <w:rFonts w:eastAsia="Times New Roman" w:cs="Times New Roman"/>
                <w:bCs/>
                <w:color w:val="000000"/>
                <w:sz w:val="20"/>
                <w:szCs w:val="20"/>
              </w:rPr>
            </w:pPr>
          </w:p>
        </w:tc>
        <w:tc>
          <w:tcPr>
            <w:tcW w:w="1144" w:type="pct"/>
            <w:tcBorders>
              <w:top w:val="nil"/>
              <w:left w:val="nil"/>
              <w:bottom w:val="single" w:sz="4" w:space="0" w:color="auto"/>
              <w:right w:val="nil"/>
            </w:tcBorders>
            <w:vAlign w:val="bottom"/>
            <w:hideMark/>
          </w:tcPr>
          <w:p w14:paraId="2993020B" w14:textId="77777777" w:rsidR="00A959D2" w:rsidRDefault="00A959D2">
            <w:pPr>
              <w:spacing w:after="0" w:line="240" w:lineRule="auto"/>
              <w:jc w:val="center"/>
              <w:rPr>
                <w:rFonts w:eastAsia="Times New Roman" w:cs="Times New Roman"/>
                <w:bCs/>
                <w:color w:val="000000"/>
                <w:sz w:val="20"/>
                <w:szCs w:val="20"/>
                <w:vertAlign w:val="superscript"/>
              </w:rPr>
            </w:pPr>
            <w:r>
              <w:rPr>
                <w:rFonts w:eastAsia="Times New Roman" w:cs="Times New Roman"/>
                <w:bCs/>
                <w:color w:val="000000"/>
                <w:sz w:val="20"/>
                <w:szCs w:val="20"/>
              </w:rPr>
              <w:t xml:space="preserve">10–40 </w:t>
            </w:r>
          </w:p>
        </w:tc>
        <w:tc>
          <w:tcPr>
            <w:tcW w:w="164" w:type="pct"/>
            <w:tcBorders>
              <w:top w:val="nil"/>
              <w:left w:val="nil"/>
              <w:bottom w:val="single" w:sz="4" w:space="0" w:color="auto"/>
              <w:right w:val="nil"/>
            </w:tcBorders>
          </w:tcPr>
          <w:p w14:paraId="07C219FF" w14:textId="77777777" w:rsidR="00A959D2" w:rsidRDefault="00A959D2">
            <w:pPr>
              <w:spacing w:after="0" w:line="240" w:lineRule="auto"/>
              <w:jc w:val="center"/>
              <w:rPr>
                <w:rFonts w:eastAsia="Times New Roman" w:cs="Times New Roman"/>
                <w:bCs/>
                <w:color w:val="000000"/>
                <w:sz w:val="20"/>
                <w:szCs w:val="20"/>
              </w:rPr>
            </w:pPr>
          </w:p>
        </w:tc>
        <w:tc>
          <w:tcPr>
            <w:tcW w:w="1144" w:type="pct"/>
            <w:tcBorders>
              <w:top w:val="nil"/>
              <w:left w:val="nil"/>
              <w:bottom w:val="single" w:sz="4" w:space="0" w:color="auto"/>
              <w:right w:val="nil"/>
            </w:tcBorders>
            <w:noWrap/>
            <w:vAlign w:val="bottom"/>
            <w:hideMark/>
          </w:tcPr>
          <w:p w14:paraId="3C6BFAE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w:t>
            </w:r>
            <w:r>
              <w:rPr>
                <w:rFonts w:eastAsia="Times New Roman" w:cs="Times New Roman"/>
                <w:bCs/>
                <w:color w:val="000000"/>
                <w:sz w:val="20"/>
                <w:szCs w:val="20"/>
              </w:rPr>
              <w:sym w:font="Symbol MT" w:char="F02D"/>
            </w:r>
            <w:r>
              <w:rPr>
                <w:rFonts w:eastAsia="Times New Roman" w:cs="Times New Roman"/>
                <w:bCs/>
                <w:color w:val="000000"/>
                <w:sz w:val="20"/>
                <w:szCs w:val="20"/>
              </w:rPr>
              <w:sym w:font="Symbol MT" w:char="F03C"/>
            </w:r>
            <w:r>
              <w:rPr>
                <w:rFonts w:eastAsia="Times New Roman" w:cs="Times New Roman"/>
                <w:bCs/>
                <w:color w:val="000000"/>
                <w:sz w:val="20"/>
                <w:szCs w:val="20"/>
              </w:rPr>
              <w:t>40</w:t>
            </w:r>
          </w:p>
        </w:tc>
        <w:tc>
          <w:tcPr>
            <w:tcW w:w="1328" w:type="pct"/>
            <w:tcBorders>
              <w:top w:val="nil"/>
              <w:left w:val="nil"/>
              <w:bottom w:val="single" w:sz="4" w:space="0" w:color="auto"/>
              <w:right w:val="nil"/>
            </w:tcBorders>
            <w:vAlign w:val="bottom"/>
            <w:hideMark/>
          </w:tcPr>
          <w:p w14:paraId="15846484"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40+</w:t>
            </w:r>
          </w:p>
        </w:tc>
        <w:tc>
          <w:tcPr>
            <w:tcW w:w="650" w:type="pct"/>
            <w:tcBorders>
              <w:top w:val="nil"/>
              <w:left w:val="nil"/>
              <w:bottom w:val="nil"/>
              <w:right w:val="nil"/>
            </w:tcBorders>
            <w:vAlign w:val="bottom"/>
            <w:hideMark/>
          </w:tcPr>
          <w:p w14:paraId="1310E4C9"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i/>
                <w:iCs/>
                <w:color w:val="000000"/>
                <w:sz w:val="20"/>
                <w:szCs w:val="20"/>
              </w:rPr>
              <w:t xml:space="preserve">P </w:t>
            </w:r>
            <w:r>
              <w:rPr>
                <w:rFonts w:eastAsia="Times New Roman" w:cs="Times New Roman"/>
                <w:bCs/>
                <w:color w:val="000000"/>
                <w:sz w:val="20"/>
                <w:szCs w:val="20"/>
                <w:vertAlign w:val="superscript"/>
              </w:rPr>
              <w:t>2</w:t>
            </w:r>
          </w:p>
        </w:tc>
      </w:tr>
      <w:tr w:rsidR="00A959D2" w14:paraId="294BDCFD" w14:textId="77777777" w:rsidTr="00A959D2">
        <w:trPr>
          <w:trHeight w:val="300"/>
        </w:trPr>
        <w:tc>
          <w:tcPr>
            <w:tcW w:w="569" w:type="pct"/>
            <w:tcBorders>
              <w:top w:val="single" w:sz="4" w:space="0" w:color="auto"/>
              <w:left w:val="nil"/>
              <w:bottom w:val="nil"/>
              <w:right w:val="nil"/>
            </w:tcBorders>
            <w:noWrap/>
            <w:vAlign w:val="bottom"/>
            <w:hideMark/>
          </w:tcPr>
          <w:p w14:paraId="64A18314" w14:textId="77777777" w:rsidR="00A959D2" w:rsidRDefault="00A959D2">
            <w:pPr>
              <w:spacing w:after="0" w:line="240" w:lineRule="auto"/>
              <w:jc w:val="center"/>
              <w:rPr>
                <w:rFonts w:cs="Times New Roman"/>
                <w:bCs/>
                <w:sz w:val="20"/>
                <w:szCs w:val="20"/>
              </w:rPr>
            </w:pPr>
            <w:r>
              <w:rPr>
                <w:rFonts w:cs="Times New Roman"/>
                <w:bCs/>
                <w:sz w:val="20"/>
                <w:szCs w:val="20"/>
              </w:rPr>
              <w:t>full</w:t>
            </w:r>
          </w:p>
        </w:tc>
        <w:tc>
          <w:tcPr>
            <w:tcW w:w="1144" w:type="pct"/>
            <w:tcBorders>
              <w:top w:val="single" w:sz="4" w:space="0" w:color="auto"/>
              <w:left w:val="nil"/>
              <w:bottom w:val="nil"/>
              <w:right w:val="nil"/>
            </w:tcBorders>
            <w:vAlign w:val="bottom"/>
            <w:hideMark/>
          </w:tcPr>
          <w:p w14:paraId="232E828A"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0.63 (0.35, 0.93)</w:t>
            </w:r>
          </w:p>
        </w:tc>
        <w:tc>
          <w:tcPr>
            <w:tcW w:w="164" w:type="pct"/>
            <w:tcBorders>
              <w:top w:val="single" w:sz="4" w:space="0" w:color="auto"/>
              <w:left w:val="nil"/>
              <w:bottom w:val="nil"/>
              <w:right w:val="nil"/>
            </w:tcBorders>
          </w:tcPr>
          <w:p w14:paraId="4A52ADAA" w14:textId="77777777" w:rsidR="00A959D2" w:rsidRDefault="00A959D2">
            <w:pPr>
              <w:spacing w:after="0" w:line="240" w:lineRule="auto"/>
              <w:jc w:val="center"/>
              <w:rPr>
                <w:rFonts w:eastAsia="Times New Roman" w:cs="Times New Roman"/>
                <w:bCs/>
                <w:color w:val="000000"/>
                <w:sz w:val="20"/>
                <w:szCs w:val="20"/>
              </w:rPr>
            </w:pPr>
          </w:p>
        </w:tc>
        <w:tc>
          <w:tcPr>
            <w:tcW w:w="1144" w:type="pct"/>
            <w:tcBorders>
              <w:top w:val="single" w:sz="4" w:space="0" w:color="auto"/>
              <w:left w:val="nil"/>
              <w:bottom w:val="nil"/>
              <w:right w:val="nil"/>
            </w:tcBorders>
            <w:noWrap/>
            <w:vAlign w:val="bottom"/>
            <w:hideMark/>
          </w:tcPr>
          <w:p w14:paraId="60DD422D"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0.63 (0.35, 0.93)</w:t>
            </w:r>
          </w:p>
        </w:tc>
        <w:tc>
          <w:tcPr>
            <w:tcW w:w="1328" w:type="pct"/>
            <w:tcBorders>
              <w:top w:val="single" w:sz="4" w:space="0" w:color="auto"/>
              <w:left w:val="nil"/>
              <w:bottom w:val="nil"/>
              <w:right w:val="nil"/>
            </w:tcBorders>
            <w:vAlign w:val="bottom"/>
            <w:hideMark/>
          </w:tcPr>
          <w:p w14:paraId="23409603"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–0.02 (–0.57, 0.58)</w:t>
            </w:r>
          </w:p>
        </w:tc>
        <w:tc>
          <w:tcPr>
            <w:tcW w:w="650" w:type="pct"/>
            <w:tcBorders>
              <w:top w:val="single" w:sz="4" w:space="0" w:color="auto"/>
              <w:left w:val="nil"/>
              <w:bottom w:val="nil"/>
              <w:right w:val="nil"/>
            </w:tcBorders>
            <w:vAlign w:val="bottom"/>
            <w:hideMark/>
          </w:tcPr>
          <w:p w14:paraId="7FC7A683"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0.124</w:t>
            </w:r>
          </w:p>
        </w:tc>
      </w:tr>
      <w:tr w:rsidR="00A959D2" w14:paraId="7C4BF25B" w14:textId="77777777" w:rsidTr="00A959D2">
        <w:trPr>
          <w:trHeight w:val="300"/>
        </w:trPr>
        <w:tc>
          <w:tcPr>
            <w:tcW w:w="569" w:type="pct"/>
            <w:tcBorders>
              <w:top w:val="nil"/>
              <w:left w:val="nil"/>
              <w:bottom w:val="single" w:sz="8" w:space="0" w:color="auto"/>
              <w:right w:val="nil"/>
            </w:tcBorders>
            <w:noWrap/>
            <w:vAlign w:val="bottom"/>
            <w:hideMark/>
          </w:tcPr>
          <w:p w14:paraId="5E6990E1" w14:textId="77777777" w:rsidR="00A959D2" w:rsidRDefault="00A959D2">
            <w:pPr>
              <w:spacing w:after="0" w:line="240" w:lineRule="auto"/>
              <w:jc w:val="center"/>
              <w:rPr>
                <w:rFonts w:cs="Times New Roman"/>
                <w:bCs/>
                <w:sz w:val="20"/>
                <w:szCs w:val="20"/>
              </w:rPr>
            </w:pPr>
            <w:r>
              <w:rPr>
                <w:rFonts w:cs="Times New Roman"/>
                <w:bCs/>
                <w:sz w:val="20"/>
                <w:szCs w:val="20"/>
              </w:rPr>
              <w:t>1958+</w:t>
            </w:r>
          </w:p>
        </w:tc>
        <w:tc>
          <w:tcPr>
            <w:tcW w:w="1144" w:type="pct"/>
            <w:tcBorders>
              <w:top w:val="nil"/>
              <w:left w:val="nil"/>
              <w:bottom w:val="single" w:sz="8" w:space="0" w:color="auto"/>
              <w:right w:val="nil"/>
            </w:tcBorders>
            <w:vAlign w:val="bottom"/>
            <w:hideMark/>
          </w:tcPr>
          <w:p w14:paraId="12E7DFB5"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1.28 (0.75, 1.81)</w:t>
            </w:r>
          </w:p>
        </w:tc>
        <w:tc>
          <w:tcPr>
            <w:tcW w:w="164" w:type="pct"/>
            <w:tcBorders>
              <w:top w:val="nil"/>
              <w:left w:val="nil"/>
              <w:bottom w:val="single" w:sz="8" w:space="0" w:color="auto"/>
              <w:right w:val="nil"/>
            </w:tcBorders>
          </w:tcPr>
          <w:p w14:paraId="647DDFAB" w14:textId="77777777" w:rsidR="00A959D2" w:rsidRDefault="00A959D2">
            <w:pPr>
              <w:spacing w:after="0" w:line="240" w:lineRule="auto"/>
              <w:jc w:val="center"/>
              <w:rPr>
                <w:rFonts w:eastAsia="Times New Roman" w:cs="Times New Roman"/>
                <w:bCs/>
                <w:color w:val="000000"/>
                <w:sz w:val="20"/>
                <w:szCs w:val="20"/>
              </w:rPr>
            </w:pPr>
          </w:p>
        </w:tc>
        <w:tc>
          <w:tcPr>
            <w:tcW w:w="1144" w:type="pct"/>
            <w:tcBorders>
              <w:top w:val="nil"/>
              <w:left w:val="nil"/>
              <w:bottom w:val="single" w:sz="8" w:space="0" w:color="auto"/>
              <w:right w:val="nil"/>
            </w:tcBorders>
            <w:noWrap/>
            <w:vAlign w:val="bottom"/>
            <w:hideMark/>
          </w:tcPr>
          <w:p w14:paraId="4BFA96CF"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1.23 (0.72, 1.78)</w:t>
            </w:r>
          </w:p>
        </w:tc>
        <w:tc>
          <w:tcPr>
            <w:tcW w:w="1328" w:type="pct"/>
            <w:tcBorders>
              <w:top w:val="nil"/>
              <w:left w:val="nil"/>
              <w:bottom w:val="single" w:sz="8" w:space="0" w:color="auto"/>
              <w:right w:val="nil"/>
            </w:tcBorders>
            <w:vAlign w:val="bottom"/>
            <w:hideMark/>
          </w:tcPr>
          <w:p w14:paraId="67786E6B"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0.6 (–0.78, 2.15)</w:t>
            </w:r>
          </w:p>
        </w:tc>
        <w:tc>
          <w:tcPr>
            <w:tcW w:w="650" w:type="pct"/>
            <w:tcBorders>
              <w:top w:val="nil"/>
              <w:left w:val="nil"/>
              <w:bottom w:val="single" w:sz="8" w:space="0" w:color="auto"/>
              <w:right w:val="nil"/>
            </w:tcBorders>
            <w:vAlign w:val="bottom"/>
            <w:hideMark/>
          </w:tcPr>
          <w:p w14:paraId="1230FC4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0.525</w:t>
            </w:r>
          </w:p>
        </w:tc>
      </w:tr>
    </w:tbl>
    <w:bookmarkEnd w:id="11"/>
    <w:p w14:paraId="089D8BD7" w14:textId="77777777" w:rsidR="00A959D2" w:rsidRDefault="00A959D2" w:rsidP="00A959D2">
      <w:pPr>
        <w:spacing w:after="0" w:line="240" w:lineRule="auto"/>
        <w:rPr>
          <w:rFonts w:cs="Times New Roman"/>
        </w:rPr>
      </w:pPr>
      <w:r>
        <w:rPr>
          <w:rFonts w:cs="Times New Roman"/>
          <w:vertAlign w:val="superscript"/>
        </w:rPr>
        <w:t xml:space="preserve">1 </w:t>
      </w:r>
      <w:r>
        <w:rPr>
          <w:rFonts w:cs="Times New Roman"/>
        </w:rPr>
        <w:t>Model with single window of exposure (time since exposure between 10–40 years).</w:t>
      </w:r>
    </w:p>
    <w:p w14:paraId="1F0A7779" w14:textId="77777777" w:rsidR="00A959D2" w:rsidRDefault="00A959D2" w:rsidP="00A959D2">
      <w:pPr>
        <w:spacing w:after="0" w:line="240" w:lineRule="auto"/>
        <w:rPr>
          <w:rFonts w:cs="Times New Roman"/>
        </w:rPr>
      </w:pPr>
      <w:r>
        <w:rPr>
          <w:rFonts w:cs="Times New Roman"/>
          <w:vertAlign w:val="superscript"/>
        </w:rPr>
        <w:t xml:space="preserve">2 </w:t>
      </w:r>
      <w:r>
        <w:rPr>
          <w:rFonts w:cs="Times New Roman"/>
        </w:rPr>
        <w:t xml:space="preserve">Test of the homogeneity of two windows (TSE 10&lt;40, 40+ years), where </w:t>
      </w:r>
      <w:r>
        <w:rPr>
          <w:rFonts w:cs="Times New Roman"/>
          <w:i/>
          <w:iCs/>
        </w:rPr>
        <w:t>P</w:t>
      </w:r>
      <w:r>
        <w:rPr>
          <w:rFonts w:cs="Times New Roman"/>
        </w:rPr>
        <w:t xml:space="preserve"> is the p-value for the reported likelihood ratio test statistic and is evaluated under a Chi-square distribution with 1 degree of freedom.</w:t>
      </w:r>
    </w:p>
    <w:p w14:paraId="6F96118E" w14:textId="77777777" w:rsidR="00A959D2" w:rsidRDefault="00A959D2" w:rsidP="00A959D2">
      <w:pPr>
        <w:spacing w:after="0" w:line="240" w:lineRule="auto"/>
        <w:rPr>
          <w:rFonts w:cs="Times New Roman"/>
        </w:rPr>
      </w:pPr>
      <w:r>
        <w:rPr>
          <w:rFonts w:cs="Times New Roman"/>
        </w:rPr>
        <w:t>Abbreviations: CI, confidence interval; ERR, excess relative rate.</w:t>
      </w:r>
    </w:p>
    <w:p w14:paraId="6B2C620E" w14:textId="77777777" w:rsidR="00A959D2" w:rsidRDefault="00A959D2" w:rsidP="00A959D2">
      <w:pPr>
        <w:spacing w:after="0"/>
        <w:rPr>
          <w:rFonts w:cs="Times New Roman"/>
        </w:rPr>
        <w:sectPr w:rsidR="00A959D2">
          <w:pgSz w:w="12240" w:h="15840"/>
          <w:pgMar w:top="1440" w:right="1440" w:bottom="1440" w:left="1440" w:header="720" w:footer="720" w:gutter="0"/>
          <w:cols w:space="720"/>
        </w:sectPr>
      </w:pPr>
    </w:p>
    <w:p w14:paraId="20BA9B77" w14:textId="77777777" w:rsidR="00A959D2" w:rsidRDefault="00A959D2" w:rsidP="00A959D2">
      <w:pPr>
        <w:pStyle w:val="Heading1"/>
        <w:rPr>
          <w:rFonts w:eastAsiaTheme="minorHAnsi"/>
          <w:vertAlign w:val="superscript"/>
        </w:rPr>
      </w:pPr>
      <w:bookmarkStart w:id="12" w:name="_Toc170712190"/>
      <w:r>
        <w:rPr>
          <w:rFonts w:eastAsiaTheme="minorHAnsi"/>
        </w:rPr>
        <w:lastRenderedPageBreak/>
        <w:t xml:space="preserve">Table S6. Linear ERR per </w:t>
      </w:r>
      <w:proofErr w:type="spellStart"/>
      <w:r>
        <w:rPr>
          <w:rFonts w:eastAsiaTheme="minorHAnsi"/>
        </w:rPr>
        <w:t>Gy</w:t>
      </w:r>
      <w:proofErr w:type="spellEnd"/>
      <w:r>
        <w:rPr>
          <w:rFonts w:eastAsiaTheme="minorHAnsi"/>
        </w:rPr>
        <w:t xml:space="preserve"> by age at exposure (AE) in INWORKS restricted to workers hired in 1958 and later.</w:t>
      </w:r>
      <w:bookmarkEnd w:id="12"/>
      <w:r>
        <w:rPr>
          <w:rFonts w:eastAsiaTheme="minorHAnsi"/>
          <w:vertAlign w:val="superscript"/>
        </w:rPr>
        <w:t>1</w:t>
      </w:r>
    </w:p>
    <w:tbl>
      <w:tblPr>
        <w:tblStyle w:val="LightShading"/>
        <w:tblW w:w="5000" w:type="pct"/>
        <w:tblInd w:w="0" w:type="dxa"/>
        <w:tblLook w:val="0620" w:firstRow="1" w:lastRow="0" w:firstColumn="0" w:lastColumn="0" w:noHBand="1" w:noVBand="1"/>
      </w:tblPr>
      <w:tblGrid>
        <w:gridCol w:w="2299"/>
        <w:gridCol w:w="772"/>
        <w:gridCol w:w="1885"/>
        <w:gridCol w:w="1885"/>
        <w:gridCol w:w="1750"/>
        <w:gridCol w:w="769"/>
      </w:tblGrid>
      <w:tr w:rsidR="00A959D2" w14:paraId="11CC3C44" w14:textId="77777777" w:rsidTr="00A959D2">
        <w:trPr>
          <w:cnfStyle w:val="100000000000" w:firstRow="1" w:lastRow="0" w:firstColumn="0" w:lastColumn="0" w:oddVBand="0" w:evenVBand="0" w:oddHBand="0" w:evenHBand="0" w:firstRowFirstColumn="0" w:firstRowLastColumn="0" w:lastRowFirstColumn="0" w:lastRowLastColumn="0"/>
          <w:trHeight w:val="300"/>
        </w:trPr>
        <w:tc>
          <w:tcPr>
            <w:tcW w:w="1228" w:type="pct"/>
            <w:vMerge w:val="restart"/>
            <w:tcBorders>
              <w:bottom w:val="single" w:sz="8" w:space="0" w:color="auto"/>
            </w:tcBorders>
            <w:noWrap/>
            <w:vAlign w:val="bottom"/>
            <w:hideMark/>
          </w:tcPr>
          <w:p w14:paraId="31EAD8C2" w14:textId="77777777" w:rsidR="00A959D2" w:rsidRDefault="00A959D2">
            <w:pPr>
              <w:spacing w:after="0" w:line="240" w:lineRule="auto"/>
              <w:rPr>
                <w:rFonts w:eastAsia="Times New Roman" w:cs="Times New Roman"/>
                <w:b w:val="0"/>
                <w:color w:val="000000"/>
                <w:sz w:val="20"/>
                <w:szCs w:val="20"/>
              </w:rPr>
            </w:pPr>
            <w:r>
              <w:rPr>
                <w:rFonts w:eastAsia="Times New Roman" w:cs="Times New Roman"/>
                <w:b w:val="0"/>
                <w:color w:val="000000"/>
                <w:sz w:val="20"/>
                <w:szCs w:val="20"/>
              </w:rPr>
              <w:t>Outcome</w:t>
            </w:r>
          </w:p>
        </w:tc>
        <w:tc>
          <w:tcPr>
            <w:tcW w:w="412" w:type="pct"/>
            <w:vMerge w:val="restart"/>
            <w:tcBorders>
              <w:bottom w:val="single" w:sz="8" w:space="0" w:color="auto"/>
            </w:tcBorders>
            <w:noWrap/>
            <w:vAlign w:val="bottom"/>
            <w:hideMark/>
          </w:tcPr>
          <w:p w14:paraId="198A4A9E" w14:textId="77777777" w:rsidR="00A959D2" w:rsidRDefault="00A959D2">
            <w:pPr>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Lag</w:t>
            </w:r>
          </w:p>
          <w:p w14:paraId="695D5574" w14:textId="77777777" w:rsidR="00A959D2" w:rsidRDefault="00A959D2">
            <w:pPr>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(years)</w:t>
            </w:r>
          </w:p>
        </w:tc>
        <w:tc>
          <w:tcPr>
            <w:tcW w:w="2949" w:type="pct"/>
            <w:gridSpan w:val="3"/>
            <w:noWrap/>
            <w:vAlign w:val="bottom"/>
            <w:hideMark/>
          </w:tcPr>
          <w:p w14:paraId="3CA43CF9" w14:textId="77777777" w:rsidR="00A959D2" w:rsidRDefault="00A959D2">
            <w:pPr>
              <w:pStyle w:val="ListParagraph"/>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 xml:space="preserve">ERR per </w:t>
            </w:r>
            <w:proofErr w:type="spellStart"/>
            <w:r>
              <w:rPr>
                <w:rFonts w:eastAsia="Times New Roman" w:cs="Times New Roman"/>
                <w:b w:val="0"/>
                <w:color w:val="000000"/>
                <w:sz w:val="20"/>
                <w:szCs w:val="20"/>
              </w:rPr>
              <w:t>Gy</w:t>
            </w:r>
            <w:proofErr w:type="spellEnd"/>
            <w:r>
              <w:rPr>
                <w:rFonts w:eastAsia="Times New Roman" w:cs="Times New Roman"/>
                <w:b w:val="0"/>
                <w:color w:val="000000"/>
                <w:sz w:val="20"/>
                <w:szCs w:val="20"/>
              </w:rPr>
              <w:t xml:space="preserve"> (90% CI) by age at exposure (years)</w:t>
            </w:r>
          </w:p>
        </w:tc>
        <w:tc>
          <w:tcPr>
            <w:tcW w:w="411" w:type="pct"/>
            <w:vMerge w:val="restart"/>
            <w:tcBorders>
              <w:bottom w:val="single" w:sz="8" w:space="0" w:color="auto"/>
            </w:tcBorders>
            <w:vAlign w:val="bottom"/>
            <w:hideMark/>
          </w:tcPr>
          <w:p w14:paraId="03C403A3" w14:textId="77777777" w:rsidR="00A959D2" w:rsidRDefault="00A959D2">
            <w:pPr>
              <w:spacing w:after="0" w:line="240" w:lineRule="auto"/>
              <w:jc w:val="center"/>
              <w:rPr>
                <w:rFonts w:eastAsia="Times New Roman" w:cs="Times New Roman"/>
                <w:b w:val="0"/>
                <w:color w:val="000000"/>
                <w:sz w:val="20"/>
                <w:szCs w:val="20"/>
                <w:vertAlign w:val="superscript"/>
              </w:rPr>
            </w:pPr>
            <w:r>
              <w:rPr>
                <w:rFonts w:eastAsia="Times New Roman" w:cs="Times New Roman"/>
                <w:b w:val="0"/>
                <w:i/>
                <w:iCs/>
                <w:color w:val="000000"/>
                <w:sz w:val="20"/>
                <w:szCs w:val="20"/>
              </w:rPr>
              <w:t xml:space="preserve">P </w:t>
            </w:r>
            <w:r>
              <w:rPr>
                <w:rFonts w:eastAsia="Times New Roman" w:cs="Times New Roman"/>
                <w:b w:val="0"/>
                <w:color w:val="000000"/>
                <w:sz w:val="20"/>
                <w:szCs w:val="20"/>
                <w:vertAlign w:val="superscript"/>
              </w:rPr>
              <w:t>2</w:t>
            </w:r>
          </w:p>
        </w:tc>
      </w:tr>
      <w:tr w:rsidR="00A959D2" w14:paraId="691C923C" w14:textId="77777777" w:rsidTr="00A959D2">
        <w:trPr>
          <w:trHeight w:val="300"/>
        </w:trPr>
        <w:tc>
          <w:tcPr>
            <w:tcW w:w="0" w:type="auto"/>
            <w:vMerge/>
            <w:tcBorders>
              <w:top w:val="single" w:sz="8" w:space="0" w:color="000000" w:themeColor="text1"/>
              <w:left w:val="nil"/>
              <w:bottom w:val="single" w:sz="8" w:space="0" w:color="auto"/>
              <w:right w:val="nil"/>
            </w:tcBorders>
            <w:vAlign w:val="center"/>
            <w:hideMark/>
          </w:tcPr>
          <w:p w14:paraId="6330AB15" w14:textId="77777777" w:rsidR="00A959D2" w:rsidRDefault="00A959D2">
            <w:pPr>
              <w:spacing w:after="0" w:line="240" w:lineRule="auto"/>
              <w:rPr>
                <w:rFonts w:eastAsia="Times New Roman" w:cs="Times New Roman"/>
                <w:bCs/>
                <w:color w:val="000000"/>
                <w:sz w:val="20"/>
                <w:szCs w:val="20"/>
              </w:rPr>
            </w:pPr>
          </w:p>
        </w:tc>
        <w:tc>
          <w:tcPr>
            <w:tcW w:w="0" w:type="auto"/>
            <w:vMerge/>
            <w:tcBorders>
              <w:top w:val="single" w:sz="8" w:space="0" w:color="000000" w:themeColor="text1"/>
              <w:left w:val="nil"/>
              <w:bottom w:val="single" w:sz="8" w:space="0" w:color="auto"/>
              <w:right w:val="nil"/>
            </w:tcBorders>
            <w:vAlign w:val="center"/>
            <w:hideMark/>
          </w:tcPr>
          <w:p w14:paraId="5D202F2D" w14:textId="77777777" w:rsidR="00A959D2" w:rsidRDefault="00A959D2">
            <w:pPr>
              <w:spacing w:after="0" w:line="240" w:lineRule="auto"/>
              <w:rPr>
                <w:rFonts w:eastAsia="Times New Roman" w:cs="Times New Roman"/>
                <w:bCs/>
                <w:color w:val="000000"/>
                <w:sz w:val="20"/>
                <w:szCs w:val="20"/>
              </w:rPr>
            </w:pPr>
          </w:p>
        </w:tc>
        <w:tc>
          <w:tcPr>
            <w:tcW w:w="1007" w:type="pct"/>
            <w:tcBorders>
              <w:top w:val="nil"/>
              <w:left w:val="nil"/>
              <w:bottom w:val="single" w:sz="8" w:space="0" w:color="auto"/>
              <w:right w:val="nil"/>
            </w:tcBorders>
            <w:noWrap/>
            <w:vAlign w:val="bottom"/>
            <w:hideMark/>
          </w:tcPr>
          <w:p w14:paraId="36BEB66D"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&lt;35</w:t>
            </w:r>
          </w:p>
        </w:tc>
        <w:tc>
          <w:tcPr>
            <w:tcW w:w="1007" w:type="pct"/>
            <w:tcBorders>
              <w:top w:val="nil"/>
              <w:left w:val="nil"/>
              <w:bottom w:val="single" w:sz="8" w:space="0" w:color="auto"/>
              <w:right w:val="nil"/>
            </w:tcBorders>
            <w:noWrap/>
            <w:vAlign w:val="bottom"/>
            <w:hideMark/>
          </w:tcPr>
          <w:p w14:paraId="4D694EB6"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35</w:t>
            </w:r>
            <w:r>
              <w:rPr>
                <w:rFonts w:eastAsia="Times New Roman" w:cs="Times New Roman"/>
                <w:bCs/>
                <w:color w:val="000000"/>
                <w:sz w:val="20"/>
                <w:szCs w:val="20"/>
              </w:rPr>
              <w:sym w:font="Symbol MT" w:char="F02D"/>
            </w:r>
            <w:r>
              <w:rPr>
                <w:rFonts w:eastAsia="Times New Roman" w:cs="Times New Roman"/>
                <w:bCs/>
                <w:color w:val="000000"/>
                <w:sz w:val="20"/>
                <w:szCs w:val="20"/>
              </w:rPr>
              <w:sym w:font="Symbol MT" w:char="F03C"/>
            </w:r>
            <w:r>
              <w:rPr>
                <w:rFonts w:eastAsia="Times New Roman" w:cs="Times New Roman"/>
                <w:bCs/>
                <w:color w:val="000000"/>
                <w:sz w:val="20"/>
                <w:szCs w:val="20"/>
              </w:rPr>
              <w:t>50</w:t>
            </w:r>
          </w:p>
        </w:tc>
        <w:tc>
          <w:tcPr>
            <w:tcW w:w="935" w:type="pct"/>
            <w:tcBorders>
              <w:top w:val="nil"/>
              <w:left w:val="nil"/>
              <w:bottom w:val="single" w:sz="8" w:space="0" w:color="auto"/>
              <w:right w:val="nil"/>
            </w:tcBorders>
            <w:vAlign w:val="bottom"/>
            <w:hideMark/>
          </w:tcPr>
          <w:p w14:paraId="5BFD7129"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50+</w:t>
            </w:r>
          </w:p>
        </w:tc>
        <w:tc>
          <w:tcPr>
            <w:tcW w:w="0" w:type="auto"/>
            <w:vMerge/>
            <w:tcBorders>
              <w:top w:val="single" w:sz="8" w:space="0" w:color="000000" w:themeColor="text1"/>
              <w:left w:val="nil"/>
              <w:bottom w:val="single" w:sz="8" w:space="0" w:color="auto"/>
              <w:right w:val="nil"/>
            </w:tcBorders>
            <w:vAlign w:val="center"/>
            <w:hideMark/>
          </w:tcPr>
          <w:p w14:paraId="24EB11F4" w14:textId="77777777" w:rsidR="00A959D2" w:rsidRDefault="00A959D2">
            <w:pPr>
              <w:spacing w:after="0" w:line="240" w:lineRule="auto"/>
              <w:rPr>
                <w:rFonts w:eastAsia="Times New Roman" w:cs="Times New Roman"/>
                <w:bCs/>
                <w:color w:val="000000"/>
                <w:sz w:val="20"/>
                <w:szCs w:val="20"/>
                <w:vertAlign w:val="superscript"/>
              </w:rPr>
            </w:pPr>
          </w:p>
        </w:tc>
      </w:tr>
      <w:tr w:rsidR="00A959D2" w14:paraId="2484B0C5" w14:textId="77777777" w:rsidTr="00A959D2">
        <w:trPr>
          <w:trHeight w:val="300"/>
        </w:trPr>
        <w:tc>
          <w:tcPr>
            <w:tcW w:w="0" w:type="pct"/>
            <w:tcBorders>
              <w:top w:val="nil"/>
              <w:left w:val="nil"/>
              <w:bottom w:val="nil"/>
              <w:right w:val="nil"/>
            </w:tcBorders>
            <w:noWrap/>
            <w:vAlign w:val="bottom"/>
            <w:hideMark/>
          </w:tcPr>
          <w:p w14:paraId="0822E469" w14:textId="77777777" w:rsidR="00A959D2" w:rsidRDefault="00A959D2">
            <w:pPr>
              <w:spacing w:after="0" w:line="240" w:lineRule="auto"/>
              <w:rPr>
                <w:rFonts w:cs="Times New Roman"/>
                <w:bCs/>
                <w:sz w:val="20"/>
                <w:szCs w:val="20"/>
              </w:rPr>
            </w:pPr>
            <w:r>
              <w:rPr>
                <w:rFonts w:cs="Times New Roman"/>
                <w:bCs/>
                <w:sz w:val="20"/>
                <w:szCs w:val="20"/>
              </w:rPr>
              <w:t>solid cancers</w:t>
            </w:r>
          </w:p>
        </w:tc>
        <w:tc>
          <w:tcPr>
            <w:tcW w:w="0" w:type="pct"/>
            <w:tcBorders>
              <w:top w:val="nil"/>
              <w:left w:val="nil"/>
              <w:bottom w:val="nil"/>
              <w:right w:val="nil"/>
            </w:tcBorders>
            <w:noWrap/>
            <w:vAlign w:val="bottom"/>
            <w:hideMark/>
          </w:tcPr>
          <w:p w14:paraId="3DA1571A"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w:t>
            </w:r>
          </w:p>
        </w:tc>
        <w:tc>
          <w:tcPr>
            <w:tcW w:w="0" w:type="pct"/>
            <w:tcBorders>
              <w:top w:val="nil"/>
              <w:left w:val="nil"/>
              <w:bottom w:val="nil"/>
              <w:right w:val="nil"/>
            </w:tcBorders>
            <w:noWrap/>
            <w:vAlign w:val="bottom"/>
            <w:hideMark/>
          </w:tcPr>
          <w:p w14:paraId="71975AC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0.49 (–0.51, 1.49)</w:t>
            </w:r>
          </w:p>
        </w:tc>
        <w:tc>
          <w:tcPr>
            <w:tcW w:w="0" w:type="pct"/>
            <w:tcBorders>
              <w:top w:val="nil"/>
              <w:left w:val="nil"/>
              <w:bottom w:val="nil"/>
              <w:right w:val="nil"/>
            </w:tcBorders>
            <w:noWrap/>
            <w:vAlign w:val="bottom"/>
            <w:hideMark/>
          </w:tcPr>
          <w:p w14:paraId="56839349"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1.59 (0.75, 2.43)</w:t>
            </w:r>
          </w:p>
        </w:tc>
        <w:tc>
          <w:tcPr>
            <w:tcW w:w="0" w:type="pct"/>
            <w:tcBorders>
              <w:top w:val="nil"/>
              <w:left w:val="nil"/>
              <w:bottom w:val="nil"/>
              <w:right w:val="nil"/>
            </w:tcBorders>
            <w:vAlign w:val="bottom"/>
            <w:hideMark/>
          </w:tcPr>
          <w:p w14:paraId="10B63A8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1.07 (–0.03, 2.17)</w:t>
            </w:r>
          </w:p>
        </w:tc>
        <w:tc>
          <w:tcPr>
            <w:tcW w:w="0" w:type="pct"/>
            <w:tcBorders>
              <w:top w:val="nil"/>
              <w:left w:val="nil"/>
              <w:bottom w:val="nil"/>
              <w:right w:val="nil"/>
            </w:tcBorders>
            <w:noWrap/>
            <w:vAlign w:val="bottom"/>
            <w:hideMark/>
          </w:tcPr>
          <w:p w14:paraId="39EF185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0.440</w:t>
            </w:r>
          </w:p>
        </w:tc>
      </w:tr>
      <w:tr w:rsidR="00A959D2" w14:paraId="3B1C4057" w14:textId="77777777" w:rsidTr="00A959D2">
        <w:trPr>
          <w:trHeight w:val="300"/>
        </w:trPr>
        <w:tc>
          <w:tcPr>
            <w:tcW w:w="0" w:type="pct"/>
            <w:tcBorders>
              <w:top w:val="nil"/>
              <w:left w:val="nil"/>
              <w:bottom w:val="nil"/>
              <w:right w:val="nil"/>
            </w:tcBorders>
            <w:noWrap/>
            <w:vAlign w:val="bottom"/>
            <w:hideMark/>
          </w:tcPr>
          <w:p w14:paraId="117E4B23" w14:textId="77777777" w:rsidR="00A959D2" w:rsidRDefault="00A959D2">
            <w:pPr>
              <w:spacing w:after="0" w:line="240" w:lineRule="auto"/>
              <w:rPr>
                <w:rFonts w:cs="Times New Roman"/>
                <w:bCs/>
                <w:sz w:val="20"/>
                <w:szCs w:val="20"/>
              </w:rPr>
            </w:pPr>
            <w:r>
              <w:rPr>
                <w:rFonts w:cs="Times New Roman"/>
                <w:bCs/>
                <w:sz w:val="20"/>
                <w:szCs w:val="20"/>
              </w:rPr>
              <w:t>solid cancers excl. lung</w:t>
            </w:r>
          </w:p>
        </w:tc>
        <w:tc>
          <w:tcPr>
            <w:tcW w:w="0" w:type="pct"/>
            <w:tcBorders>
              <w:top w:val="nil"/>
              <w:left w:val="nil"/>
              <w:bottom w:val="nil"/>
              <w:right w:val="nil"/>
            </w:tcBorders>
            <w:noWrap/>
            <w:vAlign w:val="bottom"/>
            <w:hideMark/>
          </w:tcPr>
          <w:p w14:paraId="351541D3"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w:t>
            </w:r>
          </w:p>
        </w:tc>
        <w:tc>
          <w:tcPr>
            <w:tcW w:w="0" w:type="pct"/>
            <w:tcBorders>
              <w:top w:val="nil"/>
              <w:left w:val="nil"/>
              <w:bottom w:val="nil"/>
              <w:right w:val="nil"/>
            </w:tcBorders>
            <w:shd w:val="clear" w:color="auto" w:fill="FFFFFF"/>
            <w:noWrap/>
            <w:vAlign w:val="bottom"/>
            <w:hideMark/>
          </w:tcPr>
          <w:p w14:paraId="0B8B19C4"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0.69 (–0.48, 1.85)</w:t>
            </w:r>
          </w:p>
        </w:tc>
        <w:tc>
          <w:tcPr>
            <w:tcW w:w="0" w:type="pct"/>
            <w:tcBorders>
              <w:top w:val="nil"/>
              <w:left w:val="nil"/>
              <w:bottom w:val="nil"/>
              <w:right w:val="nil"/>
            </w:tcBorders>
            <w:shd w:val="clear" w:color="auto" w:fill="FFFFFF"/>
            <w:noWrap/>
            <w:vAlign w:val="bottom"/>
            <w:hideMark/>
          </w:tcPr>
          <w:p w14:paraId="72682D12"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1.22 (0.26, 2.18)</w:t>
            </w:r>
          </w:p>
        </w:tc>
        <w:tc>
          <w:tcPr>
            <w:tcW w:w="0" w:type="pct"/>
            <w:tcBorders>
              <w:top w:val="nil"/>
              <w:left w:val="nil"/>
              <w:bottom w:val="nil"/>
              <w:right w:val="nil"/>
            </w:tcBorders>
            <w:shd w:val="clear" w:color="auto" w:fill="FFFFFF"/>
            <w:vAlign w:val="bottom"/>
            <w:hideMark/>
          </w:tcPr>
          <w:p w14:paraId="21960693"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1.48 (0.15, 2.81)</w:t>
            </w:r>
          </w:p>
        </w:tc>
        <w:tc>
          <w:tcPr>
            <w:tcW w:w="0" w:type="pct"/>
            <w:tcBorders>
              <w:top w:val="nil"/>
              <w:left w:val="nil"/>
              <w:bottom w:val="nil"/>
              <w:right w:val="nil"/>
            </w:tcBorders>
            <w:shd w:val="clear" w:color="auto" w:fill="FFFFFF"/>
            <w:noWrap/>
            <w:vAlign w:val="bottom"/>
            <w:hideMark/>
          </w:tcPr>
          <w:p w14:paraId="1386F2C6"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0.723</w:t>
            </w:r>
          </w:p>
        </w:tc>
      </w:tr>
      <w:tr w:rsidR="00A959D2" w14:paraId="4F808F3E" w14:textId="77777777" w:rsidTr="00A959D2">
        <w:trPr>
          <w:trHeight w:val="300"/>
        </w:trPr>
        <w:tc>
          <w:tcPr>
            <w:tcW w:w="0" w:type="pct"/>
            <w:tcBorders>
              <w:top w:val="nil"/>
              <w:left w:val="nil"/>
              <w:bottom w:val="nil"/>
              <w:right w:val="nil"/>
            </w:tcBorders>
            <w:noWrap/>
            <w:vAlign w:val="bottom"/>
            <w:hideMark/>
          </w:tcPr>
          <w:p w14:paraId="45DD1C1A" w14:textId="77777777" w:rsidR="00A959D2" w:rsidRDefault="00A959D2">
            <w:pPr>
              <w:spacing w:after="0" w:line="240" w:lineRule="auto"/>
              <w:rPr>
                <w:rFonts w:cs="Times New Roman"/>
                <w:bCs/>
                <w:sz w:val="20"/>
                <w:szCs w:val="20"/>
              </w:rPr>
            </w:pPr>
            <w:r>
              <w:rPr>
                <w:rFonts w:cs="Times New Roman"/>
                <w:bCs/>
                <w:sz w:val="20"/>
                <w:szCs w:val="20"/>
              </w:rPr>
              <w:t xml:space="preserve">lung cancer </w:t>
            </w:r>
          </w:p>
        </w:tc>
        <w:tc>
          <w:tcPr>
            <w:tcW w:w="0" w:type="pct"/>
            <w:tcBorders>
              <w:top w:val="nil"/>
              <w:left w:val="nil"/>
              <w:bottom w:val="nil"/>
              <w:right w:val="nil"/>
            </w:tcBorders>
            <w:noWrap/>
            <w:vAlign w:val="bottom"/>
            <w:hideMark/>
          </w:tcPr>
          <w:p w14:paraId="4E8BEAC2"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w:t>
            </w:r>
          </w:p>
        </w:tc>
        <w:tc>
          <w:tcPr>
            <w:tcW w:w="0" w:type="pct"/>
            <w:tcBorders>
              <w:top w:val="nil"/>
              <w:left w:val="nil"/>
              <w:bottom w:val="nil"/>
              <w:right w:val="nil"/>
            </w:tcBorders>
            <w:shd w:val="clear" w:color="auto" w:fill="FFFFFF"/>
            <w:noWrap/>
            <w:vAlign w:val="bottom"/>
            <w:hideMark/>
          </w:tcPr>
          <w:p w14:paraId="68BA021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0.03 (–1.92, 1.98)</w:t>
            </w:r>
          </w:p>
        </w:tc>
        <w:tc>
          <w:tcPr>
            <w:tcW w:w="0" w:type="pct"/>
            <w:tcBorders>
              <w:top w:val="nil"/>
              <w:left w:val="nil"/>
              <w:bottom w:val="nil"/>
              <w:right w:val="nil"/>
            </w:tcBorders>
            <w:shd w:val="clear" w:color="auto" w:fill="FFFFFF"/>
            <w:noWrap/>
            <w:vAlign w:val="bottom"/>
            <w:hideMark/>
          </w:tcPr>
          <w:p w14:paraId="42EF48F5"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2.55 (0.87, 4.23)</w:t>
            </w:r>
          </w:p>
        </w:tc>
        <w:tc>
          <w:tcPr>
            <w:tcW w:w="0" w:type="pct"/>
            <w:tcBorders>
              <w:top w:val="nil"/>
              <w:left w:val="nil"/>
              <w:bottom w:val="nil"/>
              <w:right w:val="nil"/>
            </w:tcBorders>
            <w:shd w:val="clear" w:color="auto" w:fill="FFFFFF"/>
            <w:vAlign w:val="bottom"/>
            <w:hideMark/>
          </w:tcPr>
          <w:p w14:paraId="70CEAA9B"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–0.07 (–2.06, 1.92)</w:t>
            </w:r>
          </w:p>
        </w:tc>
        <w:tc>
          <w:tcPr>
            <w:tcW w:w="0" w:type="pct"/>
            <w:tcBorders>
              <w:top w:val="nil"/>
              <w:left w:val="nil"/>
              <w:bottom w:val="nil"/>
              <w:right w:val="nil"/>
            </w:tcBorders>
            <w:noWrap/>
            <w:vAlign w:val="bottom"/>
            <w:hideMark/>
          </w:tcPr>
          <w:p w14:paraId="4373E0B6"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0.219</w:t>
            </w:r>
          </w:p>
        </w:tc>
      </w:tr>
      <w:tr w:rsidR="00A959D2" w14:paraId="0EFAD390" w14:textId="77777777" w:rsidTr="00A959D2">
        <w:trPr>
          <w:trHeight w:val="300"/>
        </w:trPr>
        <w:tc>
          <w:tcPr>
            <w:tcW w:w="1228" w:type="pct"/>
            <w:tcBorders>
              <w:top w:val="nil"/>
              <w:left w:val="nil"/>
              <w:bottom w:val="nil"/>
              <w:right w:val="nil"/>
            </w:tcBorders>
            <w:noWrap/>
            <w:vAlign w:val="bottom"/>
            <w:hideMark/>
          </w:tcPr>
          <w:p w14:paraId="1204114C" w14:textId="77777777" w:rsidR="00A959D2" w:rsidRDefault="00A959D2">
            <w:pPr>
              <w:spacing w:after="0" w:line="240" w:lineRule="auto"/>
              <w:rPr>
                <w:rFonts w:cs="Times New Roman"/>
                <w:bCs/>
                <w:sz w:val="20"/>
                <w:szCs w:val="20"/>
              </w:rPr>
            </w:pPr>
            <w:r>
              <w:rPr>
                <w:rFonts w:cs="Times New Roman"/>
                <w:bCs/>
                <w:sz w:val="20"/>
                <w:szCs w:val="20"/>
              </w:rPr>
              <w:t>leukemias excl. CLL</w:t>
            </w:r>
          </w:p>
        </w:tc>
        <w:tc>
          <w:tcPr>
            <w:tcW w:w="412" w:type="pct"/>
            <w:tcBorders>
              <w:top w:val="nil"/>
              <w:left w:val="nil"/>
              <w:bottom w:val="nil"/>
              <w:right w:val="nil"/>
            </w:tcBorders>
            <w:noWrap/>
            <w:vAlign w:val="bottom"/>
            <w:hideMark/>
          </w:tcPr>
          <w:p w14:paraId="411846EF"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p>
        </w:tc>
        <w:tc>
          <w:tcPr>
            <w:tcW w:w="1007" w:type="pct"/>
            <w:tcBorders>
              <w:top w:val="nil"/>
              <w:left w:val="nil"/>
              <w:bottom w:val="nil"/>
              <w:right w:val="nil"/>
            </w:tcBorders>
            <w:shd w:val="clear" w:color="auto" w:fill="FFFFFF"/>
            <w:noWrap/>
            <w:vAlign w:val="bottom"/>
            <w:hideMark/>
          </w:tcPr>
          <w:p w14:paraId="5B660CC0"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1.96 (–4.02, 7.95)</w:t>
            </w:r>
          </w:p>
        </w:tc>
        <w:tc>
          <w:tcPr>
            <w:tcW w:w="1007" w:type="pct"/>
            <w:tcBorders>
              <w:top w:val="nil"/>
              <w:left w:val="nil"/>
              <w:bottom w:val="nil"/>
              <w:right w:val="nil"/>
            </w:tcBorders>
            <w:shd w:val="clear" w:color="auto" w:fill="FFFFFF"/>
            <w:noWrap/>
            <w:vAlign w:val="bottom"/>
            <w:hideMark/>
          </w:tcPr>
          <w:p w14:paraId="7503F7FD"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0.91 (–3.76, 5.57)</w:t>
            </w:r>
          </w:p>
        </w:tc>
        <w:tc>
          <w:tcPr>
            <w:tcW w:w="935" w:type="pct"/>
            <w:tcBorders>
              <w:top w:val="nil"/>
              <w:left w:val="nil"/>
              <w:bottom w:val="nil"/>
              <w:right w:val="nil"/>
            </w:tcBorders>
            <w:shd w:val="clear" w:color="auto" w:fill="FFFFFF"/>
            <w:vAlign w:val="bottom"/>
            <w:hideMark/>
          </w:tcPr>
          <w:p w14:paraId="344DA7BC"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5.63 (–2.93, 14.2)</w:t>
            </w:r>
          </w:p>
        </w:tc>
        <w:tc>
          <w:tcPr>
            <w:tcW w:w="411" w:type="pct"/>
            <w:tcBorders>
              <w:top w:val="nil"/>
              <w:left w:val="nil"/>
              <w:bottom w:val="nil"/>
              <w:right w:val="nil"/>
            </w:tcBorders>
            <w:shd w:val="clear" w:color="auto" w:fill="FFFFFF"/>
            <w:noWrap/>
            <w:vAlign w:val="bottom"/>
            <w:hideMark/>
          </w:tcPr>
          <w:p w14:paraId="2228B6D5"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0.725</w:t>
            </w:r>
          </w:p>
        </w:tc>
      </w:tr>
      <w:tr w:rsidR="00A959D2" w14:paraId="4CD6EC12" w14:textId="77777777" w:rsidTr="00A959D2">
        <w:trPr>
          <w:trHeight w:val="300"/>
        </w:trPr>
        <w:tc>
          <w:tcPr>
            <w:tcW w:w="1228" w:type="pct"/>
            <w:tcBorders>
              <w:top w:val="nil"/>
              <w:left w:val="nil"/>
              <w:bottom w:val="nil"/>
              <w:right w:val="nil"/>
            </w:tcBorders>
            <w:noWrap/>
            <w:vAlign w:val="bottom"/>
            <w:hideMark/>
          </w:tcPr>
          <w:p w14:paraId="4792E80B" w14:textId="77777777" w:rsidR="00A959D2" w:rsidRDefault="00A959D2">
            <w:pPr>
              <w:spacing w:after="0" w:line="240" w:lineRule="auto"/>
              <w:ind w:left="288"/>
              <w:rPr>
                <w:rFonts w:cs="Times New Roman"/>
                <w:bCs/>
                <w:sz w:val="20"/>
                <w:szCs w:val="20"/>
              </w:rPr>
            </w:pPr>
            <w:r>
              <w:rPr>
                <w:rFonts w:cs="Times New Roman"/>
                <w:bCs/>
                <w:sz w:val="20"/>
                <w:szCs w:val="20"/>
              </w:rPr>
              <w:t>CML</w:t>
            </w:r>
          </w:p>
        </w:tc>
        <w:tc>
          <w:tcPr>
            <w:tcW w:w="412" w:type="pct"/>
            <w:tcBorders>
              <w:top w:val="nil"/>
              <w:left w:val="nil"/>
              <w:bottom w:val="nil"/>
              <w:right w:val="nil"/>
            </w:tcBorders>
            <w:noWrap/>
            <w:vAlign w:val="bottom"/>
            <w:hideMark/>
          </w:tcPr>
          <w:p w14:paraId="69DCD8B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p>
        </w:tc>
        <w:tc>
          <w:tcPr>
            <w:tcW w:w="1007" w:type="pct"/>
            <w:tcBorders>
              <w:top w:val="nil"/>
              <w:left w:val="nil"/>
              <w:bottom w:val="nil"/>
              <w:right w:val="nil"/>
            </w:tcBorders>
            <w:shd w:val="clear" w:color="auto" w:fill="FFFFFF"/>
            <w:noWrap/>
            <w:vAlign w:val="bottom"/>
            <w:hideMark/>
          </w:tcPr>
          <w:p w14:paraId="5871F15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7.41 (–14.5, 29.3)</w:t>
            </w:r>
          </w:p>
        </w:tc>
        <w:tc>
          <w:tcPr>
            <w:tcW w:w="1007" w:type="pct"/>
            <w:tcBorders>
              <w:top w:val="nil"/>
              <w:left w:val="nil"/>
              <w:bottom w:val="nil"/>
              <w:right w:val="nil"/>
            </w:tcBorders>
            <w:shd w:val="clear" w:color="auto" w:fill="FFFFFF"/>
            <w:noWrap/>
            <w:vAlign w:val="bottom"/>
            <w:hideMark/>
          </w:tcPr>
          <w:p w14:paraId="2643834C"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14.3 (–8.72, 37.3)</w:t>
            </w:r>
          </w:p>
        </w:tc>
        <w:tc>
          <w:tcPr>
            <w:tcW w:w="935" w:type="pct"/>
            <w:tcBorders>
              <w:top w:val="nil"/>
              <w:left w:val="nil"/>
              <w:bottom w:val="nil"/>
              <w:right w:val="nil"/>
            </w:tcBorders>
            <w:shd w:val="clear" w:color="auto" w:fill="FFFFFF"/>
            <w:vAlign w:val="bottom"/>
            <w:hideMark/>
          </w:tcPr>
          <w:p w14:paraId="0710D06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11.8 (–16.9, 40.5)</w:t>
            </w:r>
          </w:p>
        </w:tc>
        <w:tc>
          <w:tcPr>
            <w:tcW w:w="411" w:type="pct"/>
            <w:tcBorders>
              <w:top w:val="nil"/>
              <w:left w:val="nil"/>
              <w:bottom w:val="nil"/>
              <w:right w:val="nil"/>
            </w:tcBorders>
            <w:shd w:val="clear" w:color="auto" w:fill="FFFFFF"/>
            <w:noWrap/>
            <w:vAlign w:val="bottom"/>
            <w:hideMark/>
          </w:tcPr>
          <w:p w14:paraId="2B17D86F"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0.940</w:t>
            </w:r>
          </w:p>
        </w:tc>
      </w:tr>
      <w:tr w:rsidR="00A959D2" w14:paraId="27EF0E87" w14:textId="77777777" w:rsidTr="00A959D2">
        <w:trPr>
          <w:trHeight w:val="300"/>
        </w:trPr>
        <w:tc>
          <w:tcPr>
            <w:tcW w:w="1228" w:type="pct"/>
            <w:tcBorders>
              <w:top w:val="nil"/>
              <w:left w:val="nil"/>
              <w:bottom w:val="nil"/>
              <w:right w:val="nil"/>
            </w:tcBorders>
            <w:noWrap/>
            <w:vAlign w:val="bottom"/>
            <w:hideMark/>
          </w:tcPr>
          <w:p w14:paraId="6C2B4EE5" w14:textId="77777777" w:rsidR="00A959D2" w:rsidRDefault="00A959D2">
            <w:pPr>
              <w:spacing w:after="0" w:line="240" w:lineRule="auto"/>
              <w:ind w:left="288"/>
              <w:rPr>
                <w:rFonts w:cs="Times New Roman"/>
                <w:bCs/>
                <w:sz w:val="20"/>
                <w:szCs w:val="20"/>
              </w:rPr>
            </w:pPr>
            <w:r>
              <w:rPr>
                <w:rFonts w:cs="Times New Roman"/>
                <w:bCs/>
                <w:sz w:val="20"/>
                <w:szCs w:val="20"/>
              </w:rPr>
              <w:t>AML</w:t>
            </w:r>
          </w:p>
        </w:tc>
        <w:tc>
          <w:tcPr>
            <w:tcW w:w="412" w:type="pct"/>
            <w:tcBorders>
              <w:top w:val="nil"/>
              <w:left w:val="nil"/>
              <w:bottom w:val="nil"/>
              <w:right w:val="nil"/>
            </w:tcBorders>
            <w:noWrap/>
            <w:vAlign w:val="bottom"/>
            <w:hideMark/>
          </w:tcPr>
          <w:p w14:paraId="547E97A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p>
        </w:tc>
        <w:tc>
          <w:tcPr>
            <w:tcW w:w="1007" w:type="pct"/>
            <w:tcBorders>
              <w:top w:val="nil"/>
              <w:left w:val="nil"/>
              <w:bottom w:val="nil"/>
              <w:right w:val="nil"/>
            </w:tcBorders>
            <w:shd w:val="clear" w:color="auto" w:fill="FFFFFF"/>
            <w:noWrap/>
            <w:vAlign w:val="bottom"/>
            <w:hideMark/>
          </w:tcPr>
          <w:p w14:paraId="178CFA99"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2.43 (–4.94, 9.80)</w:t>
            </w:r>
          </w:p>
        </w:tc>
        <w:tc>
          <w:tcPr>
            <w:tcW w:w="1007" w:type="pct"/>
            <w:tcBorders>
              <w:top w:val="nil"/>
              <w:left w:val="nil"/>
              <w:bottom w:val="nil"/>
              <w:right w:val="nil"/>
            </w:tcBorders>
            <w:shd w:val="clear" w:color="auto" w:fill="FFFFFF"/>
            <w:noWrap/>
            <w:vAlign w:val="bottom"/>
            <w:hideMark/>
          </w:tcPr>
          <w:p w14:paraId="16768F02"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–1.10 (–6.59, 4.39)</w:t>
            </w:r>
          </w:p>
        </w:tc>
        <w:tc>
          <w:tcPr>
            <w:tcW w:w="935" w:type="pct"/>
            <w:tcBorders>
              <w:top w:val="nil"/>
              <w:left w:val="nil"/>
              <w:bottom w:val="nil"/>
              <w:right w:val="nil"/>
            </w:tcBorders>
            <w:shd w:val="clear" w:color="auto" w:fill="FFFFFF"/>
            <w:vAlign w:val="bottom"/>
            <w:hideMark/>
          </w:tcPr>
          <w:p w14:paraId="5D5907E2"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3.97 (–5.52, 13.5)</w:t>
            </w:r>
          </w:p>
        </w:tc>
        <w:tc>
          <w:tcPr>
            <w:tcW w:w="411" w:type="pct"/>
            <w:tcBorders>
              <w:top w:val="nil"/>
              <w:left w:val="nil"/>
              <w:bottom w:val="nil"/>
              <w:right w:val="nil"/>
            </w:tcBorders>
            <w:shd w:val="clear" w:color="auto" w:fill="FFFFFF"/>
            <w:noWrap/>
            <w:vAlign w:val="bottom"/>
            <w:hideMark/>
          </w:tcPr>
          <w:p w14:paraId="3B903FD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0.720</w:t>
            </w:r>
          </w:p>
        </w:tc>
      </w:tr>
      <w:tr w:rsidR="00A959D2" w14:paraId="2A286848" w14:textId="77777777" w:rsidTr="00A959D2">
        <w:trPr>
          <w:trHeight w:val="300"/>
        </w:trPr>
        <w:tc>
          <w:tcPr>
            <w:tcW w:w="1228" w:type="pct"/>
            <w:tcBorders>
              <w:top w:val="nil"/>
              <w:left w:val="nil"/>
              <w:bottom w:val="nil"/>
              <w:right w:val="nil"/>
            </w:tcBorders>
            <w:noWrap/>
            <w:vAlign w:val="bottom"/>
            <w:hideMark/>
          </w:tcPr>
          <w:p w14:paraId="190D1395" w14:textId="77777777" w:rsidR="00A959D2" w:rsidRDefault="00A959D2">
            <w:pPr>
              <w:spacing w:after="0" w:line="240" w:lineRule="auto"/>
              <w:rPr>
                <w:rFonts w:cs="Times New Roman"/>
                <w:bCs/>
                <w:sz w:val="20"/>
                <w:szCs w:val="20"/>
              </w:rPr>
            </w:pPr>
            <w:r>
              <w:rPr>
                <w:rFonts w:cs="Times New Roman"/>
                <w:bCs/>
                <w:sz w:val="20"/>
                <w:szCs w:val="20"/>
              </w:rPr>
              <w:t>AML+MDS</w:t>
            </w:r>
          </w:p>
        </w:tc>
        <w:tc>
          <w:tcPr>
            <w:tcW w:w="412" w:type="pct"/>
            <w:tcBorders>
              <w:top w:val="nil"/>
              <w:left w:val="nil"/>
              <w:bottom w:val="nil"/>
              <w:right w:val="nil"/>
            </w:tcBorders>
            <w:noWrap/>
            <w:vAlign w:val="bottom"/>
            <w:hideMark/>
          </w:tcPr>
          <w:p w14:paraId="25B4F9FF"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p>
        </w:tc>
        <w:tc>
          <w:tcPr>
            <w:tcW w:w="1007" w:type="pct"/>
            <w:tcBorders>
              <w:top w:val="nil"/>
              <w:left w:val="nil"/>
              <w:bottom w:val="nil"/>
              <w:right w:val="nil"/>
            </w:tcBorders>
            <w:shd w:val="clear" w:color="auto" w:fill="FFFFFF"/>
            <w:noWrap/>
            <w:vAlign w:val="bottom"/>
            <w:hideMark/>
          </w:tcPr>
          <w:p w14:paraId="2AE76E53"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2.33 (–4.63, 9.29)</w:t>
            </w:r>
          </w:p>
        </w:tc>
        <w:tc>
          <w:tcPr>
            <w:tcW w:w="1007" w:type="pct"/>
            <w:tcBorders>
              <w:top w:val="nil"/>
              <w:left w:val="nil"/>
              <w:bottom w:val="nil"/>
              <w:right w:val="nil"/>
            </w:tcBorders>
            <w:shd w:val="clear" w:color="auto" w:fill="FFFFFF"/>
            <w:noWrap/>
            <w:vAlign w:val="bottom"/>
            <w:hideMark/>
          </w:tcPr>
          <w:p w14:paraId="0B8032F5"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2.67 (–3.49, 8.84)</w:t>
            </w:r>
          </w:p>
        </w:tc>
        <w:tc>
          <w:tcPr>
            <w:tcW w:w="935" w:type="pct"/>
            <w:tcBorders>
              <w:top w:val="nil"/>
              <w:left w:val="nil"/>
              <w:bottom w:val="nil"/>
              <w:right w:val="nil"/>
            </w:tcBorders>
            <w:shd w:val="clear" w:color="auto" w:fill="FFFFFF"/>
            <w:vAlign w:val="bottom"/>
            <w:hideMark/>
          </w:tcPr>
          <w:p w14:paraId="502F9B73"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3.61 (–3.97, 11.2)</w:t>
            </w:r>
          </w:p>
        </w:tc>
        <w:tc>
          <w:tcPr>
            <w:tcW w:w="411" w:type="pct"/>
            <w:tcBorders>
              <w:top w:val="nil"/>
              <w:left w:val="nil"/>
              <w:bottom w:val="nil"/>
              <w:right w:val="nil"/>
            </w:tcBorders>
            <w:shd w:val="clear" w:color="auto" w:fill="FFFFFF"/>
            <w:noWrap/>
            <w:vAlign w:val="bottom"/>
            <w:hideMark/>
          </w:tcPr>
          <w:p w14:paraId="4D6B5854"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0.976</w:t>
            </w:r>
          </w:p>
        </w:tc>
      </w:tr>
      <w:tr w:rsidR="00A959D2" w14:paraId="2E77DF0B" w14:textId="77777777" w:rsidTr="00A959D2">
        <w:trPr>
          <w:trHeight w:val="300"/>
        </w:trPr>
        <w:tc>
          <w:tcPr>
            <w:tcW w:w="1228" w:type="pct"/>
            <w:tcBorders>
              <w:top w:val="nil"/>
              <w:left w:val="nil"/>
              <w:bottom w:val="nil"/>
              <w:right w:val="nil"/>
            </w:tcBorders>
            <w:noWrap/>
            <w:vAlign w:val="bottom"/>
            <w:hideMark/>
          </w:tcPr>
          <w:p w14:paraId="6B355CDC" w14:textId="77777777" w:rsidR="00A959D2" w:rsidRDefault="00A959D2">
            <w:pPr>
              <w:spacing w:after="0" w:line="240" w:lineRule="auto"/>
              <w:rPr>
                <w:rFonts w:cs="Times New Roman"/>
                <w:bCs/>
                <w:sz w:val="20"/>
                <w:szCs w:val="20"/>
              </w:rPr>
            </w:pPr>
            <w:r>
              <w:rPr>
                <w:rFonts w:cs="Times New Roman"/>
                <w:bCs/>
                <w:sz w:val="20"/>
                <w:szCs w:val="20"/>
              </w:rPr>
              <w:t>MM</w:t>
            </w:r>
          </w:p>
        </w:tc>
        <w:tc>
          <w:tcPr>
            <w:tcW w:w="412" w:type="pct"/>
            <w:tcBorders>
              <w:top w:val="nil"/>
              <w:left w:val="nil"/>
              <w:bottom w:val="nil"/>
              <w:right w:val="nil"/>
            </w:tcBorders>
            <w:noWrap/>
            <w:vAlign w:val="bottom"/>
            <w:hideMark/>
          </w:tcPr>
          <w:p w14:paraId="7938416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p>
        </w:tc>
        <w:tc>
          <w:tcPr>
            <w:tcW w:w="1007" w:type="pct"/>
            <w:tcBorders>
              <w:top w:val="nil"/>
              <w:left w:val="nil"/>
              <w:bottom w:val="nil"/>
              <w:right w:val="nil"/>
            </w:tcBorders>
            <w:noWrap/>
            <w:vAlign w:val="bottom"/>
            <w:hideMark/>
          </w:tcPr>
          <w:p w14:paraId="7E330D2C"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2.40 (–4.00, 8.80)</w:t>
            </w:r>
          </w:p>
        </w:tc>
        <w:tc>
          <w:tcPr>
            <w:tcW w:w="1007" w:type="pct"/>
            <w:tcBorders>
              <w:top w:val="nil"/>
              <w:left w:val="nil"/>
              <w:bottom w:val="nil"/>
              <w:right w:val="nil"/>
            </w:tcBorders>
            <w:noWrap/>
            <w:vAlign w:val="bottom"/>
            <w:hideMark/>
          </w:tcPr>
          <w:p w14:paraId="078D46B3"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–0.70 (–5.09, 3.70)</w:t>
            </w:r>
          </w:p>
        </w:tc>
        <w:tc>
          <w:tcPr>
            <w:tcW w:w="935" w:type="pct"/>
            <w:tcBorders>
              <w:top w:val="nil"/>
              <w:left w:val="nil"/>
              <w:bottom w:val="nil"/>
              <w:right w:val="nil"/>
            </w:tcBorders>
            <w:vAlign w:val="bottom"/>
            <w:hideMark/>
          </w:tcPr>
          <w:p w14:paraId="51DE024A"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4.58 (–5.63, 14.8)</w:t>
            </w:r>
          </w:p>
        </w:tc>
        <w:tc>
          <w:tcPr>
            <w:tcW w:w="411" w:type="pct"/>
            <w:tcBorders>
              <w:top w:val="nil"/>
              <w:left w:val="nil"/>
              <w:bottom w:val="nil"/>
              <w:right w:val="nil"/>
            </w:tcBorders>
            <w:noWrap/>
            <w:vAlign w:val="bottom"/>
            <w:hideMark/>
          </w:tcPr>
          <w:p w14:paraId="4D0AB2BD"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0.705</w:t>
            </w:r>
          </w:p>
        </w:tc>
      </w:tr>
      <w:tr w:rsidR="00A959D2" w14:paraId="5889E79E" w14:textId="77777777" w:rsidTr="00A959D2">
        <w:trPr>
          <w:trHeight w:val="300"/>
        </w:trPr>
        <w:tc>
          <w:tcPr>
            <w:tcW w:w="1228" w:type="pct"/>
            <w:tcBorders>
              <w:top w:val="nil"/>
              <w:left w:val="nil"/>
              <w:bottom w:val="single" w:sz="8" w:space="0" w:color="000000" w:themeColor="text1"/>
              <w:right w:val="nil"/>
            </w:tcBorders>
            <w:noWrap/>
            <w:vAlign w:val="bottom"/>
            <w:hideMark/>
          </w:tcPr>
          <w:p w14:paraId="47B46F6E" w14:textId="77777777" w:rsidR="00A959D2" w:rsidRDefault="00A959D2">
            <w:pPr>
              <w:spacing w:after="0" w:line="240" w:lineRule="auto"/>
              <w:rPr>
                <w:rFonts w:cs="Times New Roman"/>
                <w:bCs/>
                <w:sz w:val="20"/>
                <w:szCs w:val="20"/>
              </w:rPr>
            </w:pPr>
            <w:r>
              <w:rPr>
                <w:rFonts w:cs="Times New Roman"/>
                <w:bCs/>
                <w:sz w:val="20"/>
                <w:szCs w:val="20"/>
              </w:rPr>
              <w:t>NHL</w:t>
            </w:r>
          </w:p>
        </w:tc>
        <w:tc>
          <w:tcPr>
            <w:tcW w:w="412" w:type="pct"/>
            <w:tcBorders>
              <w:top w:val="nil"/>
              <w:left w:val="nil"/>
              <w:bottom w:val="single" w:sz="8" w:space="0" w:color="000000" w:themeColor="text1"/>
              <w:right w:val="nil"/>
            </w:tcBorders>
            <w:noWrap/>
            <w:vAlign w:val="bottom"/>
            <w:hideMark/>
          </w:tcPr>
          <w:p w14:paraId="70239EE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w:t>
            </w:r>
          </w:p>
        </w:tc>
        <w:tc>
          <w:tcPr>
            <w:tcW w:w="1007" w:type="pct"/>
            <w:tcBorders>
              <w:top w:val="nil"/>
              <w:left w:val="nil"/>
              <w:bottom w:val="single" w:sz="8" w:space="0" w:color="000000" w:themeColor="text1"/>
              <w:right w:val="nil"/>
            </w:tcBorders>
            <w:noWrap/>
            <w:vAlign w:val="bottom"/>
            <w:hideMark/>
          </w:tcPr>
          <w:p w14:paraId="2194233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0.61 (–3.51, 4.74)</w:t>
            </w:r>
          </w:p>
        </w:tc>
        <w:tc>
          <w:tcPr>
            <w:tcW w:w="1007" w:type="pct"/>
            <w:tcBorders>
              <w:top w:val="nil"/>
              <w:left w:val="nil"/>
              <w:bottom w:val="single" w:sz="8" w:space="0" w:color="000000" w:themeColor="text1"/>
              <w:right w:val="nil"/>
            </w:tcBorders>
            <w:noWrap/>
            <w:vAlign w:val="bottom"/>
            <w:hideMark/>
          </w:tcPr>
          <w:p w14:paraId="4B17D56A"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–1.10 (–4.30, 2.10)</w:t>
            </w:r>
          </w:p>
        </w:tc>
        <w:tc>
          <w:tcPr>
            <w:tcW w:w="935" w:type="pct"/>
            <w:tcBorders>
              <w:top w:val="nil"/>
              <w:left w:val="nil"/>
              <w:bottom w:val="single" w:sz="8" w:space="0" w:color="000000" w:themeColor="text1"/>
              <w:right w:val="nil"/>
            </w:tcBorders>
            <w:vAlign w:val="bottom"/>
            <w:hideMark/>
          </w:tcPr>
          <w:p w14:paraId="6C631494"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1.08 (–3.14, 5.29)</w:t>
            </w:r>
          </w:p>
        </w:tc>
        <w:tc>
          <w:tcPr>
            <w:tcW w:w="411" w:type="pct"/>
            <w:tcBorders>
              <w:top w:val="nil"/>
              <w:left w:val="nil"/>
              <w:bottom w:val="single" w:sz="8" w:space="0" w:color="000000" w:themeColor="text1"/>
              <w:right w:val="nil"/>
            </w:tcBorders>
            <w:noWrap/>
            <w:vAlign w:val="bottom"/>
            <w:hideMark/>
          </w:tcPr>
          <w:p w14:paraId="30196023"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0.426</w:t>
            </w:r>
          </w:p>
        </w:tc>
      </w:tr>
    </w:tbl>
    <w:p w14:paraId="3D878E7C" w14:textId="77777777" w:rsidR="00A959D2" w:rsidRDefault="00A959D2" w:rsidP="00A959D2">
      <w:pPr>
        <w:spacing w:after="0" w:line="240" w:lineRule="auto"/>
        <w:rPr>
          <w:rFonts w:cs="Times New Roman"/>
        </w:rPr>
      </w:pPr>
      <w:r>
        <w:rPr>
          <w:rFonts w:cs="Times New Roman"/>
          <w:vertAlign w:val="superscript"/>
        </w:rPr>
        <w:t>1</w:t>
      </w:r>
      <w:r>
        <w:t xml:space="preserve"> </w:t>
      </w:r>
      <w:r>
        <w:rPr>
          <w:rFonts w:cs="Times New Roman"/>
        </w:rPr>
        <w:t>Estimates below the boundary (i.e., ERR &lt; –1) that result from linear extrapolation are reported without censor.</w:t>
      </w:r>
    </w:p>
    <w:p w14:paraId="14720F14" w14:textId="77777777" w:rsidR="00A959D2" w:rsidRDefault="00A959D2" w:rsidP="00A959D2">
      <w:pPr>
        <w:spacing w:after="0" w:line="240" w:lineRule="auto"/>
        <w:rPr>
          <w:rFonts w:cs="Times New Roman"/>
        </w:rPr>
      </w:pPr>
      <w:r>
        <w:rPr>
          <w:rFonts w:cs="Times New Roman"/>
          <w:vertAlign w:val="superscript"/>
        </w:rPr>
        <w:t xml:space="preserve">2 </w:t>
      </w:r>
      <w:r>
        <w:rPr>
          <w:rFonts w:cs="Times New Roman"/>
        </w:rPr>
        <w:t xml:space="preserve">Test of the homogeneity of windows, where </w:t>
      </w:r>
      <w:r>
        <w:rPr>
          <w:rFonts w:cs="Times New Roman"/>
          <w:i/>
          <w:iCs/>
        </w:rPr>
        <w:t>P</w:t>
      </w:r>
      <w:r>
        <w:rPr>
          <w:rFonts w:cs="Times New Roman"/>
        </w:rPr>
        <w:t xml:space="preserve"> is the p-value for the reported likelihood ratio test statistic and is evaluated under a Chi-square distribution with 2 degrees of freedom.</w:t>
      </w:r>
    </w:p>
    <w:p w14:paraId="76B9388C" w14:textId="77777777" w:rsidR="00A959D2" w:rsidRDefault="00A959D2" w:rsidP="00A959D2">
      <w:pPr>
        <w:rPr>
          <w:rFonts w:cs="Times New Roman"/>
        </w:rPr>
      </w:pPr>
      <w:r>
        <w:rPr>
          <w:rFonts w:cs="Times New Roman"/>
        </w:rPr>
        <w:t>Abbreviations: CI, confidence interval; CLL, chronic lymphocytic leukemia; CML, chronic myeloid leukemia; ERR, excess relative rate; MDS, myelodysplastic syndrome; MM, multiple myeloma; NHL, non-Hodgkin lymphoma.</w:t>
      </w:r>
    </w:p>
    <w:p w14:paraId="3ABB3B3C" w14:textId="77777777" w:rsidR="00A959D2" w:rsidRDefault="00A959D2" w:rsidP="00A959D2">
      <w:pPr>
        <w:spacing w:after="0"/>
        <w:rPr>
          <w:rFonts w:cs="Times New Roman"/>
        </w:rPr>
        <w:sectPr w:rsidR="00A959D2">
          <w:pgSz w:w="12240" w:h="15840"/>
          <w:pgMar w:top="1440" w:right="1440" w:bottom="1440" w:left="1440" w:header="720" w:footer="720" w:gutter="0"/>
          <w:cols w:space="720"/>
        </w:sectPr>
      </w:pPr>
    </w:p>
    <w:p w14:paraId="3BDC47AF" w14:textId="77777777" w:rsidR="00A959D2" w:rsidRDefault="00A959D2" w:rsidP="00A959D2">
      <w:pPr>
        <w:pStyle w:val="Heading1"/>
        <w:rPr>
          <w:rFonts w:eastAsiaTheme="minorHAnsi"/>
          <w:vertAlign w:val="superscript"/>
        </w:rPr>
      </w:pPr>
      <w:bookmarkStart w:id="13" w:name="_Toc170712191"/>
      <w:r>
        <w:rPr>
          <w:rFonts w:eastAsiaTheme="minorHAnsi"/>
        </w:rPr>
        <w:lastRenderedPageBreak/>
        <w:t xml:space="preserve">Table S7. Linear ERR per </w:t>
      </w:r>
      <w:proofErr w:type="spellStart"/>
      <w:r>
        <w:rPr>
          <w:rFonts w:eastAsiaTheme="minorHAnsi"/>
        </w:rPr>
        <w:t>Gy</w:t>
      </w:r>
      <w:proofErr w:type="spellEnd"/>
      <w:r>
        <w:rPr>
          <w:rFonts w:eastAsiaTheme="minorHAnsi"/>
        </w:rPr>
        <w:t xml:space="preserve"> by age at exposure (AE) in INWORKS restricted to workers hired prior to 1958.</w:t>
      </w:r>
      <w:bookmarkEnd w:id="13"/>
      <w:r>
        <w:rPr>
          <w:rFonts w:eastAsiaTheme="minorHAnsi"/>
          <w:vertAlign w:val="superscript"/>
        </w:rPr>
        <w:t>1</w:t>
      </w:r>
    </w:p>
    <w:tbl>
      <w:tblPr>
        <w:tblStyle w:val="LightShading"/>
        <w:tblW w:w="0" w:type="auto"/>
        <w:tblInd w:w="0" w:type="dxa"/>
        <w:tblLayout w:type="fixed"/>
        <w:tblLook w:val="0620" w:firstRow="1" w:lastRow="0" w:firstColumn="0" w:lastColumn="0" w:noHBand="1" w:noVBand="1"/>
      </w:tblPr>
      <w:tblGrid>
        <w:gridCol w:w="2016"/>
        <w:gridCol w:w="784"/>
        <w:gridCol w:w="1948"/>
        <w:gridCol w:w="1949"/>
        <w:gridCol w:w="1949"/>
        <w:gridCol w:w="714"/>
      </w:tblGrid>
      <w:tr w:rsidR="00A959D2" w14:paraId="4F8BE053" w14:textId="77777777" w:rsidTr="00A959D2">
        <w:trPr>
          <w:cnfStyle w:val="100000000000" w:firstRow="1" w:lastRow="0" w:firstColumn="0" w:lastColumn="0" w:oddVBand="0" w:evenVBand="0" w:oddHBand="0" w:evenHBand="0" w:firstRowFirstColumn="0" w:firstRowLastColumn="0" w:lastRowFirstColumn="0" w:lastRowLastColumn="0"/>
          <w:trHeight w:val="300"/>
        </w:trPr>
        <w:tc>
          <w:tcPr>
            <w:tcW w:w="2016" w:type="dxa"/>
            <w:vMerge w:val="restart"/>
            <w:tcBorders>
              <w:bottom w:val="single" w:sz="8" w:space="0" w:color="auto"/>
            </w:tcBorders>
            <w:noWrap/>
            <w:vAlign w:val="bottom"/>
            <w:hideMark/>
          </w:tcPr>
          <w:p w14:paraId="0CB6EB14" w14:textId="77777777" w:rsidR="00A959D2" w:rsidRDefault="00A959D2">
            <w:pPr>
              <w:spacing w:after="0" w:line="240" w:lineRule="auto"/>
              <w:rPr>
                <w:rFonts w:eastAsia="Times New Roman" w:cs="Times New Roman"/>
                <w:b w:val="0"/>
                <w:color w:val="000000"/>
                <w:sz w:val="20"/>
                <w:szCs w:val="20"/>
              </w:rPr>
            </w:pPr>
            <w:r>
              <w:rPr>
                <w:rFonts w:eastAsia="Times New Roman" w:cs="Times New Roman"/>
                <w:b w:val="0"/>
                <w:color w:val="000000"/>
                <w:sz w:val="20"/>
                <w:szCs w:val="20"/>
              </w:rPr>
              <w:t>Outcome</w:t>
            </w:r>
          </w:p>
        </w:tc>
        <w:tc>
          <w:tcPr>
            <w:tcW w:w="784" w:type="dxa"/>
            <w:vMerge w:val="restart"/>
            <w:tcBorders>
              <w:bottom w:val="single" w:sz="8" w:space="0" w:color="auto"/>
            </w:tcBorders>
            <w:noWrap/>
            <w:vAlign w:val="bottom"/>
            <w:hideMark/>
          </w:tcPr>
          <w:p w14:paraId="60652452" w14:textId="77777777" w:rsidR="00A959D2" w:rsidRDefault="00A959D2">
            <w:pPr>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Lag</w:t>
            </w:r>
          </w:p>
          <w:p w14:paraId="232F57A0" w14:textId="77777777" w:rsidR="00A959D2" w:rsidRDefault="00A959D2">
            <w:pPr>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(years)</w:t>
            </w:r>
          </w:p>
        </w:tc>
        <w:tc>
          <w:tcPr>
            <w:tcW w:w="5846" w:type="dxa"/>
            <w:gridSpan w:val="3"/>
            <w:noWrap/>
            <w:vAlign w:val="bottom"/>
            <w:hideMark/>
          </w:tcPr>
          <w:p w14:paraId="6A4155F0" w14:textId="77777777" w:rsidR="00A959D2" w:rsidRDefault="00A959D2">
            <w:pPr>
              <w:pStyle w:val="ListParagraph"/>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 xml:space="preserve">ERR per </w:t>
            </w:r>
            <w:proofErr w:type="spellStart"/>
            <w:r>
              <w:rPr>
                <w:rFonts w:eastAsia="Times New Roman" w:cs="Times New Roman"/>
                <w:b w:val="0"/>
                <w:color w:val="000000"/>
                <w:sz w:val="20"/>
                <w:szCs w:val="20"/>
              </w:rPr>
              <w:t>Gy</w:t>
            </w:r>
            <w:proofErr w:type="spellEnd"/>
            <w:r>
              <w:rPr>
                <w:rFonts w:eastAsia="Times New Roman" w:cs="Times New Roman"/>
                <w:b w:val="0"/>
                <w:color w:val="000000"/>
                <w:sz w:val="20"/>
                <w:szCs w:val="20"/>
              </w:rPr>
              <w:t xml:space="preserve"> (90% CI) by age at exposure (years)</w:t>
            </w:r>
          </w:p>
        </w:tc>
        <w:tc>
          <w:tcPr>
            <w:tcW w:w="714" w:type="dxa"/>
            <w:vMerge w:val="restart"/>
            <w:tcBorders>
              <w:bottom w:val="single" w:sz="8" w:space="0" w:color="auto"/>
            </w:tcBorders>
            <w:vAlign w:val="bottom"/>
            <w:hideMark/>
          </w:tcPr>
          <w:p w14:paraId="678AB698" w14:textId="77777777" w:rsidR="00A959D2" w:rsidRDefault="00A959D2">
            <w:pPr>
              <w:spacing w:after="0" w:line="240" w:lineRule="auto"/>
              <w:jc w:val="center"/>
              <w:rPr>
                <w:rFonts w:eastAsia="Times New Roman" w:cs="Times New Roman"/>
                <w:b w:val="0"/>
                <w:color w:val="000000"/>
                <w:sz w:val="20"/>
                <w:szCs w:val="20"/>
                <w:vertAlign w:val="superscript"/>
              </w:rPr>
            </w:pPr>
            <w:r>
              <w:rPr>
                <w:rFonts w:eastAsia="Times New Roman" w:cs="Times New Roman"/>
                <w:b w:val="0"/>
                <w:i/>
                <w:iCs/>
                <w:color w:val="000000"/>
                <w:sz w:val="20"/>
                <w:szCs w:val="20"/>
              </w:rPr>
              <w:t xml:space="preserve">P </w:t>
            </w:r>
            <w:r>
              <w:rPr>
                <w:rFonts w:eastAsia="Times New Roman" w:cs="Times New Roman"/>
                <w:b w:val="0"/>
                <w:color w:val="000000"/>
                <w:sz w:val="20"/>
                <w:szCs w:val="20"/>
                <w:vertAlign w:val="superscript"/>
              </w:rPr>
              <w:t>2</w:t>
            </w:r>
          </w:p>
        </w:tc>
      </w:tr>
      <w:tr w:rsidR="00A959D2" w14:paraId="0C52CE63" w14:textId="77777777" w:rsidTr="00A959D2">
        <w:trPr>
          <w:trHeight w:val="300"/>
        </w:trPr>
        <w:tc>
          <w:tcPr>
            <w:tcW w:w="2016" w:type="dxa"/>
            <w:vMerge/>
            <w:tcBorders>
              <w:top w:val="single" w:sz="8" w:space="0" w:color="000000" w:themeColor="text1"/>
              <w:left w:val="nil"/>
              <w:bottom w:val="single" w:sz="8" w:space="0" w:color="auto"/>
              <w:right w:val="nil"/>
            </w:tcBorders>
            <w:vAlign w:val="center"/>
            <w:hideMark/>
          </w:tcPr>
          <w:p w14:paraId="4429BAB3" w14:textId="77777777" w:rsidR="00A959D2" w:rsidRDefault="00A959D2">
            <w:pPr>
              <w:spacing w:after="0" w:line="240" w:lineRule="auto"/>
              <w:rPr>
                <w:rFonts w:eastAsia="Times New Roman" w:cs="Times New Roman"/>
                <w:bCs/>
                <w:color w:val="000000"/>
                <w:sz w:val="20"/>
                <w:szCs w:val="20"/>
              </w:rPr>
            </w:pPr>
          </w:p>
        </w:tc>
        <w:tc>
          <w:tcPr>
            <w:tcW w:w="784" w:type="dxa"/>
            <w:vMerge/>
            <w:tcBorders>
              <w:top w:val="single" w:sz="8" w:space="0" w:color="000000" w:themeColor="text1"/>
              <w:left w:val="nil"/>
              <w:bottom w:val="single" w:sz="8" w:space="0" w:color="auto"/>
              <w:right w:val="nil"/>
            </w:tcBorders>
            <w:vAlign w:val="center"/>
            <w:hideMark/>
          </w:tcPr>
          <w:p w14:paraId="0FEC4A1C" w14:textId="77777777" w:rsidR="00A959D2" w:rsidRDefault="00A959D2">
            <w:pPr>
              <w:spacing w:after="0" w:line="240" w:lineRule="auto"/>
              <w:rPr>
                <w:rFonts w:eastAsia="Times New Roman" w:cs="Times New Roman"/>
                <w:bCs/>
                <w:color w:val="000000"/>
                <w:sz w:val="20"/>
                <w:szCs w:val="20"/>
              </w:rPr>
            </w:pPr>
          </w:p>
        </w:tc>
        <w:tc>
          <w:tcPr>
            <w:tcW w:w="1948" w:type="dxa"/>
            <w:tcBorders>
              <w:top w:val="nil"/>
              <w:left w:val="nil"/>
              <w:bottom w:val="single" w:sz="8" w:space="0" w:color="auto"/>
              <w:right w:val="nil"/>
            </w:tcBorders>
            <w:noWrap/>
            <w:vAlign w:val="bottom"/>
            <w:hideMark/>
          </w:tcPr>
          <w:p w14:paraId="76E3C8EB"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&lt;35</w:t>
            </w:r>
          </w:p>
        </w:tc>
        <w:tc>
          <w:tcPr>
            <w:tcW w:w="1949" w:type="dxa"/>
            <w:tcBorders>
              <w:top w:val="nil"/>
              <w:left w:val="nil"/>
              <w:bottom w:val="single" w:sz="8" w:space="0" w:color="auto"/>
              <w:right w:val="nil"/>
            </w:tcBorders>
            <w:noWrap/>
            <w:vAlign w:val="bottom"/>
            <w:hideMark/>
          </w:tcPr>
          <w:p w14:paraId="1B9FDAC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35</w:t>
            </w:r>
            <w:r>
              <w:rPr>
                <w:rFonts w:eastAsia="Times New Roman" w:cs="Times New Roman"/>
                <w:bCs/>
                <w:color w:val="000000"/>
                <w:sz w:val="20"/>
                <w:szCs w:val="20"/>
              </w:rPr>
              <w:sym w:font="Symbol MT" w:char="F02D"/>
            </w:r>
            <w:r>
              <w:rPr>
                <w:rFonts w:eastAsia="Times New Roman" w:cs="Times New Roman"/>
                <w:bCs/>
                <w:color w:val="000000"/>
                <w:sz w:val="20"/>
                <w:szCs w:val="20"/>
              </w:rPr>
              <w:sym w:font="Symbol MT" w:char="F03C"/>
            </w:r>
            <w:r>
              <w:rPr>
                <w:rFonts w:eastAsia="Times New Roman" w:cs="Times New Roman"/>
                <w:bCs/>
                <w:color w:val="000000"/>
                <w:sz w:val="20"/>
                <w:szCs w:val="20"/>
              </w:rPr>
              <w:t>50</w:t>
            </w:r>
          </w:p>
        </w:tc>
        <w:tc>
          <w:tcPr>
            <w:tcW w:w="1949" w:type="dxa"/>
            <w:tcBorders>
              <w:top w:val="nil"/>
              <w:left w:val="nil"/>
              <w:bottom w:val="single" w:sz="8" w:space="0" w:color="auto"/>
              <w:right w:val="nil"/>
            </w:tcBorders>
            <w:vAlign w:val="bottom"/>
            <w:hideMark/>
          </w:tcPr>
          <w:p w14:paraId="5E98E46D"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50+</w:t>
            </w:r>
          </w:p>
        </w:tc>
        <w:tc>
          <w:tcPr>
            <w:tcW w:w="714" w:type="dxa"/>
            <w:vMerge/>
            <w:tcBorders>
              <w:top w:val="single" w:sz="8" w:space="0" w:color="000000" w:themeColor="text1"/>
              <w:left w:val="nil"/>
              <w:bottom w:val="single" w:sz="8" w:space="0" w:color="auto"/>
              <w:right w:val="nil"/>
            </w:tcBorders>
            <w:vAlign w:val="center"/>
            <w:hideMark/>
          </w:tcPr>
          <w:p w14:paraId="2A800529" w14:textId="77777777" w:rsidR="00A959D2" w:rsidRDefault="00A959D2">
            <w:pPr>
              <w:spacing w:after="0" w:line="240" w:lineRule="auto"/>
              <w:rPr>
                <w:rFonts w:eastAsia="Times New Roman" w:cs="Times New Roman"/>
                <w:bCs/>
                <w:color w:val="000000"/>
                <w:sz w:val="20"/>
                <w:szCs w:val="20"/>
                <w:vertAlign w:val="superscript"/>
              </w:rPr>
            </w:pPr>
          </w:p>
        </w:tc>
      </w:tr>
      <w:tr w:rsidR="00A959D2" w14:paraId="1DBC134A" w14:textId="77777777" w:rsidTr="00A959D2">
        <w:trPr>
          <w:trHeight w:val="300"/>
        </w:trPr>
        <w:tc>
          <w:tcPr>
            <w:tcW w:w="2016" w:type="dxa"/>
            <w:tcBorders>
              <w:top w:val="nil"/>
              <w:left w:val="nil"/>
              <w:bottom w:val="nil"/>
              <w:right w:val="nil"/>
            </w:tcBorders>
            <w:noWrap/>
            <w:vAlign w:val="bottom"/>
            <w:hideMark/>
          </w:tcPr>
          <w:p w14:paraId="5FC4734C" w14:textId="77777777" w:rsidR="00A959D2" w:rsidRDefault="00A959D2">
            <w:pPr>
              <w:spacing w:after="0" w:line="240" w:lineRule="auto"/>
              <w:rPr>
                <w:rFonts w:cs="Times New Roman"/>
                <w:bCs/>
                <w:sz w:val="20"/>
                <w:szCs w:val="20"/>
              </w:rPr>
            </w:pPr>
            <w:r>
              <w:rPr>
                <w:rFonts w:cs="Times New Roman"/>
                <w:bCs/>
                <w:sz w:val="20"/>
                <w:szCs w:val="20"/>
              </w:rPr>
              <w:t>solid cancers</w:t>
            </w:r>
          </w:p>
        </w:tc>
        <w:tc>
          <w:tcPr>
            <w:tcW w:w="784" w:type="dxa"/>
            <w:tcBorders>
              <w:top w:val="single" w:sz="8" w:space="0" w:color="auto"/>
              <w:left w:val="nil"/>
              <w:bottom w:val="nil"/>
              <w:right w:val="nil"/>
            </w:tcBorders>
            <w:shd w:val="clear" w:color="auto" w:fill="FFFFFF"/>
            <w:noWrap/>
            <w:vAlign w:val="bottom"/>
            <w:hideMark/>
          </w:tcPr>
          <w:p w14:paraId="0E880174"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10</w:t>
            </w:r>
          </w:p>
        </w:tc>
        <w:tc>
          <w:tcPr>
            <w:tcW w:w="1948" w:type="dxa"/>
            <w:tcBorders>
              <w:top w:val="single" w:sz="8" w:space="0" w:color="auto"/>
              <w:left w:val="nil"/>
              <w:bottom w:val="nil"/>
              <w:right w:val="nil"/>
            </w:tcBorders>
            <w:shd w:val="clear" w:color="auto" w:fill="FFFFFF"/>
            <w:noWrap/>
            <w:vAlign w:val="bottom"/>
            <w:hideMark/>
          </w:tcPr>
          <w:p w14:paraId="12AC86A0"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–0.15 (–0.92, 0.61)</w:t>
            </w:r>
          </w:p>
        </w:tc>
        <w:tc>
          <w:tcPr>
            <w:tcW w:w="1949" w:type="dxa"/>
            <w:tcBorders>
              <w:top w:val="single" w:sz="8" w:space="0" w:color="auto"/>
              <w:left w:val="nil"/>
              <w:bottom w:val="nil"/>
              <w:right w:val="nil"/>
            </w:tcBorders>
            <w:shd w:val="clear" w:color="auto" w:fill="FFFFFF"/>
            <w:noWrap/>
            <w:vAlign w:val="bottom"/>
            <w:hideMark/>
          </w:tcPr>
          <w:p w14:paraId="7FB56689"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0.26 (–0.25, 0.78)</w:t>
            </w:r>
          </w:p>
        </w:tc>
        <w:tc>
          <w:tcPr>
            <w:tcW w:w="1949" w:type="dxa"/>
            <w:tcBorders>
              <w:top w:val="single" w:sz="8" w:space="0" w:color="auto"/>
              <w:left w:val="nil"/>
              <w:bottom w:val="nil"/>
              <w:right w:val="nil"/>
            </w:tcBorders>
            <w:shd w:val="clear" w:color="auto" w:fill="FFFFFF"/>
            <w:vAlign w:val="bottom"/>
            <w:hideMark/>
          </w:tcPr>
          <w:p w14:paraId="6D2BA1BC"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0.28 (–0.45, 1.02)</w:t>
            </w:r>
          </w:p>
        </w:tc>
        <w:tc>
          <w:tcPr>
            <w:tcW w:w="714" w:type="dxa"/>
            <w:tcBorders>
              <w:top w:val="single" w:sz="8" w:space="0" w:color="auto"/>
              <w:left w:val="nil"/>
              <w:bottom w:val="nil"/>
              <w:right w:val="nil"/>
            </w:tcBorders>
            <w:shd w:val="clear" w:color="auto" w:fill="FFFFFF"/>
            <w:noWrap/>
            <w:vAlign w:val="bottom"/>
            <w:hideMark/>
          </w:tcPr>
          <w:p w14:paraId="3DE88ED3"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0.744</w:t>
            </w:r>
          </w:p>
        </w:tc>
      </w:tr>
      <w:tr w:rsidR="00A959D2" w14:paraId="0733F31F" w14:textId="77777777" w:rsidTr="00A959D2">
        <w:trPr>
          <w:trHeight w:val="300"/>
        </w:trPr>
        <w:tc>
          <w:tcPr>
            <w:tcW w:w="2016" w:type="dxa"/>
            <w:tcBorders>
              <w:top w:val="nil"/>
              <w:left w:val="nil"/>
              <w:bottom w:val="nil"/>
              <w:right w:val="nil"/>
            </w:tcBorders>
            <w:noWrap/>
            <w:vAlign w:val="bottom"/>
            <w:hideMark/>
          </w:tcPr>
          <w:p w14:paraId="533CC12B" w14:textId="77777777" w:rsidR="00A959D2" w:rsidRDefault="00A959D2">
            <w:pPr>
              <w:spacing w:after="0" w:line="240" w:lineRule="auto"/>
              <w:rPr>
                <w:rFonts w:cs="Times New Roman"/>
                <w:bCs/>
                <w:sz w:val="20"/>
                <w:szCs w:val="20"/>
              </w:rPr>
            </w:pPr>
            <w:r>
              <w:rPr>
                <w:rFonts w:cs="Times New Roman"/>
                <w:bCs/>
                <w:sz w:val="20"/>
                <w:szCs w:val="20"/>
              </w:rPr>
              <w:t>solid cancer excl. lung</w:t>
            </w:r>
          </w:p>
        </w:tc>
        <w:tc>
          <w:tcPr>
            <w:tcW w:w="784" w:type="dxa"/>
            <w:tcBorders>
              <w:top w:val="nil"/>
              <w:left w:val="nil"/>
              <w:bottom w:val="nil"/>
              <w:right w:val="nil"/>
            </w:tcBorders>
            <w:shd w:val="clear" w:color="auto" w:fill="FFFFFF"/>
            <w:noWrap/>
            <w:vAlign w:val="bottom"/>
            <w:hideMark/>
          </w:tcPr>
          <w:p w14:paraId="5CCB6CCE" w14:textId="77777777" w:rsidR="00A959D2" w:rsidRDefault="00A959D2">
            <w:pPr>
              <w:spacing w:after="0" w:line="240" w:lineRule="auto"/>
              <w:jc w:val="center"/>
              <w:rPr>
                <w:rFonts w:cs="Times New Roman"/>
                <w:color w:val="333333"/>
                <w:sz w:val="20"/>
                <w:szCs w:val="20"/>
              </w:rPr>
            </w:pPr>
            <w:r>
              <w:rPr>
                <w:rFonts w:cs="Times New Roman"/>
                <w:color w:val="333333"/>
                <w:sz w:val="20"/>
                <w:szCs w:val="20"/>
              </w:rPr>
              <w:t>10</w:t>
            </w:r>
          </w:p>
        </w:tc>
        <w:tc>
          <w:tcPr>
            <w:tcW w:w="1948" w:type="dxa"/>
            <w:tcBorders>
              <w:top w:val="nil"/>
              <w:left w:val="nil"/>
              <w:bottom w:val="nil"/>
              <w:right w:val="nil"/>
            </w:tcBorders>
            <w:shd w:val="clear" w:color="auto" w:fill="FFFFFF"/>
            <w:noWrap/>
            <w:vAlign w:val="bottom"/>
            <w:hideMark/>
          </w:tcPr>
          <w:p w14:paraId="031A010B" w14:textId="77777777" w:rsidR="00A959D2" w:rsidRDefault="00A959D2">
            <w:pPr>
              <w:spacing w:after="0" w:line="240" w:lineRule="auto"/>
              <w:jc w:val="center"/>
              <w:rPr>
                <w:rFonts w:cs="Times New Roman"/>
                <w:color w:val="333333"/>
                <w:sz w:val="20"/>
                <w:szCs w:val="20"/>
              </w:rPr>
            </w:pPr>
            <w:r>
              <w:rPr>
                <w:sz w:val="20"/>
                <w:szCs w:val="20"/>
              </w:rPr>
              <w:t>–0.07 (–0.96, 0.82)</w:t>
            </w:r>
          </w:p>
        </w:tc>
        <w:tc>
          <w:tcPr>
            <w:tcW w:w="1949" w:type="dxa"/>
            <w:tcBorders>
              <w:top w:val="nil"/>
              <w:left w:val="nil"/>
              <w:bottom w:val="nil"/>
              <w:right w:val="nil"/>
            </w:tcBorders>
            <w:shd w:val="clear" w:color="auto" w:fill="FFFFFF"/>
            <w:noWrap/>
            <w:vAlign w:val="bottom"/>
            <w:hideMark/>
          </w:tcPr>
          <w:p w14:paraId="17A6AD2F" w14:textId="77777777" w:rsidR="00A959D2" w:rsidRDefault="00A959D2">
            <w:pPr>
              <w:spacing w:after="0" w:line="240" w:lineRule="auto"/>
              <w:jc w:val="center"/>
              <w:rPr>
                <w:rFonts w:cs="Times New Roman"/>
                <w:color w:val="333333"/>
                <w:sz w:val="20"/>
                <w:szCs w:val="20"/>
              </w:rPr>
            </w:pPr>
            <w:r>
              <w:rPr>
                <w:sz w:val="20"/>
                <w:szCs w:val="20"/>
              </w:rPr>
              <w:t>0.12 (–0.50, 0.73)</w:t>
            </w:r>
          </w:p>
        </w:tc>
        <w:tc>
          <w:tcPr>
            <w:tcW w:w="1949" w:type="dxa"/>
            <w:tcBorders>
              <w:top w:val="nil"/>
              <w:left w:val="nil"/>
              <w:bottom w:val="nil"/>
              <w:right w:val="nil"/>
            </w:tcBorders>
            <w:shd w:val="clear" w:color="auto" w:fill="FFFFFF"/>
            <w:vAlign w:val="bottom"/>
            <w:hideMark/>
          </w:tcPr>
          <w:p w14:paraId="704EA1AA" w14:textId="77777777" w:rsidR="00A959D2" w:rsidRDefault="00A959D2">
            <w:pPr>
              <w:spacing w:after="0" w:line="240" w:lineRule="auto"/>
              <w:jc w:val="center"/>
              <w:rPr>
                <w:rFonts w:cs="Times New Roman"/>
                <w:color w:val="333333"/>
                <w:sz w:val="20"/>
                <w:szCs w:val="20"/>
              </w:rPr>
            </w:pPr>
            <w:r>
              <w:rPr>
                <w:sz w:val="20"/>
                <w:szCs w:val="20"/>
              </w:rPr>
              <w:t>0.08 (–0.79, 0.95)</w:t>
            </w:r>
          </w:p>
        </w:tc>
        <w:tc>
          <w:tcPr>
            <w:tcW w:w="714" w:type="dxa"/>
            <w:tcBorders>
              <w:top w:val="nil"/>
              <w:left w:val="nil"/>
              <w:bottom w:val="nil"/>
              <w:right w:val="nil"/>
            </w:tcBorders>
            <w:shd w:val="clear" w:color="auto" w:fill="FFFFFF"/>
            <w:noWrap/>
            <w:vAlign w:val="bottom"/>
            <w:hideMark/>
          </w:tcPr>
          <w:p w14:paraId="139CF371" w14:textId="77777777" w:rsidR="00A959D2" w:rsidRDefault="00A959D2">
            <w:pPr>
              <w:spacing w:after="0" w:line="240" w:lineRule="auto"/>
              <w:jc w:val="center"/>
              <w:rPr>
                <w:rFonts w:cs="Times New Roman"/>
                <w:color w:val="333333"/>
                <w:sz w:val="20"/>
                <w:szCs w:val="20"/>
              </w:rPr>
            </w:pPr>
            <w:r>
              <w:rPr>
                <w:sz w:val="20"/>
                <w:szCs w:val="20"/>
              </w:rPr>
              <w:t>0.974</w:t>
            </w:r>
          </w:p>
        </w:tc>
      </w:tr>
      <w:tr w:rsidR="00A959D2" w14:paraId="673A4C01" w14:textId="77777777" w:rsidTr="00A959D2">
        <w:trPr>
          <w:trHeight w:val="300"/>
        </w:trPr>
        <w:tc>
          <w:tcPr>
            <w:tcW w:w="2016" w:type="dxa"/>
            <w:tcBorders>
              <w:top w:val="nil"/>
              <w:left w:val="nil"/>
              <w:bottom w:val="nil"/>
              <w:right w:val="nil"/>
            </w:tcBorders>
            <w:noWrap/>
            <w:vAlign w:val="bottom"/>
            <w:hideMark/>
          </w:tcPr>
          <w:p w14:paraId="6F02A129" w14:textId="77777777" w:rsidR="00A959D2" w:rsidRDefault="00A959D2">
            <w:pPr>
              <w:spacing w:after="0" w:line="240" w:lineRule="auto"/>
              <w:rPr>
                <w:rFonts w:cs="Times New Roman"/>
                <w:bCs/>
                <w:sz w:val="20"/>
                <w:szCs w:val="20"/>
              </w:rPr>
            </w:pPr>
            <w:r>
              <w:rPr>
                <w:rFonts w:cs="Times New Roman"/>
                <w:bCs/>
                <w:sz w:val="20"/>
                <w:szCs w:val="20"/>
              </w:rPr>
              <w:t xml:space="preserve">lung cancer </w:t>
            </w:r>
          </w:p>
        </w:tc>
        <w:tc>
          <w:tcPr>
            <w:tcW w:w="784" w:type="dxa"/>
            <w:tcBorders>
              <w:top w:val="nil"/>
              <w:left w:val="nil"/>
              <w:bottom w:val="nil"/>
              <w:right w:val="nil"/>
            </w:tcBorders>
            <w:shd w:val="clear" w:color="auto" w:fill="FFFFFF"/>
            <w:noWrap/>
            <w:vAlign w:val="bottom"/>
            <w:hideMark/>
          </w:tcPr>
          <w:p w14:paraId="52ED84E0"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10</w:t>
            </w:r>
          </w:p>
        </w:tc>
        <w:tc>
          <w:tcPr>
            <w:tcW w:w="1948" w:type="dxa"/>
            <w:tcBorders>
              <w:top w:val="nil"/>
              <w:left w:val="nil"/>
              <w:bottom w:val="nil"/>
              <w:right w:val="nil"/>
            </w:tcBorders>
            <w:shd w:val="clear" w:color="auto" w:fill="FFFFFF"/>
            <w:noWrap/>
            <w:vAlign w:val="bottom"/>
            <w:hideMark/>
          </w:tcPr>
          <w:p w14:paraId="7D0F5D43"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–0.38 (–1.92, 1.16)</w:t>
            </w:r>
          </w:p>
        </w:tc>
        <w:tc>
          <w:tcPr>
            <w:tcW w:w="1949" w:type="dxa"/>
            <w:tcBorders>
              <w:top w:val="nil"/>
              <w:left w:val="nil"/>
              <w:bottom w:val="nil"/>
              <w:right w:val="nil"/>
            </w:tcBorders>
            <w:shd w:val="clear" w:color="auto" w:fill="FFFFFF"/>
            <w:noWrap/>
            <w:vAlign w:val="bottom"/>
            <w:hideMark/>
          </w:tcPr>
          <w:p w14:paraId="5179D604"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0.61 (–0.38, 1.60)</w:t>
            </w:r>
          </w:p>
        </w:tc>
        <w:tc>
          <w:tcPr>
            <w:tcW w:w="1949" w:type="dxa"/>
            <w:tcBorders>
              <w:top w:val="nil"/>
              <w:left w:val="nil"/>
              <w:bottom w:val="nil"/>
              <w:right w:val="nil"/>
            </w:tcBorders>
            <w:shd w:val="clear" w:color="auto" w:fill="FFFFFF"/>
            <w:vAlign w:val="bottom"/>
            <w:hideMark/>
          </w:tcPr>
          <w:p w14:paraId="4A1428E6"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0.87 (–0.54, 2.29)</w:t>
            </w:r>
          </w:p>
        </w:tc>
        <w:tc>
          <w:tcPr>
            <w:tcW w:w="714" w:type="dxa"/>
            <w:tcBorders>
              <w:top w:val="nil"/>
              <w:left w:val="nil"/>
              <w:bottom w:val="nil"/>
              <w:right w:val="nil"/>
            </w:tcBorders>
            <w:shd w:val="clear" w:color="auto" w:fill="FFFFFF"/>
            <w:noWrap/>
            <w:vAlign w:val="bottom"/>
            <w:hideMark/>
          </w:tcPr>
          <w:p w14:paraId="0271EA68"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0.591</w:t>
            </w:r>
          </w:p>
        </w:tc>
      </w:tr>
      <w:tr w:rsidR="00A959D2" w14:paraId="4330B57A" w14:textId="77777777" w:rsidTr="00A959D2">
        <w:trPr>
          <w:trHeight w:val="300"/>
        </w:trPr>
        <w:tc>
          <w:tcPr>
            <w:tcW w:w="2016" w:type="dxa"/>
            <w:tcBorders>
              <w:top w:val="nil"/>
              <w:left w:val="nil"/>
              <w:bottom w:val="nil"/>
              <w:right w:val="nil"/>
            </w:tcBorders>
            <w:noWrap/>
            <w:vAlign w:val="bottom"/>
            <w:hideMark/>
          </w:tcPr>
          <w:p w14:paraId="4282B35C" w14:textId="77777777" w:rsidR="00A959D2" w:rsidRDefault="00A959D2">
            <w:pPr>
              <w:spacing w:after="0" w:line="240" w:lineRule="auto"/>
              <w:rPr>
                <w:rFonts w:cs="Times New Roman"/>
                <w:bCs/>
                <w:sz w:val="20"/>
                <w:szCs w:val="20"/>
              </w:rPr>
            </w:pPr>
            <w:r>
              <w:rPr>
                <w:rFonts w:cs="Times New Roman"/>
                <w:bCs/>
                <w:sz w:val="20"/>
                <w:szCs w:val="20"/>
              </w:rPr>
              <w:t>leukemias excl. CLL</w:t>
            </w:r>
          </w:p>
        </w:tc>
        <w:tc>
          <w:tcPr>
            <w:tcW w:w="784" w:type="dxa"/>
            <w:tcBorders>
              <w:top w:val="nil"/>
              <w:left w:val="nil"/>
              <w:bottom w:val="nil"/>
              <w:right w:val="nil"/>
            </w:tcBorders>
            <w:shd w:val="clear" w:color="auto" w:fill="FFFFFF"/>
            <w:noWrap/>
            <w:vAlign w:val="bottom"/>
            <w:hideMark/>
          </w:tcPr>
          <w:p w14:paraId="2B27979B"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2</w:t>
            </w:r>
          </w:p>
        </w:tc>
        <w:tc>
          <w:tcPr>
            <w:tcW w:w="1948" w:type="dxa"/>
            <w:tcBorders>
              <w:top w:val="nil"/>
              <w:left w:val="nil"/>
              <w:bottom w:val="nil"/>
              <w:right w:val="nil"/>
            </w:tcBorders>
            <w:shd w:val="clear" w:color="auto" w:fill="FFFFFF"/>
            <w:noWrap/>
            <w:vAlign w:val="bottom"/>
            <w:hideMark/>
          </w:tcPr>
          <w:p w14:paraId="28EFDE37"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0.22 (–5.56, 6.01)</w:t>
            </w:r>
          </w:p>
        </w:tc>
        <w:tc>
          <w:tcPr>
            <w:tcW w:w="1949" w:type="dxa"/>
            <w:tcBorders>
              <w:top w:val="nil"/>
              <w:left w:val="nil"/>
              <w:bottom w:val="nil"/>
              <w:right w:val="nil"/>
            </w:tcBorders>
            <w:shd w:val="clear" w:color="auto" w:fill="FFFFFF"/>
            <w:noWrap/>
            <w:vAlign w:val="bottom"/>
            <w:hideMark/>
          </w:tcPr>
          <w:p w14:paraId="152CB3B5"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 xml:space="preserve">4.58 </w:t>
            </w:r>
            <w:proofErr w:type="gramStart"/>
            <w:r>
              <w:rPr>
                <w:rFonts w:cs="Times New Roman"/>
                <w:color w:val="333333"/>
                <w:sz w:val="20"/>
                <w:szCs w:val="20"/>
              </w:rPr>
              <w:t>( 0.48</w:t>
            </w:r>
            <w:proofErr w:type="gramEnd"/>
            <w:r>
              <w:rPr>
                <w:rFonts w:cs="Times New Roman"/>
                <w:color w:val="333333"/>
                <w:sz w:val="20"/>
                <w:szCs w:val="20"/>
              </w:rPr>
              <w:t>, 8.68)</w:t>
            </w:r>
          </w:p>
        </w:tc>
        <w:tc>
          <w:tcPr>
            <w:tcW w:w="1949" w:type="dxa"/>
            <w:tcBorders>
              <w:top w:val="nil"/>
              <w:left w:val="nil"/>
              <w:bottom w:val="nil"/>
              <w:right w:val="nil"/>
            </w:tcBorders>
            <w:shd w:val="clear" w:color="auto" w:fill="FFFFFF"/>
            <w:vAlign w:val="bottom"/>
            <w:hideMark/>
          </w:tcPr>
          <w:p w14:paraId="6EF6E46B"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2.43 (–2.10, 6.96)</w:t>
            </w:r>
          </w:p>
        </w:tc>
        <w:tc>
          <w:tcPr>
            <w:tcW w:w="714" w:type="dxa"/>
            <w:tcBorders>
              <w:top w:val="nil"/>
              <w:left w:val="nil"/>
              <w:bottom w:val="nil"/>
              <w:right w:val="nil"/>
            </w:tcBorders>
            <w:shd w:val="clear" w:color="auto" w:fill="FFFFFF"/>
            <w:noWrap/>
            <w:vAlign w:val="bottom"/>
            <w:hideMark/>
          </w:tcPr>
          <w:p w14:paraId="10A5C985"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0.683</w:t>
            </w:r>
          </w:p>
        </w:tc>
      </w:tr>
      <w:tr w:rsidR="00A959D2" w14:paraId="40E6E5FD" w14:textId="77777777" w:rsidTr="00A959D2">
        <w:trPr>
          <w:trHeight w:val="300"/>
        </w:trPr>
        <w:tc>
          <w:tcPr>
            <w:tcW w:w="2016" w:type="dxa"/>
            <w:tcBorders>
              <w:top w:val="nil"/>
              <w:left w:val="nil"/>
              <w:bottom w:val="nil"/>
              <w:right w:val="nil"/>
            </w:tcBorders>
            <w:noWrap/>
            <w:vAlign w:val="bottom"/>
            <w:hideMark/>
          </w:tcPr>
          <w:p w14:paraId="3EAEF212" w14:textId="77777777" w:rsidR="00A959D2" w:rsidRDefault="00A959D2">
            <w:pPr>
              <w:spacing w:after="0" w:line="240" w:lineRule="auto"/>
              <w:ind w:left="288"/>
              <w:rPr>
                <w:rFonts w:cs="Times New Roman"/>
                <w:bCs/>
                <w:sz w:val="20"/>
                <w:szCs w:val="20"/>
              </w:rPr>
            </w:pPr>
            <w:r>
              <w:rPr>
                <w:rFonts w:cs="Times New Roman"/>
                <w:bCs/>
                <w:sz w:val="20"/>
                <w:szCs w:val="20"/>
              </w:rPr>
              <w:t>CML</w:t>
            </w:r>
          </w:p>
        </w:tc>
        <w:tc>
          <w:tcPr>
            <w:tcW w:w="784" w:type="dxa"/>
            <w:tcBorders>
              <w:top w:val="nil"/>
              <w:left w:val="nil"/>
              <w:bottom w:val="nil"/>
              <w:right w:val="nil"/>
            </w:tcBorders>
            <w:shd w:val="clear" w:color="auto" w:fill="FFFFFF"/>
            <w:noWrap/>
            <w:vAlign w:val="bottom"/>
            <w:hideMark/>
          </w:tcPr>
          <w:p w14:paraId="588973D4"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2</w:t>
            </w:r>
          </w:p>
        </w:tc>
        <w:tc>
          <w:tcPr>
            <w:tcW w:w="1948" w:type="dxa"/>
            <w:tcBorders>
              <w:top w:val="nil"/>
              <w:left w:val="nil"/>
              <w:bottom w:val="nil"/>
              <w:right w:val="nil"/>
            </w:tcBorders>
            <w:shd w:val="clear" w:color="auto" w:fill="FFFFFF"/>
            <w:noWrap/>
            <w:vAlign w:val="bottom"/>
            <w:hideMark/>
          </w:tcPr>
          <w:p w14:paraId="2C2D7D4F"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–1.46 (–56.0, 53.0)</w:t>
            </w:r>
          </w:p>
        </w:tc>
        <w:tc>
          <w:tcPr>
            <w:tcW w:w="1949" w:type="dxa"/>
            <w:tcBorders>
              <w:top w:val="nil"/>
              <w:left w:val="nil"/>
              <w:bottom w:val="nil"/>
              <w:right w:val="nil"/>
            </w:tcBorders>
            <w:shd w:val="clear" w:color="auto" w:fill="FFFFFF"/>
            <w:noWrap/>
            <w:vAlign w:val="bottom"/>
            <w:hideMark/>
          </w:tcPr>
          <w:p w14:paraId="682D0BC0"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11.4 (–1.01, 23.9)</w:t>
            </w:r>
          </w:p>
        </w:tc>
        <w:tc>
          <w:tcPr>
            <w:tcW w:w="1949" w:type="dxa"/>
            <w:tcBorders>
              <w:top w:val="nil"/>
              <w:left w:val="nil"/>
              <w:bottom w:val="nil"/>
              <w:right w:val="nil"/>
            </w:tcBorders>
            <w:shd w:val="clear" w:color="auto" w:fill="FFFFFF"/>
            <w:vAlign w:val="bottom"/>
            <w:hideMark/>
          </w:tcPr>
          <w:p w14:paraId="2328AC9A"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7.42 (–6.74, 21.6)</w:t>
            </w:r>
          </w:p>
        </w:tc>
        <w:tc>
          <w:tcPr>
            <w:tcW w:w="714" w:type="dxa"/>
            <w:tcBorders>
              <w:top w:val="nil"/>
              <w:left w:val="nil"/>
              <w:bottom w:val="nil"/>
              <w:right w:val="nil"/>
            </w:tcBorders>
            <w:shd w:val="clear" w:color="auto" w:fill="FFFFFF"/>
            <w:noWrap/>
            <w:vAlign w:val="bottom"/>
            <w:hideMark/>
          </w:tcPr>
          <w:p w14:paraId="6A726057"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0.304</w:t>
            </w:r>
          </w:p>
        </w:tc>
      </w:tr>
      <w:tr w:rsidR="00A959D2" w14:paraId="16AA780D" w14:textId="77777777" w:rsidTr="00A959D2">
        <w:trPr>
          <w:trHeight w:val="300"/>
        </w:trPr>
        <w:tc>
          <w:tcPr>
            <w:tcW w:w="2016" w:type="dxa"/>
            <w:tcBorders>
              <w:top w:val="nil"/>
              <w:left w:val="nil"/>
              <w:bottom w:val="nil"/>
              <w:right w:val="nil"/>
            </w:tcBorders>
            <w:noWrap/>
            <w:vAlign w:val="bottom"/>
            <w:hideMark/>
          </w:tcPr>
          <w:p w14:paraId="7511E277" w14:textId="77777777" w:rsidR="00A959D2" w:rsidRDefault="00A959D2">
            <w:pPr>
              <w:spacing w:after="0" w:line="240" w:lineRule="auto"/>
              <w:ind w:left="288"/>
              <w:rPr>
                <w:rFonts w:cs="Times New Roman"/>
                <w:bCs/>
                <w:sz w:val="20"/>
                <w:szCs w:val="20"/>
              </w:rPr>
            </w:pPr>
            <w:r>
              <w:rPr>
                <w:rFonts w:cs="Times New Roman"/>
                <w:bCs/>
                <w:sz w:val="20"/>
                <w:szCs w:val="20"/>
              </w:rPr>
              <w:t>AML</w:t>
            </w:r>
          </w:p>
        </w:tc>
        <w:tc>
          <w:tcPr>
            <w:tcW w:w="784" w:type="dxa"/>
            <w:tcBorders>
              <w:top w:val="nil"/>
              <w:left w:val="nil"/>
              <w:bottom w:val="nil"/>
              <w:right w:val="nil"/>
            </w:tcBorders>
            <w:shd w:val="clear" w:color="auto" w:fill="FFFFFF"/>
            <w:noWrap/>
            <w:vAlign w:val="bottom"/>
            <w:hideMark/>
          </w:tcPr>
          <w:p w14:paraId="4A29DAFA"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2</w:t>
            </w:r>
          </w:p>
        </w:tc>
        <w:tc>
          <w:tcPr>
            <w:tcW w:w="1948" w:type="dxa"/>
            <w:tcBorders>
              <w:top w:val="nil"/>
              <w:left w:val="nil"/>
              <w:bottom w:val="nil"/>
              <w:right w:val="nil"/>
            </w:tcBorders>
            <w:shd w:val="clear" w:color="auto" w:fill="FFFFFF"/>
            <w:noWrap/>
            <w:vAlign w:val="bottom"/>
            <w:hideMark/>
          </w:tcPr>
          <w:p w14:paraId="42C28A74"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2.72 (–5.09, 10.5)</w:t>
            </w:r>
          </w:p>
        </w:tc>
        <w:tc>
          <w:tcPr>
            <w:tcW w:w="1949" w:type="dxa"/>
            <w:tcBorders>
              <w:top w:val="nil"/>
              <w:left w:val="nil"/>
              <w:bottom w:val="nil"/>
              <w:right w:val="nil"/>
            </w:tcBorders>
            <w:shd w:val="clear" w:color="auto" w:fill="FFFFFF"/>
            <w:noWrap/>
            <w:vAlign w:val="bottom"/>
            <w:hideMark/>
          </w:tcPr>
          <w:p w14:paraId="3C46519E"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1.36 (–3.57, 6.29)</w:t>
            </w:r>
          </w:p>
        </w:tc>
        <w:tc>
          <w:tcPr>
            <w:tcW w:w="1949" w:type="dxa"/>
            <w:tcBorders>
              <w:top w:val="nil"/>
              <w:left w:val="nil"/>
              <w:bottom w:val="nil"/>
              <w:right w:val="nil"/>
            </w:tcBorders>
            <w:shd w:val="clear" w:color="auto" w:fill="FFFFFF"/>
            <w:vAlign w:val="bottom"/>
            <w:hideMark/>
          </w:tcPr>
          <w:p w14:paraId="70B5ED31"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–1.03 (–5.58, 3.52)</w:t>
            </w:r>
          </w:p>
        </w:tc>
        <w:tc>
          <w:tcPr>
            <w:tcW w:w="714" w:type="dxa"/>
            <w:tcBorders>
              <w:top w:val="nil"/>
              <w:left w:val="nil"/>
              <w:bottom w:val="nil"/>
              <w:right w:val="nil"/>
            </w:tcBorders>
            <w:shd w:val="clear" w:color="auto" w:fill="FFFFFF"/>
            <w:noWrap/>
            <w:vAlign w:val="bottom"/>
            <w:hideMark/>
          </w:tcPr>
          <w:p w14:paraId="0E5965FE"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0.735</w:t>
            </w:r>
          </w:p>
        </w:tc>
      </w:tr>
      <w:tr w:rsidR="00A959D2" w14:paraId="56A4B9C5" w14:textId="77777777" w:rsidTr="00A959D2">
        <w:trPr>
          <w:trHeight w:val="300"/>
        </w:trPr>
        <w:tc>
          <w:tcPr>
            <w:tcW w:w="2016" w:type="dxa"/>
            <w:tcBorders>
              <w:top w:val="nil"/>
              <w:left w:val="nil"/>
              <w:bottom w:val="nil"/>
              <w:right w:val="nil"/>
            </w:tcBorders>
            <w:noWrap/>
            <w:vAlign w:val="bottom"/>
            <w:hideMark/>
          </w:tcPr>
          <w:p w14:paraId="24CC35BC" w14:textId="77777777" w:rsidR="00A959D2" w:rsidRDefault="00A959D2">
            <w:pPr>
              <w:spacing w:after="0" w:line="240" w:lineRule="auto"/>
              <w:rPr>
                <w:rFonts w:cs="Times New Roman"/>
                <w:bCs/>
                <w:sz w:val="20"/>
                <w:szCs w:val="20"/>
              </w:rPr>
            </w:pPr>
            <w:r>
              <w:rPr>
                <w:rFonts w:cs="Times New Roman"/>
                <w:bCs/>
                <w:sz w:val="20"/>
                <w:szCs w:val="20"/>
              </w:rPr>
              <w:t>AML+MDS</w:t>
            </w:r>
          </w:p>
        </w:tc>
        <w:tc>
          <w:tcPr>
            <w:tcW w:w="784" w:type="dxa"/>
            <w:tcBorders>
              <w:top w:val="nil"/>
              <w:left w:val="nil"/>
              <w:bottom w:val="nil"/>
              <w:right w:val="nil"/>
            </w:tcBorders>
            <w:shd w:val="clear" w:color="auto" w:fill="FFFFFF"/>
            <w:noWrap/>
            <w:vAlign w:val="bottom"/>
            <w:hideMark/>
          </w:tcPr>
          <w:p w14:paraId="49362AD0"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2</w:t>
            </w:r>
          </w:p>
        </w:tc>
        <w:tc>
          <w:tcPr>
            <w:tcW w:w="1948" w:type="dxa"/>
            <w:tcBorders>
              <w:top w:val="nil"/>
              <w:left w:val="nil"/>
              <w:bottom w:val="nil"/>
              <w:right w:val="nil"/>
            </w:tcBorders>
            <w:shd w:val="clear" w:color="auto" w:fill="FFFFFF"/>
            <w:noWrap/>
            <w:vAlign w:val="bottom"/>
            <w:hideMark/>
          </w:tcPr>
          <w:p w14:paraId="3E154C46"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3.13 (–3.14, 9.39)</w:t>
            </w:r>
          </w:p>
        </w:tc>
        <w:tc>
          <w:tcPr>
            <w:tcW w:w="1949" w:type="dxa"/>
            <w:tcBorders>
              <w:top w:val="nil"/>
              <w:left w:val="nil"/>
              <w:bottom w:val="nil"/>
              <w:right w:val="nil"/>
            </w:tcBorders>
            <w:shd w:val="clear" w:color="auto" w:fill="FFFFFF"/>
            <w:noWrap/>
            <w:vAlign w:val="bottom"/>
            <w:hideMark/>
          </w:tcPr>
          <w:p w14:paraId="521BE3AF"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1.31 (–2.98, 5.59)</w:t>
            </w:r>
          </w:p>
        </w:tc>
        <w:tc>
          <w:tcPr>
            <w:tcW w:w="1949" w:type="dxa"/>
            <w:tcBorders>
              <w:top w:val="nil"/>
              <w:left w:val="nil"/>
              <w:bottom w:val="nil"/>
              <w:right w:val="nil"/>
            </w:tcBorders>
            <w:shd w:val="clear" w:color="auto" w:fill="FFFFFF"/>
            <w:vAlign w:val="bottom"/>
            <w:hideMark/>
          </w:tcPr>
          <w:p w14:paraId="12FA8AA4"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–0.85 (–5.37, 3.68)</w:t>
            </w:r>
          </w:p>
        </w:tc>
        <w:tc>
          <w:tcPr>
            <w:tcW w:w="714" w:type="dxa"/>
            <w:tcBorders>
              <w:top w:val="nil"/>
              <w:left w:val="nil"/>
              <w:bottom w:val="nil"/>
              <w:right w:val="nil"/>
            </w:tcBorders>
            <w:shd w:val="clear" w:color="auto" w:fill="FFFFFF"/>
            <w:noWrap/>
            <w:vAlign w:val="bottom"/>
            <w:hideMark/>
          </w:tcPr>
          <w:p w14:paraId="30A575CB"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0.648</w:t>
            </w:r>
          </w:p>
        </w:tc>
      </w:tr>
      <w:tr w:rsidR="00A959D2" w14:paraId="7F90900F" w14:textId="77777777" w:rsidTr="00A959D2">
        <w:trPr>
          <w:trHeight w:val="300"/>
        </w:trPr>
        <w:tc>
          <w:tcPr>
            <w:tcW w:w="2016" w:type="dxa"/>
            <w:tcBorders>
              <w:top w:val="nil"/>
              <w:left w:val="nil"/>
              <w:bottom w:val="nil"/>
              <w:right w:val="nil"/>
            </w:tcBorders>
            <w:noWrap/>
            <w:vAlign w:val="bottom"/>
            <w:hideMark/>
          </w:tcPr>
          <w:p w14:paraId="0877B048" w14:textId="77777777" w:rsidR="00A959D2" w:rsidRDefault="00A959D2">
            <w:pPr>
              <w:spacing w:after="0" w:line="240" w:lineRule="auto"/>
              <w:rPr>
                <w:rFonts w:cs="Times New Roman"/>
                <w:bCs/>
                <w:sz w:val="20"/>
                <w:szCs w:val="20"/>
              </w:rPr>
            </w:pPr>
            <w:r>
              <w:rPr>
                <w:rFonts w:cs="Times New Roman"/>
                <w:bCs/>
                <w:sz w:val="20"/>
                <w:szCs w:val="20"/>
              </w:rPr>
              <w:t>MM</w:t>
            </w:r>
          </w:p>
        </w:tc>
        <w:tc>
          <w:tcPr>
            <w:tcW w:w="784" w:type="dxa"/>
            <w:tcBorders>
              <w:top w:val="nil"/>
              <w:left w:val="nil"/>
              <w:bottom w:val="nil"/>
              <w:right w:val="nil"/>
            </w:tcBorders>
            <w:shd w:val="clear" w:color="auto" w:fill="FFFFFF"/>
            <w:noWrap/>
            <w:vAlign w:val="bottom"/>
            <w:hideMark/>
          </w:tcPr>
          <w:p w14:paraId="72B27B57"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2</w:t>
            </w:r>
          </w:p>
        </w:tc>
        <w:tc>
          <w:tcPr>
            <w:tcW w:w="1948" w:type="dxa"/>
            <w:tcBorders>
              <w:top w:val="nil"/>
              <w:left w:val="nil"/>
              <w:bottom w:val="nil"/>
              <w:right w:val="nil"/>
            </w:tcBorders>
            <w:shd w:val="clear" w:color="auto" w:fill="FFFFFF"/>
            <w:noWrap/>
            <w:vAlign w:val="bottom"/>
            <w:hideMark/>
          </w:tcPr>
          <w:p w14:paraId="4432B9DB"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–0.06 (–6.40, 6.28)</w:t>
            </w:r>
          </w:p>
        </w:tc>
        <w:tc>
          <w:tcPr>
            <w:tcW w:w="1949" w:type="dxa"/>
            <w:tcBorders>
              <w:top w:val="nil"/>
              <w:left w:val="nil"/>
              <w:bottom w:val="nil"/>
              <w:right w:val="nil"/>
            </w:tcBorders>
            <w:shd w:val="clear" w:color="auto" w:fill="FFFFFF"/>
            <w:noWrap/>
            <w:vAlign w:val="bottom"/>
            <w:hideMark/>
          </w:tcPr>
          <w:p w14:paraId="6910ED22"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–0.93 (–4.43, 2.58)</w:t>
            </w:r>
          </w:p>
        </w:tc>
        <w:tc>
          <w:tcPr>
            <w:tcW w:w="1949" w:type="dxa"/>
            <w:tcBorders>
              <w:top w:val="nil"/>
              <w:left w:val="nil"/>
              <w:bottom w:val="nil"/>
              <w:right w:val="nil"/>
            </w:tcBorders>
            <w:shd w:val="clear" w:color="auto" w:fill="FFFFFF"/>
            <w:vAlign w:val="bottom"/>
            <w:hideMark/>
          </w:tcPr>
          <w:p w14:paraId="496624BE"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 xml:space="preserve">8.41 </w:t>
            </w:r>
            <w:proofErr w:type="gramStart"/>
            <w:r>
              <w:rPr>
                <w:rFonts w:cs="Times New Roman"/>
                <w:color w:val="333333"/>
                <w:sz w:val="20"/>
                <w:szCs w:val="20"/>
              </w:rPr>
              <w:t>( 0.85</w:t>
            </w:r>
            <w:proofErr w:type="gramEnd"/>
            <w:r>
              <w:rPr>
                <w:rFonts w:cs="Times New Roman"/>
                <w:color w:val="333333"/>
                <w:sz w:val="20"/>
                <w:szCs w:val="20"/>
              </w:rPr>
              <w:t>, 16.0)</w:t>
            </w:r>
          </w:p>
        </w:tc>
        <w:tc>
          <w:tcPr>
            <w:tcW w:w="714" w:type="dxa"/>
            <w:tcBorders>
              <w:top w:val="nil"/>
              <w:left w:val="nil"/>
              <w:bottom w:val="nil"/>
              <w:right w:val="nil"/>
            </w:tcBorders>
            <w:shd w:val="clear" w:color="auto" w:fill="FFFFFF"/>
            <w:noWrap/>
            <w:vAlign w:val="bottom"/>
            <w:hideMark/>
          </w:tcPr>
          <w:p w14:paraId="6E9C5C5F"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0.194</w:t>
            </w:r>
          </w:p>
        </w:tc>
      </w:tr>
      <w:tr w:rsidR="00A959D2" w14:paraId="66C904EE" w14:textId="77777777" w:rsidTr="00A959D2">
        <w:trPr>
          <w:trHeight w:val="300"/>
        </w:trPr>
        <w:tc>
          <w:tcPr>
            <w:tcW w:w="2016" w:type="dxa"/>
            <w:tcBorders>
              <w:top w:val="nil"/>
              <w:left w:val="nil"/>
              <w:bottom w:val="single" w:sz="8" w:space="0" w:color="000000" w:themeColor="text1"/>
              <w:right w:val="nil"/>
            </w:tcBorders>
            <w:noWrap/>
            <w:vAlign w:val="bottom"/>
            <w:hideMark/>
          </w:tcPr>
          <w:p w14:paraId="67F390D9" w14:textId="77777777" w:rsidR="00A959D2" w:rsidRDefault="00A959D2">
            <w:pPr>
              <w:spacing w:after="0" w:line="240" w:lineRule="auto"/>
              <w:rPr>
                <w:rFonts w:cs="Times New Roman"/>
                <w:bCs/>
                <w:sz w:val="20"/>
                <w:szCs w:val="20"/>
              </w:rPr>
            </w:pPr>
            <w:r>
              <w:rPr>
                <w:rFonts w:cs="Times New Roman"/>
                <w:bCs/>
                <w:sz w:val="20"/>
                <w:szCs w:val="20"/>
              </w:rPr>
              <w:t>NHL</w:t>
            </w:r>
          </w:p>
        </w:tc>
        <w:tc>
          <w:tcPr>
            <w:tcW w:w="784" w:type="dxa"/>
            <w:tcBorders>
              <w:top w:val="nil"/>
              <w:left w:val="nil"/>
              <w:bottom w:val="single" w:sz="8" w:space="0" w:color="000000" w:themeColor="text1"/>
              <w:right w:val="nil"/>
            </w:tcBorders>
            <w:shd w:val="clear" w:color="auto" w:fill="FFFFFF"/>
            <w:noWrap/>
            <w:vAlign w:val="bottom"/>
            <w:hideMark/>
          </w:tcPr>
          <w:p w14:paraId="0608C959"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10</w:t>
            </w:r>
          </w:p>
        </w:tc>
        <w:tc>
          <w:tcPr>
            <w:tcW w:w="1948" w:type="dxa"/>
            <w:tcBorders>
              <w:top w:val="nil"/>
              <w:left w:val="nil"/>
              <w:bottom w:val="single" w:sz="8" w:space="0" w:color="000000" w:themeColor="text1"/>
              <w:right w:val="nil"/>
            </w:tcBorders>
            <w:shd w:val="clear" w:color="auto" w:fill="FFFFFF"/>
            <w:noWrap/>
            <w:vAlign w:val="bottom"/>
            <w:hideMark/>
          </w:tcPr>
          <w:p w14:paraId="1A21201E"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0.17 (–3.90, 4.25)</w:t>
            </w:r>
          </w:p>
        </w:tc>
        <w:tc>
          <w:tcPr>
            <w:tcW w:w="1949" w:type="dxa"/>
            <w:tcBorders>
              <w:top w:val="nil"/>
              <w:left w:val="nil"/>
              <w:bottom w:val="single" w:sz="8" w:space="0" w:color="000000" w:themeColor="text1"/>
              <w:right w:val="nil"/>
            </w:tcBorders>
            <w:shd w:val="clear" w:color="auto" w:fill="FFFFFF"/>
            <w:noWrap/>
            <w:vAlign w:val="bottom"/>
            <w:hideMark/>
          </w:tcPr>
          <w:p w14:paraId="03D9EF00"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1.61 (–1.32, 4.54)</w:t>
            </w:r>
          </w:p>
        </w:tc>
        <w:tc>
          <w:tcPr>
            <w:tcW w:w="1949" w:type="dxa"/>
            <w:tcBorders>
              <w:top w:val="nil"/>
              <w:left w:val="nil"/>
              <w:bottom w:val="single" w:sz="8" w:space="0" w:color="000000" w:themeColor="text1"/>
              <w:right w:val="nil"/>
            </w:tcBorders>
            <w:shd w:val="clear" w:color="auto" w:fill="FFFFFF"/>
            <w:vAlign w:val="bottom"/>
            <w:hideMark/>
          </w:tcPr>
          <w:p w14:paraId="5AB28D25"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–2.13 (–4.96, 0.69)</w:t>
            </w:r>
          </w:p>
        </w:tc>
        <w:tc>
          <w:tcPr>
            <w:tcW w:w="714" w:type="dxa"/>
            <w:tcBorders>
              <w:top w:val="nil"/>
              <w:left w:val="nil"/>
              <w:bottom w:val="single" w:sz="8" w:space="0" w:color="000000" w:themeColor="text1"/>
              <w:right w:val="nil"/>
            </w:tcBorders>
            <w:shd w:val="clear" w:color="auto" w:fill="FFFFFF"/>
            <w:noWrap/>
            <w:vAlign w:val="bottom"/>
            <w:hideMark/>
          </w:tcPr>
          <w:p w14:paraId="0EDD9C7C"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0.331</w:t>
            </w:r>
          </w:p>
        </w:tc>
      </w:tr>
    </w:tbl>
    <w:p w14:paraId="48CF0E07" w14:textId="77777777" w:rsidR="00A959D2" w:rsidRDefault="00A959D2" w:rsidP="00A959D2">
      <w:pPr>
        <w:spacing w:after="0" w:line="240" w:lineRule="auto"/>
        <w:rPr>
          <w:rFonts w:cs="Times New Roman"/>
        </w:rPr>
      </w:pPr>
      <w:r>
        <w:rPr>
          <w:rFonts w:cs="Times New Roman"/>
          <w:vertAlign w:val="superscript"/>
        </w:rPr>
        <w:t>1</w:t>
      </w:r>
      <w:r>
        <w:t xml:space="preserve"> </w:t>
      </w:r>
      <w:r>
        <w:rPr>
          <w:rFonts w:cs="Times New Roman"/>
        </w:rPr>
        <w:t>Estimates below the boundary (i.e., ERR &lt; –1) that result from linear extrapolation are reported without censor.</w:t>
      </w:r>
    </w:p>
    <w:p w14:paraId="4A5A0E24" w14:textId="77777777" w:rsidR="00A959D2" w:rsidRDefault="00A959D2" w:rsidP="00A959D2">
      <w:pPr>
        <w:spacing w:after="0" w:line="240" w:lineRule="auto"/>
        <w:rPr>
          <w:rFonts w:cs="Times New Roman"/>
        </w:rPr>
      </w:pPr>
      <w:r>
        <w:rPr>
          <w:rFonts w:cs="Times New Roman"/>
          <w:vertAlign w:val="superscript"/>
        </w:rPr>
        <w:t xml:space="preserve">2 </w:t>
      </w:r>
      <w:r>
        <w:rPr>
          <w:rFonts w:cs="Times New Roman"/>
        </w:rPr>
        <w:t xml:space="preserve">Test of the homogeneity of windows, where </w:t>
      </w:r>
      <w:r>
        <w:rPr>
          <w:rFonts w:cs="Times New Roman"/>
          <w:i/>
          <w:iCs/>
        </w:rPr>
        <w:t>P</w:t>
      </w:r>
      <w:r>
        <w:rPr>
          <w:rFonts w:cs="Times New Roman"/>
        </w:rPr>
        <w:t xml:space="preserve"> is the p-value for the reported likelihood ratio test statistic and is evaluated under a Chi-square distribution with 2 degrees of freedom.</w:t>
      </w:r>
    </w:p>
    <w:p w14:paraId="7BDD4E9F" w14:textId="77777777" w:rsidR="00A959D2" w:rsidRDefault="00A959D2" w:rsidP="00A959D2">
      <w:pPr>
        <w:rPr>
          <w:rFonts w:cs="Times New Roman"/>
        </w:rPr>
      </w:pPr>
      <w:r>
        <w:rPr>
          <w:rFonts w:cs="Times New Roman"/>
        </w:rPr>
        <w:t xml:space="preserve">Abbreviations: CI, confidence interval; CLL, chronic lymphocytic leukemia; CML, chronic myeloid leukemia; ERR, excess relative rate; MDS, myelodysplastic syndrome; MM, multiple myeloma; NHL, non-Hodgkin lymphoma. </w:t>
      </w:r>
    </w:p>
    <w:p w14:paraId="741E17E7" w14:textId="77777777" w:rsidR="00A959D2" w:rsidRDefault="00A959D2" w:rsidP="00A959D2">
      <w:pPr>
        <w:spacing w:after="0"/>
        <w:rPr>
          <w:rFonts w:cs="Times New Roman"/>
        </w:rPr>
        <w:sectPr w:rsidR="00A959D2">
          <w:pgSz w:w="12240" w:h="15840"/>
          <w:pgMar w:top="1440" w:right="1440" w:bottom="1440" w:left="1440" w:header="720" w:footer="720" w:gutter="0"/>
          <w:cols w:space="720"/>
        </w:sectPr>
      </w:pPr>
    </w:p>
    <w:p w14:paraId="4187F9B8" w14:textId="77777777" w:rsidR="00A959D2" w:rsidRDefault="00A959D2" w:rsidP="00A959D2">
      <w:pPr>
        <w:pStyle w:val="Heading1"/>
        <w:rPr>
          <w:rFonts w:eastAsiaTheme="minorHAnsi"/>
        </w:rPr>
      </w:pPr>
      <w:bookmarkStart w:id="14" w:name="_Toc170712192"/>
      <w:r>
        <w:rPr>
          <w:rFonts w:eastAsiaTheme="minorHAnsi"/>
        </w:rPr>
        <w:lastRenderedPageBreak/>
        <w:t xml:space="preserve">Table S8. Post hoc solid cancer analyses: linear ERR per </w:t>
      </w:r>
      <w:proofErr w:type="spellStart"/>
      <w:r>
        <w:rPr>
          <w:rFonts w:eastAsiaTheme="minorHAnsi"/>
        </w:rPr>
        <w:t>Gy</w:t>
      </w:r>
      <w:proofErr w:type="spellEnd"/>
      <w:r>
        <w:rPr>
          <w:rFonts w:eastAsiaTheme="minorHAnsi"/>
        </w:rPr>
        <w:t xml:space="preserve"> by age at exposure (AE) in INWORKS.</w:t>
      </w:r>
      <w:bookmarkEnd w:id="14"/>
    </w:p>
    <w:tbl>
      <w:tblPr>
        <w:tblStyle w:val="LightShading"/>
        <w:tblW w:w="5000" w:type="pct"/>
        <w:tblInd w:w="0" w:type="dxa"/>
        <w:tblLook w:val="0620" w:firstRow="1" w:lastRow="0" w:firstColumn="0" w:lastColumn="0" w:noHBand="1" w:noVBand="1"/>
      </w:tblPr>
      <w:tblGrid>
        <w:gridCol w:w="1613"/>
        <w:gridCol w:w="3018"/>
        <w:gridCol w:w="3510"/>
        <w:gridCol w:w="1219"/>
      </w:tblGrid>
      <w:tr w:rsidR="00A959D2" w14:paraId="2945352A" w14:textId="77777777" w:rsidTr="00A959D2">
        <w:trPr>
          <w:cnfStyle w:val="100000000000" w:firstRow="1" w:lastRow="0" w:firstColumn="0" w:lastColumn="0" w:oddVBand="0" w:evenVBand="0" w:oddHBand="0" w:evenHBand="0" w:firstRowFirstColumn="0" w:firstRowLastColumn="0" w:lastRowFirstColumn="0" w:lastRowLastColumn="0"/>
          <w:trHeight w:val="300"/>
        </w:trPr>
        <w:tc>
          <w:tcPr>
            <w:tcW w:w="862" w:type="pct"/>
            <w:vMerge w:val="restart"/>
            <w:tcBorders>
              <w:bottom w:val="single" w:sz="4" w:space="0" w:color="auto"/>
            </w:tcBorders>
            <w:noWrap/>
            <w:vAlign w:val="bottom"/>
            <w:hideMark/>
          </w:tcPr>
          <w:p w14:paraId="1883EAFA" w14:textId="77777777" w:rsidR="00A959D2" w:rsidRDefault="00A959D2">
            <w:pPr>
              <w:spacing w:after="0" w:line="240" w:lineRule="auto"/>
              <w:rPr>
                <w:rFonts w:eastAsia="Times New Roman" w:cs="Times New Roman"/>
                <w:b w:val="0"/>
                <w:color w:val="000000"/>
                <w:sz w:val="20"/>
                <w:szCs w:val="20"/>
              </w:rPr>
            </w:pPr>
            <w:r>
              <w:rPr>
                <w:rFonts w:eastAsia="Times New Roman" w:cs="Times New Roman"/>
                <w:b w:val="0"/>
                <w:color w:val="000000"/>
                <w:sz w:val="20"/>
                <w:szCs w:val="20"/>
              </w:rPr>
              <w:t>Cohort</w:t>
            </w:r>
          </w:p>
        </w:tc>
        <w:tc>
          <w:tcPr>
            <w:tcW w:w="3487" w:type="pct"/>
            <w:gridSpan w:val="2"/>
            <w:vAlign w:val="bottom"/>
            <w:hideMark/>
          </w:tcPr>
          <w:p w14:paraId="17DA3836" w14:textId="77777777" w:rsidR="00A959D2" w:rsidRDefault="00A959D2">
            <w:pPr>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 xml:space="preserve">ERR per </w:t>
            </w:r>
            <w:proofErr w:type="spellStart"/>
            <w:r>
              <w:rPr>
                <w:rFonts w:eastAsia="Times New Roman" w:cs="Times New Roman"/>
                <w:b w:val="0"/>
                <w:color w:val="000000"/>
                <w:sz w:val="20"/>
                <w:szCs w:val="20"/>
              </w:rPr>
              <w:t>Gy</w:t>
            </w:r>
            <w:proofErr w:type="spellEnd"/>
            <w:r>
              <w:rPr>
                <w:rFonts w:eastAsia="Times New Roman" w:cs="Times New Roman"/>
                <w:b w:val="0"/>
                <w:color w:val="000000"/>
                <w:sz w:val="20"/>
                <w:szCs w:val="20"/>
              </w:rPr>
              <w:t xml:space="preserve"> (90% CI) by AE (years)</w:t>
            </w:r>
          </w:p>
        </w:tc>
        <w:tc>
          <w:tcPr>
            <w:tcW w:w="651" w:type="pct"/>
            <w:vMerge w:val="restart"/>
            <w:tcBorders>
              <w:bottom w:val="single" w:sz="4" w:space="0" w:color="auto"/>
            </w:tcBorders>
            <w:vAlign w:val="bottom"/>
            <w:hideMark/>
          </w:tcPr>
          <w:p w14:paraId="29AB3CB8" w14:textId="77777777" w:rsidR="00A959D2" w:rsidRDefault="00A959D2">
            <w:pPr>
              <w:spacing w:after="0" w:line="240" w:lineRule="auto"/>
              <w:jc w:val="center"/>
              <w:rPr>
                <w:rFonts w:eastAsia="Times New Roman" w:cs="Times New Roman"/>
                <w:b w:val="0"/>
                <w:color w:val="000000"/>
                <w:sz w:val="20"/>
                <w:szCs w:val="20"/>
                <w:vertAlign w:val="superscript"/>
              </w:rPr>
            </w:pPr>
            <w:r>
              <w:rPr>
                <w:rFonts w:eastAsia="Times New Roman" w:cs="Times New Roman"/>
                <w:b w:val="0"/>
                <w:i/>
                <w:iCs/>
                <w:color w:val="000000"/>
                <w:sz w:val="20"/>
                <w:szCs w:val="20"/>
              </w:rPr>
              <w:t xml:space="preserve">P </w:t>
            </w:r>
            <w:r>
              <w:rPr>
                <w:rFonts w:eastAsia="Times New Roman" w:cs="Times New Roman"/>
                <w:b w:val="0"/>
                <w:color w:val="000000"/>
                <w:sz w:val="20"/>
                <w:szCs w:val="20"/>
                <w:vertAlign w:val="superscript"/>
              </w:rPr>
              <w:t>1</w:t>
            </w:r>
          </w:p>
        </w:tc>
      </w:tr>
      <w:tr w:rsidR="00A959D2" w14:paraId="133DAA6B" w14:textId="77777777" w:rsidTr="00A959D2">
        <w:trPr>
          <w:trHeight w:val="300"/>
        </w:trPr>
        <w:tc>
          <w:tcPr>
            <w:tcW w:w="0" w:type="auto"/>
            <w:vMerge/>
            <w:tcBorders>
              <w:top w:val="single" w:sz="8" w:space="0" w:color="000000" w:themeColor="text1"/>
              <w:left w:val="nil"/>
              <w:bottom w:val="single" w:sz="4" w:space="0" w:color="auto"/>
              <w:right w:val="nil"/>
            </w:tcBorders>
            <w:vAlign w:val="center"/>
            <w:hideMark/>
          </w:tcPr>
          <w:p w14:paraId="5F154953" w14:textId="77777777" w:rsidR="00A959D2" w:rsidRDefault="00A959D2">
            <w:pPr>
              <w:spacing w:after="0" w:line="240" w:lineRule="auto"/>
              <w:rPr>
                <w:rFonts w:eastAsia="Times New Roman" w:cs="Times New Roman"/>
                <w:bCs/>
                <w:color w:val="000000"/>
                <w:sz w:val="20"/>
                <w:szCs w:val="20"/>
              </w:rPr>
            </w:pPr>
          </w:p>
        </w:tc>
        <w:tc>
          <w:tcPr>
            <w:tcW w:w="1612" w:type="pct"/>
            <w:tcBorders>
              <w:top w:val="nil"/>
              <w:left w:val="nil"/>
              <w:bottom w:val="single" w:sz="4" w:space="0" w:color="auto"/>
              <w:right w:val="nil"/>
            </w:tcBorders>
            <w:noWrap/>
            <w:vAlign w:val="bottom"/>
            <w:hideMark/>
          </w:tcPr>
          <w:p w14:paraId="4EAAD06A"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&lt;35</w:t>
            </w:r>
          </w:p>
        </w:tc>
        <w:tc>
          <w:tcPr>
            <w:tcW w:w="1875" w:type="pct"/>
            <w:tcBorders>
              <w:top w:val="nil"/>
              <w:left w:val="nil"/>
              <w:bottom w:val="single" w:sz="4" w:space="0" w:color="auto"/>
              <w:right w:val="nil"/>
            </w:tcBorders>
            <w:vAlign w:val="bottom"/>
            <w:hideMark/>
          </w:tcPr>
          <w:p w14:paraId="0A0A557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35+</w:t>
            </w:r>
          </w:p>
        </w:tc>
        <w:tc>
          <w:tcPr>
            <w:tcW w:w="0" w:type="auto"/>
            <w:vMerge/>
            <w:tcBorders>
              <w:top w:val="single" w:sz="8" w:space="0" w:color="000000" w:themeColor="text1"/>
              <w:left w:val="nil"/>
              <w:bottom w:val="single" w:sz="4" w:space="0" w:color="auto"/>
              <w:right w:val="nil"/>
            </w:tcBorders>
            <w:vAlign w:val="center"/>
            <w:hideMark/>
          </w:tcPr>
          <w:p w14:paraId="497E743A" w14:textId="77777777" w:rsidR="00A959D2" w:rsidRDefault="00A959D2">
            <w:pPr>
              <w:spacing w:after="0" w:line="240" w:lineRule="auto"/>
              <w:rPr>
                <w:rFonts w:eastAsia="Times New Roman" w:cs="Times New Roman"/>
                <w:bCs/>
                <w:color w:val="000000"/>
                <w:sz w:val="20"/>
                <w:szCs w:val="20"/>
                <w:vertAlign w:val="superscript"/>
              </w:rPr>
            </w:pPr>
          </w:p>
        </w:tc>
      </w:tr>
      <w:tr w:rsidR="00A959D2" w14:paraId="0D505054" w14:textId="77777777" w:rsidTr="00A959D2">
        <w:trPr>
          <w:trHeight w:val="300"/>
        </w:trPr>
        <w:tc>
          <w:tcPr>
            <w:tcW w:w="862" w:type="pct"/>
            <w:tcBorders>
              <w:top w:val="single" w:sz="4" w:space="0" w:color="auto"/>
              <w:left w:val="nil"/>
              <w:bottom w:val="nil"/>
              <w:right w:val="nil"/>
            </w:tcBorders>
            <w:noWrap/>
            <w:vAlign w:val="bottom"/>
            <w:hideMark/>
          </w:tcPr>
          <w:p w14:paraId="3FBF7A14" w14:textId="77777777" w:rsidR="00A959D2" w:rsidRDefault="00A959D2">
            <w:pPr>
              <w:spacing w:after="0" w:line="240" w:lineRule="auto"/>
              <w:jc w:val="center"/>
              <w:rPr>
                <w:rFonts w:cs="Times New Roman"/>
                <w:bCs/>
                <w:sz w:val="20"/>
                <w:szCs w:val="20"/>
              </w:rPr>
            </w:pPr>
            <w:r>
              <w:rPr>
                <w:rFonts w:cs="Times New Roman"/>
                <w:bCs/>
                <w:sz w:val="20"/>
                <w:szCs w:val="20"/>
              </w:rPr>
              <w:t>full</w:t>
            </w:r>
          </w:p>
        </w:tc>
        <w:tc>
          <w:tcPr>
            <w:tcW w:w="1612" w:type="pct"/>
            <w:tcBorders>
              <w:top w:val="single" w:sz="4" w:space="0" w:color="auto"/>
              <w:left w:val="nil"/>
              <w:bottom w:val="nil"/>
              <w:right w:val="nil"/>
            </w:tcBorders>
            <w:noWrap/>
            <w:vAlign w:val="bottom"/>
            <w:hideMark/>
          </w:tcPr>
          <w:p w14:paraId="2FBB1560"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0.02 (–0.55, 0.63)</w:t>
            </w:r>
          </w:p>
        </w:tc>
        <w:tc>
          <w:tcPr>
            <w:tcW w:w="1875" w:type="pct"/>
            <w:tcBorders>
              <w:top w:val="single" w:sz="4" w:space="0" w:color="auto"/>
              <w:left w:val="nil"/>
              <w:bottom w:val="nil"/>
              <w:right w:val="nil"/>
            </w:tcBorders>
            <w:vAlign w:val="bottom"/>
            <w:hideMark/>
          </w:tcPr>
          <w:p w14:paraId="372FE1FC"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0.64 (0.34, 0.95)</w:t>
            </w:r>
          </w:p>
        </w:tc>
        <w:tc>
          <w:tcPr>
            <w:tcW w:w="651" w:type="pct"/>
            <w:tcBorders>
              <w:top w:val="single" w:sz="4" w:space="0" w:color="auto"/>
              <w:left w:val="nil"/>
              <w:bottom w:val="nil"/>
              <w:right w:val="nil"/>
            </w:tcBorders>
            <w:vAlign w:val="bottom"/>
            <w:hideMark/>
          </w:tcPr>
          <w:p w14:paraId="42FD5FC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0.161</w:t>
            </w:r>
          </w:p>
        </w:tc>
      </w:tr>
      <w:tr w:rsidR="00A959D2" w14:paraId="0746570A" w14:textId="77777777" w:rsidTr="00A959D2">
        <w:trPr>
          <w:trHeight w:val="300"/>
        </w:trPr>
        <w:tc>
          <w:tcPr>
            <w:tcW w:w="862" w:type="pct"/>
            <w:tcBorders>
              <w:top w:val="nil"/>
              <w:left w:val="nil"/>
              <w:bottom w:val="single" w:sz="8" w:space="0" w:color="auto"/>
              <w:right w:val="nil"/>
            </w:tcBorders>
            <w:noWrap/>
            <w:vAlign w:val="bottom"/>
            <w:hideMark/>
          </w:tcPr>
          <w:p w14:paraId="5D2663BB" w14:textId="77777777" w:rsidR="00A959D2" w:rsidRDefault="00A959D2">
            <w:pPr>
              <w:spacing w:after="0" w:line="240" w:lineRule="auto"/>
              <w:jc w:val="center"/>
              <w:rPr>
                <w:rFonts w:cs="Times New Roman"/>
                <w:bCs/>
                <w:sz w:val="20"/>
                <w:szCs w:val="20"/>
              </w:rPr>
            </w:pPr>
            <w:r>
              <w:rPr>
                <w:rFonts w:cs="Times New Roman"/>
                <w:bCs/>
                <w:sz w:val="20"/>
                <w:szCs w:val="20"/>
              </w:rPr>
              <w:t>1958+</w:t>
            </w:r>
          </w:p>
        </w:tc>
        <w:tc>
          <w:tcPr>
            <w:tcW w:w="1612" w:type="pct"/>
            <w:tcBorders>
              <w:top w:val="nil"/>
              <w:left w:val="nil"/>
              <w:bottom w:val="single" w:sz="8" w:space="0" w:color="auto"/>
              <w:right w:val="nil"/>
            </w:tcBorders>
            <w:noWrap/>
            <w:vAlign w:val="bottom"/>
            <w:hideMark/>
          </w:tcPr>
          <w:p w14:paraId="24CCE623"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0.53 (–0.42, 1.57)</w:t>
            </w:r>
          </w:p>
        </w:tc>
        <w:tc>
          <w:tcPr>
            <w:tcW w:w="1875" w:type="pct"/>
            <w:tcBorders>
              <w:top w:val="nil"/>
              <w:left w:val="nil"/>
              <w:bottom w:val="single" w:sz="8" w:space="0" w:color="auto"/>
              <w:right w:val="nil"/>
            </w:tcBorders>
            <w:vAlign w:val="bottom"/>
            <w:hideMark/>
          </w:tcPr>
          <w:p w14:paraId="63A58116"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1.39 (0.82, 2.02)</w:t>
            </w:r>
          </w:p>
        </w:tc>
        <w:tc>
          <w:tcPr>
            <w:tcW w:w="651" w:type="pct"/>
            <w:tcBorders>
              <w:top w:val="nil"/>
              <w:left w:val="nil"/>
              <w:bottom w:val="single" w:sz="8" w:space="0" w:color="auto"/>
              <w:right w:val="nil"/>
            </w:tcBorders>
            <w:vAlign w:val="bottom"/>
            <w:hideMark/>
          </w:tcPr>
          <w:p w14:paraId="5F5627EB"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0.248</w:t>
            </w:r>
          </w:p>
        </w:tc>
      </w:tr>
    </w:tbl>
    <w:p w14:paraId="3085C6FE" w14:textId="77777777" w:rsidR="00A959D2" w:rsidRDefault="00A959D2" w:rsidP="00A959D2">
      <w:pPr>
        <w:spacing w:after="0" w:line="240" w:lineRule="auto"/>
        <w:rPr>
          <w:rFonts w:cs="Times New Roman"/>
        </w:rPr>
      </w:pPr>
      <w:bookmarkStart w:id="15" w:name="_Hlk158708590"/>
      <w:r>
        <w:rPr>
          <w:rFonts w:cs="Times New Roman"/>
          <w:vertAlign w:val="superscript"/>
        </w:rPr>
        <w:t xml:space="preserve">1 </w:t>
      </w:r>
      <w:r>
        <w:rPr>
          <w:rFonts w:cs="Times New Roman"/>
        </w:rPr>
        <w:t xml:space="preserve">Test of the homogeneity of windows, where </w:t>
      </w:r>
      <w:r>
        <w:rPr>
          <w:rFonts w:cs="Times New Roman"/>
          <w:i/>
          <w:iCs/>
        </w:rPr>
        <w:t>P</w:t>
      </w:r>
      <w:r>
        <w:rPr>
          <w:rFonts w:cs="Times New Roman"/>
        </w:rPr>
        <w:t xml:space="preserve"> is the p-value for the reported likelihood ratio test statistic and is evaluated under a Chi-square distribution with 1 degree of freedom.</w:t>
      </w:r>
      <w:bookmarkEnd w:id="15"/>
    </w:p>
    <w:p w14:paraId="172FC622" w14:textId="77777777" w:rsidR="00A959D2" w:rsidRDefault="00A959D2" w:rsidP="00A959D2">
      <w:pPr>
        <w:spacing w:after="0" w:line="240" w:lineRule="auto"/>
        <w:rPr>
          <w:bCs/>
          <w:szCs w:val="18"/>
        </w:rPr>
      </w:pPr>
      <w:r>
        <w:rPr>
          <w:rFonts w:cs="Times New Roman"/>
        </w:rPr>
        <w:t>Abbreviations: CI, confidence interval; ERR, excess relative rate.</w:t>
      </w:r>
    </w:p>
    <w:p w14:paraId="1ED0C13F" w14:textId="77777777" w:rsidR="00A959D2" w:rsidRDefault="00A959D2" w:rsidP="00A959D2">
      <w:pPr>
        <w:spacing w:after="0" w:line="240" w:lineRule="auto"/>
        <w:rPr>
          <w:bCs/>
          <w:szCs w:val="18"/>
        </w:rPr>
        <w:sectPr w:rsidR="00A959D2">
          <w:pgSz w:w="12240" w:h="15840"/>
          <w:pgMar w:top="1440" w:right="1440" w:bottom="1440" w:left="1440" w:header="720" w:footer="720" w:gutter="0"/>
          <w:cols w:space="720"/>
        </w:sectPr>
      </w:pPr>
    </w:p>
    <w:p w14:paraId="49925EE2" w14:textId="77777777" w:rsidR="00A959D2" w:rsidRDefault="00A959D2" w:rsidP="00A959D2">
      <w:pPr>
        <w:pStyle w:val="Heading1"/>
        <w:rPr>
          <w:rFonts w:eastAsiaTheme="minorHAnsi"/>
          <w:vertAlign w:val="superscript"/>
        </w:rPr>
      </w:pPr>
      <w:bookmarkStart w:id="16" w:name="_Toc170712193"/>
      <w:bookmarkStart w:id="17" w:name="_Hlk156287726"/>
      <w:r>
        <w:rPr>
          <w:rFonts w:eastAsiaTheme="minorHAnsi"/>
        </w:rPr>
        <w:lastRenderedPageBreak/>
        <w:t xml:space="preserve">Table S9. Linear ERR per </w:t>
      </w:r>
      <w:proofErr w:type="spellStart"/>
      <w:r>
        <w:rPr>
          <w:rFonts w:eastAsiaTheme="minorHAnsi"/>
        </w:rPr>
        <w:t>Gy</w:t>
      </w:r>
      <w:proofErr w:type="spellEnd"/>
      <w:r>
        <w:rPr>
          <w:rFonts w:eastAsiaTheme="minorHAnsi"/>
        </w:rPr>
        <w:t xml:space="preserve"> by attained age (AA) in INWORKS restricted to workers hired in 1958 and later.</w:t>
      </w:r>
      <w:bookmarkEnd w:id="16"/>
      <w:r>
        <w:rPr>
          <w:rFonts w:eastAsiaTheme="minorHAnsi"/>
          <w:vertAlign w:val="superscript"/>
        </w:rPr>
        <w:t>1</w:t>
      </w:r>
    </w:p>
    <w:tbl>
      <w:tblPr>
        <w:tblStyle w:val="LightShading"/>
        <w:tblW w:w="5000" w:type="pct"/>
        <w:tblInd w:w="0" w:type="dxa"/>
        <w:tblLook w:val="0620" w:firstRow="1" w:lastRow="0" w:firstColumn="0" w:lastColumn="0" w:noHBand="1" w:noVBand="1"/>
      </w:tblPr>
      <w:tblGrid>
        <w:gridCol w:w="2368"/>
        <w:gridCol w:w="948"/>
        <w:gridCol w:w="2160"/>
        <w:gridCol w:w="2160"/>
        <w:gridCol w:w="2162"/>
        <w:gridCol w:w="1002"/>
      </w:tblGrid>
      <w:tr w:rsidR="00A959D2" w14:paraId="2F77B72F" w14:textId="77777777" w:rsidTr="00A959D2">
        <w:trPr>
          <w:cnfStyle w:val="100000000000" w:firstRow="1" w:lastRow="0" w:firstColumn="0" w:lastColumn="0" w:oddVBand="0" w:evenVBand="0" w:oddHBand="0" w:evenHBand="0" w:firstRowFirstColumn="0" w:firstRowLastColumn="0" w:lastRowFirstColumn="0" w:lastRowLastColumn="0"/>
          <w:trHeight w:val="300"/>
        </w:trPr>
        <w:tc>
          <w:tcPr>
            <w:tcW w:w="1096" w:type="pct"/>
            <w:vMerge w:val="restart"/>
            <w:tcBorders>
              <w:bottom w:val="single" w:sz="8" w:space="0" w:color="auto"/>
            </w:tcBorders>
            <w:noWrap/>
            <w:vAlign w:val="bottom"/>
            <w:hideMark/>
          </w:tcPr>
          <w:bookmarkEnd w:id="17"/>
          <w:p w14:paraId="0F4EEB82" w14:textId="77777777" w:rsidR="00A959D2" w:rsidRDefault="00A959D2">
            <w:pPr>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Outcome</w:t>
            </w:r>
          </w:p>
        </w:tc>
        <w:tc>
          <w:tcPr>
            <w:tcW w:w="439" w:type="pct"/>
            <w:vMerge w:val="restart"/>
            <w:tcBorders>
              <w:bottom w:val="single" w:sz="8" w:space="0" w:color="auto"/>
            </w:tcBorders>
            <w:noWrap/>
            <w:vAlign w:val="bottom"/>
            <w:hideMark/>
          </w:tcPr>
          <w:p w14:paraId="61AD80D0" w14:textId="77777777" w:rsidR="00A959D2" w:rsidRDefault="00A959D2">
            <w:pPr>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Lag</w:t>
            </w:r>
          </w:p>
          <w:p w14:paraId="58339A4E" w14:textId="77777777" w:rsidR="00A959D2" w:rsidRDefault="00A959D2">
            <w:pPr>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(years)</w:t>
            </w:r>
          </w:p>
        </w:tc>
        <w:tc>
          <w:tcPr>
            <w:tcW w:w="3001" w:type="pct"/>
            <w:gridSpan w:val="3"/>
            <w:noWrap/>
            <w:vAlign w:val="bottom"/>
            <w:hideMark/>
          </w:tcPr>
          <w:p w14:paraId="4EB38E02" w14:textId="77777777" w:rsidR="00A959D2" w:rsidRDefault="00A959D2">
            <w:pPr>
              <w:pStyle w:val="ListParagraph"/>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 xml:space="preserve">ERR per </w:t>
            </w:r>
            <w:proofErr w:type="spellStart"/>
            <w:r>
              <w:rPr>
                <w:rFonts w:eastAsia="Times New Roman" w:cs="Times New Roman"/>
                <w:b w:val="0"/>
                <w:color w:val="000000"/>
                <w:sz w:val="20"/>
                <w:szCs w:val="20"/>
              </w:rPr>
              <w:t>Gy</w:t>
            </w:r>
            <w:proofErr w:type="spellEnd"/>
            <w:r>
              <w:rPr>
                <w:rFonts w:eastAsia="Times New Roman" w:cs="Times New Roman"/>
                <w:b w:val="0"/>
                <w:color w:val="000000"/>
                <w:sz w:val="20"/>
                <w:szCs w:val="20"/>
              </w:rPr>
              <w:t xml:space="preserve"> (90% CI) by attained age (years)</w:t>
            </w:r>
          </w:p>
        </w:tc>
        <w:tc>
          <w:tcPr>
            <w:tcW w:w="464" w:type="pct"/>
            <w:vMerge w:val="restart"/>
            <w:tcBorders>
              <w:bottom w:val="single" w:sz="8" w:space="0" w:color="auto"/>
            </w:tcBorders>
            <w:vAlign w:val="bottom"/>
            <w:hideMark/>
          </w:tcPr>
          <w:p w14:paraId="595BBD3D" w14:textId="77777777" w:rsidR="00A959D2" w:rsidRDefault="00A959D2">
            <w:pPr>
              <w:spacing w:after="0" w:line="240" w:lineRule="auto"/>
              <w:jc w:val="center"/>
              <w:rPr>
                <w:rFonts w:eastAsia="Times New Roman" w:cs="Times New Roman"/>
                <w:b w:val="0"/>
                <w:color w:val="000000"/>
                <w:sz w:val="20"/>
                <w:szCs w:val="20"/>
                <w:vertAlign w:val="superscript"/>
              </w:rPr>
            </w:pPr>
            <w:r>
              <w:rPr>
                <w:rFonts w:eastAsia="Times New Roman" w:cs="Times New Roman"/>
                <w:b w:val="0"/>
                <w:i/>
                <w:iCs/>
                <w:color w:val="000000"/>
                <w:sz w:val="20"/>
                <w:szCs w:val="20"/>
              </w:rPr>
              <w:t xml:space="preserve">P </w:t>
            </w:r>
            <w:r>
              <w:rPr>
                <w:rFonts w:eastAsia="Times New Roman" w:cs="Times New Roman"/>
                <w:b w:val="0"/>
                <w:color w:val="000000"/>
                <w:sz w:val="20"/>
                <w:szCs w:val="20"/>
                <w:vertAlign w:val="superscript"/>
              </w:rPr>
              <w:t>2</w:t>
            </w:r>
          </w:p>
        </w:tc>
      </w:tr>
      <w:tr w:rsidR="00A959D2" w14:paraId="0089878B" w14:textId="77777777" w:rsidTr="00A959D2">
        <w:trPr>
          <w:trHeight w:val="300"/>
        </w:trPr>
        <w:tc>
          <w:tcPr>
            <w:tcW w:w="0" w:type="auto"/>
            <w:vMerge/>
            <w:tcBorders>
              <w:top w:val="single" w:sz="8" w:space="0" w:color="000000" w:themeColor="text1"/>
              <w:left w:val="nil"/>
              <w:bottom w:val="single" w:sz="8" w:space="0" w:color="auto"/>
              <w:right w:val="nil"/>
            </w:tcBorders>
            <w:vAlign w:val="center"/>
            <w:hideMark/>
          </w:tcPr>
          <w:p w14:paraId="1EBB60BD" w14:textId="77777777" w:rsidR="00A959D2" w:rsidRDefault="00A959D2">
            <w:pPr>
              <w:spacing w:after="0" w:line="240" w:lineRule="auto"/>
              <w:rPr>
                <w:rFonts w:eastAsia="Times New Roman" w:cs="Times New Roman"/>
                <w:bCs/>
                <w:color w:val="000000"/>
                <w:sz w:val="20"/>
                <w:szCs w:val="20"/>
              </w:rPr>
            </w:pPr>
          </w:p>
        </w:tc>
        <w:tc>
          <w:tcPr>
            <w:tcW w:w="0" w:type="auto"/>
            <w:vMerge/>
            <w:tcBorders>
              <w:top w:val="single" w:sz="8" w:space="0" w:color="000000" w:themeColor="text1"/>
              <w:left w:val="nil"/>
              <w:bottom w:val="single" w:sz="8" w:space="0" w:color="auto"/>
              <w:right w:val="nil"/>
            </w:tcBorders>
            <w:vAlign w:val="center"/>
            <w:hideMark/>
          </w:tcPr>
          <w:p w14:paraId="157B0443" w14:textId="77777777" w:rsidR="00A959D2" w:rsidRDefault="00A959D2">
            <w:pPr>
              <w:spacing w:after="0" w:line="240" w:lineRule="auto"/>
              <w:rPr>
                <w:rFonts w:eastAsia="Times New Roman" w:cs="Times New Roman"/>
                <w:bCs/>
                <w:color w:val="000000"/>
                <w:sz w:val="20"/>
                <w:szCs w:val="20"/>
              </w:rPr>
            </w:pPr>
          </w:p>
        </w:tc>
        <w:tc>
          <w:tcPr>
            <w:tcW w:w="1000" w:type="pct"/>
            <w:tcBorders>
              <w:top w:val="nil"/>
              <w:left w:val="nil"/>
              <w:bottom w:val="single" w:sz="8" w:space="0" w:color="auto"/>
              <w:right w:val="nil"/>
            </w:tcBorders>
            <w:noWrap/>
            <w:vAlign w:val="bottom"/>
            <w:hideMark/>
          </w:tcPr>
          <w:p w14:paraId="2B5F2A66"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&lt;60</w:t>
            </w:r>
          </w:p>
        </w:tc>
        <w:tc>
          <w:tcPr>
            <w:tcW w:w="1000" w:type="pct"/>
            <w:tcBorders>
              <w:top w:val="nil"/>
              <w:left w:val="nil"/>
              <w:bottom w:val="single" w:sz="8" w:space="0" w:color="auto"/>
              <w:right w:val="nil"/>
            </w:tcBorders>
            <w:noWrap/>
            <w:vAlign w:val="bottom"/>
            <w:hideMark/>
          </w:tcPr>
          <w:p w14:paraId="7CEA5D66"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60</w:t>
            </w:r>
            <w:r>
              <w:rPr>
                <w:rFonts w:eastAsia="Times New Roman" w:cs="Times New Roman"/>
                <w:bCs/>
                <w:color w:val="000000"/>
                <w:sz w:val="20"/>
                <w:szCs w:val="20"/>
              </w:rPr>
              <w:sym w:font="Symbol MT" w:char="F02D"/>
            </w:r>
            <w:r>
              <w:rPr>
                <w:rFonts w:eastAsia="Times New Roman" w:cs="Times New Roman"/>
                <w:bCs/>
                <w:color w:val="000000"/>
                <w:sz w:val="20"/>
                <w:szCs w:val="20"/>
              </w:rPr>
              <w:sym w:font="Symbol MT" w:char="F03C"/>
            </w:r>
            <w:r>
              <w:rPr>
                <w:rFonts w:eastAsia="Times New Roman" w:cs="Times New Roman"/>
                <w:bCs/>
                <w:color w:val="000000"/>
                <w:sz w:val="20"/>
                <w:szCs w:val="20"/>
              </w:rPr>
              <w:t>80</w:t>
            </w:r>
          </w:p>
        </w:tc>
        <w:tc>
          <w:tcPr>
            <w:tcW w:w="1001" w:type="pct"/>
            <w:tcBorders>
              <w:top w:val="nil"/>
              <w:left w:val="nil"/>
              <w:bottom w:val="single" w:sz="8" w:space="0" w:color="auto"/>
              <w:right w:val="nil"/>
            </w:tcBorders>
            <w:vAlign w:val="bottom"/>
            <w:hideMark/>
          </w:tcPr>
          <w:p w14:paraId="460E03CC"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80+</w:t>
            </w:r>
          </w:p>
        </w:tc>
        <w:tc>
          <w:tcPr>
            <w:tcW w:w="0" w:type="auto"/>
            <w:vMerge/>
            <w:tcBorders>
              <w:top w:val="single" w:sz="8" w:space="0" w:color="000000" w:themeColor="text1"/>
              <w:left w:val="nil"/>
              <w:bottom w:val="single" w:sz="8" w:space="0" w:color="auto"/>
              <w:right w:val="nil"/>
            </w:tcBorders>
            <w:vAlign w:val="center"/>
            <w:hideMark/>
          </w:tcPr>
          <w:p w14:paraId="22B478C3" w14:textId="77777777" w:rsidR="00A959D2" w:rsidRDefault="00A959D2">
            <w:pPr>
              <w:spacing w:after="0" w:line="240" w:lineRule="auto"/>
              <w:rPr>
                <w:rFonts w:eastAsia="Times New Roman" w:cs="Times New Roman"/>
                <w:bCs/>
                <w:color w:val="000000"/>
                <w:sz w:val="20"/>
                <w:szCs w:val="20"/>
                <w:vertAlign w:val="superscript"/>
              </w:rPr>
            </w:pPr>
          </w:p>
        </w:tc>
      </w:tr>
      <w:tr w:rsidR="00A959D2" w14:paraId="084FCA47" w14:textId="77777777" w:rsidTr="00A959D2">
        <w:trPr>
          <w:trHeight w:val="300"/>
        </w:trPr>
        <w:tc>
          <w:tcPr>
            <w:tcW w:w="0" w:type="pct"/>
            <w:tcBorders>
              <w:top w:val="nil"/>
              <w:left w:val="nil"/>
              <w:bottom w:val="nil"/>
              <w:right w:val="nil"/>
            </w:tcBorders>
            <w:noWrap/>
            <w:vAlign w:val="bottom"/>
            <w:hideMark/>
          </w:tcPr>
          <w:p w14:paraId="3721838A" w14:textId="77777777" w:rsidR="00A959D2" w:rsidRDefault="00A959D2">
            <w:pPr>
              <w:spacing w:after="0" w:line="240" w:lineRule="auto"/>
              <w:rPr>
                <w:rFonts w:cs="Times New Roman"/>
                <w:bCs/>
                <w:sz w:val="20"/>
                <w:szCs w:val="20"/>
              </w:rPr>
            </w:pPr>
            <w:r>
              <w:rPr>
                <w:rFonts w:cs="Times New Roman"/>
                <w:bCs/>
                <w:sz w:val="20"/>
                <w:szCs w:val="20"/>
              </w:rPr>
              <w:t>solid cancers</w:t>
            </w:r>
          </w:p>
        </w:tc>
        <w:tc>
          <w:tcPr>
            <w:tcW w:w="0" w:type="pct"/>
            <w:tcBorders>
              <w:top w:val="nil"/>
              <w:left w:val="nil"/>
              <w:bottom w:val="nil"/>
              <w:right w:val="nil"/>
            </w:tcBorders>
            <w:shd w:val="clear" w:color="auto" w:fill="FFFFFF"/>
            <w:noWrap/>
            <w:vAlign w:val="bottom"/>
            <w:hideMark/>
          </w:tcPr>
          <w:p w14:paraId="1BC006C6"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w:t>
            </w:r>
          </w:p>
        </w:tc>
        <w:tc>
          <w:tcPr>
            <w:tcW w:w="0" w:type="pct"/>
            <w:tcBorders>
              <w:top w:val="nil"/>
              <w:left w:val="nil"/>
              <w:bottom w:val="nil"/>
              <w:right w:val="nil"/>
            </w:tcBorders>
            <w:shd w:val="clear" w:color="auto" w:fill="FFFFFF"/>
            <w:noWrap/>
            <w:vAlign w:val="bottom"/>
            <w:hideMark/>
          </w:tcPr>
          <w:p w14:paraId="30D09D5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1.19 (–0.13, 2.51)</w:t>
            </w:r>
          </w:p>
        </w:tc>
        <w:tc>
          <w:tcPr>
            <w:tcW w:w="0" w:type="pct"/>
            <w:tcBorders>
              <w:top w:val="nil"/>
              <w:left w:val="nil"/>
              <w:bottom w:val="nil"/>
              <w:right w:val="nil"/>
            </w:tcBorders>
            <w:shd w:val="clear" w:color="auto" w:fill="FFFFFF"/>
            <w:noWrap/>
            <w:vAlign w:val="bottom"/>
            <w:hideMark/>
          </w:tcPr>
          <w:p w14:paraId="4E31E4E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0.96 (0.39, 1.52)</w:t>
            </w:r>
          </w:p>
        </w:tc>
        <w:tc>
          <w:tcPr>
            <w:tcW w:w="0" w:type="pct"/>
            <w:tcBorders>
              <w:top w:val="nil"/>
              <w:left w:val="nil"/>
              <w:bottom w:val="nil"/>
              <w:right w:val="nil"/>
            </w:tcBorders>
            <w:shd w:val="clear" w:color="auto" w:fill="FFFFFF"/>
            <w:vAlign w:val="bottom"/>
            <w:hideMark/>
          </w:tcPr>
          <w:p w14:paraId="6B27763D"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2.04 (0.71, 3.36)</w:t>
            </w:r>
          </w:p>
        </w:tc>
        <w:tc>
          <w:tcPr>
            <w:tcW w:w="0" w:type="pct"/>
            <w:tcBorders>
              <w:top w:val="nil"/>
              <w:left w:val="nil"/>
              <w:bottom w:val="nil"/>
              <w:right w:val="nil"/>
            </w:tcBorders>
            <w:shd w:val="clear" w:color="auto" w:fill="FFFFFF"/>
            <w:noWrap/>
            <w:vAlign w:val="bottom"/>
            <w:hideMark/>
          </w:tcPr>
          <w:p w14:paraId="63EFF9D2"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0.424</w:t>
            </w:r>
          </w:p>
        </w:tc>
      </w:tr>
      <w:tr w:rsidR="00A959D2" w14:paraId="57A1E840" w14:textId="77777777" w:rsidTr="00A959D2">
        <w:trPr>
          <w:trHeight w:val="300"/>
        </w:trPr>
        <w:tc>
          <w:tcPr>
            <w:tcW w:w="0" w:type="pct"/>
            <w:tcBorders>
              <w:top w:val="nil"/>
              <w:left w:val="nil"/>
              <w:bottom w:val="nil"/>
              <w:right w:val="nil"/>
            </w:tcBorders>
            <w:noWrap/>
            <w:vAlign w:val="bottom"/>
            <w:hideMark/>
          </w:tcPr>
          <w:p w14:paraId="780FC93A" w14:textId="77777777" w:rsidR="00A959D2" w:rsidRDefault="00A959D2">
            <w:pPr>
              <w:spacing w:after="0" w:line="240" w:lineRule="auto"/>
              <w:rPr>
                <w:rFonts w:cs="Times New Roman"/>
                <w:bCs/>
                <w:sz w:val="20"/>
                <w:szCs w:val="20"/>
              </w:rPr>
            </w:pPr>
            <w:r>
              <w:rPr>
                <w:rFonts w:cs="Times New Roman"/>
                <w:bCs/>
                <w:sz w:val="20"/>
                <w:szCs w:val="20"/>
              </w:rPr>
              <w:t>solid cancers excl. lung</w:t>
            </w:r>
          </w:p>
        </w:tc>
        <w:tc>
          <w:tcPr>
            <w:tcW w:w="0" w:type="pct"/>
            <w:tcBorders>
              <w:top w:val="nil"/>
              <w:left w:val="nil"/>
              <w:bottom w:val="nil"/>
              <w:right w:val="nil"/>
            </w:tcBorders>
            <w:shd w:val="clear" w:color="auto" w:fill="FFFFFF"/>
            <w:noWrap/>
            <w:vAlign w:val="bottom"/>
            <w:hideMark/>
          </w:tcPr>
          <w:p w14:paraId="10A7A232"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w:t>
            </w:r>
          </w:p>
        </w:tc>
        <w:tc>
          <w:tcPr>
            <w:tcW w:w="0" w:type="pct"/>
            <w:tcBorders>
              <w:top w:val="nil"/>
              <w:left w:val="nil"/>
              <w:bottom w:val="nil"/>
              <w:right w:val="nil"/>
            </w:tcBorders>
            <w:shd w:val="clear" w:color="auto" w:fill="FFFFFF"/>
            <w:noWrap/>
            <w:vAlign w:val="bottom"/>
            <w:hideMark/>
          </w:tcPr>
          <w:p w14:paraId="0A060FD7"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1.92 (0.28, 3.57)</w:t>
            </w:r>
          </w:p>
        </w:tc>
        <w:tc>
          <w:tcPr>
            <w:tcW w:w="0" w:type="pct"/>
            <w:tcBorders>
              <w:top w:val="nil"/>
              <w:left w:val="nil"/>
              <w:bottom w:val="nil"/>
              <w:right w:val="nil"/>
            </w:tcBorders>
            <w:shd w:val="clear" w:color="auto" w:fill="FFFFFF"/>
            <w:noWrap/>
            <w:vAlign w:val="bottom"/>
            <w:hideMark/>
          </w:tcPr>
          <w:p w14:paraId="259A5D02"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0.78 (0.14, 1.42)</w:t>
            </w:r>
          </w:p>
        </w:tc>
        <w:tc>
          <w:tcPr>
            <w:tcW w:w="0" w:type="pct"/>
            <w:tcBorders>
              <w:top w:val="nil"/>
              <w:left w:val="nil"/>
              <w:bottom w:val="nil"/>
              <w:right w:val="nil"/>
            </w:tcBorders>
            <w:shd w:val="clear" w:color="auto" w:fill="FFFFFF"/>
            <w:vAlign w:val="bottom"/>
            <w:hideMark/>
          </w:tcPr>
          <w:p w14:paraId="2DEEEE85"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1.95 (0.52, 3.37)</w:t>
            </w:r>
          </w:p>
        </w:tc>
        <w:tc>
          <w:tcPr>
            <w:tcW w:w="0" w:type="pct"/>
            <w:tcBorders>
              <w:top w:val="nil"/>
              <w:left w:val="nil"/>
              <w:bottom w:val="nil"/>
              <w:right w:val="nil"/>
            </w:tcBorders>
            <w:shd w:val="clear" w:color="auto" w:fill="FFFFFF"/>
            <w:noWrap/>
            <w:vAlign w:val="bottom"/>
            <w:hideMark/>
          </w:tcPr>
          <w:p w14:paraId="42412129" w14:textId="77777777" w:rsidR="00A959D2" w:rsidRDefault="00A959D2">
            <w:pPr>
              <w:spacing w:after="0" w:line="240" w:lineRule="auto"/>
              <w:jc w:val="center"/>
              <w:rPr>
                <w:rFonts w:eastAsia="Times New Roman" w:cs="Times New Roman"/>
                <w:bCs/>
                <w:color w:val="000000"/>
                <w:sz w:val="20"/>
                <w:szCs w:val="20"/>
              </w:rPr>
            </w:pPr>
            <w:r>
              <w:rPr>
                <w:rFonts w:cs="Times New Roman"/>
                <w:color w:val="333333"/>
                <w:sz w:val="20"/>
                <w:szCs w:val="20"/>
              </w:rPr>
              <w:t>0.287</w:t>
            </w:r>
          </w:p>
        </w:tc>
      </w:tr>
      <w:tr w:rsidR="00A959D2" w14:paraId="4B9E0F31" w14:textId="77777777" w:rsidTr="00A959D2">
        <w:trPr>
          <w:trHeight w:val="300"/>
        </w:trPr>
        <w:tc>
          <w:tcPr>
            <w:tcW w:w="0" w:type="pct"/>
            <w:tcBorders>
              <w:top w:val="nil"/>
              <w:left w:val="nil"/>
              <w:bottom w:val="nil"/>
              <w:right w:val="nil"/>
            </w:tcBorders>
            <w:noWrap/>
            <w:vAlign w:val="bottom"/>
            <w:hideMark/>
          </w:tcPr>
          <w:p w14:paraId="7957CE97" w14:textId="77777777" w:rsidR="00A959D2" w:rsidRDefault="00A959D2">
            <w:pPr>
              <w:spacing w:after="0" w:line="240" w:lineRule="auto"/>
              <w:rPr>
                <w:rFonts w:cs="Times New Roman"/>
                <w:bCs/>
                <w:sz w:val="20"/>
                <w:szCs w:val="20"/>
              </w:rPr>
            </w:pPr>
            <w:r>
              <w:rPr>
                <w:rFonts w:cs="Times New Roman"/>
                <w:bCs/>
                <w:sz w:val="20"/>
                <w:szCs w:val="20"/>
              </w:rPr>
              <w:t>lung cancer</w:t>
            </w:r>
          </w:p>
        </w:tc>
        <w:tc>
          <w:tcPr>
            <w:tcW w:w="0" w:type="pct"/>
            <w:tcBorders>
              <w:top w:val="nil"/>
              <w:left w:val="nil"/>
              <w:bottom w:val="nil"/>
              <w:right w:val="nil"/>
            </w:tcBorders>
            <w:shd w:val="clear" w:color="auto" w:fill="FFFFFF"/>
            <w:noWrap/>
            <w:vAlign w:val="bottom"/>
            <w:hideMark/>
          </w:tcPr>
          <w:p w14:paraId="389D73E9"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w:t>
            </w:r>
          </w:p>
        </w:tc>
        <w:tc>
          <w:tcPr>
            <w:tcW w:w="0" w:type="pct"/>
            <w:tcBorders>
              <w:top w:val="nil"/>
              <w:left w:val="nil"/>
              <w:bottom w:val="nil"/>
              <w:right w:val="nil"/>
            </w:tcBorders>
            <w:shd w:val="clear" w:color="auto" w:fill="FFFFFF"/>
            <w:noWrap/>
            <w:vAlign w:val="bottom"/>
            <w:hideMark/>
          </w:tcPr>
          <w:p w14:paraId="0B7491A2"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–0.76 (–2.82, 1.30)</w:t>
            </w:r>
          </w:p>
        </w:tc>
        <w:tc>
          <w:tcPr>
            <w:tcW w:w="0" w:type="pct"/>
            <w:tcBorders>
              <w:top w:val="nil"/>
              <w:left w:val="nil"/>
              <w:bottom w:val="nil"/>
              <w:right w:val="nil"/>
            </w:tcBorders>
            <w:shd w:val="clear" w:color="auto" w:fill="FFFFFF"/>
            <w:noWrap/>
            <w:vAlign w:val="bottom"/>
            <w:hideMark/>
          </w:tcPr>
          <w:p w14:paraId="12039B1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1.43 (0.29, 2.57)</w:t>
            </w:r>
          </w:p>
        </w:tc>
        <w:tc>
          <w:tcPr>
            <w:tcW w:w="0" w:type="pct"/>
            <w:tcBorders>
              <w:top w:val="nil"/>
              <w:left w:val="nil"/>
              <w:bottom w:val="nil"/>
              <w:right w:val="nil"/>
            </w:tcBorders>
            <w:shd w:val="clear" w:color="auto" w:fill="FFFFFF"/>
            <w:vAlign w:val="bottom"/>
            <w:hideMark/>
          </w:tcPr>
          <w:p w14:paraId="2F628845"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2.54 (–0.96, 6.04)</w:t>
            </w:r>
          </w:p>
        </w:tc>
        <w:tc>
          <w:tcPr>
            <w:tcW w:w="0" w:type="pct"/>
            <w:tcBorders>
              <w:top w:val="nil"/>
              <w:left w:val="nil"/>
              <w:bottom w:val="nil"/>
              <w:right w:val="nil"/>
            </w:tcBorders>
            <w:shd w:val="clear" w:color="auto" w:fill="FFFFFF"/>
            <w:noWrap/>
            <w:vAlign w:val="bottom"/>
            <w:hideMark/>
          </w:tcPr>
          <w:p w14:paraId="721285A5"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0.296</w:t>
            </w:r>
          </w:p>
        </w:tc>
      </w:tr>
      <w:tr w:rsidR="00A959D2" w14:paraId="233ABC72" w14:textId="77777777" w:rsidTr="00A959D2">
        <w:trPr>
          <w:trHeight w:val="300"/>
        </w:trPr>
        <w:tc>
          <w:tcPr>
            <w:tcW w:w="1096" w:type="pct"/>
            <w:tcBorders>
              <w:top w:val="nil"/>
              <w:left w:val="nil"/>
              <w:bottom w:val="nil"/>
              <w:right w:val="nil"/>
            </w:tcBorders>
            <w:noWrap/>
            <w:vAlign w:val="bottom"/>
            <w:hideMark/>
          </w:tcPr>
          <w:p w14:paraId="09B99535" w14:textId="77777777" w:rsidR="00A959D2" w:rsidRDefault="00A959D2">
            <w:pPr>
              <w:spacing w:after="0" w:line="240" w:lineRule="auto"/>
              <w:rPr>
                <w:rFonts w:cs="Times New Roman"/>
                <w:bCs/>
                <w:sz w:val="20"/>
                <w:szCs w:val="20"/>
              </w:rPr>
            </w:pPr>
            <w:r>
              <w:rPr>
                <w:rFonts w:cs="Times New Roman"/>
                <w:bCs/>
                <w:sz w:val="20"/>
                <w:szCs w:val="20"/>
              </w:rPr>
              <w:t>leukemias excl. CLL</w:t>
            </w:r>
          </w:p>
        </w:tc>
        <w:tc>
          <w:tcPr>
            <w:tcW w:w="439" w:type="pct"/>
            <w:tcBorders>
              <w:top w:val="nil"/>
              <w:left w:val="nil"/>
              <w:bottom w:val="nil"/>
              <w:right w:val="nil"/>
            </w:tcBorders>
            <w:shd w:val="clear" w:color="auto" w:fill="FFFFFF"/>
            <w:noWrap/>
            <w:vAlign w:val="bottom"/>
            <w:hideMark/>
          </w:tcPr>
          <w:p w14:paraId="2F9DD3E4"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p>
        </w:tc>
        <w:tc>
          <w:tcPr>
            <w:tcW w:w="1000" w:type="pct"/>
            <w:tcBorders>
              <w:top w:val="nil"/>
              <w:left w:val="nil"/>
              <w:bottom w:val="nil"/>
              <w:right w:val="nil"/>
            </w:tcBorders>
            <w:shd w:val="clear" w:color="auto" w:fill="FFFFFF"/>
            <w:noWrap/>
            <w:vAlign w:val="bottom"/>
            <w:hideMark/>
          </w:tcPr>
          <w:p w14:paraId="54D6B029"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–1.10 (–6.98, 4.79)</w:t>
            </w:r>
          </w:p>
        </w:tc>
        <w:tc>
          <w:tcPr>
            <w:tcW w:w="1000" w:type="pct"/>
            <w:tcBorders>
              <w:top w:val="nil"/>
              <w:left w:val="nil"/>
              <w:bottom w:val="nil"/>
              <w:right w:val="nil"/>
            </w:tcBorders>
            <w:shd w:val="clear" w:color="auto" w:fill="FFFFFF"/>
            <w:noWrap/>
            <w:vAlign w:val="bottom"/>
            <w:hideMark/>
          </w:tcPr>
          <w:p w14:paraId="4B31090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2.77 (–1.12, 6.67)</w:t>
            </w:r>
          </w:p>
        </w:tc>
        <w:tc>
          <w:tcPr>
            <w:tcW w:w="1001" w:type="pct"/>
            <w:tcBorders>
              <w:top w:val="nil"/>
              <w:left w:val="nil"/>
              <w:bottom w:val="nil"/>
              <w:right w:val="nil"/>
            </w:tcBorders>
            <w:shd w:val="clear" w:color="auto" w:fill="FFFFFF"/>
            <w:vAlign w:val="bottom"/>
            <w:hideMark/>
          </w:tcPr>
          <w:p w14:paraId="33346694"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4.26 (–2.99, 11.5)</w:t>
            </w:r>
          </w:p>
        </w:tc>
        <w:tc>
          <w:tcPr>
            <w:tcW w:w="464" w:type="pct"/>
            <w:tcBorders>
              <w:top w:val="nil"/>
              <w:left w:val="nil"/>
              <w:bottom w:val="nil"/>
              <w:right w:val="nil"/>
            </w:tcBorders>
            <w:shd w:val="clear" w:color="auto" w:fill="FFFFFF"/>
            <w:noWrap/>
            <w:vAlign w:val="bottom"/>
            <w:hideMark/>
          </w:tcPr>
          <w:p w14:paraId="7C4FFA1A"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0.445</w:t>
            </w:r>
          </w:p>
        </w:tc>
      </w:tr>
      <w:tr w:rsidR="00A959D2" w14:paraId="046D7343" w14:textId="77777777" w:rsidTr="00A959D2">
        <w:trPr>
          <w:trHeight w:val="300"/>
        </w:trPr>
        <w:tc>
          <w:tcPr>
            <w:tcW w:w="1096" w:type="pct"/>
            <w:tcBorders>
              <w:top w:val="nil"/>
              <w:left w:val="nil"/>
              <w:bottom w:val="nil"/>
              <w:right w:val="nil"/>
            </w:tcBorders>
            <w:noWrap/>
            <w:vAlign w:val="bottom"/>
            <w:hideMark/>
          </w:tcPr>
          <w:p w14:paraId="1F5C24C7" w14:textId="77777777" w:rsidR="00A959D2" w:rsidRDefault="00A959D2">
            <w:pPr>
              <w:spacing w:after="0" w:line="240" w:lineRule="auto"/>
              <w:ind w:left="288"/>
              <w:rPr>
                <w:rFonts w:cs="Times New Roman"/>
                <w:bCs/>
                <w:sz w:val="20"/>
                <w:szCs w:val="20"/>
              </w:rPr>
            </w:pPr>
            <w:r>
              <w:rPr>
                <w:rFonts w:cs="Times New Roman"/>
                <w:bCs/>
                <w:sz w:val="20"/>
                <w:szCs w:val="20"/>
              </w:rPr>
              <w:t>CML</w:t>
            </w:r>
          </w:p>
        </w:tc>
        <w:tc>
          <w:tcPr>
            <w:tcW w:w="439" w:type="pct"/>
            <w:tcBorders>
              <w:top w:val="nil"/>
              <w:left w:val="nil"/>
              <w:bottom w:val="nil"/>
              <w:right w:val="nil"/>
            </w:tcBorders>
            <w:shd w:val="clear" w:color="auto" w:fill="FFFFFF"/>
            <w:noWrap/>
            <w:vAlign w:val="bottom"/>
            <w:hideMark/>
          </w:tcPr>
          <w:p w14:paraId="2CFBA516"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p>
        </w:tc>
        <w:tc>
          <w:tcPr>
            <w:tcW w:w="1000" w:type="pct"/>
            <w:tcBorders>
              <w:top w:val="nil"/>
              <w:left w:val="nil"/>
              <w:bottom w:val="nil"/>
              <w:right w:val="nil"/>
            </w:tcBorders>
            <w:shd w:val="clear" w:color="auto" w:fill="FFFFFF"/>
            <w:noWrap/>
            <w:vAlign w:val="bottom"/>
            <w:hideMark/>
          </w:tcPr>
          <w:p w14:paraId="4CF8F8B6"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7.66 (–13.9, 29.3)</w:t>
            </w:r>
          </w:p>
        </w:tc>
        <w:tc>
          <w:tcPr>
            <w:tcW w:w="1000" w:type="pct"/>
            <w:tcBorders>
              <w:top w:val="nil"/>
              <w:left w:val="nil"/>
              <w:bottom w:val="nil"/>
              <w:right w:val="nil"/>
            </w:tcBorders>
            <w:shd w:val="clear" w:color="auto" w:fill="FFFFFF"/>
            <w:noWrap/>
            <w:vAlign w:val="bottom"/>
            <w:hideMark/>
          </w:tcPr>
          <w:p w14:paraId="066A2F0B"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8.75 (–4.94, 22.4)</w:t>
            </w:r>
          </w:p>
        </w:tc>
        <w:tc>
          <w:tcPr>
            <w:tcW w:w="1001" w:type="pct"/>
            <w:tcBorders>
              <w:top w:val="nil"/>
              <w:left w:val="nil"/>
              <w:bottom w:val="nil"/>
              <w:right w:val="nil"/>
            </w:tcBorders>
            <w:shd w:val="clear" w:color="auto" w:fill="FFFFFF"/>
            <w:vAlign w:val="bottom"/>
            <w:hideMark/>
          </w:tcPr>
          <w:p w14:paraId="329B731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42.9 (–40.7, 126.5)</w:t>
            </w:r>
          </w:p>
        </w:tc>
        <w:tc>
          <w:tcPr>
            <w:tcW w:w="464" w:type="pct"/>
            <w:tcBorders>
              <w:top w:val="nil"/>
              <w:left w:val="nil"/>
              <w:bottom w:val="nil"/>
              <w:right w:val="nil"/>
            </w:tcBorders>
            <w:shd w:val="clear" w:color="auto" w:fill="FFFFFF"/>
            <w:noWrap/>
            <w:vAlign w:val="bottom"/>
            <w:hideMark/>
          </w:tcPr>
          <w:p w14:paraId="109A2440"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0.543</w:t>
            </w:r>
          </w:p>
        </w:tc>
      </w:tr>
      <w:tr w:rsidR="00A959D2" w14:paraId="7B8F24D5" w14:textId="77777777" w:rsidTr="00A959D2">
        <w:trPr>
          <w:trHeight w:val="300"/>
        </w:trPr>
        <w:tc>
          <w:tcPr>
            <w:tcW w:w="1096" w:type="pct"/>
            <w:tcBorders>
              <w:top w:val="nil"/>
              <w:left w:val="nil"/>
              <w:bottom w:val="nil"/>
              <w:right w:val="nil"/>
            </w:tcBorders>
            <w:noWrap/>
            <w:vAlign w:val="bottom"/>
            <w:hideMark/>
          </w:tcPr>
          <w:p w14:paraId="75EB73CE" w14:textId="77777777" w:rsidR="00A959D2" w:rsidRDefault="00A959D2">
            <w:pPr>
              <w:spacing w:after="0" w:line="240" w:lineRule="auto"/>
              <w:ind w:left="288"/>
              <w:rPr>
                <w:rFonts w:cs="Times New Roman"/>
                <w:bCs/>
                <w:sz w:val="20"/>
                <w:szCs w:val="20"/>
              </w:rPr>
            </w:pPr>
            <w:r>
              <w:rPr>
                <w:rFonts w:cs="Times New Roman"/>
                <w:bCs/>
                <w:sz w:val="20"/>
                <w:szCs w:val="20"/>
              </w:rPr>
              <w:t>AML</w:t>
            </w:r>
          </w:p>
        </w:tc>
        <w:tc>
          <w:tcPr>
            <w:tcW w:w="439" w:type="pct"/>
            <w:tcBorders>
              <w:top w:val="nil"/>
              <w:left w:val="nil"/>
              <w:bottom w:val="nil"/>
              <w:right w:val="nil"/>
            </w:tcBorders>
            <w:shd w:val="clear" w:color="auto" w:fill="FFFFFF"/>
            <w:noWrap/>
            <w:vAlign w:val="bottom"/>
            <w:hideMark/>
          </w:tcPr>
          <w:p w14:paraId="64C694F4"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p>
        </w:tc>
        <w:tc>
          <w:tcPr>
            <w:tcW w:w="1000" w:type="pct"/>
            <w:tcBorders>
              <w:top w:val="nil"/>
              <w:left w:val="nil"/>
              <w:bottom w:val="nil"/>
              <w:right w:val="nil"/>
            </w:tcBorders>
            <w:shd w:val="clear" w:color="auto" w:fill="FFFFFF"/>
            <w:noWrap/>
            <w:vAlign w:val="bottom"/>
            <w:hideMark/>
          </w:tcPr>
          <w:p w14:paraId="314D3CD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–1.10 (–9.19, 7.00)</w:t>
            </w:r>
          </w:p>
        </w:tc>
        <w:tc>
          <w:tcPr>
            <w:tcW w:w="1000" w:type="pct"/>
            <w:tcBorders>
              <w:top w:val="nil"/>
              <w:left w:val="nil"/>
              <w:bottom w:val="nil"/>
              <w:right w:val="nil"/>
            </w:tcBorders>
            <w:shd w:val="clear" w:color="auto" w:fill="FFFFFF"/>
            <w:noWrap/>
            <w:vAlign w:val="bottom"/>
            <w:hideMark/>
          </w:tcPr>
          <w:p w14:paraId="7B24DD86"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–0.76 (–4.44, 2.93)</w:t>
            </w:r>
          </w:p>
        </w:tc>
        <w:tc>
          <w:tcPr>
            <w:tcW w:w="1001" w:type="pct"/>
            <w:tcBorders>
              <w:top w:val="nil"/>
              <w:left w:val="nil"/>
              <w:bottom w:val="nil"/>
              <w:right w:val="nil"/>
            </w:tcBorders>
            <w:shd w:val="clear" w:color="auto" w:fill="FFFFFF"/>
            <w:vAlign w:val="bottom"/>
            <w:hideMark/>
          </w:tcPr>
          <w:p w14:paraId="50534574"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4.13 (–3.91, 12.2)</w:t>
            </w:r>
          </w:p>
        </w:tc>
        <w:tc>
          <w:tcPr>
            <w:tcW w:w="464" w:type="pct"/>
            <w:tcBorders>
              <w:top w:val="nil"/>
              <w:left w:val="nil"/>
              <w:bottom w:val="nil"/>
              <w:right w:val="nil"/>
            </w:tcBorders>
            <w:shd w:val="clear" w:color="auto" w:fill="FFFFFF"/>
            <w:noWrap/>
            <w:vAlign w:val="bottom"/>
            <w:hideMark/>
          </w:tcPr>
          <w:p w14:paraId="259C6303"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0.307</w:t>
            </w:r>
          </w:p>
        </w:tc>
      </w:tr>
      <w:tr w:rsidR="00A959D2" w14:paraId="4FEA8BA3" w14:textId="77777777" w:rsidTr="00A959D2">
        <w:trPr>
          <w:trHeight w:val="300"/>
        </w:trPr>
        <w:tc>
          <w:tcPr>
            <w:tcW w:w="1096" w:type="pct"/>
            <w:tcBorders>
              <w:top w:val="nil"/>
              <w:left w:val="nil"/>
              <w:bottom w:val="nil"/>
              <w:right w:val="nil"/>
            </w:tcBorders>
            <w:noWrap/>
            <w:vAlign w:val="bottom"/>
            <w:hideMark/>
          </w:tcPr>
          <w:p w14:paraId="3D84E8CE" w14:textId="77777777" w:rsidR="00A959D2" w:rsidRDefault="00A959D2">
            <w:pPr>
              <w:spacing w:after="0" w:line="240" w:lineRule="auto"/>
              <w:rPr>
                <w:rFonts w:cs="Times New Roman"/>
                <w:bCs/>
                <w:sz w:val="20"/>
                <w:szCs w:val="20"/>
              </w:rPr>
            </w:pPr>
            <w:r>
              <w:rPr>
                <w:rFonts w:cs="Times New Roman"/>
                <w:bCs/>
                <w:sz w:val="20"/>
                <w:szCs w:val="20"/>
              </w:rPr>
              <w:t>AML+MDS</w:t>
            </w:r>
          </w:p>
        </w:tc>
        <w:tc>
          <w:tcPr>
            <w:tcW w:w="439" w:type="pct"/>
            <w:tcBorders>
              <w:top w:val="nil"/>
              <w:left w:val="nil"/>
              <w:bottom w:val="nil"/>
              <w:right w:val="nil"/>
            </w:tcBorders>
            <w:shd w:val="clear" w:color="auto" w:fill="FFFFFF"/>
            <w:noWrap/>
            <w:vAlign w:val="bottom"/>
            <w:hideMark/>
          </w:tcPr>
          <w:p w14:paraId="2EE3F03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p>
        </w:tc>
        <w:tc>
          <w:tcPr>
            <w:tcW w:w="1000" w:type="pct"/>
            <w:tcBorders>
              <w:top w:val="nil"/>
              <w:left w:val="nil"/>
              <w:bottom w:val="nil"/>
              <w:right w:val="nil"/>
            </w:tcBorders>
            <w:shd w:val="clear" w:color="auto" w:fill="FFFFFF"/>
            <w:noWrap/>
            <w:vAlign w:val="bottom"/>
            <w:hideMark/>
          </w:tcPr>
          <w:p w14:paraId="79825AF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–1.10 (–8.46, 6.27)</w:t>
            </w:r>
          </w:p>
        </w:tc>
        <w:tc>
          <w:tcPr>
            <w:tcW w:w="1000" w:type="pct"/>
            <w:tcBorders>
              <w:top w:val="nil"/>
              <w:left w:val="nil"/>
              <w:bottom w:val="nil"/>
              <w:right w:val="nil"/>
            </w:tcBorders>
            <w:shd w:val="clear" w:color="auto" w:fill="FFFFFF"/>
            <w:noWrap/>
            <w:vAlign w:val="bottom"/>
            <w:hideMark/>
          </w:tcPr>
          <w:p w14:paraId="18E8CDC3"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1.07 (–2.94, 5.09)</w:t>
            </w:r>
          </w:p>
        </w:tc>
        <w:tc>
          <w:tcPr>
            <w:tcW w:w="1001" w:type="pct"/>
            <w:tcBorders>
              <w:top w:val="nil"/>
              <w:left w:val="nil"/>
              <w:bottom w:val="nil"/>
              <w:right w:val="nil"/>
            </w:tcBorders>
            <w:shd w:val="clear" w:color="auto" w:fill="FFFFFF"/>
            <w:vAlign w:val="bottom"/>
            <w:hideMark/>
          </w:tcPr>
          <w:p w14:paraId="362A7A72"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9.75 (–0.06, 19.6)</w:t>
            </w:r>
          </w:p>
        </w:tc>
        <w:tc>
          <w:tcPr>
            <w:tcW w:w="464" w:type="pct"/>
            <w:tcBorders>
              <w:top w:val="nil"/>
              <w:left w:val="nil"/>
              <w:bottom w:val="nil"/>
              <w:right w:val="nil"/>
            </w:tcBorders>
            <w:shd w:val="clear" w:color="auto" w:fill="FFFFFF"/>
            <w:noWrap/>
            <w:vAlign w:val="bottom"/>
            <w:hideMark/>
          </w:tcPr>
          <w:p w14:paraId="16A841A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0.195</w:t>
            </w:r>
          </w:p>
        </w:tc>
      </w:tr>
      <w:tr w:rsidR="00A959D2" w14:paraId="33F4FAAA" w14:textId="77777777" w:rsidTr="00A959D2">
        <w:trPr>
          <w:trHeight w:val="300"/>
        </w:trPr>
        <w:tc>
          <w:tcPr>
            <w:tcW w:w="1096" w:type="pct"/>
            <w:tcBorders>
              <w:top w:val="nil"/>
              <w:left w:val="nil"/>
              <w:bottom w:val="nil"/>
              <w:right w:val="nil"/>
            </w:tcBorders>
            <w:noWrap/>
            <w:vAlign w:val="bottom"/>
            <w:hideMark/>
          </w:tcPr>
          <w:p w14:paraId="73FBD75C" w14:textId="77777777" w:rsidR="00A959D2" w:rsidRDefault="00A959D2">
            <w:pPr>
              <w:spacing w:after="0" w:line="240" w:lineRule="auto"/>
              <w:rPr>
                <w:rFonts w:cs="Times New Roman"/>
                <w:bCs/>
                <w:sz w:val="20"/>
                <w:szCs w:val="20"/>
              </w:rPr>
            </w:pPr>
            <w:r>
              <w:rPr>
                <w:rFonts w:cs="Times New Roman"/>
                <w:bCs/>
                <w:sz w:val="20"/>
                <w:szCs w:val="20"/>
              </w:rPr>
              <w:t>MM</w:t>
            </w:r>
          </w:p>
        </w:tc>
        <w:tc>
          <w:tcPr>
            <w:tcW w:w="439" w:type="pct"/>
            <w:tcBorders>
              <w:top w:val="nil"/>
              <w:left w:val="nil"/>
              <w:bottom w:val="nil"/>
              <w:right w:val="nil"/>
            </w:tcBorders>
            <w:shd w:val="clear" w:color="auto" w:fill="FFFFFF"/>
            <w:noWrap/>
            <w:vAlign w:val="bottom"/>
            <w:hideMark/>
          </w:tcPr>
          <w:p w14:paraId="1F81DAE3"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p>
        </w:tc>
        <w:tc>
          <w:tcPr>
            <w:tcW w:w="1000" w:type="pct"/>
            <w:tcBorders>
              <w:top w:val="nil"/>
              <w:left w:val="nil"/>
              <w:bottom w:val="nil"/>
              <w:right w:val="nil"/>
            </w:tcBorders>
            <w:shd w:val="clear" w:color="auto" w:fill="FFFFFF"/>
            <w:noWrap/>
            <w:vAlign w:val="bottom"/>
            <w:hideMark/>
          </w:tcPr>
          <w:p w14:paraId="53B6F0AF"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0.82 (–9.06, 10.7)</w:t>
            </w:r>
          </w:p>
        </w:tc>
        <w:tc>
          <w:tcPr>
            <w:tcW w:w="1000" w:type="pct"/>
            <w:tcBorders>
              <w:top w:val="nil"/>
              <w:left w:val="nil"/>
              <w:bottom w:val="nil"/>
              <w:right w:val="nil"/>
            </w:tcBorders>
            <w:shd w:val="clear" w:color="auto" w:fill="FFFFFF"/>
            <w:noWrap/>
            <w:vAlign w:val="bottom"/>
            <w:hideMark/>
          </w:tcPr>
          <w:p w14:paraId="2C3C4896"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–0.10 (–2.81, 2.61)</w:t>
            </w:r>
          </w:p>
        </w:tc>
        <w:tc>
          <w:tcPr>
            <w:tcW w:w="1001" w:type="pct"/>
            <w:tcBorders>
              <w:top w:val="nil"/>
              <w:left w:val="nil"/>
              <w:bottom w:val="nil"/>
              <w:right w:val="nil"/>
            </w:tcBorders>
            <w:shd w:val="clear" w:color="auto" w:fill="FFFFFF"/>
            <w:vAlign w:val="bottom"/>
            <w:hideMark/>
          </w:tcPr>
          <w:p w14:paraId="1FB96242"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13.7 (–4.40, 31.8)</w:t>
            </w:r>
          </w:p>
        </w:tc>
        <w:tc>
          <w:tcPr>
            <w:tcW w:w="464" w:type="pct"/>
            <w:tcBorders>
              <w:top w:val="nil"/>
              <w:left w:val="nil"/>
              <w:bottom w:val="nil"/>
              <w:right w:val="nil"/>
            </w:tcBorders>
            <w:shd w:val="clear" w:color="auto" w:fill="FFFFFF"/>
            <w:noWrap/>
            <w:vAlign w:val="bottom"/>
            <w:hideMark/>
          </w:tcPr>
          <w:p w14:paraId="25FB478F"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0.200</w:t>
            </w:r>
          </w:p>
        </w:tc>
      </w:tr>
      <w:tr w:rsidR="00A959D2" w14:paraId="131F8CD1" w14:textId="77777777" w:rsidTr="00A959D2">
        <w:trPr>
          <w:trHeight w:val="300"/>
        </w:trPr>
        <w:tc>
          <w:tcPr>
            <w:tcW w:w="1096" w:type="pct"/>
            <w:tcBorders>
              <w:top w:val="nil"/>
              <w:left w:val="nil"/>
              <w:bottom w:val="single" w:sz="8" w:space="0" w:color="000000" w:themeColor="text1"/>
              <w:right w:val="nil"/>
            </w:tcBorders>
            <w:noWrap/>
            <w:vAlign w:val="bottom"/>
            <w:hideMark/>
          </w:tcPr>
          <w:p w14:paraId="58410AB2" w14:textId="77777777" w:rsidR="00A959D2" w:rsidRDefault="00A959D2">
            <w:pPr>
              <w:spacing w:after="0" w:line="240" w:lineRule="auto"/>
              <w:rPr>
                <w:rFonts w:cs="Times New Roman"/>
                <w:bCs/>
                <w:sz w:val="20"/>
                <w:szCs w:val="20"/>
              </w:rPr>
            </w:pPr>
            <w:r>
              <w:rPr>
                <w:rFonts w:cs="Times New Roman"/>
                <w:bCs/>
                <w:sz w:val="20"/>
                <w:szCs w:val="20"/>
              </w:rPr>
              <w:t>NHL</w:t>
            </w:r>
          </w:p>
        </w:tc>
        <w:tc>
          <w:tcPr>
            <w:tcW w:w="439" w:type="pct"/>
            <w:tcBorders>
              <w:top w:val="nil"/>
              <w:left w:val="nil"/>
              <w:bottom w:val="single" w:sz="8" w:space="0" w:color="000000" w:themeColor="text1"/>
              <w:right w:val="nil"/>
            </w:tcBorders>
            <w:shd w:val="clear" w:color="auto" w:fill="FFFFFF"/>
            <w:noWrap/>
            <w:vAlign w:val="bottom"/>
            <w:hideMark/>
          </w:tcPr>
          <w:p w14:paraId="52443EAE"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w:t>
            </w:r>
          </w:p>
        </w:tc>
        <w:tc>
          <w:tcPr>
            <w:tcW w:w="1000" w:type="pct"/>
            <w:tcBorders>
              <w:top w:val="nil"/>
              <w:left w:val="nil"/>
              <w:bottom w:val="single" w:sz="8" w:space="0" w:color="000000" w:themeColor="text1"/>
              <w:right w:val="nil"/>
            </w:tcBorders>
            <w:shd w:val="clear" w:color="auto" w:fill="FFFFFF"/>
            <w:noWrap/>
            <w:vAlign w:val="bottom"/>
            <w:hideMark/>
          </w:tcPr>
          <w:p w14:paraId="1F258842"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–0.41 (–5.38, 4.57)</w:t>
            </w:r>
          </w:p>
        </w:tc>
        <w:tc>
          <w:tcPr>
            <w:tcW w:w="1000" w:type="pct"/>
            <w:tcBorders>
              <w:top w:val="nil"/>
              <w:left w:val="nil"/>
              <w:bottom w:val="single" w:sz="8" w:space="0" w:color="000000" w:themeColor="text1"/>
              <w:right w:val="nil"/>
            </w:tcBorders>
            <w:shd w:val="clear" w:color="auto" w:fill="FFFFFF"/>
            <w:noWrap/>
            <w:vAlign w:val="bottom"/>
            <w:hideMark/>
          </w:tcPr>
          <w:p w14:paraId="7DE906CB"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–0.51 (–2.42, 1.41)</w:t>
            </w:r>
          </w:p>
        </w:tc>
        <w:tc>
          <w:tcPr>
            <w:tcW w:w="1001" w:type="pct"/>
            <w:tcBorders>
              <w:top w:val="nil"/>
              <w:left w:val="nil"/>
              <w:bottom w:val="single" w:sz="8" w:space="0" w:color="000000" w:themeColor="text1"/>
              <w:right w:val="nil"/>
            </w:tcBorders>
            <w:shd w:val="clear" w:color="auto" w:fill="FFFFFF"/>
            <w:vAlign w:val="bottom"/>
            <w:hideMark/>
          </w:tcPr>
          <w:p w14:paraId="6FB68A23"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4.14 (–2.38, 10.7)</w:t>
            </w:r>
          </w:p>
        </w:tc>
        <w:tc>
          <w:tcPr>
            <w:tcW w:w="464" w:type="pct"/>
            <w:tcBorders>
              <w:top w:val="nil"/>
              <w:left w:val="nil"/>
              <w:bottom w:val="single" w:sz="8" w:space="0" w:color="000000" w:themeColor="text1"/>
              <w:right w:val="nil"/>
            </w:tcBorders>
            <w:shd w:val="clear" w:color="auto" w:fill="FFFFFF"/>
            <w:noWrap/>
            <w:vAlign w:val="bottom"/>
            <w:hideMark/>
          </w:tcPr>
          <w:p w14:paraId="48DE4C3D"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0.388</w:t>
            </w:r>
          </w:p>
        </w:tc>
      </w:tr>
    </w:tbl>
    <w:p w14:paraId="3C69DA6F" w14:textId="77777777" w:rsidR="00A959D2" w:rsidRDefault="00A959D2" w:rsidP="00A959D2">
      <w:pPr>
        <w:spacing w:after="0" w:line="240" w:lineRule="auto"/>
        <w:rPr>
          <w:rFonts w:cs="Times New Roman"/>
        </w:rPr>
      </w:pPr>
      <w:r>
        <w:rPr>
          <w:rFonts w:cs="Times New Roman"/>
          <w:vertAlign w:val="superscript"/>
        </w:rPr>
        <w:t>1</w:t>
      </w:r>
      <w:r>
        <w:t xml:space="preserve"> </w:t>
      </w:r>
      <w:r>
        <w:rPr>
          <w:rFonts w:cs="Times New Roman"/>
        </w:rPr>
        <w:t>Estimates below the boundary (i.e., ERR &lt; –1) that result from linear extrapolation are reported without censor.</w:t>
      </w:r>
    </w:p>
    <w:p w14:paraId="43EDAA1E" w14:textId="77777777" w:rsidR="00A959D2" w:rsidRDefault="00A959D2" w:rsidP="00A959D2">
      <w:pPr>
        <w:spacing w:after="0" w:line="240" w:lineRule="auto"/>
        <w:rPr>
          <w:rFonts w:cs="Times New Roman"/>
        </w:rPr>
      </w:pPr>
      <w:r>
        <w:rPr>
          <w:rFonts w:cs="Times New Roman"/>
          <w:vertAlign w:val="superscript"/>
        </w:rPr>
        <w:t xml:space="preserve">2 </w:t>
      </w:r>
      <w:r>
        <w:rPr>
          <w:rFonts w:cs="Times New Roman"/>
        </w:rPr>
        <w:t xml:space="preserve">Test of the homogeneity of windows, where </w:t>
      </w:r>
      <w:r>
        <w:rPr>
          <w:rFonts w:cs="Times New Roman"/>
          <w:i/>
          <w:iCs/>
        </w:rPr>
        <w:t>P</w:t>
      </w:r>
      <w:r>
        <w:rPr>
          <w:rFonts w:cs="Times New Roman"/>
        </w:rPr>
        <w:t xml:space="preserve"> is the p-value for the reported likelihood ratio test statistic and is evaluated under a Chi-square distribution with 2 degrees of freedom.</w:t>
      </w:r>
    </w:p>
    <w:p w14:paraId="0FA419EB" w14:textId="77777777" w:rsidR="00A959D2" w:rsidRDefault="00A959D2" w:rsidP="00A959D2">
      <w:pPr>
        <w:rPr>
          <w:rFonts w:cs="Times New Roman"/>
        </w:rPr>
      </w:pPr>
      <w:r>
        <w:rPr>
          <w:rFonts w:cs="Times New Roman"/>
        </w:rPr>
        <w:t>Abbreviations: CI, confidence interval; ERR, excess relative rate; MDS, myelodysplastic syndrome; MM, multiple myeloma; NHL, non-Hodgkin lymphoma.</w:t>
      </w:r>
    </w:p>
    <w:p w14:paraId="2582F7C2" w14:textId="77777777" w:rsidR="00A959D2" w:rsidRDefault="00A959D2" w:rsidP="00A959D2">
      <w:pPr>
        <w:spacing w:after="0"/>
        <w:rPr>
          <w:rFonts w:cs="Times New Roman"/>
        </w:rPr>
        <w:sectPr w:rsidR="00A959D2">
          <w:pgSz w:w="12240" w:h="15840"/>
          <w:pgMar w:top="720" w:right="720" w:bottom="720" w:left="720" w:header="720" w:footer="720" w:gutter="0"/>
          <w:cols w:space="720"/>
        </w:sectPr>
      </w:pPr>
    </w:p>
    <w:p w14:paraId="2C678779" w14:textId="77777777" w:rsidR="00A959D2" w:rsidRDefault="00A959D2" w:rsidP="00A959D2">
      <w:pPr>
        <w:pStyle w:val="Heading1"/>
        <w:rPr>
          <w:rFonts w:eastAsiaTheme="minorHAnsi"/>
          <w:vertAlign w:val="superscript"/>
        </w:rPr>
      </w:pPr>
      <w:bookmarkStart w:id="18" w:name="_Toc170712194"/>
      <w:r>
        <w:rPr>
          <w:rFonts w:eastAsiaTheme="minorHAnsi"/>
        </w:rPr>
        <w:lastRenderedPageBreak/>
        <w:t xml:space="preserve">Table S10. Linear ERR per </w:t>
      </w:r>
      <w:proofErr w:type="spellStart"/>
      <w:r>
        <w:rPr>
          <w:rFonts w:eastAsiaTheme="minorHAnsi"/>
        </w:rPr>
        <w:t>Gy</w:t>
      </w:r>
      <w:proofErr w:type="spellEnd"/>
      <w:r>
        <w:rPr>
          <w:rFonts w:eastAsiaTheme="minorHAnsi"/>
        </w:rPr>
        <w:t xml:space="preserve"> by attained age (AA) in INWORKS restricted to workers hired prior </w:t>
      </w:r>
      <w:proofErr w:type="gramStart"/>
      <w:r>
        <w:rPr>
          <w:rFonts w:eastAsiaTheme="minorHAnsi"/>
        </w:rPr>
        <w:t>to  1958.</w:t>
      </w:r>
      <w:bookmarkEnd w:id="18"/>
      <w:r>
        <w:rPr>
          <w:rFonts w:eastAsiaTheme="minorHAnsi"/>
          <w:vertAlign w:val="superscript"/>
        </w:rPr>
        <w:t>1</w:t>
      </w:r>
      <w:proofErr w:type="gramEnd"/>
    </w:p>
    <w:tbl>
      <w:tblPr>
        <w:tblStyle w:val="LightShading"/>
        <w:tblW w:w="0" w:type="auto"/>
        <w:tblInd w:w="0" w:type="dxa"/>
        <w:tblLayout w:type="fixed"/>
        <w:tblLook w:val="0620" w:firstRow="1" w:lastRow="0" w:firstColumn="0" w:lastColumn="0" w:noHBand="1" w:noVBand="1"/>
      </w:tblPr>
      <w:tblGrid>
        <w:gridCol w:w="2160"/>
        <w:gridCol w:w="811"/>
        <w:gridCol w:w="1898"/>
        <w:gridCol w:w="1898"/>
        <w:gridCol w:w="1902"/>
        <w:gridCol w:w="691"/>
      </w:tblGrid>
      <w:tr w:rsidR="00A959D2" w14:paraId="5D862D83" w14:textId="77777777" w:rsidTr="00A959D2">
        <w:trPr>
          <w:cnfStyle w:val="100000000000" w:firstRow="1" w:lastRow="0" w:firstColumn="0" w:lastColumn="0" w:oddVBand="0" w:evenVBand="0" w:oddHBand="0" w:evenHBand="0" w:firstRowFirstColumn="0" w:firstRowLastColumn="0" w:lastRowFirstColumn="0" w:lastRowLastColumn="0"/>
          <w:trHeight w:val="300"/>
        </w:trPr>
        <w:tc>
          <w:tcPr>
            <w:tcW w:w="2160" w:type="dxa"/>
            <w:vMerge w:val="restart"/>
            <w:tcBorders>
              <w:bottom w:val="single" w:sz="8" w:space="0" w:color="auto"/>
            </w:tcBorders>
            <w:noWrap/>
            <w:vAlign w:val="bottom"/>
            <w:hideMark/>
          </w:tcPr>
          <w:p w14:paraId="1AC4F710" w14:textId="77777777" w:rsidR="00A959D2" w:rsidRDefault="00A959D2">
            <w:pPr>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Outcome</w:t>
            </w:r>
          </w:p>
        </w:tc>
        <w:tc>
          <w:tcPr>
            <w:tcW w:w="811" w:type="dxa"/>
            <w:vMerge w:val="restart"/>
            <w:tcBorders>
              <w:bottom w:val="single" w:sz="8" w:space="0" w:color="auto"/>
            </w:tcBorders>
            <w:noWrap/>
            <w:vAlign w:val="bottom"/>
            <w:hideMark/>
          </w:tcPr>
          <w:p w14:paraId="1146ECF1" w14:textId="77777777" w:rsidR="00A959D2" w:rsidRDefault="00A959D2">
            <w:pPr>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Lag</w:t>
            </w:r>
          </w:p>
          <w:p w14:paraId="68FCA201" w14:textId="77777777" w:rsidR="00A959D2" w:rsidRDefault="00A959D2">
            <w:pPr>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(years)</w:t>
            </w:r>
          </w:p>
        </w:tc>
        <w:tc>
          <w:tcPr>
            <w:tcW w:w="5698" w:type="dxa"/>
            <w:gridSpan w:val="3"/>
            <w:noWrap/>
            <w:vAlign w:val="bottom"/>
            <w:hideMark/>
          </w:tcPr>
          <w:p w14:paraId="3EDFF301" w14:textId="77777777" w:rsidR="00A959D2" w:rsidRDefault="00A959D2">
            <w:pPr>
              <w:pStyle w:val="ListParagraph"/>
              <w:spacing w:after="0" w:line="240" w:lineRule="auto"/>
              <w:jc w:val="center"/>
              <w:rPr>
                <w:rFonts w:eastAsia="Times New Roman" w:cs="Times New Roman"/>
                <w:b w:val="0"/>
                <w:color w:val="000000"/>
                <w:sz w:val="20"/>
                <w:szCs w:val="20"/>
              </w:rPr>
            </w:pPr>
            <w:r>
              <w:rPr>
                <w:rFonts w:eastAsia="Times New Roman" w:cs="Times New Roman"/>
                <w:b w:val="0"/>
                <w:color w:val="000000"/>
                <w:sz w:val="20"/>
                <w:szCs w:val="20"/>
              </w:rPr>
              <w:t xml:space="preserve">ERR per </w:t>
            </w:r>
            <w:proofErr w:type="spellStart"/>
            <w:r>
              <w:rPr>
                <w:rFonts w:eastAsia="Times New Roman" w:cs="Times New Roman"/>
                <w:b w:val="0"/>
                <w:color w:val="000000"/>
                <w:sz w:val="20"/>
                <w:szCs w:val="20"/>
              </w:rPr>
              <w:t>Gy</w:t>
            </w:r>
            <w:proofErr w:type="spellEnd"/>
            <w:r>
              <w:rPr>
                <w:rFonts w:eastAsia="Times New Roman" w:cs="Times New Roman"/>
                <w:b w:val="0"/>
                <w:color w:val="000000"/>
                <w:sz w:val="20"/>
                <w:szCs w:val="20"/>
              </w:rPr>
              <w:t xml:space="preserve"> (90% CI) by attained age (years)</w:t>
            </w:r>
          </w:p>
        </w:tc>
        <w:tc>
          <w:tcPr>
            <w:tcW w:w="691" w:type="dxa"/>
            <w:vMerge w:val="restart"/>
            <w:tcBorders>
              <w:bottom w:val="single" w:sz="8" w:space="0" w:color="auto"/>
            </w:tcBorders>
            <w:vAlign w:val="bottom"/>
            <w:hideMark/>
          </w:tcPr>
          <w:p w14:paraId="307A43C2" w14:textId="77777777" w:rsidR="00A959D2" w:rsidRDefault="00A959D2">
            <w:pPr>
              <w:spacing w:after="0" w:line="240" w:lineRule="auto"/>
              <w:jc w:val="center"/>
              <w:rPr>
                <w:rFonts w:eastAsia="Times New Roman" w:cs="Times New Roman"/>
                <w:b w:val="0"/>
                <w:color w:val="000000"/>
                <w:sz w:val="20"/>
                <w:szCs w:val="20"/>
                <w:vertAlign w:val="superscript"/>
              </w:rPr>
            </w:pPr>
            <w:r>
              <w:rPr>
                <w:rFonts w:eastAsia="Times New Roman" w:cs="Times New Roman"/>
                <w:b w:val="0"/>
                <w:i/>
                <w:iCs/>
                <w:color w:val="000000"/>
                <w:sz w:val="20"/>
                <w:szCs w:val="20"/>
              </w:rPr>
              <w:t xml:space="preserve">P </w:t>
            </w:r>
            <w:r>
              <w:rPr>
                <w:rFonts w:eastAsia="Times New Roman" w:cs="Times New Roman"/>
                <w:b w:val="0"/>
                <w:color w:val="000000"/>
                <w:sz w:val="20"/>
                <w:szCs w:val="20"/>
                <w:vertAlign w:val="superscript"/>
              </w:rPr>
              <w:t>2</w:t>
            </w:r>
          </w:p>
        </w:tc>
      </w:tr>
      <w:tr w:rsidR="00A959D2" w14:paraId="50A9D02A" w14:textId="77777777" w:rsidTr="00A959D2">
        <w:trPr>
          <w:trHeight w:val="300"/>
        </w:trPr>
        <w:tc>
          <w:tcPr>
            <w:tcW w:w="2160" w:type="dxa"/>
            <w:vMerge/>
            <w:tcBorders>
              <w:top w:val="single" w:sz="8" w:space="0" w:color="000000" w:themeColor="text1"/>
              <w:left w:val="nil"/>
              <w:bottom w:val="single" w:sz="8" w:space="0" w:color="auto"/>
              <w:right w:val="nil"/>
            </w:tcBorders>
            <w:vAlign w:val="center"/>
            <w:hideMark/>
          </w:tcPr>
          <w:p w14:paraId="7F8CD1BA" w14:textId="77777777" w:rsidR="00A959D2" w:rsidRDefault="00A959D2">
            <w:pPr>
              <w:spacing w:after="0" w:line="240" w:lineRule="auto"/>
              <w:rPr>
                <w:rFonts w:eastAsia="Times New Roman" w:cs="Times New Roman"/>
                <w:bCs/>
                <w:color w:val="000000"/>
                <w:sz w:val="20"/>
                <w:szCs w:val="20"/>
              </w:rPr>
            </w:pPr>
          </w:p>
        </w:tc>
        <w:tc>
          <w:tcPr>
            <w:tcW w:w="811" w:type="dxa"/>
            <w:vMerge/>
            <w:tcBorders>
              <w:top w:val="single" w:sz="8" w:space="0" w:color="000000" w:themeColor="text1"/>
              <w:left w:val="nil"/>
              <w:bottom w:val="single" w:sz="8" w:space="0" w:color="auto"/>
              <w:right w:val="nil"/>
            </w:tcBorders>
            <w:vAlign w:val="center"/>
            <w:hideMark/>
          </w:tcPr>
          <w:p w14:paraId="5856D64A" w14:textId="77777777" w:rsidR="00A959D2" w:rsidRDefault="00A959D2">
            <w:pPr>
              <w:spacing w:after="0" w:line="240" w:lineRule="auto"/>
              <w:rPr>
                <w:rFonts w:eastAsia="Times New Roman" w:cs="Times New Roman"/>
                <w:bCs/>
                <w:color w:val="000000"/>
                <w:sz w:val="20"/>
                <w:szCs w:val="20"/>
              </w:rPr>
            </w:pPr>
          </w:p>
        </w:tc>
        <w:tc>
          <w:tcPr>
            <w:tcW w:w="1898" w:type="dxa"/>
            <w:tcBorders>
              <w:top w:val="nil"/>
              <w:left w:val="nil"/>
              <w:bottom w:val="single" w:sz="8" w:space="0" w:color="auto"/>
              <w:right w:val="nil"/>
            </w:tcBorders>
            <w:noWrap/>
            <w:vAlign w:val="bottom"/>
            <w:hideMark/>
          </w:tcPr>
          <w:p w14:paraId="1667A954"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&lt;60</w:t>
            </w:r>
          </w:p>
        </w:tc>
        <w:tc>
          <w:tcPr>
            <w:tcW w:w="1898" w:type="dxa"/>
            <w:tcBorders>
              <w:top w:val="nil"/>
              <w:left w:val="nil"/>
              <w:bottom w:val="single" w:sz="8" w:space="0" w:color="auto"/>
              <w:right w:val="nil"/>
            </w:tcBorders>
            <w:noWrap/>
            <w:vAlign w:val="bottom"/>
            <w:hideMark/>
          </w:tcPr>
          <w:p w14:paraId="21D7CA3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60</w:t>
            </w:r>
            <w:r>
              <w:rPr>
                <w:rFonts w:eastAsia="Times New Roman" w:cs="Times New Roman"/>
                <w:bCs/>
                <w:color w:val="000000"/>
                <w:sz w:val="20"/>
                <w:szCs w:val="20"/>
              </w:rPr>
              <w:sym w:font="Symbol MT" w:char="F02D"/>
            </w:r>
            <w:r>
              <w:rPr>
                <w:rFonts w:eastAsia="Times New Roman" w:cs="Times New Roman"/>
                <w:bCs/>
                <w:color w:val="000000"/>
                <w:sz w:val="20"/>
                <w:szCs w:val="20"/>
              </w:rPr>
              <w:sym w:font="Symbol MT" w:char="F03C"/>
            </w:r>
            <w:r>
              <w:rPr>
                <w:rFonts w:eastAsia="Times New Roman" w:cs="Times New Roman"/>
                <w:bCs/>
                <w:color w:val="000000"/>
                <w:sz w:val="20"/>
                <w:szCs w:val="20"/>
              </w:rPr>
              <w:t>80</w:t>
            </w:r>
          </w:p>
        </w:tc>
        <w:tc>
          <w:tcPr>
            <w:tcW w:w="1902" w:type="dxa"/>
            <w:tcBorders>
              <w:top w:val="nil"/>
              <w:left w:val="nil"/>
              <w:bottom w:val="single" w:sz="8" w:space="0" w:color="auto"/>
              <w:right w:val="nil"/>
            </w:tcBorders>
            <w:vAlign w:val="bottom"/>
            <w:hideMark/>
          </w:tcPr>
          <w:p w14:paraId="6E7488FF"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80+</w:t>
            </w:r>
          </w:p>
        </w:tc>
        <w:tc>
          <w:tcPr>
            <w:tcW w:w="691" w:type="dxa"/>
            <w:vMerge/>
            <w:tcBorders>
              <w:top w:val="single" w:sz="8" w:space="0" w:color="000000" w:themeColor="text1"/>
              <w:left w:val="nil"/>
              <w:bottom w:val="single" w:sz="8" w:space="0" w:color="auto"/>
              <w:right w:val="nil"/>
            </w:tcBorders>
            <w:vAlign w:val="center"/>
            <w:hideMark/>
          </w:tcPr>
          <w:p w14:paraId="07B89E9E" w14:textId="77777777" w:rsidR="00A959D2" w:rsidRDefault="00A959D2">
            <w:pPr>
              <w:spacing w:after="0" w:line="240" w:lineRule="auto"/>
              <w:rPr>
                <w:rFonts w:eastAsia="Times New Roman" w:cs="Times New Roman"/>
                <w:bCs/>
                <w:color w:val="000000"/>
                <w:sz w:val="20"/>
                <w:szCs w:val="20"/>
                <w:vertAlign w:val="superscript"/>
              </w:rPr>
            </w:pPr>
          </w:p>
        </w:tc>
      </w:tr>
      <w:tr w:rsidR="00A959D2" w14:paraId="07D46040" w14:textId="77777777" w:rsidTr="00A959D2">
        <w:trPr>
          <w:trHeight w:val="300"/>
        </w:trPr>
        <w:tc>
          <w:tcPr>
            <w:tcW w:w="2160" w:type="dxa"/>
            <w:tcBorders>
              <w:top w:val="nil"/>
              <w:left w:val="nil"/>
              <w:bottom w:val="nil"/>
              <w:right w:val="nil"/>
            </w:tcBorders>
            <w:noWrap/>
            <w:vAlign w:val="bottom"/>
            <w:hideMark/>
          </w:tcPr>
          <w:p w14:paraId="1DA3C103" w14:textId="77777777" w:rsidR="00A959D2" w:rsidRDefault="00A959D2">
            <w:pPr>
              <w:spacing w:after="0" w:line="240" w:lineRule="auto"/>
              <w:rPr>
                <w:rFonts w:cs="Times New Roman"/>
                <w:bCs/>
                <w:sz w:val="20"/>
                <w:szCs w:val="20"/>
              </w:rPr>
            </w:pPr>
            <w:r>
              <w:rPr>
                <w:rFonts w:cs="Times New Roman"/>
                <w:bCs/>
                <w:sz w:val="20"/>
                <w:szCs w:val="20"/>
              </w:rPr>
              <w:t>solid cancers</w:t>
            </w:r>
          </w:p>
        </w:tc>
        <w:tc>
          <w:tcPr>
            <w:tcW w:w="811" w:type="dxa"/>
            <w:tcBorders>
              <w:top w:val="nil"/>
              <w:left w:val="nil"/>
              <w:bottom w:val="nil"/>
              <w:right w:val="nil"/>
            </w:tcBorders>
            <w:shd w:val="clear" w:color="auto" w:fill="FFFFFF"/>
            <w:noWrap/>
            <w:vAlign w:val="bottom"/>
            <w:hideMark/>
          </w:tcPr>
          <w:p w14:paraId="2E305D31"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w:t>
            </w:r>
          </w:p>
        </w:tc>
        <w:tc>
          <w:tcPr>
            <w:tcW w:w="1898" w:type="dxa"/>
            <w:tcBorders>
              <w:top w:val="single" w:sz="6" w:space="0" w:color="DDDDDD"/>
              <w:left w:val="nil"/>
              <w:bottom w:val="single" w:sz="6" w:space="0" w:color="DDDDDD"/>
              <w:right w:val="nil"/>
            </w:tcBorders>
            <w:noWrap/>
            <w:vAlign w:val="bottom"/>
            <w:hideMark/>
          </w:tcPr>
          <w:p w14:paraId="1073F71F"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–0.36 (–1.35, </w:t>
            </w:r>
            <w:r>
              <w:rPr>
                <w:spacing w:val="-2"/>
                <w:sz w:val="20"/>
                <w:szCs w:val="20"/>
              </w:rPr>
              <w:t>0.62)</w:t>
            </w:r>
          </w:p>
        </w:tc>
        <w:tc>
          <w:tcPr>
            <w:tcW w:w="1898" w:type="dxa"/>
            <w:tcBorders>
              <w:top w:val="single" w:sz="6" w:space="0" w:color="DDDDDD"/>
              <w:left w:val="nil"/>
              <w:bottom w:val="single" w:sz="6" w:space="0" w:color="DDDDDD"/>
              <w:right w:val="nil"/>
            </w:tcBorders>
            <w:noWrap/>
            <w:vAlign w:val="bottom"/>
            <w:hideMark/>
          </w:tcPr>
          <w:p w14:paraId="4BDC1D54"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0.15 (–0.19, </w:t>
            </w:r>
            <w:r>
              <w:rPr>
                <w:spacing w:val="-2"/>
                <w:sz w:val="20"/>
                <w:szCs w:val="20"/>
              </w:rPr>
              <w:t>0.49)</w:t>
            </w:r>
          </w:p>
        </w:tc>
        <w:tc>
          <w:tcPr>
            <w:tcW w:w="1902" w:type="dxa"/>
            <w:tcBorders>
              <w:top w:val="single" w:sz="6" w:space="0" w:color="DDDDDD"/>
              <w:left w:val="nil"/>
              <w:bottom w:val="single" w:sz="6" w:space="0" w:color="DDDDDD"/>
              <w:right w:val="nil"/>
            </w:tcBorders>
            <w:vAlign w:val="bottom"/>
            <w:hideMark/>
          </w:tcPr>
          <w:p w14:paraId="565DFAC7"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0.37 (–0.17, </w:t>
            </w:r>
            <w:r>
              <w:rPr>
                <w:spacing w:val="-2"/>
                <w:sz w:val="20"/>
                <w:szCs w:val="20"/>
              </w:rPr>
              <w:t>0.91)</w:t>
            </w:r>
          </w:p>
        </w:tc>
        <w:tc>
          <w:tcPr>
            <w:tcW w:w="691" w:type="dxa"/>
            <w:tcBorders>
              <w:top w:val="single" w:sz="6" w:space="0" w:color="DDDDDD"/>
              <w:left w:val="nil"/>
              <w:bottom w:val="single" w:sz="6" w:space="0" w:color="DDDDDD"/>
              <w:right w:val="nil"/>
            </w:tcBorders>
            <w:noWrap/>
            <w:vAlign w:val="bottom"/>
            <w:hideMark/>
          </w:tcPr>
          <w:p w14:paraId="6E6A8745" w14:textId="77777777" w:rsidR="00A959D2" w:rsidRDefault="00A959D2">
            <w:pPr>
              <w:spacing w:after="0" w:line="240" w:lineRule="auto"/>
              <w:jc w:val="center"/>
              <w:rPr>
                <w:rFonts w:eastAsia="Times New Roman" w:cs="Times New Roman"/>
                <w:bCs/>
                <w:color w:val="000000"/>
                <w:sz w:val="20"/>
                <w:szCs w:val="20"/>
              </w:rPr>
            </w:pPr>
            <w:r>
              <w:rPr>
                <w:spacing w:val="-2"/>
                <w:sz w:val="20"/>
                <w:szCs w:val="20"/>
              </w:rPr>
              <w:t>0.586</w:t>
            </w:r>
          </w:p>
        </w:tc>
      </w:tr>
      <w:tr w:rsidR="00A959D2" w14:paraId="5AC9F9E1" w14:textId="77777777" w:rsidTr="00A959D2">
        <w:trPr>
          <w:trHeight w:val="300"/>
        </w:trPr>
        <w:tc>
          <w:tcPr>
            <w:tcW w:w="2160" w:type="dxa"/>
            <w:tcBorders>
              <w:top w:val="nil"/>
              <w:left w:val="nil"/>
              <w:bottom w:val="nil"/>
              <w:right w:val="nil"/>
            </w:tcBorders>
            <w:noWrap/>
            <w:vAlign w:val="bottom"/>
            <w:hideMark/>
          </w:tcPr>
          <w:p w14:paraId="797D263A" w14:textId="77777777" w:rsidR="00A959D2" w:rsidRDefault="00A959D2">
            <w:pPr>
              <w:spacing w:after="0" w:line="240" w:lineRule="auto"/>
              <w:rPr>
                <w:rFonts w:cs="Times New Roman"/>
                <w:bCs/>
                <w:sz w:val="20"/>
                <w:szCs w:val="20"/>
              </w:rPr>
            </w:pPr>
            <w:r>
              <w:rPr>
                <w:rFonts w:cs="Times New Roman"/>
                <w:bCs/>
                <w:sz w:val="20"/>
                <w:szCs w:val="20"/>
              </w:rPr>
              <w:t>solid cancer exc. Lung</w:t>
            </w:r>
          </w:p>
        </w:tc>
        <w:tc>
          <w:tcPr>
            <w:tcW w:w="811" w:type="dxa"/>
            <w:tcBorders>
              <w:top w:val="nil"/>
              <w:left w:val="nil"/>
              <w:bottom w:val="nil"/>
              <w:right w:val="nil"/>
            </w:tcBorders>
            <w:shd w:val="clear" w:color="auto" w:fill="FFFFFF"/>
            <w:noWrap/>
            <w:vAlign w:val="bottom"/>
            <w:hideMark/>
          </w:tcPr>
          <w:p w14:paraId="51307B00"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w:t>
            </w:r>
          </w:p>
        </w:tc>
        <w:tc>
          <w:tcPr>
            <w:tcW w:w="1898" w:type="dxa"/>
            <w:tcBorders>
              <w:top w:val="single" w:sz="6" w:space="0" w:color="DDDDDD"/>
              <w:left w:val="nil"/>
              <w:bottom w:val="single" w:sz="6" w:space="0" w:color="DDDDDD"/>
              <w:right w:val="nil"/>
            </w:tcBorders>
            <w:noWrap/>
            <w:vAlign w:val="bottom"/>
            <w:hideMark/>
          </w:tcPr>
          <w:p w14:paraId="4BEB999F"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–0.30 (–1.41, </w:t>
            </w:r>
            <w:r>
              <w:rPr>
                <w:spacing w:val="-2"/>
                <w:sz w:val="20"/>
                <w:szCs w:val="20"/>
              </w:rPr>
              <w:t>0.82)</w:t>
            </w:r>
          </w:p>
        </w:tc>
        <w:tc>
          <w:tcPr>
            <w:tcW w:w="1898" w:type="dxa"/>
            <w:tcBorders>
              <w:top w:val="single" w:sz="6" w:space="0" w:color="DDDDDD"/>
              <w:left w:val="nil"/>
              <w:bottom w:val="single" w:sz="6" w:space="0" w:color="DDDDDD"/>
              <w:right w:val="nil"/>
            </w:tcBorders>
            <w:noWrap/>
            <w:vAlign w:val="bottom"/>
            <w:hideMark/>
          </w:tcPr>
          <w:p w14:paraId="287154CF"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–0.08 (–0.47, </w:t>
            </w:r>
            <w:r>
              <w:rPr>
                <w:spacing w:val="-2"/>
                <w:sz w:val="20"/>
                <w:szCs w:val="20"/>
              </w:rPr>
              <w:t>0.32)</w:t>
            </w:r>
          </w:p>
        </w:tc>
        <w:tc>
          <w:tcPr>
            <w:tcW w:w="1902" w:type="dxa"/>
            <w:tcBorders>
              <w:top w:val="single" w:sz="6" w:space="0" w:color="DDDDDD"/>
              <w:left w:val="nil"/>
              <w:bottom w:val="single" w:sz="6" w:space="0" w:color="DDDDDD"/>
              <w:right w:val="nil"/>
            </w:tcBorders>
            <w:vAlign w:val="bottom"/>
            <w:hideMark/>
          </w:tcPr>
          <w:p w14:paraId="1ECF6031"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0.38 (–0.22, </w:t>
            </w:r>
            <w:r>
              <w:rPr>
                <w:spacing w:val="-2"/>
                <w:sz w:val="20"/>
                <w:szCs w:val="20"/>
              </w:rPr>
              <w:t>0.98)</w:t>
            </w:r>
          </w:p>
        </w:tc>
        <w:tc>
          <w:tcPr>
            <w:tcW w:w="691" w:type="dxa"/>
            <w:tcBorders>
              <w:top w:val="single" w:sz="6" w:space="0" w:color="DDDDDD"/>
              <w:left w:val="nil"/>
              <w:bottom w:val="single" w:sz="6" w:space="0" w:color="DDDDDD"/>
              <w:right w:val="nil"/>
            </w:tcBorders>
            <w:noWrap/>
            <w:vAlign w:val="bottom"/>
            <w:hideMark/>
          </w:tcPr>
          <w:p w14:paraId="14AA0D39" w14:textId="77777777" w:rsidR="00A959D2" w:rsidRDefault="00A959D2">
            <w:pPr>
              <w:spacing w:after="0" w:line="240" w:lineRule="auto"/>
              <w:jc w:val="center"/>
              <w:rPr>
                <w:rFonts w:eastAsia="Times New Roman" w:cs="Times New Roman"/>
                <w:bCs/>
                <w:color w:val="000000"/>
                <w:sz w:val="20"/>
                <w:szCs w:val="20"/>
              </w:rPr>
            </w:pPr>
            <w:r>
              <w:rPr>
                <w:spacing w:val="-2"/>
                <w:sz w:val="20"/>
                <w:szCs w:val="20"/>
              </w:rPr>
              <w:t>0.501</w:t>
            </w:r>
          </w:p>
        </w:tc>
      </w:tr>
      <w:tr w:rsidR="00A959D2" w14:paraId="4C7D467E" w14:textId="77777777" w:rsidTr="00A959D2">
        <w:trPr>
          <w:trHeight w:val="300"/>
        </w:trPr>
        <w:tc>
          <w:tcPr>
            <w:tcW w:w="2160" w:type="dxa"/>
            <w:tcBorders>
              <w:top w:val="nil"/>
              <w:left w:val="nil"/>
              <w:bottom w:val="nil"/>
              <w:right w:val="nil"/>
            </w:tcBorders>
            <w:noWrap/>
            <w:vAlign w:val="bottom"/>
            <w:hideMark/>
          </w:tcPr>
          <w:p w14:paraId="11841318" w14:textId="77777777" w:rsidR="00A959D2" w:rsidRDefault="00A959D2">
            <w:pPr>
              <w:spacing w:after="0" w:line="240" w:lineRule="auto"/>
              <w:rPr>
                <w:rFonts w:cs="Times New Roman"/>
                <w:bCs/>
                <w:sz w:val="20"/>
                <w:szCs w:val="20"/>
              </w:rPr>
            </w:pPr>
            <w:r>
              <w:rPr>
                <w:rFonts w:cs="Times New Roman"/>
                <w:bCs/>
                <w:sz w:val="20"/>
                <w:szCs w:val="20"/>
              </w:rPr>
              <w:t>lung cancer</w:t>
            </w:r>
          </w:p>
        </w:tc>
        <w:tc>
          <w:tcPr>
            <w:tcW w:w="811" w:type="dxa"/>
            <w:tcBorders>
              <w:top w:val="nil"/>
              <w:left w:val="nil"/>
              <w:bottom w:val="nil"/>
              <w:right w:val="nil"/>
            </w:tcBorders>
            <w:shd w:val="clear" w:color="auto" w:fill="FFFFFF"/>
            <w:noWrap/>
            <w:vAlign w:val="bottom"/>
            <w:hideMark/>
          </w:tcPr>
          <w:p w14:paraId="12DD37D8"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w:t>
            </w:r>
          </w:p>
        </w:tc>
        <w:tc>
          <w:tcPr>
            <w:tcW w:w="1898" w:type="dxa"/>
            <w:tcBorders>
              <w:top w:val="single" w:sz="6" w:space="0" w:color="DDDDDD"/>
              <w:left w:val="nil"/>
              <w:bottom w:val="single" w:sz="6" w:space="0" w:color="DDDDDD"/>
              <w:right w:val="nil"/>
            </w:tcBorders>
            <w:noWrap/>
            <w:vAlign w:val="bottom"/>
            <w:hideMark/>
          </w:tcPr>
          <w:p w14:paraId="4BB40ED1"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–0.65 (–2.92, </w:t>
            </w:r>
            <w:r>
              <w:rPr>
                <w:spacing w:val="-2"/>
                <w:sz w:val="20"/>
                <w:szCs w:val="20"/>
              </w:rPr>
              <w:t>1.62)</w:t>
            </w:r>
          </w:p>
        </w:tc>
        <w:tc>
          <w:tcPr>
            <w:tcW w:w="1898" w:type="dxa"/>
            <w:tcBorders>
              <w:top w:val="single" w:sz="6" w:space="0" w:color="DDDDDD"/>
              <w:left w:val="nil"/>
              <w:bottom w:val="single" w:sz="6" w:space="0" w:color="DDDDDD"/>
              <w:right w:val="nil"/>
            </w:tcBorders>
            <w:noWrap/>
            <w:vAlign w:val="bottom"/>
            <w:hideMark/>
          </w:tcPr>
          <w:p w14:paraId="55A94E5A"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0.60 (–0.06, </w:t>
            </w:r>
            <w:r>
              <w:rPr>
                <w:spacing w:val="-2"/>
                <w:sz w:val="20"/>
                <w:szCs w:val="20"/>
              </w:rPr>
              <w:t>1.26)</w:t>
            </w:r>
          </w:p>
        </w:tc>
        <w:tc>
          <w:tcPr>
            <w:tcW w:w="1902" w:type="dxa"/>
            <w:tcBorders>
              <w:top w:val="single" w:sz="6" w:space="0" w:color="DDDDDD"/>
              <w:left w:val="nil"/>
              <w:bottom w:val="single" w:sz="6" w:space="0" w:color="DDDDDD"/>
              <w:right w:val="nil"/>
            </w:tcBorders>
            <w:vAlign w:val="bottom"/>
            <w:hideMark/>
          </w:tcPr>
          <w:p w14:paraId="5B2FB826"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0.33 (–0.91, </w:t>
            </w:r>
            <w:r>
              <w:rPr>
                <w:spacing w:val="-2"/>
                <w:sz w:val="20"/>
                <w:szCs w:val="20"/>
              </w:rPr>
              <w:t>1.56)</w:t>
            </w:r>
          </w:p>
        </w:tc>
        <w:tc>
          <w:tcPr>
            <w:tcW w:w="691" w:type="dxa"/>
            <w:tcBorders>
              <w:top w:val="single" w:sz="6" w:space="0" w:color="DDDDDD"/>
              <w:left w:val="nil"/>
              <w:bottom w:val="single" w:sz="6" w:space="0" w:color="DDDDDD"/>
              <w:right w:val="nil"/>
            </w:tcBorders>
            <w:noWrap/>
            <w:vAlign w:val="bottom"/>
            <w:hideMark/>
          </w:tcPr>
          <w:p w14:paraId="50B86165" w14:textId="77777777" w:rsidR="00A959D2" w:rsidRDefault="00A959D2">
            <w:pPr>
              <w:spacing w:after="0" w:line="240" w:lineRule="auto"/>
              <w:jc w:val="center"/>
              <w:rPr>
                <w:rFonts w:eastAsia="Times New Roman" w:cs="Times New Roman"/>
                <w:bCs/>
                <w:color w:val="000000"/>
                <w:sz w:val="20"/>
                <w:szCs w:val="20"/>
              </w:rPr>
            </w:pPr>
            <w:r>
              <w:rPr>
                <w:spacing w:val="-2"/>
                <w:sz w:val="20"/>
                <w:szCs w:val="20"/>
              </w:rPr>
              <w:t>0.707</w:t>
            </w:r>
          </w:p>
        </w:tc>
      </w:tr>
      <w:tr w:rsidR="00A959D2" w14:paraId="1B1CB834" w14:textId="77777777" w:rsidTr="00A959D2">
        <w:trPr>
          <w:trHeight w:val="300"/>
        </w:trPr>
        <w:tc>
          <w:tcPr>
            <w:tcW w:w="2160" w:type="dxa"/>
            <w:tcBorders>
              <w:top w:val="nil"/>
              <w:left w:val="nil"/>
              <w:bottom w:val="nil"/>
              <w:right w:val="nil"/>
            </w:tcBorders>
            <w:noWrap/>
            <w:vAlign w:val="bottom"/>
            <w:hideMark/>
          </w:tcPr>
          <w:p w14:paraId="7D0631B4" w14:textId="77777777" w:rsidR="00A959D2" w:rsidRDefault="00A959D2">
            <w:pPr>
              <w:spacing w:after="0" w:line="240" w:lineRule="auto"/>
              <w:rPr>
                <w:rFonts w:cs="Times New Roman"/>
                <w:bCs/>
                <w:sz w:val="20"/>
                <w:szCs w:val="20"/>
              </w:rPr>
            </w:pPr>
            <w:r>
              <w:rPr>
                <w:rFonts w:cs="Times New Roman"/>
                <w:bCs/>
                <w:sz w:val="20"/>
                <w:szCs w:val="20"/>
              </w:rPr>
              <w:t>leukemias excl. CLL</w:t>
            </w:r>
          </w:p>
        </w:tc>
        <w:tc>
          <w:tcPr>
            <w:tcW w:w="811" w:type="dxa"/>
            <w:tcBorders>
              <w:top w:val="nil"/>
              <w:left w:val="nil"/>
              <w:bottom w:val="nil"/>
              <w:right w:val="nil"/>
            </w:tcBorders>
            <w:shd w:val="clear" w:color="auto" w:fill="FFFFFF"/>
            <w:noWrap/>
            <w:vAlign w:val="bottom"/>
            <w:hideMark/>
          </w:tcPr>
          <w:p w14:paraId="71ADAFBD"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p>
        </w:tc>
        <w:tc>
          <w:tcPr>
            <w:tcW w:w="1898" w:type="dxa"/>
            <w:tcBorders>
              <w:top w:val="single" w:sz="6" w:space="0" w:color="DDDDDD"/>
              <w:left w:val="nil"/>
              <w:bottom w:val="single" w:sz="6" w:space="0" w:color="DDDDDD"/>
              <w:right w:val="nil"/>
            </w:tcBorders>
            <w:noWrap/>
            <w:vAlign w:val="bottom"/>
            <w:hideMark/>
          </w:tcPr>
          <w:p w14:paraId="2F3BCE7C"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2.89 (–3.36, </w:t>
            </w:r>
            <w:r>
              <w:rPr>
                <w:spacing w:val="-2"/>
                <w:sz w:val="20"/>
                <w:szCs w:val="20"/>
              </w:rPr>
              <w:t>9.14)</w:t>
            </w:r>
          </w:p>
        </w:tc>
        <w:tc>
          <w:tcPr>
            <w:tcW w:w="1898" w:type="dxa"/>
            <w:tcBorders>
              <w:top w:val="single" w:sz="6" w:space="0" w:color="DDDDDD"/>
              <w:left w:val="nil"/>
              <w:bottom w:val="single" w:sz="6" w:space="0" w:color="DDDDDD"/>
              <w:right w:val="nil"/>
            </w:tcBorders>
            <w:noWrap/>
            <w:vAlign w:val="bottom"/>
            <w:hideMark/>
          </w:tcPr>
          <w:p w14:paraId="246D4962"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1.62 (–0.87, </w:t>
            </w:r>
            <w:r>
              <w:rPr>
                <w:spacing w:val="-2"/>
                <w:sz w:val="20"/>
                <w:szCs w:val="20"/>
              </w:rPr>
              <w:t>4.11)</w:t>
            </w:r>
          </w:p>
        </w:tc>
        <w:tc>
          <w:tcPr>
            <w:tcW w:w="1902" w:type="dxa"/>
            <w:tcBorders>
              <w:top w:val="single" w:sz="6" w:space="0" w:color="DDDDDD"/>
              <w:left w:val="nil"/>
              <w:bottom w:val="single" w:sz="6" w:space="0" w:color="DDDDDD"/>
              <w:right w:val="nil"/>
            </w:tcBorders>
            <w:vAlign w:val="bottom"/>
            <w:hideMark/>
          </w:tcPr>
          <w:p w14:paraId="0FA50261"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6.33 (0.93, </w:t>
            </w:r>
            <w:r>
              <w:rPr>
                <w:spacing w:val="-2"/>
                <w:sz w:val="20"/>
                <w:szCs w:val="20"/>
              </w:rPr>
              <w:t>11.7)</w:t>
            </w:r>
          </w:p>
        </w:tc>
        <w:tc>
          <w:tcPr>
            <w:tcW w:w="691" w:type="dxa"/>
            <w:tcBorders>
              <w:top w:val="single" w:sz="6" w:space="0" w:color="DDDDDD"/>
              <w:left w:val="nil"/>
              <w:bottom w:val="single" w:sz="6" w:space="0" w:color="DDDDDD"/>
              <w:right w:val="nil"/>
            </w:tcBorders>
            <w:noWrap/>
            <w:vAlign w:val="bottom"/>
            <w:hideMark/>
          </w:tcPr>
          <w:p w14:paraId="48590B8B" w14:textId="77777777" w:rsidR="00A959D2" w:rsidRDefault="00A959D2">
            <w:pPr>
              <w:spacing w:after="0" w:line="240" w:lineRule="auto"/>
              <w:jc w:val="center"/>
              <w:rPr>
                <w:rFonts w:eastAsia="Times New Roman" w:cs="Times New Roman"/>
                <w:bCs/>
                <w:color w:val="000000"/>
                <w:sz w:val="20"/>
                <w:szCs w:val="20"/>
              </w:rPr>
            </w:pPr>
            <w:r>
              <w:rPr>
                <w:spacing w:val="-2"/>
                <w:sz w:val="20"/>
                <w:szCs w:val="20"/>
              </w:rPr>
              <w:t>0.347</w:t>
            </w:r>
          </w:p>
        </w:tc>
      </w:tr>
      <w:tr w:rsidR="00A959D2" w14:paraId="61ABC12E" w14:textId="77777777" w:rsidTr="00A959D2">
        <w:trPr>
          <w:trHeight w:val="300"/>
        </w:trPr>
        <w:tc>
          <w:tcPr>
            <w:tcW w:w="2160" w:type="dxa"/>
            <w:tcBorders>
              <w:top w:val="nil"/>
              <w:left w:val="nil"/>
              <w:bottom w:val="nil"/>
              <w:right w:val="nil"/>
            </w:tcBorders>
            <w:noWrap/>
            <w:vAlign w:val="bottom"/>
            <w:hideMark/>
          </w:tcPr>
          <w:p w14:paraId="37D35B2A" w14:textId="77777777" w:rsidR="00A959D2" w:rsidRDefault="00A959D2">
            <w:pPr>
              <w:spacing w:after="0" w:line="240" w:lineRule="auto"/>
              <w:ind w:left="288"/>
              <w:rPr>
                <w:rFonts w:cs="Times New Roman"/>
                <w:bCs/>
                <w:sz w:val="20"/>
                <w:szCs w:val="20"/>
              </w:rPr>
            </w:pPr>
            <w:r>
              <w:rPr>
                <w:rFonts w:cs="Times New Roman"/>
                <w:bCs/>
                <w:sz w:val="20"/>
                <w:szCs w:val="20"/>
              </w:rPr>
              <w:t>CML</w:t>
            </w:r>
          </w:p>
        </w:tc>
        <w:tc>
          <w:tcPr>
            <w:tcW w:w="811" w:type="dxa"/>
            <w:tcBorders>
              <w:top w:val="nil"/>
              <w:left w:val="nil"/>
              <w:bottom w:val="nil"/>
              <w:right w:val="nil"/>
            </w:tcBorders>
            <w:shd w:val="clear" w:color="auto" w:fill="FFFFFF"/>
            <w:noWrap/>
            <w:vAlign w:val="bottom"/>
            <w:hideMark/>
          </w:tcPr>
          <w:p w14:paraId="425D1D8B"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p>
        </w:tc>
        <w:tc>
          <w:tcPr>
            <w:tcW w:w="1898" w:type="dxa"/>
            <w:tcBorders>
              <w:top w:val="single" w:sz="6" w:space="0" w:color="DDDDDD"/>
              <w:left w:val="nil"/>
              <w:bottom w:val="single" w:sz="6" w:space="0" w:color="DDDDDD"/>
              <w:right w:val="nil"/>
            </w:tcBorders>
            <w:noWrap/>
            <w:vAlign w:val="bottom"/>
            <w:hideMark/>
          </w:tcPr>
          <w:p w14:paraId="09433BAF"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5.58 (–7.14, </w:t>
            </w:r>
            <w:r>
              <w:rPr>
                <w:spacing w:val="-2"/>
                <w:sz w:val="20"/>
                <w:szCs w:val="20"/>
              </w:rPr>
              <w:t>18.3)</w:t>
            </w:r>
          </w:p>
        </w:tc>
        <w:tc>
          <w:tcPr>
            <w:tcW w:w="1898" w:type="dxa"/>
            <w:tcBorders>
              <w:top w:val="single" w:sz="6" w:space="0" w:color="DDDDDD"/>
              <w:left w:val="nil"/>
              <w:bottom w:val="single" w:sz="6" w:space="0" w:color="DDDDDD"/>
              <w:right w:val="nil"/>
            </w:tcBorders>
            <w:noWrap/>
            <w:vAlign w:val="bottom"/>
            <w:hideMark/>
          </w:tcPr>
          <w:p w14:paraId="73556869"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5.00 (–3.12, </w:t>
            </w:r>
            <w:r>
              <w:rPr>
                <w:spacing w:val="-2"/>
                <w:sz w:val="20"/>
                <w:szCs w:val="20"/>
              </w:rPr>
              <w:t>13.1)</w:t>
            </w:r>
          </w:p>
        </w:tc>
        <w:tc>
          <w:tcPr>
            <w:tcW w:w="1902" w:type="dxa"/>
            <w:tcBorders>
              <w:top w:val="single" w:sz="6" w:space="0" w:color="DDDDDD"/>
              <w:left w:val="nil"/>
              <w:bottom w:val="single" w:sz="6" w:space="0" w:color="DDDDDD"/>
              <w:right w:val="nil"/>
            </w:tcBorders>
            <w:vAlign w:val="bottom"/>
            <w:hideMark/>
          </w:tcPr>
          <w:p w14:paraId="2E937B0F"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39.8 (–17.9, </w:t>
            </w:r>
            <w:r>
              <w:rPr>
                <w:spacing w:val="-2"/>
                <w:sz w:val="20"/>
                <w:szCs w:val="20"/>
              </w:rPr>
              <w:t>97.5)</w:t>
            </w:r>
          </w:p>
        </w:tc>
        <w:tc>
          <w:tcPr>
            <w:tcW w:w="691" w:type="dxa"/>
            <w:tcBorders>
              <w:top w:val="single" w:sz="6" w:space="0" w:color="DDDDDD"/>
              <w:left w:val="nil"/>
              <w:bottom w:val="single" w:sz="6" w:space="0" w:color="DDDDDD"/>
              <w:right w:val="nil"/>
            </w:tcBorders>
            <w:noWrap/>
            <w:vAlign w:val="bottom"/>
            <w:hideMark/>
          </w:tcPr>
          <w:p w14:paraId="6AE4AC1D" w14:textId="77777777" w:rsidR="00A959D2" w:rsidRDefault="00A959D2">
            <w:pPr>
              <w:spacing w:after="0" w:line="240" w:lineRule="auto"/>
              <w:jc w:val="center"/>
              <w:rPr>
                <w:rFonts w:eastAsia="Times New Roman" w:cs="Times New Roman"/>
                <w:bCs/>
                <w:color w:val="000000"/>
                <w:sz w:val="20"/>
                <w:szCs w:val="20"/>
              </w:rPr>
            </w:pPr>
            <w:r>
              <w:rPr>
                <w:spacing w:val="-2"/>
                <w:sz w:val="20"/>
                <w:szCs w:val="20"/>
              </w:rPr>
              <w:t>0.222</w:t>
            </w:r>
          </w:p>
        </w:tc>
      </w:tr>
      <w:tr w:rsidR="00A959D2" w14:paraId="76600728" w14:textId="77777777" w:rsidTr="00A959D2">
        <w:trPr>
          <w:trHeight w:val="300"/>
        </w:trPr>
        <w:tc>
          <w:tcPr>
            <w:tcW w:w="2160" w:type="dxa"/>
            <w:tcBorders>
              <w:top w:val="nil"/>
              <w:left w:val="nil"/>
              <w:bottom w:val="nil"/>
              <w:right w:val="nil"/>
            </w:tcBorders>
            <w:noWrap/>
            <w:vAlign w:val="bottom"/>
            <w:hideMark/>
          </w:tcPr>
          <w:p w14:paraId="151EEA3D" w14:textId="77777777" w:rsidR="00A959D2" w:rsidRDefault="00A959D2">
            <w:pPr>
              <w:spacing w:after="0" w:line="240" w:lineRule="auto"/>
              <w:ind w:left="288"/>
              <w:rPr>
                <w:rFonts w:cs="Times New Roman"/>
                <w:bCs/>
                <w:sz w:val="20"/>
                <w:szCs w:val="20"/>
              </w:rPr>
            </w:pPr>
            <w:r>
              <w:rPr>
                <w:rFonts w:cs="Times New Roman"/>
                <w:bCs/>
                <w:sz w:val="20"/>
                <w:szCs w:val="20"/>
              </w:rPr>
              <w:t>AML</w:t>
            </w:r>
          </w:p>
        </w:tc>
        <w:tc>
          <w:tcPr>
            <w:tcW w:w="811" w:type="dxa"/>
            <w:tcBorders>
              <w:top w:val="nil"/>
              <w:left w:val="nil"/>
              <w:bottom w:val="nil"/>
              <w:right w:val="nil"/>
            </w:tcBorders>
            <w:shd w:val="clear" w:color="auto" w:fill="FFFFFF"/>
            <w:noWrap/>
            <w:vAlign w:val="bottom"/>
            <w:hideMark/>
          </w:tcPr>
          <w:p w14:paraId="5E0CE88C"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p>
        </w:tc>
        <w:tc>
          <w:tcPr>
            <w:tcW w:w="1898" w:type="dxa"/>
            <w:tcBorders>
              <w:top w:val="single" w:sz="6" w:space="0" w:color="DDDDDD"/>
              <w:left w:val="nil"/>
              <w:bottom w:val="single" w:sz="6" w:space="0" w:color="DDDDDD"/>
              <w:right w:val="nil"/>
            </w:tcBorders>
            <w:noWrap/>
            <w:vAlign w:val="bottom"/>
            <w:hideMark/>
          </w:tcPr>
          <w:p w14:paraId="30421A27"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0.79 (–5.34, </w:t>
            </w:r>
            <w:r>
              <w:rPr>
                <w:spacing w:val="-2"/>
                <w:sz w:val="20"/>
                <w:szCs w:val="20"/>
              </w:rPr>
              <w:t>6.91)</w:t>
            </w:r>
          </w:p>
        </w:tc>
        <w:tc>
          <w:tcPr>
            <w:tcW w:w="1898" w:type="dxa"/>
            <w:tcBorders>
              <w:top w:val="single" w:sz="6" w:space="0" w:color="DDDDDD"/>
              <w:left w:val="nil"/>
              <w:bottom w:val="single" w:sz="6" w:space="0" w:color="DDDDDD"/>
              <w:right w:val="nil"/>
            </w:tcBorders>
            <w:noWrap/>
            <w:vAlign w:val="bottom"/>
            <w:hideMark/>
          </w:tcPr>
          <w:p w14:paraId="72F21518"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–0.82 (–3.54, </w:t>
            </w:r>
            <w:r>
              <w:rPr>
                <w:spacing w:val="-2"/>
                <w:sz w:val="20"/>
                <w:szCs w:val="20"/>
              </w:rPr>
              <w:t>1.90)</w:t>
            </w:r>
          </w:p>
        </w:tc>
        <w:tc>
          <w:tcPr>
            <w:tcW w:w="1902" w:type="dxa"/>
            <w:tcBorders>
              <w:top w:val="single" w:sz="6" w:space="0" w:color="DDDDDD"/>
              <w:left w:val="nil"/>
              <w:bottom w:val="single" w:sz="6" w:space="0" w:color="DDDDDD"/>
              <w:right w:val="nil"/>
            </w:tcBorders>
            <w:vAlign w:val="bottom"/>
            <w:hideMark/>
          </w:tcPr>
          <w:p w14:paraId="4C202C22"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1.19 (–2.51, </w:t>
            </w:r>
            <w:r>
              <w:rPr>
                <w:spacing w:val="-2"/>
                <w:sz w:val="20"/>
                <w:szCs w:val="20"/>
              </w:rPr>
              <w:t>4.88)</w:t>
            </w:r>
          </w:p>
        </w:tc>
        <w:tc>
          <w:tcPr>
            <w:tcW w:w="691" w:type="dxa"/>
            <w:tcBorders>
              <w:top w:val="single" w:sz="6" w:space="0" w:color="DDDDDD"/>
              <w:left w:val="nil"/>
              <w:bottom w:val="single" w:sz="6" w:space="0" w:color="DDDDDD"/>
              <w:right w:val="nil"/>
            </w:tcBorders>
            <w:noWrap/>
            <w:vAlign w:val="bottom"/>
            <w:hideMark/>
          </w:tcPr>
          <w:p w14:paraId="0949FC48" w14:textId="77777777" w:rsidR="00A959D2" w:rsidRDefault="00A959D2">
            <w:pPr>
              <w:spacing w:after="0" w:line="240" w:lineRule="auto"/>
              <w:jc w:val="center"/>
              <w:rPr>
                <w:rFonts w:eastAsia="Times New Roman" w:cs="Times New Roman"/>
                <w:bCs/>
                <w:color w:val="000000"/>
                <w:sz w:val="20"/>
                <w:szCs w:val="20"/>
              </w:rPr>
            </w:pPr>
            <w:r>
              <w:rPr>
                <w:spacing w:val="-2"/>
                <w:sz w:val="20"/>
                <w:szCs w:val="20"/>
              </w:rPr>
              <w:t>0.487</w:t>
            </w:r>
          </w:p>
        </w:tc>
      </w:tr>
      <w:tr w:rsidR="00A959D2" w14:paraId="112AEE24" w14:textId="77777777" w:rsidTr="00A959D2">
        <w:trPr>
          <w:trHeight w:val="300"/>
        </w:trPr>
        <w:tc>
          <w:tcPr>
            <w:tcW w:w="2160" w:type="dxa"/>
            <w:tcBorders>
              <w:top w:val="nil"/>
              <w:left w:val="nil"/>
              <w:bottom w:val="nil"/>
              <w:right w:val="nil"/>
            </w:tcBorders>
            <w:noWrap/>
            <w:vAlign w:val="bottom"/>
            <w:hideMark/>
          </w:tcPr>
          <w:p w14:paraId="5CFF81CA" w14:textId="77777777" w:rsidR="00A959D2" w:rsidRDefault="00A959D2">
            <w:pPr>
              <w:spacing w:after="0" w:line="240" w:lineRule="auto"/>
              <w:rPr>
                <w:rFonts w:cs="Times New Roman"/>
                <w:bCs/>
                <w:sz w:val="20"/>
                <w:szCs w:val="20"/>
              </w:rPr>
            </w:pPr>
            <w:r>
              <w:rPr>
                <w:rFonts w:cs="Times New Roman"/>
                <w:bCs/>
                <w:sz w:val="20"/>
                <w:szCs w:val="20"/>
              </w:rPr>
              <w:t>AML+MDS</w:t>
            </w:r>
          </w:p>
        </w:tc>
        <w:tc>
          <w:tcPr>
            <w:tcW w:w="811" w:type="dxa"/>
            <w:tcBorders>
              <w:top w:val="nil"/>
              <w:left w:val="nil"/>
              <w:bottom w:val="nil"/>
              <w:right w:val="nil"/>
            </w:tcBorders>
            <w:shd w:val="clear" w:color="auto" w:fill="FFFFFF"/>
            <w:noWrap/>
            <w:vAlign w:val="bottom"/>
            <w:hideMark/>
          </w:tcPr>
          <w:p w14:paraId="512310C0"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p>
        </w:tc>
        <w:tc>
          <w:tcPr>
            <w:tcW w:w="1898" w:type="dxa"/>
            <w:tcBorders>
              <w:top w:val="single" w:sz="6" w:space="0" w:color="DDDDDD"/>
              <w:left w:val="nil"/>
              <w:bottom w:val="single" w:sz="6" w:space="0" w:color="DDDDDD"/>
              <w:right w:val="nil"/>
            </w:tcBorders>
            <w:noWrap/>
            <w:vAlign w:val="bottom"/>
            <w:hideMark/>
          </w:tcPr>
          <w:p w14:paraId="494684F1"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0.91 (–5.33, </w:t>
            </w:r>
            <w:r>
              <w:rPr>
                <w:spacing w:val="-2"/>
                <w:sz w:val="20"/>
                <w:szCs w:val="20"/>
              </w:rPr>
              <w:t>7.16)</w:t>
            </w:r>
          </w:p>
        </w:tc>
        <w:tc>
          <w:tcPr>
            <w:tcW w:w="1898" w:type="dxa"/>
            <w:tcBorders>
              <w:top w:val="single" w:sz="6" w:space="0" w:color="DDDDDD"/>
              <w:left w:val="nil"/>
              <w:bottom w:val="single" w:sz="6" w:space="0" w:color="DDDDDD"/>
              <w:right w:val="nil"/>
            </w:tcBorders>
            <w:noWrap/>
            <w:vAlign w:val="bottom"/>
            <w:hideMark/>
          </w:tcPr>
          <w:p w14:paraId="316700AC"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–0.82 (–2.80, </w:t>
            </w:r>
            <w:r>
              <w:rPr>
                <w:spacing w:val="-2"/>
                <w:sz w:val="20"/>
                <w:szCs w:val="20"/>
              </w:rPr>
              <w:t>1.16)</w:t>
            </w:r>
          </w:p>
        </w:tc>
        <w:tc>
          <w:tcPr>
            <w:tcW w:w="1902" w:type="dxa"/>
            <w:tcBorders>
              <w:top w:val="single" w:sz="6" w:space="0" w:color="DDDDDD"/>
              <w:left w:val="nil"/>
              <w:bottom w:val="single" w:sz="6" w:space="0" w:color="DDDDDD"/>
              <w:right w:val="nil"/>
            </w:tcBorders>
            <w:vAlign w:val="bottom"/>
            <w:hideMark/>
          </w:tcPr>
          <w:p w14:paraId="57918845"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2.08 (–0.91, </w:t>
            </w:r>
            <w:r>
              <w:rPr>
                <w:spacing w:val="-2"/>
                <w:sz w:val="20"/>
                <w:szCs w:val="20"/>
              </w:rPr>
              <w:t>5.08)</w:t>
            </w:r>
          </w:p>
        </w:tc>
        <w:tc>
          <w:tcPr>
            <w:tcW w:w="691" w:type="dxa"/>
            <w:tcBorders>
              <w:top w:val="single" w:sz="6" w:space="0" w:color="DDDDDD"/>
              <w:left w:val="nil"/>
              <w:bottom w:val="single" w:sz="6" w:space="0" w:color="DDDDDD"/>
              <w:right w:val="nil"/>
            </w:tcBorders>
            <w:noWrap/>
            <w:vAlign w:val="bottom"/>
            <w:hideMark/>
          </w:tcPr>
          <w:p w14:paraId="0525AB57" w14:textId="77777777" w:rsidR="00A959D2" w:rsidRDefault="00A959D2">
            <w:pPr>
              <w:spacing w:after="0" w:line="240" w:lineRule="auto"/>
              <w:jc w:val="center"/>
              <w:rPr>
                <w:rFonts w:eastAsia="Times New Roman" w:cs="Times New Roman"/>
                <w:bCs/>
                <w:color w:val="000000"/>
                <w:sz w:val="20"/>
                <w:szCs w:val="20"/>
              </w:rPr>
            </w:pPr>
            <w:r>
              <w:rPr>
                <w:spacing w:val="-2"/>
                <w:sz w:val="20"/>
                <w:szCs w:val="20"/>
              </w:rPr>
              <w:t>0.257</w:t>
            </w:r>
          </w:p>
        </w:tc>
      </w:tr>
      <w:tr w:rsidR="00A959D2" w14:paraId="0DA0809A" w14:textId="77777777" w:rsidTr="00A959D2">
        <w:trPr>
          <w:trHeight w:val="300"/>
        </w:trPr>
        <w:tc>
          <w:tcPr>
            <w:tcW w:w="2160" w:type="dxa"/>
            <w:tcBorders>
              <w:top w:val="nil"/>
              <w:left w:val="nil"/>
              <w:bottom w:val="nil"/>
              <w:right w:val="nil"/>
            </w:tcBorders>
            <w:noWrap/>
            <w:vAlign w:val="bottom"/>
            <w:hideMark/>
          </w:tcPr>
          <w:p w14:paraId="36FEA422" w14:textId="77777777" w:rsidR="00A959D2" w:rsidRDefault="00A959D2">
            <w:pPr>
              <w:spacing w:after="0" w:line="240" w:lineRule="auto"/>
              <w:rPr>
                <w:rFonts w:cs="Times New Roman"/>
                <w:bCs/>
                <w:sz w:val="20"/>
                <w:szCs w:val="20"/>
              </w:rPr>
            </w:pPr>
            <w:r>
              <w:rPr>
                <w:rFonts w:cs="Times New Roman"/>
                <w:bCs/>
                <w:sz w:val="20"/>
                <w:szCs w:val="20"/>
              </w:rPr>
              <w:t>MM</w:t>
            </w:r>
          </w:p>
        </w:tc>
        <w:tc>
          <w:tcPr>
            <w:tcW w:w="811" w:type="dxa"/>
            <w:tcBorders>
              <w:top w:val="nil"/>
              <w:left w:val="nil"/>
              <w:bottom w:val="nil"/>
              <w:right w:val="nil"/>
            </w:tcBorders>
            <w:shd w:val="clear" w:color="auto" w:fill="FFFFFF"/>
            <w:noWrap/>
            <w:vAlign w:val="bottom"/>
            <w:hideMark/>
          </w:tcPr>
          <w:p w14:paraId="61EB8A03"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2</w:t>
            </w:r>
          </w:p>
        </w:tc>
        <w:tc>
          <w:tcPr>
            <w:tcW w:w="1898" w:type="dxa"/>
            <w:tcBorders>
              <w:top w:val="single" w:sz="6" w:space="0" w:color="DDDDDD"/>
              <w:left w:val="nil"/>
              <w:bottom w:val="single" w:sz="6" w:space="0" w:color="DDDDDD"/>
              <w:right w:val="nil"/>
            </w:tcBorders>
            <w:noWrap/>
            <w:vAlign w:val="bottom"/>
            <w:hideMark/>
          </w:tcPr>
          <w:p w14:paraId="241A70E1"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1.07 (–3.65, </w:t>
            </w:r>
            <w:r>
              <w:rPr>
                <w:spacing w:val="-2"/>
                <w:sz w:val="20"/>
                <w:szCs w:val="20"/>
              </w:rPr>
              <w:t>5.79)</w:t>
            </w:r>
          </w:p>
        </w:tc>
        <w:tc>
          <w:tcPr>
            <w:tcW w:w="1898" w:type="dxa"/>
            <w:tcBorders>
              <w:top w:val="single" w:sz="6" w:space="0" w:color="DDDDDD"/>
              <w:left w:val="nil"/>
              <w:bottom w:val="single" w:sz="6" w:space="0" w:color="DDDDDD"/>
              <w:right w:val="nil"/>
            </w:tcBorders>
            <w:noWrap/>
            <w:vAlign w:val="bottom"/>
            <w:hideMark/>
          </w:tcPr>
          <w:p w14:paraId="25692EC6"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2.17 (–0.64, </w:t>
            </w:r>
            <w:r>
              <w:rPr>
                <w:spacing w:val="-2"/>
                <w:sz w:val="20"/>
                <w:szCs w:val="20"/>
              </w:rPr>
              <w:t>4.99)</w:t>
            </w:r>
          </w:p>
        </w:tc>
        <w:tc>
          <w:tcPr>
            <w:tcW w:w="1902" w:type="dxa"/>
            <w:tcBorders>
              <w:top w:val="single" w:sz="6" w:space="0" w:color="DDDDDD"/>
              <w:left w:val="nil"/>
              <w:bottom w:val="single" w:sz="6" w:space="0" w:color="DDDDDD"/>
              <w:right w:val="nil"/>
            </w:tcBorders>
            <w:vAlign w:val="bottom"/>
            <w:hideMark/>
          </w:tcPr>
          <w:p w14:paraId="4F341CE6"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–0.82 (–3.22, </w:t>
            </w:r>
            <w:r>
              <w:rPr>
                <w:spacing w:val="-2"/>
                <w:sz w:val="20"/>
                <w:szCs w:val="20"/>
              </w:rPr>
              <w:t>1.57)</w:t>
            </w:r>
          </w:p>
        </w:tc>
        <w:tc>
          <w:tcPr>
            <w:tcW w:w="691" w:type="dxa"/>
            <w:tcBorders>
              <w:top w:val="single" w:sz="6" w:space="0" w:color="DDDDDD"/>
              <w:left w:val="nil"/>
              <w:bottom w:val="single" w:sz="6" w:space="0" w:color="DDDDDD"/>
              <w:right w:val="nil"/>
            </w:tcBorders>
            <w:noWrap/>
            <w:vAlign w:val="bottom"/>
            <w:hideMark/>
          </w:tcPr>
          <w:p w14:paraId="1D457B86" w14:textId="77777777" w:rsidR="00A959D2" w:rsidRDefault="00A959D2">
            <w:pPr>
              <w:spacing w:after="0" w:line="240" w:lineRule="auto"/>
              <w:jc w:val="center"/>
              <w:rPr>
                <w:rFonts w:eastAsia="Times New Roman" w:cs="Times New Roman"/>
                <w:bCs/>
                <w:color w:val="000000"/>
                <w:sz w:val="20"/>
                <w:szCs w:val="20"/>
              </w:rPr>
            </w:pPr>
            <w:r>
              <w:rPr>
                <w:spacing w:val="-2"/>
                <w:sz w:val="20"/>
                <w:szCs w:val="20"/>
              </w:rPr>
              <w:t>0.360</w:t>
            </w:r>
          </w:p>
        </w:tc>
      </w:tr>
      <w:tr w:rsidR="00A959D2" w14:paraId="712F0867" w14:textId="77777777" w:rsidTr="00A959D2">
        <w:trPr>
          <w:trHeight w:val="300"/>
        </w:trPr>
        <w:tc>
          <w:tcPr>
            <w:tcW w:w="2160" w:type="dxa"/>
            <w:tcBorders>
              <w:top w:val="nil"/>
              <w:left w:val="nil"/>
              <w:bottom w:val="single" w:sz="8" w:space="0" w:color="000000" w:themeColor="text1"/>
              <w:right w:val="nil"/>
            </w:tcBorders>
            <w:noWrap/>
            <w:vAlign w:val="bottom"/>
            <w:hideMark/>
          </w:tcPr>
          <w:p w14:paraId="61723AE8" w14:textId="77777777" w:rsidR="00A959D2" w:rsidRDefault="00A959D2">
            <w:pPr>
              <w:spacing w:after="0" w:line="240" w:lineRule="auto"/>
              <w:rPr>
                <w:rFonts w:cs="Times New Roman"/>
                <w:bCs/>
                <w:sz w:val="20"/>
                <w:szCs w:val="20"/>
              </w:rPr>
            </w:pPr>
            <w:r>
              <w:rPr>
                <w:rFonts w:cs="Times New Roman"/>
                <w:bCs/>
                <w:sz w:val="20"/>
                <w:szCs w:val="20"/>
              </w:rPr>
              <w:t>NHL</w:t>
            </w:r>
          </w:p>
        </w:tc>
        <w:tc>
          <w:tcPr>
            <w:tcW w:w="811" w:type="dxa"/>
            <w:tcBorders>
              <w:top w:val="nil"/>
              <w:left w:val="nil"/>
              <w:bottom w:val="single" w:sz="8" w:space="0" w:color="000000" w:themeColor="text1"/>
              <w:right w:val="nil"/>
            </w:tcBorders>
            <w:shd w:val="clear" w:color="auto" w:fill="FFFFFF"/>
            <w:noWrap/>
            <w:vAlign w:val="bottom"/>
            <w:hideMark/>
          </w:tcPr>
          <w:p w14:paraId="764AC180" w14:textId="77777777" w:rsidR="00A959D2" w:rsidRDefault="00A959D2">
            <w:pPr>
              <w:spacing w:after="0" w:line="240" w:lineRule="auto"/>
              <w:jc w:val="center"/>
              <w:rPr>
                <w:rFonts w:eastAsia="Times New Roman" w:cs="Times New Roman"/>
                <w:bCs/>
                <w:color w:val="000000"/>
                <w:sz w:val="20"/>
                <w:szCs w:val="20"/>
              </w:rPr>
            </w:pPr>
            <w:r>
              <w:rPr>
                <w:rFonts w:eastAsia="Times New Roman" w:cs="Times New Roman"/>
                <w:bCs/>
                <w:color w:val="000000"/>
                <w:sz w:val="20"/>
                <w:szCs w:val="20"/>
              </w:rPr>
              <w:t>10</w:t>
            </w:r>
          </w:p>
        </w:tc>
        <w:tc>
          <w:tcPr>
            <w:tcW w:w="1898" w:type="dxa"/>
            <w:tcBorders>
              <w:top w:val="single" w:sz="6" w:space="0" w:color="DDDDDD"/>
              <w:left w:val="nil"/>
              <w:bottom w:val="single" w:sz="8" w:space="0" w:color="auto"/>
              <w:right w:val="nil"/>
            </w:tcBorders>
            <w:noWrap/>
            <w:vAlign w:val="bottom"/>
            <w:hideMark/>
          </w:tcPr>
          <w:p w14:paraId="2CEE48EE"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8.54 (–2.59, </w:t>
            </w:r>
            <w:r>
              <w:rPr>
                <w:spacing w:val="-2"/>
                <w:sz w:val="20"/>
                <w:szCs w:val="20"/>
              </w:rPr>
              <w:t>19.7)</w:t>
            </w:r>
          </w:p>
        </w:tc>
        <w:tc>
          <w:tcPr>
            <w:tcW w:w="1898" w:type="dxa"/>
            <w:tcBorders>
              <w:top w:val="single" w:sz="6" w:space="0" w:color="DDDDDD"/>
              <w:left w:val="nil"/>
              <w:bottom w:val="single" w:sz="8" w:space="0" w:color="auto"/>
              <w:right w:val="nil"/>
            </w:tcBorders>
            <w:noWrap/>
            <w:vAlign w:val="bottom"/>
            <w:hideMark/>
          </w:tcPr>
          <w:p w14:paraId="4C70AEFF"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–0.02 (–1.57, </w:t>
            </w:r>
            <w:r>
              <w:rPr>
                <w:spacing w:val="-2"/>
                <w:sz w:val="20"/>
                <w:szCs w:val="20"/>
              </w:rPr>
              <w:t>1.53)</w:t>
            </w:r>
          </w:p>
        </w:tc>
        <w:tc>
          <w:tcPr>
            <w:tcW w:w="1902" w:type="dxa"/>
            <w:tcBorders>
              <w:top w:val="single" w:sz="6" w:space="0" w:color="DDDDDD"/>
              <w:left w:val="nil"/>
              <w:bottom w:val="single" w:sz="8" w:space="0" w:color="auto"/>
              <w:right w:val="nil"/>
            </w:tcBorders>
            <w:vAlign w:val="bottom"/>
            <w:hideMark/>
          </w:tcPr>
          <w:p w14:paraId="19F652FE" w14:textId="77777777" w:rsidR="00A959D2" w:rsidRDefault="00A959D2">
            <w:pPr>
              <w:spacing w:after="0" w:line="240" w:lineRule="auto"/>
              <w:jc w:val="center"/>
              <w:rPr>
                <w:rFonts w:eastAsia="Times New Roman" w:cs="Times New Roman"/>
                <w:bCs/>
                <w:color w:val="000000"/>
                <w:sz w:val="20"/>
                <w:szCs w:val="20"/>
              </w:rPr>
            </w:pPr>
            <w:r>
              <w:rPr>
                <w:sz w:val="20"/>
                <w:szCs w:val="20"/>
              </w:rPr>
              <w:t xml:space="preserve">–0.50 (–2.39, </w:t>
            </w:r>
            <w:r>
              <w:rPr>
                <w:spacing w:val="-2"/>
                <w:sz w:val="20"/>
                <w:szCs w:val="20"/>
              </w:rPr>
              <w:t>1.40)</w:t>
            </w:r>
          </w:p>
        </w:tc>
        <w:tc>
          <w:tcPr>
            <w:tcW w:w="691" w:type="dxa"/>
            <w:tcBorders>
              <w:top w:val="single" w:sz="6" w:space="0" w:color="DDDDDD"/>
              <w:left w:val="nil"/>
              <w:bottom w:val="single" w:sz="8" w:space="0" w:color="auto"/>
              <w:right w:val="nil"/>
            </w:tcBorders>
            <w:noWrap/>
            <w:vAlign w:val="bottom"/>
            <w:hideMark/>
          </w:tcPr>
          <w:p w14:paraId="19DA9266" w14:textId="77777777" w:rsidR="00A959D2" w:rsidRDefault="00A959D2">
            <w:pPr>
              <w:spacing w:after="0" w:line="240" w:lineRule="auto"/>
              <w:jc w:val="center"/>
              <w:rPr>
                <w:rFonts w:eastAsia="Times New Roman" w:cs="Times New Roman"/>
                <w:bCs/>
                <w:color w:val="000000"/>
                <w:sz w:val="20"/>
                <w:szCs w:val="20"/>
              </w:rPr>
            </w:pPr>
            <w:r>
              <w:rPr>
                <w:spacing w:val="-2"/>
                <w:sz w:val="20"/>
                <w:szCs w:val="20"/>
              </w:rPr>
              <w:t>0.204</w:t>
            </w:r>
          </w:p>
        </w:tc>
      </w:tr>
    </w:tbl>
    <w:p w14:paraId="34623DD9" w14:textId="77777777" w:rsidR="00A959D2" w:rsidRDefault="00A959D2" w:rsidP="00A959D2">
      <w:pPr>
        <w:spacing w:after="0" w:line="240" w:lineRule="auto"/>
        <w:rPr>
          <w:rFonts w:cs="Times New Roman"/>
        </w:rPr>
      </w:pPr>
      <w:r>
        <w:rPr>
          <w:rFonts w:cs="Times New Roman"/>
          <w:vertAlign w:val="superscript"/>
        </w:rPr>
        <w:t>1</w:t>
      </w:r>
      <w:r>
        <w:t xml:space="preserve"> </w:t>
      </w:r>
      <w:r>
        <w:rPr>
          <w:rFonts w:cs="Times New Roman"/>
        </w:rPr>
        <w:t>Estimates below the boundary (i.e., ERR &lt; –1) that result from linear extrapolation are reported without censor.</w:t>
      </w:r>
    </w:p>
    <w:p w14:paraId="37EB6CFF" w14:textId="77777777" w:rsidR="00A959D2" w:rsidRDefault="00A959D2" w:rsidP="00A959D2">
      <w:pPr>
        <w:spacing w:after="0" w:line="240" w:lineRule="auto"/>
        <w:rPr>
          <w:rFonts w:cs="Times New Roman"/>
        </w:rPr>
      </w:pPr>
      <w:r>
        <w:rPr>
          <w:rFonts w:cs="Times New Roman"/>
          <w:vertAlign w:val="superscript"/>
        </w:rPr>
        <w:t xml:space="preserve">2 </w:t>
      </w:r>
      <w:r>
        <w:rPr>
          <w:rFonts w:cs="Times New Roman"/>
        </w:rPr>
        <w:t xml:space="preserve">Test of the homogeneity of windows, where </w:t>
      </w:r>
      <w:r>
        <w:rPr>
          <w:rFonts w:cs="Times New Roman"/>
          <w:i/>
          <w:iCs/>
        </w:rPr>
        <w:t>P</w:t>
      </w:r>
      <w:r>
        <w:rPr>
          <w:rFonts w:cs="Times New Roman"/>
        </w:rPr>
        <w:t xml:space="preserve"> is the p-value for the reported likelihood ratio test statistic and is evaluated under a Chi-square distribution with 2 degrees of freedom.</w:t>
      </w:r>
    </w:p>
    <w:p w14:paraId="5DC15132" w14:textId="77777777" w:rsidR="00A959D2" w:rsidRDefault="00A959D2" w:rsidP="00A959D2">
      <w:pPr>
        <w:rPr>
          <w:rFonts w:cs="Times New Roman"/>
        </w:rPr>
      </w:pPr>
      <w:r>
        <w:rPr>
          <w:rFonts w:cs="Times New Roman"/>
        </w:rPr>
        <w:t>Abbreviations: CI, confidence interval; ERR, excess relative rate; MDS, myelodysplastic syndrome; MM, multiple myeloma; NHL, non-Hodgkin lymphoma.</w:t>
      </w:r>
    </w:p>
    <w:p w14:paraId="5C54CDD8" w14:textId="77777777" w:rsidR="00A959D2" w:rsidRDefault="00A959D2" w:rsidP="00A959D2">
      <w:pPr>
        <w:spacing w:after="0"/>
        <w:rPr>
          <w:rFonts w:cs="Times New Roman"/>
        </w:rPr>
        <w:sectPr w:rsidR="00A959D2">
          <w:pgSz w:w="12240" w:h="15840"/>
          <w:pgMar w:top="1440" w:right="1440" w:bottom="1440" w:left="1440" w:header="720" w:footer="720" w:gutter="0"/>
          <w:cols w:space="720"/>
        </w:sectPr>
      </w:pPr>
    </w:p>
    <w:p w14:paraId="3C69B9C6" w14:textId="77777777" w:rsidR="00A959D2" w:rsidRDefault="00A959D2" w:rsidP="00A959D2">
      <w:pPr>
        <w:rPr>
          <w:bCs/>
          <w:szCs w:val="18"/>
        </w:rPr>
      </w:pPr>
    </w:p>
    <w:p w14:paraId="3F08C6C2" w14:textId="13672558" w:rsidR="00A959D2" w:rsidRDefault="00A959D2" w:rsidP="00A959D2">
      <w:pPr>
        <w:pStyle w:val="Caption"/>
        <w:keepNext/>
      </w:pPr>
      <w:r>
        <w:rPr>
          <w:noProof/>
        </w:rPr>
        <w:drawing>
          <wp:inline distT="0" distB="0" distL="0" distR="0" wp14:anchorId="6341D261" wp14:editId="7A330C2D">
            <wp:extent cx="5943600" cy="57537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753735"/>
                    </a:xfrm>
                    <a:prstGeom prst="rect">
                      <a:avLst/>
                    </a:prstGeom>
                    <a:noFill/>
                    <a:ln>
                      <a:noFill/>
                    </a:ln>
                  </pic:spPr>
                </pic:pic>
              </a:graphicData>
            </a:graphic>
          </wp:inline>
        </w:drawing>
      </w:r>
    </w:p>
    <w:p w14:paraId="4EBDD48C" w14:textId="77777777" w:rsidR="00A959D2" w:rsidRDefault="00A959D2" w:rsidP="00A959D2">
      <w:pPr>
        <w:pStyle w:val="Caption"/>
      </w:pPr>
      <w:bookmarkStart w:id="19" w:name="_Toc170712195"/>
      <w:r>
        <w:rPr>
          <w:rStyle w:val="Heading1Char"/>
          <w:rFonts w:eastAsiaTheme="minorHAnsi"/>
        </w:rPr>
        <w:t xml:space="preserve">Figure S1. The ERR </w:t>
      </w:r>
      <w:proofErr w:type="spellStart"/>
      <w:r>
        <w:rPr>
          <w:rStyle w:val="Heading1Char"/>
          <w:rFonts w:eastAsiaTheme="minorHAnsi"/>
        </w:rPr>
        <w:t>Gy</w:t>
      </w:r>
      <w:proofErr w:type="spellEnd"/>
      <w:r>
        <w:rPr>
          <w:rStyle w:val="Heading1Char"/>
          <w:rFonts w:eastAsiaTheme="minorHAnsi"/>
        </w:rPr>
        <w:t>–1 (filled circles) and associated 90% CIs (whiskers) for categories of time since exposure (TSE) for all solid cancers and leukemia excluding CLL.</w:t>
      </w:r>
      <w:bookmarkEnd w:id="19"/>
      <w:r>
        <w:rPr>
          <w:rStyle w:val="Heading1Char"/>
          <w:rFonts w:eastAsiaTheme="minorHAnsi"/>
        </w:rPr>
        <w:t xml:space="preserve"> </w:t>
      </w:r>
      <w:r>
        <w:t>Results from full (main) and restricted (&lt;1958 and 1958+) cohorts shown in left and right panels, respectively. Bolded dashed line represents the overall estimate. Grey dashed line indicates upper and lower 90% bounds on the overall estimate.</w:t>
      </w:r>
    </w:p>
    <w:p w14:paraId="638FD10E" w14:textId="77777777" w:rsidR="00A959D2" w:rsidRDefault="00A959D2" w:rsidP="00A959D2">
      <w:pPr>
        <w:spacing w:after="0" w:line="240" w:lineRule="auto"/>
        <w:rPr>
          <w:bCs/>
          <w:szCs w:val="18"/>
        </w:rPr>
        <w:sectPr w:rsidR="00A959D2">
          <w:pgSz w:w="12240" w:h="15840"/>
          <w:pgMar w:top="720" w:right="720" w:bottom="720" w:left="720" w:header="720" w:footer="720" w:gutter="0"/>
          <w:cols w:space="720"/>
        </w:sectPr>
      </w:pPr>
    </w:p>
    <w:p w14:paraId="1F53E9E5" w14:textId="522DD137" w:rsidR="00A959D2" w:rsidRDefault="00A959D2" w:rsidP="00A959D2">
      <w:pPr>
        <w:pStyle w:val="Caption"/>
        <w:keepNext/>
      </w:pPr>
      <w:r>
        <w:rPr>
          <w:noProof/>
        </w:rPr>
        <w:lastRenderedPageBreak/>
        <w:drawing>
          <wp:inline distT="0" distB="0" distL="0" distR="0" wp14:anchorId="6F30CA99" wp14:editId="4D550857">
            <wp:extent cx="5943600" cy="55803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80380"/>
                    </a:xfrm>
                    <a:prstGeom prst="rect">
                      <a:avLst/>
                    </a:prstGeom>
                    <a:noFill/>
                    <a:ln>
                      <a:noFill/>
                    </a:ln>
                  </pic:spPr>
                </pic:pic>
              </a:graphicData>
            </a:graphic>
          </wp:inline>
        </w:drawing>
      </w:r>
    </w:p>
    <w:p w14:paraId="7140A791" w14:textId="77777777" w:rsidR="00A959D2" w:rsidRDefault="00A959D2" w:rsidP="00A959D2">
      <w:pPr>
        <w:pStyle w:val="Caption"/>
      </w:pPr>
      <w:bookmarkStart w:id="20" w:name="_Toc170712196"/>
      <w:r>
        <w:rPr>
          <w:rStyle w:val="Heading1Char"/>
          <w:rFonts w:eastAsiaTheme="minorHAnsi"/>
        </w:rPr>
        <w:t xml:space="preserve">Figure S2. The ERR </w:t>
      </w:r>
      <w:proofErr w:type="spellStart"/>
      <w:r>
        <w:rPr>
          <w:rStyle w:val="Heading1Char"/>
          <w:rFonts w:eastAsiaTheme="minorHAnsi"/>
        </w:rPr>
        <w:t>Gy</w:t>
      </w:r>
      <w:proofErr w:type="spellEnd"/>
      <w:r>
        <w:rPr>
          <w:rStyle w:val="Heading1Char"/>
          <w:rFonts w:eastAsiaTheme="minorHAnsi"/>
        </w:rPr>
        <w:t>–1 (filled circles) and associated 90% CIs (whiskers) for categories of age at exposure (AE) for all solid cancers and leukemia excluding CLL.</w:t>
      </w:r>
      <w:bookmarkEnd w:id="20"/>
      <w:r>
        <w:rPr>
          <w:rStyle w:val="Heading1Char"/>
          <w:rFonts w:eastAsiaTheme="minorHAnsi"/>
        </w:rPr>
        <w:t xml:space="preserve"> </w:t>
      </w:r>
      <w:r>
        <w:t>Results from full (main) and restricted (&lt;1958 and 1958+) cohorts shown in left and right panels, respectively. Bolded dashed line represents the overall estimate. Grey dashed line indicates upper and lower 90% bounds on the overall estimate.</w:t>
      </w:r>
    </w:p>
    <w:p w14:paraId="58695A6A" w14:textId="77777777" w:rsidR="00A959D2" w:rsidRDefault="00A959D2" w:rsidP="00A959D2">
      <w:pPr>
        <w:spacing w:after="0"/>
        <w:sectPr w:rsidR="00A959D2">
          <w:pgSz w:w="12240" w:h="15840"/>
          <w:pgMar w:top="720" w:right="720" w:bottom="720" w:left="720" w:header="720" w:footer="720" w:gutter="0"/>
          <w:cols w:space="720"/>
        </w:sectPr>
      </w:pPr>
    </w:p>
    <w:p w14:paraId="5CBE6E58" w14:textId="34511EF0" w:rsidR="00A959D2" w:rsidRDefault="00A959D2" w:rsidP="00A959D2">
      <w:pPr>
        <w:keepNext/>
      </w:pPr>
      <w:r>
        <w:rPr>
          <w:noProof/>
        </w:rPr>
        <w:lastRenderedPageBreak/>
        <w:drawing>
          <wp:inline distT="0" distB="0" distL="0" distR="0" wp14:anchorId="3DD936FC" wp14:editId="2C2F7967">
            <wp:extent cx="5943600" cy="5588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88635"/>
                    </a:xfrm>
                    <a:prstGeom prst="rect">
                      <a:avLst/>
                    </a:prstGeom>
                    <a:noFill/>
                    <a:ln>
                      <a:noFill/>
                    </a:ln>
                  </pic:spPr>
                </pic:pic>
              </a:graphicData>
            </a:graphic>
          </wp:inline>
        </w:drawing>
      </w:r>
    </w:p>
    <w:p w14:paraId="109C1E02" w14:textId="77777777" w:rsidR="00A959D2" w:rsidRDefault="00A959D2" w:rsidP="00A959D2">
      <w:pPr>
        <w:pStyle w:val="Caption"/>
        <w:rPr>
          <w:rFonts w:cs="Times New Roman"/>
        </w:rPr>
      </w:pPr>
      <w:bookmarkStart w:id="21" w:name="_Toc170712197"/>
      <w:r>
        <w:rPr>
          <w:rStyle w:val="Heading1Char"/>
          <w:rFonts w:eastAsiaTheme="minorHAnsi"/>
        </w:rPr>
        <w:t xml:space="preserve">Figure S3. The ERR </w:t>
      </w:r>
      <w:proofErr w:type="spellStart"/>
      <w:r>
        <w:rPr>
          <w:rStyle w:val="Heading1Char"/>
          <w:rFonts w:eastAsiaTheme="minorHAnsi"/>
        </w:rPr>
        <w:t>Gy</w:t>
      </w:r>
      <w:proofErr w:type="spellEnd"/>
      <w:r>
        <w:rPr>
          <w:rStyle w:val="Heading1Char"/>
          <w:rFonts w:eastAsiaTheme="minorHAnsi"/>
        </w:rPr>
        <w:t>–1 (filled circles) and associated 90% CIs (whiskers) for categories of attained age for all solid cancers and leukemia excluding CLL.</w:t>
      </w:r>
      <w:bookmarkEnd w:id="21"/>
      <w:r>
        <w:rPr>
          <w:rStyle w:val="Heading1Char"/>
          <w:rFonts w:eastAsiaTheme="minorHAnsi"/>
        </w:rPr>
        <w:t xml:space="preserve"> </w:t>
      </w:r>
      <w:r>
        <w:t xml:space="preserve">Results from full (main) and restricted </w:t>
      </w:r>
      <w:bookmarkStart w:id="22" w:name="_Hlk157431609"/>
      <w:r>
        <w:t>(&lt;1958 and 1958+)</w:t>
      </w:r>
      <w:bookmarkEnd w:id="22"/>
      <w:r>
        <w:t xml:space="preserve"> cohorts shown in left and right panels, respectively. Bolded dashed line represents the overall estimate. Grey dashed line indicates upper and lower 90% bounds on the overall estimate. </w:t>
      </w:r>
    </w:p>
    <w:p w14:paraId="7A37869E" w14:textId="77777777" w:rsidR="00947EA2" w:rsidRDefault="00947EA2"/>
    <w:sectPr w:rsidR="00947E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MT">
    <w:altName w:val="Symbol"/>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9D2"/>
    <w:rsid w:val="00947EA2"/>
    <w:rsid w:val="00A959D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3B57C"/>
  <w15:chartTrackingRefBased/>
  <w15:docId w15:val="{B2712B8B-93B6-48A6-8AB8-F39148A3F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9D2"/>
    <w:pPr>
      <w:spacing w:after="200" w:line="276" w:lineRule="auto"/>
    </w:pPr>
    <w:rPr>
      <w:rFonts w:ascii="Times New Roman" w:hAnsi="Times New Roman"/>
      <w:lang w:val="en-US"/>
    </w:rPr>
  </w:style>
  <w:style w:type="paragraph" w:styleId="Heading1">
    <w:name w:val="heading 1"/>
    <w:basedOn w:val="Normal"/>
    <w:next w:val="Normal"/>
    <w:link w:val="Heading1Char"/>
    <w:uiPriority w:val="9"/>
    <w:qFormat/>
    <w:rsid w:val="00A959D2"/>
    <w:pPr>
      <w:autoSpaceDE w:val="0"/>
      <w:autoSpaceDN w:val="0"/>
      <w:spacing w:line="240" w:lineRule="auto"/>
      <w:outlineLvl w:val="0"/>
    </w:pPr>
    <w:rPr>
      <w:rFonts w:eastAsia="Times New Roman" w:cs="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9D2"/>
    <w:rPr>
      <w:rFonts w:ascii="Times New Roman" w:eastAsia="Times New Roman" w:hAnsi="Times New Roman" w:cs="Times New Roman"/>
      <w:bCs/>
      <w:lang w:val="en-US"/>
    </w:rPr>
  </w:style>
  <w:style w:type="character" w:styleId="Hyperlink">
    <w:name w:val="Hyperlink"/>
    <w:basedOn w:val="DefaultParagraphFont"/>
    <w:uiPriority w:val="99"/>
    <w:semiHidden/>
    <w:unhideWhenUsed/>
    <w:rsid w:val="00A959D2"/>
    <w:rPr>
      <w:color w:val="0563C1" w:themeColor="hyperlink"/>
      <w:u w:val="single"/>
    </w:rPr>
  </w:style>
  <w:style w:type="character" w:styleId="FollowedHyperlink">
    <w:name w:val="FollowedHyperlink"/>
    <w:basedOn w:val="DefaultParagraphFont"/>
    <w:uiPriority w:val="99"/>
    <w:semiHidden/>
    <w:unhideWhenUsed/>
    <w:rsid w:val="00A959D2"/>
    <w:rPr>
      <w:color w:val="954F72" w:themeColor="followedHyperlink"/>
      <w:u w:val="single"/>
    </w:rPr>
  </w:style>
  <w:style w:type="paragraph" w:customStyle="1" w:styleId="msonormal0">
    <w:name w:val="msonormal"/>
    <w:basedOn w:val="Normal"/>
    <w:rsid w:val="00A959D2"/>
    <w:pPr>
      <w:spacing w:before="100" w:beforeAutospacing="1" w:after="100" w:afterAutospacing="1" w:line="240" w:lineRule="auto"/>
    </w:pPr>
    <w:rPr>
      <w:rFonts w:eastAsia="Times New Roman" w:cs="Times New Roman"/>
      <w:sz w:val="24"/>
      <w:szCs w:val="24"/>
      <w:lang w:val="en-IN" w:eastAsia="en-IN"/>
    </w:rPr>
  </w:style>
  <w:style w:type="paragraph" w:styleId="TOC1">
    <w:name w:val="toc 1"/>
    <w:basedOn w:val="Normal"/>
    <w:next w:val="Normal"/>
    <w:autoRedefine/>
    <w:uiPriority w:val="39"/>
    <w:semiHidden/>
    <w:unhideWhenUsed/>
    <w:rsid w:val="00A959D2"/>
    <w:pPr>
      <w:tabs>
        <w:tab w:val="right" w:leader="dot" w:pos="9350"/>
      </w:tabs>
      <w:spacing w:after="100" w:line="256" w:lineRule="auto"/>
    </w:pPr>
    <w:rPr>
      <w:rFonts w:asciiTheme="minorHAnsi" w:eastAsiaTheme="minorEastAsia" w:hAnsiTheme="minorHAnsi" w:cs="Times New Roman"/>
    </w:rPr>
  </w:style>
  <w:style w:type="paragraph" w:styleId="TOC2">
    <w:name w:val="toc 2"/>
    <w:basedOn w:val="Normal"/>
    <w:next w:val="Normal"/>
    <w:autoRedefine/>
    <w:uiPriority w:val="39"/>
    <w:semiHidden/>
    <w:unhideWhenUsed/>
    <w:rsid w:val="00A959D2"/>
    <w:pPr>
      <w:spacing w:after="100" w:line="256" w:lineRule="auto"/>
      <w:ind w:left="220"/>
    </w:pPr>
    <w:rPr>
      <w:rFonts w:asciiTheme="minorHAnsi" w:eastAsiaTheme="minorEastAsia" w:hAnsiTheme="minorHAnsi" w:cs="Times New Roman"/>
    </w:rPr>
  </w:style>
  <w:style w:type="paragraph" w:styleId="TOC3">
    <w:name w:val="toc 3"/>
    <w:basedOn w:val="Normal"/>
    <w:next w:val="Normal"/>
    <w:autoRedefine/>
    <w:uiPriority w:val="39"/>
    <w:semiHidden/>
    <w:unhideWhenUsed/>
    <w:rsid w:val="00A959D2"/>
    <w:pPr>
      <w:spacing w:after="100" w:line="256" w:lineRule="auto"/>
      <w:ind w:left="440"/>
    </w:pPr>
    <w:rPr>
      <w:rFonts w:asciiTheme="minorHAnsi" w:eastAsiaTheme="minorEastAsia" w:hAnsiTheme="minorHAnsi" w:cs="Times New Roman"/>
    </w:rPr>
  </w:style>
  <w:style w:type="paragraph" w:styleId="CommentText">
    <w:name w:val="annotation text"/>
    <w:basedOn w:val="Normal"/>
    <w:link w:val="CommentTextChar"/>
    <w:uiPriority w:val="99"/>
    <w:semiHidden/>
    <w:unhideWhenUsed/>
    <w:rsid w:val="00A959D2"/>
    <w:pPr>
      <w:spacing w:line="240" w:lineRule="auto"/>
    </w:pPr>
    <w:rPr>
      <w:sz w:val="20"/>
      <w:szCs w:val="20"/>
    </w:rPr>
  </w:style>
  <w:style w:type="character" w:customStyle="1" w:styleId="CommentTextChar">
    <w:name w:val="Comment Text Char"/>
    <w:basedOn w:val="DefaultParagraphFont"/>
    <w:link w:val="CommentText"/>
    <w:uiPriority w:val="99"/>
    <w:semiHidden/>
    <w:rsid w:val="00A959D2"/>
    <w:rPr>
      <w:rFonts w:ascii="Times New Roman" w:hAnsi="Times New Roman"/>
      <w:sz w:val="20"/>
      <w:szCs w:val="20"/>
      <w:lang w:val="en-US"/>
    </w:rPr>
  </w:style>
  <w:style w:type="paragraph" w:styleId="Header">
    <w:name w:val="header"/>
    <w:basedOn w:val="Normal"/>
    <w:link w:val="HeaderChar"/>
    <w:uiPriority w:val="99"/>
    <w:semiHidden/>
    <w:unhideWhenUsed/>
    <w:rsid w:val="00A959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959D2"/>
    <w:rPr>
      <w:rFonts w:ascii="Times New Roman" w:hAnsi="Times New Roman"/>
      <w:lang w:val="en-US"/>
    </w:rPr>
  </w:style>
  <w:style w:type="paragraph" w:styleId="Footer">
    <w:name w:val="footer"/>
    <w:basedOn w:val="Normal"/>
    <w:link w:val="FooterChar"/>
    <w:uiPriority w:val="99"/>
    <w:semiHidden/>
    <w:unhideWhenUsed/>
    <w:rsid w:val="00A959D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959D2"/>
    <w:rPr>
      <w:rFonts w:ascii="Times New Roman" w:hAnsi="Times New Roman"/>
      <w:lang w:val="en-US"/>
    </w:rPr>
  </w:style>
  <w:style w:type="paragraph" w:styleId="Caption">
    <w:name w:val="caption"/>
    <w:basedOn w:val="Normal"/>
    <w:next w:val="Normal"/>
    <w:uiPriority w:val="35"/>
    <w:semiHidden/>
    <w:unhideWhenUsed/>
    <w:qFormat/>
    <w:rsid w:val="00A959D2"/>
    <w:pPr>
      <w:spacing w:line="240" w:lineRule="auto"/>
    </w:pPr>
    <w:rPr>
      <w:bCs/>
      <w:szCs w:val="18"/>
    </w:rPr>
  </w:style>
  <w:style w:type="paragraph" w:styleId="CommentSubject">
    <w:name w:val="annotation subject"/>
    <w:basedOn w:val="CommentText"/>
    <w:next w:val="CommentText"/>
    <w:link w:val="CommentSubjectChar"/>
    <w:uiPriority w:val="99"/>
    <w:semiHidden/>
    <w:unhideWhenUsed/>
    <w:rsid w:val="00A959D2"/>
    <w:rPr>
      <w:b/>
      <w:bCs/>
    </w:rPr>
  </w:style>
  <w:style w:type="character" w:customStyle="1" w:styleId="CommentSubjectChar">
    <w:name w:val="Comment Subject Char"/>
    <w:basedOn w:val="CommentTextChar"/>
    <w:link w:val="CommentSubject"/>
    <w:uiPriority w:val="99"/>
    <w:semiHidden/>
    <w:rsid w:val="00A959D2"/>
    <w:rPr>
      <w:rFonts w:ascii="Times New Roman" w:hAnsi="Times New Roman"/>
      <w:b/>
      <w:bCs/>
      <w:sz w:val="20"/>
      <w:szCs w:val="20"/>
      <w:lang w:val="en-US"/>
    </w:rPr>
  </w:style>
  <w:style w:type="paragraph" w:styleId="BalloonText">
    <w:name w:val="Balloon Text"/>
    <w:basedOn w:val="Normal"/>
    <w:link w:val="BalloonTextChar"/>
    <w:uiPriority w:val="99"/>
    <w:semiHidden/>
    <w:unhideWhenUsed/>
    <w:rsid w:val="00A959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9D2"/>
    <w:rPr>
      <w:rFonts w:ascii="Tahoma" w:hAnsi="Tahoma" w:cs="Tahoma"/>
      <w:sz w:val="16"/>
      <w:szCs w:val="16"/>
      <w:lang w:val="en-US"/>
    </w:rPr>
  </w:style>
  <w:style w:type="paragraph" w:styleId="Revision">
    <w:name w:val="Revision"/>
    <w:uiPriority w:val="99"/>
    <w:semiHidden/>
    <w:rsid w:val="00A959D2"/>
    <w:pPr>
      <w:spacing w:after="0" w:line="240" w:lineRule="auto"/>
    </w:pPr>
    <w:rPr>
      <w:rFonts w:ascii="Times New Roman" w:hAnsi="Times New Roman"/>
      <w:lang w:val="en-US"/>
    </w:rPr>
  </w:style>
  <w:style w:type="paragraph" w:styleId="ListParagraph">
    <w:name w:val="List Paragraph"/>
    <w:basedOn w:val="Normal"/>
    <w:uiPriority w:val="34"/>
    <w:qFormat/>
    <w:rsid w:val="00A959D2"/>
    <w:pPr>
      <w:ind w:left="720"/>
      <w:contextualSpacing/>
    </w:pPr>
  </w:style>
  <w:style w:type="paragraph" w:styleId="TOCHeading">
    <w:name w:val="TOC Heading"/>
    <w:basedOn w:val="Heading1"/>
    <w:next w:val="Normal"/>
    <w:uiPriority w:val="39"/>
    <w:semiHidden/>
    <w:unhideWhenUsed/>
    <w:qFormat/>
    <w:rsid w:val="00A959D2"/>
    <w:pPr>
      <w:spacing w:line="256" w:lineRule="auto"/>
      <w:outlineLvl w:val="9"/>
    </w:pPr>
    <w:rPr>
      <w:rFonts w:eastAsiaTheme="minorHAnsi"/>
    </w:rPr>
  </w:style>
  <w:style w:type="character" w:styleId="CommentReference">
    <w:name w:val="annotation reference"/>
    <w:basedOn w:val="DefaultParagraphFont"/>
    <w:uiPriority w:val="99"/>
    <w:semiHidden/>
    <w:unhideWhenUsed/>
    <w:rsid w:val="00A959D2"/>
    <w:rPr>
      <w:sz w:val="16"/>
      <w:szCs w:val="16"/>
    </w:rPr>
  </w:style>
  <w:style w:type="table" w:styleId="TableGrid">
    <w:name w:val="Table Grid"/>
    <w:basedOn w:val="TableNormal"/>
    <w:uiPriority w:val="59"/>
    <w:rsid w:val="00A959D2"/>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A959D2"/>
    <w:pPr>
      <w:spacing w:after="0" w:line="240" w:lineRule="auto"/>
    </w:pPr>
    <w:rPr>
      <w:color w:val="000000" w:themeColor="text1" w:themeShade="BF"/>
      <w:lang w:val="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PlainTable2">
    <w:name w:val="Plain Table 2"/>
    <w:basedOn w:val="TableNormal"/>
    <w:uiPriority w:val="42"/>
    <w:rsid w:val="00A959D2"/>
    <w:pPr>
      <w:spacing w:after="0" w:line="240" w:lineRule="auto"/>
    </w:pPr>
    <w:rPr>
      <w:lang w:val="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A959D2"/>
    <w:pPr>
      <w:spacing w:after="0" w:line="240" w:lineRule="auto"/>
    </w:pPr>
    <w:rPr>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uiPriority w:val="59"/>
    <w:rsid w:val="00A959D2"/>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A959D2"/>
    <w:pPr>
      <w:spacing w:after="0" w:line="240" w:lineRule="auto"/>
    </w:pPr>
    <w:rPr>
      <w:lang w:val="en-US"/>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45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is10747\AppData\Local\Temp\a3ba96fb-8d81-4dff-bb44-f6352b56f198_EJEP-D-24-00638.zip.198\TEMPORAL%20Supplement%2010052024.docx" TargetMode="External"/><Relationship Id="rId13" Type="http://schemas.openxmlformats.org/officeDocument/2006/relationships/hyperlink" Target="file:///C:\Users\is10747\AppData\Local\Temp\a3ba96fb-8d81-4dff-bb44-f6352b56f198_EJEP-D-24-00638.zip.198\TEMPORAL%20Supplement%2010052024.docx" TargetMode="External"/><Relationship Id="rId18" Type="http://schemas.openxmlformats.org/officeDocument/2006/relationships/image" Target="media/image2.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file:///C:\Users\is10747\AppData\Local\Temp\a3ba96fb-8d81-4dff-bb44-f6352b56f198_EJEP-D-24-00638.zip.198\TEMPORAL%20Supplement%2010052024.docx" TargetMode="External"/><Relationship Id="rId12" Type="http://schemas.openxmlformats.org/officeDocument/2006/relationships/hyperlink" Target="file:///C:\Users\is10747\AppData\Local\Temp\a3ba96fb-8d81-4dff-bb44-f6352b56f198_EJEP-D-24-00638.zip.198\TEMPORAL%20Supplement%2010052024.docx" TargetMode="External"/><Relationship Id="rId1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file:///C:\Users\is10747\AppData\Local\Temp\a3ba96fb-8d81-4dff-bb44-f6352b56f198_EJEP-D-24-00638.zip.198\TEMPORAL%20Supplement%2010052024.docx"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file:///C:\Users\is10747\AppData\Local\Temp\a3ba96fb-8d81-4dff-bb44-f6352b56f198_EJEP-D-24-00638.zip.198\TEMPORAL%20Supplement%2010052024.docx" TargetMode="External"/><Relationship Id="rId11" Type="http://schemas.openxmlformats.org/officeDocument/2006/relationships/hyperlink" Target="file:///C:\Users\is10747\AppData\Local\Temp\a3ba96fb-8d81-4dff-bb44-f6352b56f198_EJEP-D-24-00638.zip.198\TEMPORAL%20Supplement%2010052024.docx" TargetMode="External"/><Relationship Id="rId5" Type="http://schemas.openxmlformats.org/officeDocument/2006/relationships/hyperlink" Target="file:///C:\Users\is10747\AppData\Local\Temp\a3ba96fb-8d81-4dff-bb44-f6352b56f198_EJEP-D-24-00638.zip.198\TEMPORAL%20Supplement%2010052024.docx" TargetMode="External"/><Relationship Id="rId15" Type="http://schemas.openxmlformats.org/officeDocument/2006/relationships/hyperlink" Target="file:///C:\Users\is10747\AppData\Local\Temp\a3ba96fb-8d81-4dff-bb44-f6352b56f198_EJEP-D-24-00638.zip.198\TEMPORAL%20Supplement%2010052024.docx" TargetMode="External"/><Relationship Id="rId10" Type="http://schemas.openxmlformats.org/officeDocument/2006/relationships/hyperlink" Target="file:///C:\Users\is10747\AppData\Local\Temp\a3ba96fb-8d81-4dff-bb44-f6352b56f198_EJEP-D-24-00638.zip.198\TEMPORAL%20Supplement%2010052024.docx" TargetMode="External"/><Relationship Id="rId19" Type="http://schemas.openxmlformats.org/officeDocument/2006/relationships/image" Target="media/image3.png"/><Relationship Id="rId4" Type="http://schemas.openxmlformats.org/officeDocument/2006/relationships/hyperlink" Target="file:///C:\Users\is10747\AppData\Local\Temp\a3ba96fb-8d81-4dff-bb44-f6352b56f198_EJEP-D-24-00638.zip.198\TEMPORAL%20Supplement%2010052024.docx" TargetMode="External"/><Relationship Id="rId9" Type="http://schemas.openxmlformats.org/officeDocument/2006/relationships/hyperlink" Target="file:///C:\Users\is10747\AppData\Local\Temp\a3ba96fb-8d81-4dff-bb44-f6352b56f198_EJEP-D-24-00638.zip.198\TEMPORAL%20Supplement%2010052024.docx" TargetMode="External"/><Relationship Id="rId14" Type="http://schemas.openxmlformats.org/officeDocument/2006/relationships/hyperlink" Target="file:///C:\Users\is10747\AppData\Local\Temp\a3ba96fb-8d81-4dff-bb44-f6352b56f198_EJEP-D-24-00638.zip.198\TEMPORAL%20Supplement%201005202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2842</Words>
  <Characters>16203</Characters>
  <Application>Microsoft Office Word</Application>
  <DocSecurity>0</DocSecurity>
  <Lines>135</Lines>
  <Paragraphs>38</Paragraphs>
  <ScaleCrop>false</ScaleCrop>
  <Company/>
  <LinksUpToDate>false</LinksUpToDate>
  <CharactersWithSpaces>19007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Rathidevi Canabadyramane (Integra)</dc:creator>
  <cp:keywords/>
  <dc:description/>
  <cp:lastModifiedBy>Rathidevi Canabadyramane (Integra)</cp:lastModifiedBy>
  <cp:revision>1</cp:revision>
  <dcterms:created xsi:type="dcterms:W3CDTF">2024-11-10T06:34:00Z</dcterms:created>
  <dcterms:modified xsi:type="dcterms:W3CDTF">2024-11-10T06:37:00Z</dcterms:modified>
</cp:coreProperties>
</file>