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2BA6B" w14:textId="0306A886" w:rsidR="00813744" w:rsidRPr="00596201" w:rsidRDefault="00813744" w:rsidP="00B81E0D">
      <w:pPr>
        <w:spacing w:line="276" w:lineRule="auto"/>
        <w:jc w:val="center"/>
        <w:rPr>
          <w:rFonts w:ascii="Garamond" w:hAnsi="Garamond"/>
          <w:smallCaps/>
          <w:color w:val="000000"/>
          <w:sz w:val="30"/>
          <w:szCs w:val="30"/>
          <w:lang w:val="en-GB" w:eastAsia="de-DE"/>
        </w:rPr>
      </w:pPr>
      <w:r w:rsidRPr="00596201">
        <w:rPr>
          <w:rFonts w:ascii="Garamond" w:hAnsi="Garamond"/>
          <w:smallCaps/>
          <w:color w:val="000000"/>
          <w:sz w:val="30"/>
          <w:szCs w:val="30"/>
          <w:lang w:val="en-GB" w:eastAsia="de-DE"/>
        </w:rPr>
        <w:t xml:space="preserve">Supplementary </w:t>
      </w:r>
      <w:r w:rsidR="00154F2D" w:rsidRPr="00596201">
        <w:rPr>
          <w:rFonts w:ascii="Garamond" w:hAnsi="Garamond"/>
          <w:smallCaps/>
          <w:color w:val="000000"/>
          <w:sz w:val="30"/>
          <w:szCs w:val="30"/>
          <w:lang w:val="en-GB" w:eastAsia="de-DE"/>
        </w:rPr>
        <w:t xml:space="preserve">File </w:t>
      </w:r>
      <w:r w:rsidR="00E0597D">
        <w:rPr>
          <w:rFonts w:ascii="Garamond" w:hAnsi="Garamond"/>
          <w:smallCaps/>
          <w:color w:val="000000"/>
          <w:sz w:val="30"/>
          <w:szCs w:val="30"/>
          <w:lang w:val="en-GB" w:eastAsia="de-DE"/>
        </w:rPr>
        <w:t>1</w:t>
      </w:r>
      <w:r w:rsidRPr="00596201">
        <w:rPr>
          <w:rFonts w:ascii="Garamond" w:hAnsi="Garamond"/>
          <w:smallCaps/>
          <w:color w:val="000000"/>
          <w:sz w:val="30"/>
          <w:szCs w:val="30"/>
          <w:lang w:val="en-GB" w:eastAsia="de-DE"/>
        </w:rPr>
        <w:t xml:space="preserve"> –</w:t>
      </w:r>
    </w:p>
    <w:p w14:paraId="39C6661A" w14:textId="04DA03AC" w:rsidR="00813744" w:rsidRPr="00596201" w:rsidRDefault="00813744" w:rsidP="00241E90">
      <w:pPr>
        <w:spacing w:line="276" w:lineRule="auto"/>
        <w:jc w:val="center"/>
        <w:rPr>
          <w:rFonts w:ascii="Garamond" w:hAnsi="Garamond"/>
          <w:smallCaps/>
          <w:color w:val="000000"/>
          <w:sz w:val="30"/>
          <w:szCs w:val="30"/>
          <w:lang w:val="en-GB" w:eastAsia="de-DE"/>
        </w:rPr>
      </w:pPr>
      <w:r w:rsidRPr="00596201">
        <w:rPr>
          <w:rFonts w:ascii="Garamond" w:hAnsi="Garamond"/>
          <w:smallCaps/>
          <w:color w:val="000000"/>
          <w:sz w:val="30"/>
          <w:szCs w:val="30"/>
          <w:lang w:val="en-GB" w:eastAsia="de-DE"/>
        </w:rPr>
        <w:t>The Contribution of Education-Specific mortality trends to the life expectancy stagnation in England &amp; Wales</w:t>
      </w:r>
    </w:p>
    <w:p w14:paraId="30090D95" w14:textId="6274BF5E" w:rsidR="00C54CCB" w:rsidRPr="00596201" w:rsidRDefault="00C54CCB" w:rsidP="00241E90">
      <w:pPr>
        <w:spacing w:line="276" w:lineRule="auto"/>
        <w:jc w:val="center"/>
        <w:rPr>
          <w:rFonts w:ascii="Garamond" w:hAnsi="Garamond"/>
          <w:smallCaps/>
          <w:color w:val="000000"/>
          <w:sz w:val="30"/>
          <w:szCs w:val="30"/>
          <w:lang w:val="en-GB" w:eastAsia="de-DE"/>
        </w:rPr>
      </w:pPr>
      <w:r w:rsidRPr="00596201">
        <w:rPr>
          <w:rFonts w:ascii="Garamond" w:hAnsi="Garamond"/>
          <w:smallCaps/>
          <w:color w:val="000000"/>
          <w:sz w:val="30"/>
          <w:szCs w:val="30"/>
          <w:lang w:val="en-GB" w:eastAsia="de-DE"/>
        </w:rPr>
        <w:t xml:space="preserve">SUPPLEMENTARY </w:t>
      </w:r>
      <w:r w:rsidR="002C7539" w:rsidRPr="00596201">
        <w:rPr>
          <w:rFonts w:ascii="Garamond" w:hAnsi="Garamond"/>
          <w:smallCaps/>
          <w:color w:val="000000"/>
          <w:sz w:val="30"/>
          <w:szCs w:val="30"/>
          <w:lang w:val="en-GB" w:eastAsia="de-DE"/>
        </w:rPr>
        <w:t>DATA &amp; METHODS</w:t>
      </w:r>
    </w:p>
    <w:p w14:paraId="0B47B503" w14:textId="77777777" w:rsidR="00813744" w:rsidRPr="00596201" w:rsidRDefault="00813744" w:rsidP="00241E90">
      <w:pPr>
        <w:rPr>
          <w:lang w:val="en-GB"/>
        </w:rPr>
      </w:pPr>
    </w:p>
    <w:p w14:paraId="58F7E517" w14:textId="082FAA2C" w:rsidR="00813744" w:rsidRPr="003D3A5D" w:rsidRDefault="003D3A5D" w:rsidP="00241E90">
      <w:pPr>
        <w:rPr>
          <w:rFonts w:ascii="Garamond" w:hAnsi="Garamond"/>
          <w:lang w:val="en-US"/>
        </w:rPr>
      </w:pPr>
      <w:r w:rsidRPr="003D3A5D">
        <w:rPr>
          <w:rFonts w:ascii="Garamond" w:hAnsi="Garamond"/>
          <w:b/>
          <w:bCs/>
          <w:lang w:val="en-US"/>
        </w:rPr>
        <w:t>Journal:</w:t>
      </w:r>
      <w:r w:rsidRPr="003D3A5D">
        <w:rPr>
          <w:rFonts w:ascii="Garamond" w:hAnsi="Garamond"/>
          <w:lang w:val="en-US"/>
        </w:rPr>
        <w:t xml:space="preserve">  European Journal of Epidemiology</w:t>
      </w:r>
    </w:p>
    <w:p w14:paraId="391C9B9E" w14:textId="77777777" w:rsidR="00813744" w:rsidRPr="00596201" w:rsidRDefault="00813744" w:rsidP="00241E90">
      <w:pPr>
        <w:rPr>
          <w:lang w:val="en-US"/>
        </w:rPr>
      </w:pPr>
    </w:p>
    <w:p w14:paraId="198AC455" w14:textId="77777777" w:rsidR="00813744" w:rsidRPr="00596201" w:rsidRDefault="00813744" w:rsidP="00241E90">
      <w:pPr>
        <w:rPr>
          <w:rFonts w:ascii="Garamond" w:hAnsi="Garamond"/>
          <w:lang w:val="en-US"/>
        </w:rPr>
      </w:pPr>
      <w:r w:rsidRPr="00596201">
        <w:rPr>
          <w:rFonts w:ascii="Garamond" w:hAnsi="Garamond"/>
          <w:smallCaps/>
          <w:color w:val="000000"/>
          <w:sz w:val="32"/>
          <w:szCs w:val="32"/>
          <w:lang w:val="en-GB" w:eastAsia="de-DE"/>
        </w:rPr>
        <w:t>Data</w:t>
      </w:r>
    </w:p>
    <w:p w14:paraId="08F09865" w14:textId="77777777" w:rsidR="00F6181F" w:rsidRDefault="00F6181F" w:rsidP="00241E90">
      <w:pPr>
        <w:spacing w:line="360" w:lineRule="auto"/>
        <w:jc w:val="both"/>
        <w:rPr>
          <w:rFonts w:ascii="Garamond" w:hAnsi="Garamond"/>
          <w:lang w:val="en-US"/>
        </w:rPr>
      </w:pPr>
    </w:p>
    <w:p w14:paraId="78C7EFE6" w14:textId="24205F31" w:rsidR="00813744" w:rsidRPr="00596201" w:rsidRDefault="00813744" w:rsidP="00241E90">
      <w:pPr>
        <w:spacing w:line="360" w:lineRule="auto"/>
        <w:jc w:val="both"/>
        <w:rPr>
          <w:rFonts w:ascii="Garamond" w:hAnsi="Garamond"/>
          <w:lang w:val="en-US"/>
        </w:rPr>
      </w:pPr>
      <w:r w:rsidRPr="00596201">
        <w:rPr>
          <w:rFonts w:ascii="Garamond" w:hAnsi="Garamond"/>
          <w:lang w:val="en-US"/>
        </w:rPr>
        <w:t xml:space="preserve">We examined all-cause mortality </w:t>
      </w:r>
      <w:r w:rsidRPr="00596201">
        <w:rPr>
          <w:rFonts w:ascii="Garamond" w:hAnsi="Garamond" w:cs="Arial"/>
          <w:color w:val="212121"/>
          <w:lang w:val="en-US"/>
        </w:rPr>
        <w:t>by the highest educational level attained, sex, and single age from age 30 to age 100 for England &amp; Wales for the years 1972-2017.</w:t>
      </w:r>
      <w:r w:rsidRPr="00596201">
        <w:rPr>
          <w:rFonts w:ascii="Garamond" w:hAnsi="Garamond"/>
          <w:lang w:val="en-US"/>
        </w:rPr>
        <w:t xml:space="preserve"> We focused on individuals aged 30 and older to ensure the validity of educational attainment as a measure of socio-economic status (SES).</w:t>
      </w:r>
    </w:p>
    <w:p w14:paraId="294B3255" w14:textId="77777777" w:rsidR="00813744" w:rsidRPr="00596201" w:rsidRDefault="00813744" w:rsidP="00241E90">
      <w:pPr>
        <w:spacing w:line="360" w:lineRule="auto"/>
        <w:jc w:val="both"/>
        <w:rPr>
          <w:rFonts w:ascii="Garamond" w:hAnsi="Garamond"/>
          <w:lang w:val="en-US"/>
        </w:rPr>
      </w:pPr>
      <w:r w:rsidRPr="00596201">
        <w:rPr>
          <w:rFonts w:ascii="Garamond" w:hAnsi="Garamond"/>
          <w:lang w:val="en-US"/>
        </w:rPr>
        <w:tab/>
      </w:r>
      <w:r w:rsidRPr="00596201">
        <w:rPr>
          <w:rFonts w:ascii="Garamond" w:eastAsiaTheme="minorHAnsi" w:hAnsi="Garamond" w:cs="Helvetica Neue"/>
          <w:color w:val="000000"/>
          <w:lang w:val="en-US" w:eastAsia="en-US"/>
          <w14:ligatures w14:val="standardContextual"/>
        </w:rPr>
        <w:t xml:space="preserve">For this purpose, we used data from the Office for National Statistics Longitudinal Study (ONS-LS) </w:t>
      </w:r>
      <w:r w:rsidRPr="00596201">
        <w:rPr>
          <w:rFonts w:ascii="Garamond" w:eastAsiaTheme="minorHAnsi" w:hAnsi="Garamond" w:cs="Helvetica Neue"/>
          <w:noProof/>
          <w:color w:val="000000"/>
          <w:lang w:val="en-US" w:eastAsia="en-US"/>
          <w14:ligatures w14:val="standardContextual"/>
        </w:rPr>
        <w:t>(ONS, 2019)</w:t>
      </w:r>
      <w:r w:rsidRPr="00596201">
        <w:rPr>
          <w:rFonts w:ascii="Garamond" w:eastAsiaTheme="minorHAnsi" w:hAnsi="Garamond" w:cs="Helvetica Neue"/>
          <w:color w:val="000000"/>
          <w:lang w:val="en-US" w:eastAsia="en-US"/>
          <w14:ligatures w14:val="standardContextual"/>
        </w:rPr>
        <w:t xml:space="preserve">, which contains individual information on demographic and socio-economic variables obtained through the censuses (1971, 1981, 1991, 2001, 2011), as well as individually-linked information on life events (including births, deaths, and cancer registrations), for an approximately 1% representative sample of the population of England &amp; Wales </w:t>
      </w:r>
      <w:r w:rsidRPr="00596201">
        <w:rPr>
          <w:rFonts w:ascii="Garamond" w:eastAsiaTheme="minorHAnsi" w:hAnsi="Garamond" w:cs="Helvetica Neue"/>
          <w:noProof/>
          <w:color w:val="000000"/>
          <w:lang w:val="en-US" w:eastAsia="en-US"/>
          <w14:ligatures w14:val="standardContextual"/>
        </w:rPr>
        <w:t>(Shelton et al., 2018)</w:t>
      </w:r>
      <w:r w:rsidRPr="00596201">
        <w:rPr>
          <w:rFonts w:ascii="Garamond" w:eastAsiaTheme="minorHAnsi" w:hAnsi="Garamond" w:cs="Helvetica Neue"/>
          <w:color w:val="000000"/>
          <w:lang w:val="en-US" w:eastAsia="en-US"/>
          <w14:ligatures w14:val="standardContextual"/>
        </w:rPr>
        <w:t>.</w:t>
      </w:r>
    </w:p>
    <w:p w14:paraId="44D6B062" w14:textId="77777777" w:rsidR="00813744" w:rsidRPr="00596201" w:rsidRDefault="00813744" w:rsidP="00856547">
      <w:pPr>
        <w:spacing w:line="360" w:lineRule="auto"/>
        <w:jc w:val="both"/>
        <w:rPr>
          <w:rFonts w:ascii="Garamond" w:eastAsiaTheme="minorHAnsi" w:hAnsi="Garamond" w:cs="Helvetica Neue"/>
          <w:color w:val="000000"/>
          <w:lang w:val="en-US" w:eastAsia="en-US"/>
          <w14:ligatures w14:val="standardContextual"/>
        </w:rPr>
      </w:pPr>
      <w:r w:rsidRPr="00596201">
        <w:rPr>
          <w:rFonts w:ascii="Garamond" w:hAnsi="Garamond"/>
          <w:lang w:val="en-US"/>
        </w:rPr>
        <w:tab/>
      </w:r>
      <w:r w:rsidRPr="00596201">
        <w:rPr>
          <w:rFonts w:ascii="Garamond" w:eastAsiaTheme="minorHAnsi" w:hAnsi="Garamond" w:cs="Helvetica Neue"/>
          <w:color w:val="000000"/>
          <w:lang w:val="en-US" w:eastAsia="en-US"/>
          <w14:ligatures w14:val="standardContextual"/>
        </w:rPr>
        <w:t xml:space="preserve">For our analysis, we employed a 10-year follow-up of the ONS-LS sample members aged 20 and older at the time of the census in 1971, 1981, 1991, 2001, and 2011. We followed these individuals until the next census, or until the date that vital status information was last linked to the ONS-LS (currently 31 December 2017). We rearranged the individual-level cohort data (20+) for the five different follow-up periods (1971-1981, 1981-1991, 1991-2001, 2001-2011, 2011-2017) into aggregate period data (30+; 1972-2017). For more detailed information regarding the data used, see </w:t>
      </w:r>
      <w:r w:rsidRPr="00596201">
        <w:rPr>
          <w:rFonts w:ascii="Garamond" w:hAnsi="Garamond"/>
          <w:lang w:val="en-US"/>
        </w:rPr>
        <w:t xml:space="preserve">https://www.futurelongevitybyeducation.com/background-information/ (Password = </w:t>
      </w:r>
      <w:proofErr w:type="spellStart"/>
      <w:r w:rsidRPr="00596201">
        <w:rPr>
          <w:rFonts w:ascii="Garamond" w:hAnsi="Garamond"/>
          <w:lang w:val="en-US"/>
        </w:rPr>
        <w:t>VICI_info</w:t>
      </w:r>
      <w:proofErr w:type="spellEnd"/>
      <w:r w:rsidRPr="00596201">
        <w:rPr>
          <w:rFonts w:ascii="Garamond" w:hAnsi="Garamond"/>
          <w:lang w:val="en-US"/>
        </w:rPr>
        <w:t xml:space="preserve">). </w:t>
      </w:r>
      <w:r w:rsidRPr="00596201">
        <w:rPr>
          <w:rFonts w:ascii="Garamond" w:eastAsiaTheme="minorHAnsi" w:hAnsi="Garamond" w:cs="Helvetica Neue"/>
          <w:color w:val="000000"/>
          <w:lang w:val="en-US" w:eastAsia="en-US"/>
          <w14:ligatures w14:val="standardContextual"/>
        </w:rPr>
        <w:t xml:space="preserve"> </w:t>
      </w:r>
    </w:p>
    <w:p w14:paraId="15493F59" w14:textId="77777777" w:rsidR="00C54CCB" w:rsidRPr="00596201" w:rsidRDefault="00813744" w:rsidP="00241E90">
      <w:pPr>
        <w:spacing w:line="360" w:lineRule="auto"/>
        <w:ind w:firstLine="708"/>
        <w:jc w:val="both"/>
        <w:rPr>
          <w:rFonts w:ascii="Garamond" w:hAnsi="Garamond"/>
          <w:lang w:val="en-US"/>
        </w:rPr>
      </w:pPr>
      <w:r w:rsidRPr="00596201">
        <w:rPr>
          <w:rFonts w:ascii="Garamond" w:hAnsi="Garamond" w:cs="Arial"/>
          <w:color w:val="212121"/>
          <w:lang w:val="en-US"/>
        </w:rPr>
        <w:t xml:space="preserve">We used education as a measure of socio-economic status, because data on education are available for longer time trends, </w:t>
      </w:r>
      <w:r w:rsidRPr="00596201">
        <w:rPr>
          <w:rFonts w:ascii="Garamond" w:hAnsi="Garamond"/>
          <w:lang w:val="en-US"/>
        </w:rPr>
        <w:t xml:space="preserve">and education tends to capture the SES of females much better than income or occupation </w:t>
      </w:r>
      <w:r w:rsidRPr="00596201">
        <w:rPr>
          <w:rFonts w:ascii="Garamond" w:hAnsi="Garamond"/>
          <w:noProof/>
          <w:lang w:val="en-US"/>
        </w:rPr>
        <w:t>(Eikemo et al., 2014)</w:t>
      </w:r>
      <w:r w:rsidRPr="00596201">
        <w:rPr>
          <w:rFonts w:ascii="Garamond" w:hAnsi="Garamond"/>
          <w:lang w:val="en-US"/>
        </w:rPr>
        <w:t xml:space="preserve">. Using the International Standard Classification of Education (ISCED) </w:t>
      </w:r>
      <w:r w:rsidRPr="00596201">
        <w:rPr>
          <w:rFonts w:ascii="Garamond" w:hAnsi="Garamond"/>
          <w:noProof/>
          <w:lang w:val="en-US"/>
        </w:rPr>
        <w:t>(UNESCO, 1997)</w:t>
      </w:r>
      <w:r w:rsidRPr="00596201">
        <w:rPr>
          <w:rFonts w:ascii="Garamond" w:hAnsi="Garamond"/>
          <w:lang w:val="en-US"/>
        </w:rPr>
        <w:t xml:space="preserve">, we created three educational attainment groups, in line with previous international research </w:t>
      </w:r>
      <w:r w:rsidRPr="00596201">
        <w:rPr>
          <w:rFonts w:ascii="Garamond" w:hAnsi="Garamond"/>
          <w:noProof/>
          <w:lang w:val="en-US"/>
        </w:rPr>
        <w:t>(de Gelder et al., 2017)</w:t>
      </w:r>
      <w:r w:rsidRPr="00596201">
        <w:rPr>
          <w:rFonts w:ascii="Garamond" w:hAnsi="Garamond"/>
          <w:lang w:val="en-US"/>
        </w:rPr>
        <w:t xml:space="preserve">: low (no, preprimary, </w:t>
      </w:r>
      <w:r w:rsidRPr="00596201">
        <w:rPr>
          <w:rFonts w:ascii="Garamond" w:hAnsi="Garamond"/>
          <w:lang w:val="en-US"/>
        </w:rPr>
        <w:lastRenderedPageBreak/>
        <w:t xml:space="preserve">primary, and lower secondary; ISCED-1997 0-2), middle (upper secondary and post-secondary non-tertiary education; ISCED-1997 3-4), and high (tertiary education; ISCED-1997 5-6). </w:t>
      </w:r>
    </w:p>
    <w:p w14:paraId="7B3980B5" w14:textId="6587BD39" w:rsidR="00813744" w:rsidRPr="00596201" w:rsidRDefault="00813744" w:rsidP="00241E90">
      <w:pPr>
        <w:spacing w:line="360" w:lineRule="auto"/>
        <w:ind w:firstLine="708"/>
        <w:jc w:val="both"/>
        <w:rPr>
          <w:rFonts w:ascii="Garamond" w:hAnsi="Garamond" w:cs="Arial"/>
          <w:color w:val="212121"/>
          <w:lang w:val="en-US"/>
        </w:rPr>
      </w:pPr>
      <w:r w:rsidRPr="00596201">
        <w:rPr>
          <w:rFonts w:ascii="Garamond" w:hAnsi="Garamond" w:cs="Arial"/>
          <w:color w:val="212121"/>
          <w:lang w:val="en-US"/>
        </w:rPr>
        <w:t>The data for England &amp; Wales have been adjusted to enable the use of this three-group educational structure, and to deal with trend discontinuities related to identified data issues</w:t>
      </w:r>
      <w:r w:rsidR="00C54CCB" w:rsidRPr="00596201">
        <w:rPr>
          <w:rFonts w:ascii="Garamond" w:hAnsi="Garamond" w:cs="Arial"/>
          <w:color w:val="212121"/>
          <w:lang w:val="en-US"/>
        </w:rPr>
        <w:t xml:space="preserve"> </w:t>
      </w:r>
      <w:r w:rsidR="00C54CCB" w:rsidRPr="00596201">
        <w:rPr>
          <w:rFonts w:ascii="Garamond" w:hAnsi="Garamond" w:cs="Arial"/>
          <w:noProof/>
          <w:color w:val="212121"/>
          <w:lang w:val="en-US"/>
        </w:rPr>
        <w:t>(Janssen et al., 2024)</w:t>
      </w:r>
      <w:r w:rsidRPr="00596201">
        <w:rPr>
          <w:rFonts w:ascii="Garamond" w:hAnsi="Garamond" w:cs="Arial"/>
          <w:color w:val="212121"/>
          <w:lang w:val="en-US"/>
        </w:rPr>
        <w:t xml:space="preserve">. </w:t>
      </w:r>
      <w:r w:rsidR="00C54CCB" w:rsidRPr="00596201">
        <w:rPr>
          <w:rFonts w:ascii="Garamond" w:hAnsi="Garamond" w:cs="Arial"/>
          <w:color w:val="212121"/>
          <w:lang w:val="en-US"/>
        </w:rPr>
        <w:t>This included the</w:t>
      </w:r>
      <w:r w:rsidRPr="00596201">
        <w:rPr>
          <w:rFonts w:ascii="Garamond" w:hAnsi="Garamond" w:cs="Arial"/>
          <w:color w:val="212121"/>
          <w:lang w:val="en-US"/>
        </w:rPr>
        <w:t xml:space="preserve"> </w:t>
      </w:r>
      <w:r w:rsidR="00C54CCB" w:rsidRPr="00596201">
        <w:rPr>
          <w:rFonts w:ascii="Garamond" w:hAnsi="Garamond" w:cs="Arial"/>
          <w:color w:val="212121"/>
          <w:lang w:val="en-US"/>
        </w:rPr>
        <w:t xml:space="preserve">adjustment </w:t>
      </w:r>
      <w:r w:rsidRPr="00596201">
        <w:rPr>
          <w:rFonts w:ascii="Garamond" w:hAnsi="Garamond" w:cs="Arial"/>
          <w:color w:val="212121"/>
          <w:lang w:val="en-US"/>
        </w:rPr>
        <w:t>for differences with country-level mortality data for the total England &amp; Wales population.</w:t>
      </w:r>
    </w:p>
    <w:p w14:paraId="153C10FB" w14:textId="5DA564FC" w:rsidR="00753F2A" w:rsidRPr="00596201" w:rsidRDefault="00C54CCB" w:rsidP="00753F2A">
      <w:pPr>
        <w:spacing w:line="360" w:lineRule="auto"/>
        <w:ind w:firstLine="708"/>
        <w:jc w:val="both"/>
        <w:rPr>
          <w:rFonts w:ascii="Garamond" w:hAnsi="Garamond"/>
          <w:color w:val="212121"/>
          <w:lang w:val="en-US"/>
        </w:rPr>
      </w:pPr>
      <w:r w:rsidRPr="00596201">
        <w:rPr>
          <w:rFonts w:ascii="Garamond" w:hAnsi="Garamond"/>
          <w:color w:val="212121"/>
          <w:lang w:val="en-US"/>
        </w:rPr>
        <w:t>W</w:t>
      </w:r>
      <w:r w:rsidR="00753F2A" w:rsidRPr="00596201">
        <w:rPr>
          <w:rFonts w:ascii="Garamond" w:hAnsi="Garamond"/>
          <w:color w:val="212121"/>
          <w:lang w:val="en-US"/>
        </w:rPr>
        <w:t>e dealt with (potential) missing data for educational attainment in our data selection and data handling process (see Janssen et al. 2024). First, because educational attainment information for immigrants is not available when they enter the country, we did not count immigrants until the census and the follow-up period after they arrived in England &amp; Wales</w:t>
      </w:r>
      <w:r w:rsidR="001D1CCB" w:rsidRPr="00596201">
        <w:rPr>
          <w:rFonts w:ascii="Garamond" w:hAnsi="Garamond"/>
          <w:color w:val="212121"/>
          <w:lang w:val="en-US"/>
        </w:rPr>
        <w:t xml:space="preserve"> </w:t>
      </w:r>
      <w:proofErr w:type="gramStart"/>
      <w:r w:rsidR="001D1CCB" w:rsidRPr="00596201">
        <w:rPr>
          <w:rFonts w:ascii="Garamond" w:hAnsi="Garamond"/>
          <w:color w:val="212121"/>
          <w:lang w:val="en-US"/>
        </w:rPr>
        <w:t xml:space="preserve">in order </w:t>
      </w:r>
      <w:r w:rsidR="00753F2A" w:rsidRPr="00596201">
        <w:rPr>
          <w:rFonts w:ascii="Garamond" w:hAnsi="Garamond"/>
          <w:color w:val="212121"/>
          <w:lang w:val="en-US"/>
        </w:rPr>
        <w:t>to</w:t>
      </w:r>
      <w:proofErr w:type="gramEnd"/>
      <w:r w:rsidR="00753F2A" w:rsidRPr="00596201">
        <w:rPr>
          <w:rFonts w:ascii="Garamond" w:hAnsi="Garamond"/>
          <w:color w:val="212121"/>
          <w:lang w:val="en-US"/>
        </w:rPr>
        <w:t xml:space="preserve"> ensure that we had complete information on educational attainment. Second, we carefully explored the amount of missing information on educational attainment, and consequently dealt with them (Janssen et al. 2024). By using the detailed underlying educational variables in the ONS-LS, we ended up with missing educational information for less than 0.5% of the respondents in the 1991 follow-up and the 2011 follow-up (Janssen et al. 2024 Table 1). In the 2001 follow-up, educational information was initially missing for all respondents aged 75 and older, because they were not asked about their educational level</w:t>
      </w:r>
      <w:r w:rsidR="001D1CCB" w:rsidRPr="00596201">
        <w:rPr>
          <w:rFonts w:ascii="Garamond" w:hAnsi="Garamond"/>
          <w:color w:val="212121"/>
          <w:lang w:val="en-US"/>
        </w:rPr>
        <w:t xml:space="preserve"> during the 2001 census</w:t>
      </w:r>
      <w:r w:rsidR="00753F2A" w:rsidRPr="00596201">
        <w:rPr>
          <w:rFonts w:ascii="Garamond" w:hAnsi="Garamond"/>
          <w:color w:val="212121"/>
          <w:lang w:val="en-US"/>
        </w:rPr>
        <w:t xml:space="preserve">. By using their educational information from the 1991 census instead, the percentage of respondents with missing educational information amounted eventually to 1% among males, and 1.3% among females. We proportionally redistributed the deaths and personyears with missing educational information to the low, middle, and high education categories according to the smoothed relative share of personyears and deaths of the respective educational category by year, sex, and age. The underlying assumption that those with missing education were missing at random is made implicitly in previous research that omitted those with missing educational information. </w:t>
      </w:r>
    </w:p>
    <w:p w14:paraId="07FE0E13" w14:textId="3DAA3291" w:rsidR="00753F2A" w:rsidRPr="00596201" w:rsidRDefault="00753F2A" w:rsidP="00753F2A">
      <w:pPr>
        <w:spacing w:line="360" w:lineRule="auto"/>
        <w:ind w:firstLine="708"/>
        <w:jc w:val="both"/>
        <w:rPr>
          <w:rFonts w:ascii="Garamond" w:hAnsi="Garamond"/>
          <w:color w:val="212121"/>
          <w:lang w:val="en-US"/>
        </w:rPr>
      </w:pPr>
      <w:r w:rsidRPr="00596201">
        <w:rPr>
          <w:rFonts w:ascii="Garamond" w:hAnsi="Garamond"/>
          <w:color w:val="212121"/>
          <w:lang w:val="en-US"/>
        </w:rPr>
        <w:t xml:space="preserve">We carefully assessed the occurrence of (potential) data issues hampering the examination of long-term mortality trends by educational level for E&amp;W in a time-consistent and internationally comparable </w:t>
      </w:r>
      <w:proofErr w:type="gramStart"/>
      <w:r w:rsidRPr="00596201">
        <w:rPr>
          <w:rFonts w:ascii="Garamond" w:hAnsi="Garamond"/>
          <w:color w:val="212121"/>
          <w:lang w:val="en-US"/>
        </w:rPr>
        <w:t>manner, and</w:t>
      </w:r>
      <w:proofErr w:type="gramEnd"/>
      <w:r w:rsidRPr="00596201">
        <w:rPr>
          <w:rFonts w:ascii="Garamond" w:hAnsi="Garamond"/>
          <w:color w:val="212121"/>
          <w:lang w:val="en-US"/>
        </w:rPr>
        <w:t xml:space="preserve"> adjusted the data – as much as possible - for the identified data issues (see Janssen et al. 2024). In sum, the four main data issues we identified were: 1) Inconsistent information on educational attainment over time. 2) Missing information on educational attainment 3) Inconsistent estimation of emigration 4) Imperfect alignment of the ONS-LS data selection with country-level population and mortality data for the general </w:t>
      </w:r>
      <w:r w:rsidRPr="00596201">
        <w:rPr>
          <w:rFonts w:ascii="Garamond" w:hAnsi="Garamond"/>
          <w:color w:val="212121"/>
          <w:lang w:val="en-US"/>
        </w:rPr>
        <w:lastRenderedPageBreak/>
        <w:t xml:space="preserve">E&amp;W population. Our data adjustment approach entailed the optimization of the available education information at the individual level, and the adjustment—at the aggregate level—for trend discontinuities related to the identified data issues, and for differences with country-level mortality data for the total population. Despite the meticulous effort, and the obtained consistent mortality trends by education over time for the total male and female population aged 30 and over, still a trend break in mortality appeared among males aged 30-74 (see Figure 3 in Janssen et al. 2024), which resulted in higher mortality and consequently lower e30 values for the middle-educated in 2002-2010, compared to the years before and after. Because we could not relate this remaining trend break to one particular data issue that we identified, and because the trend </w:t>
      </w:r>
      <w:proofErr w:type="gramStart"/>
      <w:r w:rsidRPr="00596201">
        <w:rPr>
          <w:rFonts w:ascii="Garamond" w:hAnsi="Garamond"/>
          <w:color w:val="212121"/>
          <w:lang w:val="en-US"/>
        </w:rPr>
        <w:t>break</w:t>
      </w:r>
      <w:proofErr w:type="gramEnd"/>
      <w:r w:rsidRPr="00596201">
        <w:rPr>
          <w:rFonts w:ascii="Garamond" w:hAnsi="Garamond"/>
          <w:color w:val="212121"/>
          <w:lang w:val="en-US"/>
        </w:rPr>
        <w:t xml:space="preserve"> </w:t>
      </w:r>
      <w:r w:rsidR="00632EC6" w:rsidRPr="00596201">
        <w:rPr>
          <w:rFonts w:ascii="Garamond" w:hAnsi="Garamond"/>
          <w:color w:val="212121"/>
          <w:lang w:val="en-US"/>
        </w:rPr>
        <w:t xml:space="preserve">only </w:t>
      </w:r>
      <w:r w:rsidRPr="00596201">
        <w:rPr>
          <w:rFonts w:ascii="Garamond" w:hAnsi="Garamond"/>
          <w:color w:val="212121"/>
          <w:lang w:val="en-US"/>
        </w:rPr>
        <w:t>seemed to apply to the male population aged 30-74, we decided against a potential additional adjustment. However, the timing of the trend break (starting at the onset of the 2011 follow-up and ending at the end of the 2011 follow-up) seems indicative that a potential (additional) data issue could be at stake, and therefore the mortality data for the middle educated aged 30-74 should be treated with caution.</w:t>
      </w:r>
    </w:p>
    <w:p w14:paraId="2E359BB4" w14:textId="623FA4C9" w:rsidR="00753F2A" w:rsidRPr="00596201" w:rsidRDefault="00753F2A" w:rsidP="00753F2A">
      <w:pPr>
        <w:spacing w:line="360" w:lineRule="auto"/>
        <w:ind w:firstLine="708"/>
        <w:jc w:val="both"/>
        <w:rPr>
          <w:rFonts w:ascii="Garamond" w:hAnsi="Garamond"/>
          <w:lang w:val="en-US"/>
        </w:rPr>
      </w:pPr>
      <w:r w:rsidRPr="00596201">
        <w:rPr>
          <w:rFonts w:ascii="Garamond" w:hAnsi="Garamond"/>
          <w:lang w:val="en-US"/>
        </w:rPr>
        <w:t xml:space="preserve">We used mortality data from the Human Mortality Database </w:t>
      </w:r>
      <w:r w:rsidRPr="00596201">
        <w:rPr>
          <w:rFonts w:ascii="Garamond" w:hAnsi="Garamond"/>
          <w:noProof/>
          <w:lang w:val="en-US"/>
        </w:rPr>
        <w:t>(HMD, 2021)</w:t>
      </w:r>
      <w:r w:rsidRPr="00596201">
        <w:rPr>
          <w:rFonts w:ascii="Garamond" w:hAnsi="Garamond"/>
          <w:lang w:val="en-US"/>
        </w:rPr>
        <w:t xml:space="preserve"> by sex, single year of age, and calendar year to compare our results regarding the stagnation of remaining life expectancy at age 30 with those regarding the stagnation of life expectancy at birth (e0). </w:t>
      </w:r>
    </w:p>
    <w:p w14:paraId="1D9A7311" w14:textId="77777777" w:rsidR="00813744" w:rsidRPr="00596201" w:rsidRDefault="00813744" w:rsidP="00241E90">
      <w:pPr>
        <w:rPr>
          <w:rFonts w:ascii="Garamond" w:hAnsi="Garamond"/>
          <w:lang w:val="en-US"/>
        </w:rPr>
      </w:pPr>
    </w:p>
    <w:p w14:paraId="493D2659" w14:textId="77777777" w:rsidR="00813744" w:rsidRPr="00596201" w:rsidRDefault="00813744" w:rsidP="00241E90">
      <w:pPr>
        <w:rPr>
          <w:rFonts w:ascii="Garamond" w:hAnsi="Garamond"/>
          <w:lang w:val="en-US"/>
        </w:rPr>
      </w:pPr>
    </w:p>
    <w:p w14:paraId="49F4EFA2" w14:textId="77777777" w:rsidR="00813744" w:rsidRPr="00596201" w:rsidRDefault="00813744" w:rsidP="00241E90">
      <w:pPr>
        <w:spacing w:line="360" w:lineRule="auto"/>
        <w:rPr>
          <w:rFonts w:ascii="Garamond" w:hAnsi="Garamond"/>
          <w:sz w:val="32"/>
          <w:szCs w:val="32"/>
          <w:lang w:val="en-US"/>
        </w:rPr>
      </w:pPr>
      <w:r w:rsidRPr="00596201">
        <w:rPr>
          <w:rFonts w:ascii="Garamond" w:hAnsi="Garamond"/>
          <w:smallCaps/>
          <w:color w:val="000000"/>
          <w:sz w:val="32"/>
          <w:szCs w:val="32"/>
          <w:lang w:val="en-GB" w:eastAsia="de-DE"/>
        </w:rPr>
        <w:t>Methods</w:t>
      </w:r>
    </w:p>
    <w:p w14:paraId="344E5AA2" w14:textId="18844D35" w:rsidR="00813744" w:rsidRPr="00596201" w:rsidRDefault="00813744" w:rsidP="00A14FC8">
      <w:pPr>
        <w:pStyle w:val="Prrafodelista"/>
        <w:numPr>
          <w:ilvl w:val="0"/>
          <w:numId w:val="1"/>
        </w:numPr>
        <w:spacing w:line="360" w:lineRule="auto"/>
        <w:jc w:val="both"/>
        <w:rPr>
          <w:rFonts w:ascii="Garamond" w:hAnsi="Garamond"/>
          <w:lang w:val="en-US"/>
        </w:rPr>
      </w:pPr>
      <w:r w:rsidRPr="00596201">
        <w:rPr>
          <w:rFonts w:ascii="Garamond" w:hAnsi="Garamond"/>
          <w:lang w:val="en-US"/>
        </w:rPr>
        <w:t>Life tables</w:t>
      </w:r>
    </w:p>
    <w:p w14:paraId="3CF7CB20" w14:textId="3F2C4464" w:rsidR="00813744" w:rsidRPr="00596201" w:rsidRDefault="00813744" w:rsidP="00241E90">
      <w:pPr>
        <w:spacing w:line="360" w:lineRule="auto"/>
        <w:jc w:val="both"/>
        <w:rPr>
          <w:rFonts w:ascii="Garamond" w:hAnsi="Garamond"/>
          <w:lang w:val="en-US"/>
        </w:rPr>
      </w:pPr>
      <w:r w:rsidRPr="00596201">
        <w:rPr>
          <w:rFonts w:ascii="Garamond" w:eastAsiaTheme="minorHAnsi" w:hAnsi="Garamond" w:cs="Helvetica Neue"/>
          <w:color w:val="000000"/>
          <w:lang w:val="en-US" w:eastAsia="en-US"/>
          <w14:ligatures w14:val="standardContextual"/>
        </w:rPr>
        <w:t>To study trends over time in remaining life expectancy at age 30 (e30) for the national population and the three educational groups</w:t>
      </w:r>
      <w:r w:rsidRPr="00596201">
        <w:rPr>
          <w:rFonts w:ascii="Garamond" w:hAnsi="Garamond"/>
          <w:lang w:val="en-US"/>
        </w:rPr>
        <w:t>,</w:t>
      </w:r>
      <w:r w:rsidRPr="00596201">
        <w:rPr>
          <w:rFonts w:ascii="Helvetica Neue" w:eastAsiaTheme="minorHAnsi" w:hAnsi="Helvetica Neue" w:cs="Helvetica Neue"/>
          <w:color w:val="000000"/>
          <w:sz w:val="26"/>
          <w:szCs w:val="26"/>
          <w:lang w:val="en-US" w:eastAsia="en-US"/>
          <w14:ligatures w14:val="standardContextual"/>
        </w:rPr>
        <w:t xml:space="preserve"> </w:t>
      </w:r>
      <w:r w:rsidRPr="00596201">
        <w:rPr>
          <w:rFonts w:ascii="Garamond" w:hAnsi="Garamond"/>
          <w:lang w:val="en-US"/>
        </w:rPr>
        <w:t xml:space="preserve">we constructed period life tables </w:t>
      </w:r>
      <w:r w:rsidR="00C54CCB" w:rsidRPr="00596201">
        <w:rPr>
          <w:rFonts w:ascii="Garamond" w:hAnsi="Garamond"/>
          <w:lang w:val="en-US"/>
        </w:rPr>
        <w:t>by applying</w:t>
      </w:r>
      <w:r w:rsidRPr="00596201">
        <w:rPr>
          <w:rFonts w:ascii="Garamond" w:hAnsi="Garamond"/>
          <w:lang w:val="en-US"/>
        </w:rPr>
        <w:t xml:space="preserve"> standard period life table techniques </w:t>
      </w:r>
      <w:r w:rsidRPr="00596201">
        <w:rPr>
          <w:rFonts w:ascii="Garamond" w:hAnsi="Garamond"/>
          <w:noProof/>
          <w:lang w:val="en-US"/>
        </w:rPr>
        <w:t>(Preston et al., 2001)</w:t>
      </w:r>
      <w:r w:rsidR="00C54CCB" w:rsidRPr="00596201">
        <w:rPr>
          <w:rFonts w:ascii="Garamond" w:hAnsi="Garamond"/>
          <w:noProof/>
          <w:lang w:val="en-US"/>
        </w:rPr>
        <w:t xml:space="preserve"> to age-specific mortality rates for the national population and by educational group</w:t>
      </w:r>
      <w:r w:rsidRPr="00596201">
        <w:rPr>
          <w:rFonts w:ascii="Garamond" w:hAnsi="Garamond"/>
          <w:lang w:val="en-US"/>
        </w:rPr>
        <w:t xml:space="preserve">. We computed e30, by sex, for the national population and the three educational attainment groups for each single calendar year. </w:t>
      </w:r>
    </w:p>
    <w:p w14:paraId="3A192F92" w14:textId="5C722EF8" w:rsidR="00AA5013" w:rsidRDefault="00024451" w:rsidP="00AA5013">
      <w:pPr>
        <w:spacing w:line="360" w:lineRule="auto"/>
        <w:ind w:firstLine="708"/>
        <w:jc w:val="both"/>
        <w:rPr>
          <w:rFonts w:ascii="Garamond" w:hAnsi="Garamond"/>
          <w:color w:val="212121"/>
          <w:lang w:val="en-US"/>
        </w:rPr>
      </w:pPr>
      <w:r w:rsidRPr="00596201">
        <w:rPr>
          <w:rFonts w:ascii="Garamond" w:hAnsi="Garamond" w:cs="Helvetica Neue"/>
          <w:color w:val="000000" w:themeColor="text1"/>
          <w:lang w:val="en-US"/>
        </w:rPr>
        <w:t>Because the ONS-LS data apply to a 1% representative sample of the total E&amp;W population and not to the full E&amp;W population itself, the e30 estimates across education groups - particularly the middle and high education groups - come with some uncertainty. To illustrate the uncertainty of the e30 estimates we calculated 95% confidence intervals</w:t>
      </w:r>
      <w:r w:rsidRPr="00596201">
        <w:rPr>
          <w:rFonts w:ascii="Garamond" w:hAnsi="Garamond" w:cs="Helvetica Neue"/>
          <w:color w:val="000000" w:themeColor="text1"/>
          <w:sz w:val="26"/>
          <w:szCs w:val="26"/>
          <w:lang w:val="en-US"/>
        </w:rPr>
        <w:t xml:space="preserve"> </w:t>
      </w:r>
      <w:r w:rsidRPr="00596201">
        <w:rPr>
          <w:rFonts w:ascii="Garamond" w:hAnsi="Garamond"/>
          <w:color w:val="212121"/>
          <w:lang w:val="en-US"/>
        </w:rPr>
        <w:t xml:space="preserve">by sex, education, and year for the complete time series (Supplemental Figure 1). We obtained the confidence intervals for e30 by performing a Poisson sampling of age-specific death counts for each year, </w:t>
      </w:r>
      <w:r w:rsidRPr="00596201">
        <w:rPr>
          <w:rFonts w:ascii="Garamond" w:hAnsi="Garamond"/>
          <w:color w:val="212121"/>
          <w:lang w:val="en-US"/>
        </w:rPr>
        <w:lastRenderedPageBreak/>
        <w:t xml:space="preserve">sex, and educational group. We then calculated life tables for each of the 1,000 replications and obtained the e30. This approach is based on </w:t>
      </w:r>
      <w:proofErr w:type="spellStart"/>
      <w:r w:rsidRPr="00596201">
        <w:rPr>
          <w:rFonts w:ascii="Garamond" w:hAnsi="Garamond"/>
          <w:color w:val="212121"/>
          <w:lang w:val="en-US"/>
        </w:rPr>
        <w:t>Silcocks</w:t>
      </w:r>
      <w:proofErr w:type="spellEnd"/>
      <w:r w:rsidRPr="00596201">
        <w:rPr>
          <w:rFonts w:ascii="Garamond" w:hAnsi="Garamond"/>
          <w:color w:val="212121"/>
          <w:lang w:val="en-US"/>
        </w:rPr>
        <w:t xml:space="preserve"> et al. (2001) and has been applied previously to estimate confidence intervals around life expectancy losses during the COVID-19 pandemic (</w:t>
      </w:r>
      <w:proofErr w:type="spellStart"/>
      <w:r w:rsidRPr="00596201">
        <w:rPr>
          <w:rFonts w:ascii="Garamond" w:hAnsi="Garamond"/>
          <w:color w:val="212121"/>
          <w:lang w:val="en-US"/>
        </w:rPr>
        <w:t>Aburto</w:t>
      </w:r>
      <w:proofErr w:type="spellEnd"/>
      <w:r w:rsidRPr="00596201">
        <w:rPr>
          <w:rFonts w:ascii="Garamond" w:hAnsi="Garamond"/>
          <w:color w:val="212121"/>
          <w:lang w:val="en-US"/>
        </w:rPr>
        <w:t xml:space="preserve"> et al. 2021).</w:t>
      </w:r>
    </w:p>
    <w:p w14:paraId="62799951" w14:textId="5E69FCCC" w:rsidR="00813744" w:rsidRPr="00FA396E" w:rsidRDefault="00813744" w:rsidP="00FA396E">
      <w:pPr>
        <w:rPr>
          <w:rFonts w:ascii="Garamond" w:hAnsi="Garamond"/>
          <w:b/>
          <w:bCs/>
          <w:noProof/>
          <w:lang w:val="en-US"/>
        </w:rPr>
      </w:pPr>
      <w:r w:rsidRPr="00596201">
        <w:rPr>
          <w:rFonts w:ascii="Garamond" w:hAnsi="Garamond"/>
          <w:b/>
          <w:bCs/>
          <w:noProof/>
          <w:lang w:val="en-US"/>
        </w:rPr>
        <w:t xml:space="preserve">Figure </w:t>
      </w:r>
      <w:r w:rsidR="000F75DE" w:rsidRPr="00596201">
        <w:rPr>
          <w:rFonts w:ascii="Garamond" w:hAnsi="Garamond"/>
          <w:b/>
          <w:bCs/>
          <w:noProof/>
          <w:lang w:val="en-US"/>
        </w:rPr>
        <w:t>S</w:t>
      </w:r>
      <w:r w:rsidRPr="00596201">
        <w:rPr>
          <w:rFonts w:ascii="Garamond" w:hAnsi="Garamond"/>
          <w:b/>
          <w:bCs/>
          <w:noProof/>
          <w:lang w:val="en-US"/>
        </w:rPr>
        <w:t>1.</w:t>
      </w:r>
      <w:r w:rsidRPr="00596201">
        <w:rPr>
          <w:rFonts w:ascii="Garamond" w:hAnsi="Garamond"/>
          <w:noProof/>
          <w:lang w:val="en-US"/>
        </w:rPr>
        <w:t xml:space="preserve"> </w:t>
      </w:r>
      <w:r w:rsidR="008748BD" w:rsidRPr="00596201">
        <w:rPr>
          <w:rFonts w:ascii="Garamond" w:hAnsi="Garamond"/>
          <w:noProof/>
          <w:lang w:val="en-US"/>
        </w:rPr>
        <w:t xml:space="preserve">Time trends in remaining life expectancy at age 30 (e30) at the national level (Panel A) and by educational attainment groups (Panel B), including 95% confidence intervals, by sex and year. England &amp; Wales, 1972-2017. </w:t>
      </w:r>
      <w:r w:rsidR="008748BD" w:rsidRPr="00596201">
        <w:rPr>
          <w:rFonts w:ascii="Garamond" w:hAnsi="Garamond"/>
          <w:i/>
          <w:iCs/>
          <w:noProof/>
          <w:lang w:val="en-US"/>
        </w:rPr>
        <w:t xml:space="preserve">We obtained 95% confidence intervals using 1,000 simulations of </w:t>
      </w:r>
      <w:r w:rsidR="008748BD" w:rsidRPr="00596201">
        <w:rPr>
          <w:rFonts w:ascii="Garamond" w:hAnsi="Garamond"/>
          <w:i/>
          <w:iCs/>
          <w:color w:val="212121"/>
          <w:lang w:val="en-US"/>
        </w:rPr>
        <w:t>Poisson sampling of age-specific death counts.</w:t>
      </w:r>
    </w:p>
    <w:p w14:paraId="6DFB9BEE" w14:textId="5D5087F2" w:rsidR="00813744" w:rsidRPr="00596201" w:rsidRDefault="008748BD" w:rsidP="00024451">
      <w:pPr>
        <w:jc w:val="both"/>
        <w:rPr>
          <w:rFonts w:ascii="Garamond" w:hAnsi="Garamond"/>
          <w:color w:val="212121"/>
          <w:lang w:val="en-US"/>
        </w:rPr>
      </w:pPr>
      <w:r w:rsidRPr="00596201">
        <w:rPr>
          <w:rFonts w:ascii="Garamond" w:hAnsi="Garamond"/>
          <w:noProof/>
          <w:color w:val="212121"/>
          <w:lang w:val="en-US"/>
          <w14:ligatures w14:val="standardContextual"/>
        </w:rPr>
        <w:drawing>
          <wp:inline distT="0" distB="0" distL="0" distR="0" wp14:anchorId="757C321E" wp14:editId="7CBD3475">
            <wp:extent cx="5612130" cy="4779819"/>
            <wp:effectExtent l="0" t="0" r="1270" b="0"/>
            <wp:docPr id="20886832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83291" name="Imagen 208868329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4171" cy="4781557"/>
                    </a:xfrm>
                    <a:prstGeom prst="rect">
                      <a:avLst/>
                    </a:prstGeom>
                  </pic:spPr>
                </pic:pic>
              </a:graphicData>
            </a:graphic>
          </wp:inline>
        </w:drawing>
      </w:r>
    </w:p>
    <w:p w14:paraId="6899DBB1" w14:textId="77777777" w:rsidR="00813744" w:rsidRPr="00596201" w:rsidRDefault="00813744" w:rsidP="00024451">
      <w:pPr>
        <w:jc w:val="both"/>
        <w:rPr>
          <w:rFonts w:ascii="Garamond" w:hAnsi="Garamond"/>
          <w:color w:val="212121"/>
          <w:lang w:val="en-US"/>
        </w:rPr>
      </w:pPr>
      <w:r w:rsidRPr="00596201">
        <w:rPr>
          <w:rFonts w:ascii="Garamond" w:hAnsi="Garamond"/>
          <w:color w:val="212121"/>
          <w:lang w:val="en-US"/>
        </w:rPr>
        <w:t>Source data: ONS-Longitudinal Study.</w:t>
      </w:r>
    </w:p>
    <w:p w14:paraId="718DF43B" w14:textId="77777777" w:rsidR="00813744" w:rsidRPr="00596201" w:rsidRDefault="00813744" w:rsidP="00024451">
      <w:pPr>
        <w:jc w:val="both"/>
        <w:rPr>
          <w:rFonts w:ascii="Garamond" w:hAnsi="Garamond"/>
          <w:lang w:val="en-US"/>
        </w:rPr>
      </w:pPr>
    </w:p>
    <w:p w14:paraId="2313FC12" w14:textId="675479A9" w:rsidR="00FA396E" w:rsidRDefault="00FA396E" w:rsidP="00FA396E">
      <w:pPr>
        <w:spacing w:line="360" w:lineRule="auto"/>
        <w:ind w:firstLine="708"/>
        <w:jc w:val="both"/>
        <w:rPr>
          <w:rFonts w:ascii="Garamond" w:hAnsi="Garamond"/>
          <w:color w:val="212121"/>
          <w:lang w:val="en-US"/>
        </w:rPr>
      </w:pPr>
      <w:r w:rsidRPr="0019518D">
        <w:rPr>
          <w:rFonts w:ascii="Garamond" w:hAnsi="Garamond"/>
          <w:color w:val="212121"/>
          <w:lang w:val="en-US"/>
        </w:rPr>
        <w:t xml:space="preserve">In addition, we smoothed the trends in e30 at the national level and by educational groups and trends in educational inequalities in e30 using segmented regression (Figure S2). We smoothed those trends using segmented regression analysis by sex and educational groups. Using segmented regression can help us, to deal with uncertainty regarding trends rather than the uncertainty in the life expectancy estimate (as the bootstrapping technique helps us to get the </w:t>
      </w:r>
      <w:r w:rsidRPr="0019518D">
        <w:rPr>
          <w:rFonts w:ascii="Garamond" w:hAnsi="Garamond"/>
          <w:color w:val="212121"/>
          <w:lang w:val="en-US"/>
        </w:rPr>
        <w:lastRenderedPageBreak/>
        <w:t>uncertainty in the life expectancy estimate but not on the trends). The advantage of segmented regression is that it allows us to get confidence intervals for the trends in life expectancy and educational inequities in e30.</w:t>
      </w:r>
      <w:r>
        <w:rPr>
          <w:rFonts w:ascii="Garamond" w:hAnsi="Garamond"/>
          <w:color w:val="212121"/>
          <w:lang w:val="en-US"/>
        </w:rPr>
        <w:t xml:space="preserve"> </w:t>
      </w:r>
    </w:p>
    <w:p w14:paraId="393EC546" w14:textId="77777777" w:rsidR="00D901DA" w:rsidRDefault="00D901DA" w:rsidP="00024451">
      <w:pPr>
        <w:spacing w:line="360" w:lineRule="auto"/>
        <w:jc w:val="both"/>
        <w:rPr>
          <w:rFonts w:ascii="Garamond" w:hAnsi="Garamond"/>
          <w:lang w:val="en-US"/>
        </w:rPr>
      </w:pPr>
    </w:p>
    <w:p w14:paraId="5DCFB38C" w14:textId="38F8E48C" w:rsidR="008C09B4" w:rsidRDefault="008C09B4" w:rsidP="008C09B4">
      <w:pPr>
        <w:jc w:val="both"/>
        <w:rPr>
          <w:rFonts w:ascii="Garamond" w:hAnsi="Garamond"/>
          <w:noProof/>
          <w:lang w:val="en-US"/>
        </w:rPr>
      </w:pPr>
      <w:r w:rsidRPr="00596201">
        <w:rPr>
          <w:rFonts w:ascii="Garamond" w:hAnsi="Garamond"/>
          <w:b/>
          <w:bCs/>
          <w:noProof/>
          <w:lang w:val="en-US"/>
        </w:rPr>
        <w:t>Figure S</w:t>
      </w:r>
      <w:r>
        <w:rPr>
          <w:rFonts w:ascii="Garamond" w:hAnsi="Garamond"/>
          <w:b/>
          <w:bCs/>
          <w:noProof/>
          <w:lang w:val="en-US"/>
        </w:rPr>
        <w:t>2</w:t>
      </w:r>
      <w:r w:rsidRPr="00596201">
        <w:rPr>
          <w:rFonts w:ascii="Garamond" w:hAnsi="Garamond"/>
          <w:b/>
          <w:bCs/>
          <w:noProof/>
          <w:lang w:val="en-US"/>
        </w:rPr>
        <w:t>.</w:t>
      </w:r>
      <w:r w:rsidRPr="00596201">
        <w:rPr>
          <w:rFonts w:ascii="Garamond" w:hAnsi="Garamond"/>
          <w:noProof/>
          <w:lang w:val="en-US"/>
        </w:rPr>
        <w:t xml:space="preserve"> </w:t>
      </w:r>
      <w:r w:rsidR="0034095A">
        <w:rPr>
          <w:rFonts w:ascii="Garamond" w:hAnsi="Garamond"/>
          <w:noProof/>
          <w:lang w:val="en-US"/>
        </w:rPr>
        <w:t>A)</w:t>
      </w:r>
      <w:r w:rsidR="0034095A" w:rsidRPr="00596201">
        <w:rPr>
          <w:rFonts w:ascii="Garamond" w:hAnsi="Garamond"/>
          <w:noProof/>
          <w:lang w:val="en-US"/>
        </w:rPr>
        <w:t xml:space="preserve">Time trends in remaining life expectancy at age 30 (e30) at the national level </w:t>
      </w:r>
      <w:r w:rsidR="0034095A">
        <w:rPr>
          <w:rFonts w:ascii="Garamond" w:hAnsi="Garamond"/>
          <w:noProof/>
          <w:lang w:val="en-US"/>
        </w:rPr>
        <w:t>and by educational attainment groups</w:t>
      </w:r>
      <w:r w:rsidR="0034095A" w:rsidRPr="00596201">
        <w:rPr>
          <w:rFonts w:ascii="Garamond" w:hAnsi="Garamond"/>
          <w:noProof/>
          <w:lang w:val="en-US"/>
        </w:rPr>
        <w:t xml:space="preserve"> and </w:t>
      </w:r>
      <w:r w:rsidR="0034095A">
        <w:rPr>
          <w:rFonts w:ascii="Garamond" w:hAnsi="Garamond"/>
          <w:noProof/>
          <w:lang w:val="en-US"/>
        </w:rPr>
        <w:t>B) time trends in educational inequalities in e30</w:t>
      </w:r>
      <w:r w:rsidR="00F1273C">
        <w:rPr>
          <w:rFonts w:ascii="Garamond" w:hAnsi="Garamond"/>
          <w:noProof/>
          <w:lang w:val="en-US"/>
        </w:rPr>
        <w:t xml:space="preserve"> (in years)</w:t>
      </w:r>
      <w:r w:rsidR="0034095A">
        <w:rPr>
          <w:rFonts w:ascii="Garamond" w:hAnsi="Garamond"/>
          <w:noProof/>
          <w:lang w:val="en-US"/>
        </w:rPr>
        <w:t xml:space="preserve"> by sex</w:t>
      </w:r>
      <w:r w:rsidR="0034095A" w:rsidRPr="00596201">
        <w:rPr>
          <w:rFonts w:ascii="Garamond" w:hAnsi="Garamond"/>
          <w:noProof/>
          <w:lang w:val="en-US"/>
        </w:rPr>
        <w:t xml:space="preserve">, including 95% confidence intervals, by sex. England &amp; Wales, </w:t>
      </w:r>
      <w:r w:rsidR="00F1273C">
        <w:rPr>
          <w:rFonts w:ascii="Garamond" w:hAnsi="Garamond"/>
          <w:noProof/>
          <w:lang w:val="en-US"/>
        </w:rPr>
        <w:t>1999</w:t>
      </w:r>
      <w:r w:rsidR="0034095A" w:rsidRPr="00596201">
        <w:rPr>
          <w:rFonts w:ascii="Garamond" w:hAnsi="Garamond"/>
          <w:noProof/>
          <w:lang w:val="en-US"/>
        </w:rPr>
        <w:t xml:space="preserve">-2017. </w:t>
      </w:r>
      <w:r w:rsidR="0034095A" w:rsidRPr="00596201">
        <w:rPr>
          <w:rFonts w:ascii="Garamond" w:hAnsi="Garamond"/>
          <w:i/>
          <w:iCs/>
          <w:noProof/>
          <w:lang w:val="en-US"/>
        </w:rPr>
        <w:t>We obtained 95% confidence intervals usin</w:t>
      </w:r>
      <w:r w:rsidR="0034095A">
        <w:rPr>
          <w:rFonts w:ascii="Garamond" w:hAnsi="Garamond"/>
          <w:i/>
          <w:iCs/>
          <w:noProof/>
          <w:lang w:val="en-US"/>
        </w:rPr>
        <w:t>g segmented regression analysis.</w:t>
      </w:r>
    </w:p>
    <w:p w14:paraId="0427F268" w14:textId="409E2583" w:rsidR="008C09B4" w:rsidRDefault="006F237B" w:rsidP="008C09B4">
      <w:pPr>
        <w:jc w:val="both"/>
        <w:rPr>
          <w:rFonts w:ascii="Garamond" w:hAnsi="Garamond"/>
          <w:noProof/>
          <w:lang w:val="en-US"/>
        </w:rPr>
      </w:pPr>
      <w:r>
        <w:rPr>
          <w:rFonts w:ascii="Garamond" w:hAnsi="Garamond"/>
          <w:noProof/>
          <w:lang w:val="en-US"/>
          <w14:ligatures w14:val="standardContextual"/>
        </w:rPr>
        <w:drawing>
          <wp:inline distT="0" distB="0" distL="0" distR="0" wp14:anchorId="0E11ECA8" wp14:editId="78572957">
            <wp:extent cx="5612130" cy="5144770"/>
            <wp:effectExtent l="0" t="0" r="1270" b="0"/>
            <wp:docPr id="20188537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53721" name="Imagen 20188537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5144770"/>
                    </a:xfrm>
                    <a:prstGeom prst="rect">
                      <a:avLst/>
                    </a:prstGeom>
                  </pic:spPr>
                </pic:pic>
              </a:graphicData>
            </a:graphic>
          </wp:inline>
        </w:drawing>
      </w:r>
    </w:p>
    <w:p w14:paraId="0B8B2C84" w14:textId="77777777" w:rsidR="008C09B4" w:rsidRDefault="008C09B4" w:rsidP="008C09B4">
      <w:pPr>
        <w:jc w:val="both"/>
        <w:rPr>
          <w:rFonts w:ascii="Garamond" w:hAnsi="Garamond"/>
          <w:lang w:val="en-US"/>
        </w:rPr>
      </w:pPr>
      <w:r>
        <w:rPr>
          <w:rFonts w:ascii="Garamond" w:hAnsi="Garamond"/>
          <w:noProof/>
          <w:lang w:val="en-US"/>
        </w:rPr>
        <w:t>Source data: ONS-Longitudinal Study.</w:t>
      </w:r>
    </w:p>
    <w:p w14:paraId="39005BD4" w14:textId="77777777" w:rsidR="008C09B4" w:rsidRDefault="008C09B4" w:rsidP="00024451">
      <w:pPr>
        <w:spacing w:line="360" w:lineRule="auto"/>
        <w:jc w:val="both"/>
        <w:rPr>
          <w:rFonts w:ascii="Garamond" w:hAnsi="Garamond"/>
          <w:lang w:val="en-US"/>
        </w:rPr>
      </w:pPr>
    </w:p>
    <w:p w14:paraId="2B4C33F1" w14:textId="77777777" w:rsidR="00FA396E" w:rsidRPr="00596201" w:rsidRDefault="00FA396E" w:rsidP="00024451">
      <w:pPr>
        <w:spacing w:line="360" w:lineRule="auto"/>
        <w:jc w:val="both"/>
        <w:rPr>
          <w:rFonts w:ascii="Garamond" w:hAnsi="Garamond"/>
          <w:lang w:val="en-US"/>
        </w:rPr>
      </w:pPr>
    </w:p>
    <w:p w14:paraId="5AABD739" w14:textId="77777777" w:rsidR="00813744" w:rsidRPr="00596201" w:rsidRDefault="00813744" w:rsidP="00024451">
      <w:pPr>
        <w:pStyle w:val="Prrafodelista"/>
        <w:numPr>
          <w:ilvl w:val="0"/>
          <w:numId w:val="1"/>
        </w:numPr>
        <w:spacing w:line="360" w:lineRule="auto"/>
        <w:jc w:val="both"/>
        <w:rPr>
          <w:rFonts w:ascii="Garamond" w:hAnsi="Garamond"/>
          <w:lang w:val="en-US"/>
        </w:rPr>
      </w:pPr>
      <w:r w:rsidRPr="00596201">
        <w:rPr>
          <w:rFonts w:ascii="Garamond" w:hAnsi="Garamond"/>
          <w:lang w:val="en-US"/>
        </w:rPr>
        <w:t>Segmented regression</w:t>
      </w:r>
    </w:p>
    <w:p w14:paraId="0D6C89BD" w14:textId="77777777" w:rsidR="00813744" w:rsidRPr="00596201" w:rsidRDefault="00813744" w:rsidP="00024451">
      <w:pPr>
        <w:spacing w:line="360" w:lineRule="auto"/>
        <w:jc w:val="both"/>
        <w:rPr>
          <w:rFonts w:ascii="Garamond" w:hAnsi="Garamond"/>
          <w:lang w:val="en-US"/>
        </w:rPr>
      </w:pPr>
    </w:p>
    <w:p w14:paraId="17ECDDF2" w14:textId="77777777" w:rsidR="00813744" w:rsidRPr="00596201" w:rsidRDefault="00813744" w:rsidP="00024451">
      <w:pPr>
        <w:spacing w:line="360" w:lineRule="auto"/>
        <w:jc w:val="both"/>
        <w:rPr>
          <w:rFonts w:ascii="Garamond" w:hAnsi="Garamond"/>
          <w:lang w:val="en-US"/>
        </w:rPr>
      </w:pPr>
      <w:r w:rsidRPr="00596201">
        <w:rPr>
          <w:rFonts w:ascii="Garamond" w:eastAsiaTheme="minorHAnsi" w:hAnsi="Garamond" w:cs="Helvetica Neue"/>
          <w:color w:val="000000"/>
          <w:lang w:val="en-US" w:eastAsia="en-US"/>
          <w14:ligatures w14:val="standardContextual"/>
        </w:rPr>
        <w:lastRenderedPageBreak/>
        <w:t xml:space="preserve">To identify the start year of the stagnation in e30, and to assess the study period, we examined trend breaks in the sex-specific trends in the national-level e30 (1972-2017) using segmented regression. </w:t>
      </w:r>
      <w:r w:rsidRPr="00596201">
        <w:rPr>
          <w:rFonts w:ascii="Garamond" w:hAnsi="Garamond"/>
          <w:lang w:val="en-US"/>
        </w:rPr>
        <w:t>More specifically, we employed a Davies test to assess the existence of a non-constant regression parameter in, first, a linear regression model, and, subsequently, a model with one, two, or three trend breaks. To assess whether the identified trend breaks were statistically significant (p-value of &lt;0.05), we performed a likelihood ratio test. Our segmented regression analysis was carried out using the R package “</w:t>
      </w:r>
      <w:r w:rsidRPr="00596201">
        <w:rPr>
          <w:rFonts w:ascii="Garamond" w:hAnsi="Garamond"/>
          <w:i/>
          <w:iCs/>
          <w:lang w:val="en-US"/>
        </w:rPr>
        <w:t>segmented</w:t>
      </w:r>
      <w:r w:rsidRPr="00596201">
        <w:rPr>
          <w:rFonts w:ascii="Garamond" w:hAnsi="Garamond"/>
          <w:lang w:val="en-US"/>
        </w:rPr>
        <w:t xml:space="preserve">” </w:t>
      </w:r>
      <w:r w:rsidRPr="00596201">
        <w:rPr>
          <w:rFonts w:ascii="Garamond" w:hAnsi="Garamond"/>
          <w:noProof/>
          <w:lang w:val="en-US"/>
        </w:rPr>
        <w:t>(Muggeo, 2008)</w:t>
      </w:r>
      <w:r w:rsidRPr="00596201">
        <w:rPr>
          <w:rFonts w:ascii="Garamond" w:hAnsi="Garamond"/>
          <w:lang w:val="en-US"/>
        </w:rPr>
        <w:t xml:space="preserve">. </w:t>
      </w:r>
    </w:p>
    <w:p w14:paraId="750B4EEC" w14:textId="38A84164" w:rsidR="00813744" w:rsidRPr="00596201" w:rsidRDefault="00813744" w:rsidP="00024451">
      <w:pPr>
        <w:spacing w:line="360" w:lineRule="auto"/>
        <w:jc w:val="both"/>
        <w:rPr>
          <w:rFonts w:ascii="Garamond" w:hAnsi="Garamond"/>
          <w:lang w:val="en-US"/>
        </w:rPr>
      </w:pPr>
      <w:r w:rsidRPr="00596201">
        <w:rPr>
          <w:rFonts w:ascii="Garamond" w:hAnsi="Garamond"/>
          <w:lang w:val="en-US"/>
        </w:rPr>
        <w:tab/>
        <w:t>From our segmented regression analysis, we identified three trend breaks in e30 for males (1979, 1998, 2011) and two for females (1999, 2011) (</w:t>
      </w:r>
      <w:r w:rsidRPr="00596201">
        <w:rPr>
          <w:rFonts w:ascii="Garamond" w:hAnsi="Garamond"/>
          <w:color w:val="215E99" w:themeColor="text2" w:themeTint="BF"/>
          <w:lang w:val="en-US"/>
        </w:rPr>
        <w:t xml:space="preserve">see Table </w:t>
      </w:r>
      <w:r w:rsidR="00B13EC5" w:rsidRPr="00596201">
        <w:rPr>
          <w:rFonts w:ascii="Garamond" w:hAnsi="Garamond"/>
          <w:color w:val="215E99" w:themeColor="text2" w:themeTint="BF"/>
          <w:lang w:val="en-US"/>
        </w:rPr>
        <w:t>S</w:t>
      </w:r>
      <w:r w:rsidRPr="00596201">
        <w:rPr>
          <w:rFonts w:ascii="Garamond" w:hAnsi="Garamond"/>
          <w:color w:val="215E99" w:themeColor="text2" w:themeTint="BF"/>
          <w:lang w:val="en-US"/>
        </w:rPr>
        <w:t xml:space="preserve">1 and Figure </w:t>
      </w:r>
      <w:r w:rsidR="00B13EC5" w:rsidRPr="00596201">
        <w:rPr>
          <w:rFonts w:ascii="Garamond" w:hAnsi="Garamond"/>
          <w:color w:val="215E99" w:themeColor="text2" w:themeTint="BF"/>
          <w:lang w:val="en-US"/>
        </w:rPr>
        <w:t>S</w:t>
      </w:r>
      <w:r w:rsidR="008C09B4">
        <w:rPr>
          <w:rFonts w:ascii="Garamond" w:hAnsi="Garamond"/>
          <w:color w:val="215E99" w:themeColor="text2" w:themeTint="BF"/>
          <w:lang w:val="en-US"/>
        </w:rPr>
        <w:t>3</w:t>
      </w:r>
      <w:r w:rsidR="00B13EC5" w:rsidRPr="00596201">
        <w:rPr>
          <w:rFonts w:ascii="Garamond" w:hAnsi="Garamond"/>
          <w:color w:val="215E99" w:themeColor="text2" w:themeTint="BF"/>
          <w:lang w:val="en-US"/>
        </w:rPr>
        <w:t xml:space="preserve"> below</w:t>
      </w:r>
      <w:r w:rsidRPr="00596201">
        <w:rPr>
          <w:rFonts w:ascii="Garamond" w:hAnsi="Garamond"/>
          <w:lang w:val="en-US"/>
        </w:rPr>
        <w:t xml:space="preserve">). For both males and females, e30 increased strongly between 1998/1999 and 2011, and the increase in e30 stagnated after 2011. Based on these findings, we identified the year 2011 as the starting </w:t>
      </w:r>
      <w:r w:rsidRPr="00596201">
        <w:rPr>
          <w:rFonts w:ascii="Garamond" w:eastAsiaTheme="minorHAnsi" w:hAnsi="Garamond" w:cs="Helvetica Neue"/>
          <w:color w:val="000000"/>
          <w:lang w:val="en-US" w:eastAsia="en-US"/>
          <w14:ligatures w14:val="standardContextual"/>
        </w:rPr>
        <w:t>year of the stagnation, and 1999-2017 as our study period.</w:t>
      </w:r>
    </w:p>
    <w:p w14:paraId="4DDFB4E9" w14:textId="77777777" w:rsidR="00813744" w:rsidRPr="00596201" w:rsidRDefault="00813744" w:rsidP="00024451">
      <w:pPr>
        <w:spacing w:line="276" w:lineRule="auto"/>
        <w:jc w:val="both"/>
        <w:rPr>
          <w:rFonts w:ascii="Garamond" w:hAnsi="Garamond"/>
          <w:lang w:val="en-US"/>
        </w:rPr>
      </w:pPr>
    </w:p>
    <w:p w14:paraId="1A2C2E2E" w14:textId="6A0800E3" w:rsidR="00813744" w:rsidRPr="00596201" w:rsidRDefault="00813744" w:rsidP="00024451">
      <w:pPr>
        <w:spacing w:line="276" w:lineRule="auto"/>
        <w:jc w:val="both"/>
        <w:rPr>
          <w:rFonts w:ascii="Garamond" w:hAnsi="Garamond"/>
          <w:b/>
          <w:bCs/>
          <w:i/>
          <w:iCs/>
          <w:lang w:val="en-US"/>
        </w:rPr>
      </w:pPr>
      <w:r w:rsidRPr="00596201">
        <w:rPr>
          <w:rFonts w:ascii="Garamond" w:hAnsi="Garamond"/>
          <w:b/>
          <w:bCs/>
          <w:lang w:val="en-US"/>
        </w:rPr>
        <w:t xml:space="preserve">Table </w:t>
      </w:r>
      <w:r w:rsidR="004C6CE1" w:rsidRPr="00596201">
        <w:rPr>
          <w:rFonts w:ascii="Garamond" w:hAnsi="Garamond"/>
          <w:b/>
          <w:bCs/>
          <w:lang w:val="en-US"/>
        </w:rPr>
        <w:t>S</w:t>
      </w:r>
      <w:r w:rsidRPr="00596201">
        <w:rPr>
          <w:rFonts w:ascii="Garamond" w:hAnsi="Garamond"/>
          <w:b/>
          <w:bCs/>
          <w:lang w:val="en-US"/>
        </w:rPr>
        <w:t xml:space="preserve">1. </w:t>
      </w:r>
      <w:r w:rsidRPr="00596201">
        <w:rPr>
          <w:rFonts w:ascii="Garamond" w:hAnsi="Garamond"/>
          <w:lang w:val="en-US"/>
        </w:rPr>
        <w:t xml:space="preserve">Phases of change in trends in remaining life expectancy at age 30 (e30) at the national level, identified by breakpoints and slopes, including (in brackets) their confidence intervals (95%), by sex, England &amp; Wales, 1972-2017. </w:t>
      </w:r>
      <w:r w:rsidRPr="00596201">
        <w:rPr>
          <w:rFonts w:ascii="Garamond" w:hAnsi="Garamond"/>
          <w:i/>
          <w:iCs/>
          <w:lang w:val="en-US"/>
        </w:rPr>
        <w:t>All trend breaks are statistically significant at p-value &lt;0.05.</w:t>
      </w:r>
    </w:p>
    <w:tbl>
      <w:tblPr>
        <w:tblW w:w="5309" w:type="pct"/>
        <w:tblCellMar>
          <w:left w:w="70" w:type="dxa"/>
          <w:right w:w="70" w:type="dxa"/>
        </w:tblCellMar>
        <w:tblLook w:val="04A0" w:firstRow="1" w:lastRow="0" w:firstColumn="1" w:lastColumn="0" w:noHBand="0" w:noVBand="1"/>
      </w:tblPr>
      <w:tblGrid>
        <w:gridCol w:w="807"/>
        <w:gridCol w:w="1267"/>
        <w:gridCol w:w="1267"/>
        <w:gridCol w:w="1267"/>
        <w:gridCol w:w="1167"/>
        <w:gridCol w:w="1167"/>
        <w:gridCol w:w="1280"/>
        <w:gridCol w:w="1167"/>
      </w:tblGrid>
      <w:tr w:rsidR="00813744" w:rsidRPr="00596201" w14:paraId="27EB2FFA" w14:textId="77777777" w:rsidTr="009C0BAF">
        <w:trPr>
          <w:trHeight w:val="429"/>
        </w:trPr>
        <w:tc>
          <w:tcPr>
            <w:tcW w:w="426" w:type="pct"/>
            <w:vMerge w:val="restart"/>
            <w:tcBorders>
              <w:top w:val="single" w:sz="4" w:space="0" w:color="auto"/>
              <w:left w:val="nil"/>
              <w:bottom w:val="nil"/>
              <w:right w:val="dashed" w:sz="8" w:space="0" w:color="auto"/>
            </w:tcBorders>
            <w:shd w:val="clear" w:color="000000" w:fill="E7E6E6"/>
            <w:vAlign w:val="center"/>
            <w:hideMark/>
          </w:tcPr>
          <w:p w14:paraId="2BF464E4" w14:textId="77777777" w:rsidR="00813744" w:rsidRPr="00596201" w:rsidRDefault="00813744" w:rsidP="00596201">
            <w:pPr>
              <w:jc w:val="center"/>
              <w:rPr>
                <w:color w:val="000000"/>
                <w:sz w:val="20"/>
                <w:szCs w:val="20"/>
              </w:rPr>
            </w:pPr>
            <w:r w:rsidRPr="00596201">
              <w:rPr>
                <w:color w:val="000000"/>
                <w:sz w:val="20"/>
                <w:szCs w:val="20"/>
              </w:rPr>
              <w:t>Sex</w:t>
            </w:r>
          </w:p>
        </w:tc>
        <w:tc>
          <w:tcPr>
            <w:tcW w:w="2008" w:type="pct"/>
            <w:gridSpan w:val="3"/>
            <w:tcBorders>
              <w:top w:val="single" w:sz="4" w:space="0" w:color="auto"/>
              <w:left w:val="nil"/>
              <w:bottom w:val="nil"/>
              <w:right w:val="dashed" w:sz="8" w:space="0" w:color="000000"/>
            </w:tcBorders>
            <w:shd w:val="clear" w:color="000000" w:fill="E7E6E6"/>
            <w:noWrap/>
            <w:vAlign w:val="center"/>
            <w:hideMark/>
          </w:tcPr>
          <w:p w14:paraId="59CF51EC" w14:textId="2C8F2FAF" w:rsidR="00813744" w:rsidRPr="00596201" w:rsidRDefault="00813744" w:rsidP="00024451">
            <w:pPr>
              <w:jc w:val="center"/>
              <w:rPr>
                <w:color w:val="000000"/>
                <w:sz w:val="20"/>
                <w:szCs w:val="20"/>
              </w:rPr>
            </w:pPr>
            <w:r w:rsidRPr="00596201">
              <w:rPr>
                <w:color w:val="000000"/>
                <w:sz w:val="20"/>
                <w:szCs w:val="20"/>
              </w:rPr>
              <w:t>Break</w:t>
            </w:r>
          </w:p>
        </w:tc>
        <w:tc>
          <w:tcPr>
            <w:tcW w:w="2566" w:type="pct"/>
            <w:gridSpan w:val="4"/>
            <w:tcBorders>
              <w:top w:val="single" w:sz="4" w:space="0" w:color="auto"/>
              <w:left w:val="nil"/>
              <w:bottom w:val="nil"/>
              <w:right w:val="nil"/>
            </w:tcBorders>
            <w:shd w:val="clear" w:color="000000" w:fill="E7E6E6"/>
            <w:noWrap/>
            <w:vAlign w:val="center"/>
            <w:hideMark/>
          </w:tcPr>
          <w:p w14:paraId="0186B570" w14:textId="3FCDC82B" w:rsidR="00813744" w:rsidRPr="00596201" w:rsidRDefault="00813744" w:rsidP="00024451">
            <w:pPr>
              <w:jc w:val="center"/>
              <w:rPr>
                <w:color w:val="000000"/>
                <w:sz w:val="20"/>
                <w:szCs w:val="20"/>
              </w:rPr>
            </w:pPr>
            <w:r w:rsidRPr="00596201">
              <w:rPr>
                <w:color w:val="000000"/>
                <w:sz w:val="20"/>
                <w:szCs w:val="20"/>
              </w:rPr>
              <w:t>Slope</w:t>
            </w:r>
          </w:p>
        </w:tc>
      </w:tr>
      <w:tr w:rsidR="00813744" w:rsidRPr="00596201" w14:paraId="7196DFA9" w14:textId="77777777" w:rsidTr="009C0BAF">
        <w:trPr>
          <w:trHeight w:val="429"/>
        </w:trPr>
        <w:tc>
          <w:tcPr>
            <w:tcW w:w="426" w:type="pct"/>
            <w:vMerge/>
            <w:tcBorders>
              <w:top w:val="single" w:sz="4" w:space="0" w:color="auto"/>
              <w:left w:val="nil"/>
              <w:bottom w:val="nil"/>
              <w:right w:val="dashed" w:sz="8" w:space="0" w:color="auto"/>
            </w:tcBorders>
            <w:vAlign w:val="center"/>
            <w:hideMark/>
          </w:tcPr>
          <w:p w14:paraId="049C5CB2" w14:textId="77777777" w:rsidR="00813744" w:rsidRPr="00596201" w:rsidRDefault="00813744" w:rsidP="009C0BAF">
            <w:pPr>
              <w:rPr>
                <w:color w:val="000000"/>
                <w:sz w:val="20"/>
                <w:szCs w:val="20"/>
              </w:rPr>
            </w:pPr>
          </w:p>
        </w:tc>
        <w:tc>
          <w:tcPr>
            <w:tcW w:w="669" w:type="pct"/>
            <w:tcBorders>
              <w:top w:val="single" w:sz="4" w:space="0" w:color="auto"/>
              <w:left w:val="nil"/>
              <w:bottom w:val="nil"/>
              <w:right w:val="nil"/>
            </w:tcBorders>
            <w:shd w:val="clear" w:color="000000" w:fill="E7E6E6"/>
            <w:noWrap/>
            <w:vAlign w:val="center"/>
            <w:hideMark/>
          </w:tcPr>
          <w:p w14:paraId="7D9CD397" w14:textId="77777777" w:rsidR="00813744" w:rsidRPr="00596201" w:rsidRDefault="00813744" w:rsidP="009C0BAF">
            <w:pPr>
              <w:jc w:val="center"/>
              <w:rPr>
                <w:color w:val="000000"/>
                <w:sz w:val="20"/>
                <w:szCs w:val="20"/>
              </w:rPr>
            </w:pPr>
            <w:r w:rsidRPr="00596201">
              <w:rPr>
                <w:color w:val="000000"/>
                <w:sz w:val="20"/>
                <w:szCs w:val="20"/>
              </w:rPr>
              <w:t>1</w:t>
            </w:r>
          </w:p>
        </w:tc>
        <w:tc>
          <w:tcPr>
            <w:tcW w:w="669" w:type="pct"/>
            <w:tcBorders>
              <w:top w:val="single" w:sz="4" w:space="0" w:color="auto"/>
              <w:left w:val="nil"/>
              <w:bottom w:val="nil"/>
              <w:right w:val="nil"/>
            </w:tcBorders>
            <w:shd w:val="clear" w:color="000000" w:fill="E7E6E6"/>
            <w:noWrap/>
            <w:vAlign w:val="center"/>
            <w:hideMark/>
          </w:tcPr>
          <w:p w14:paraId="046E55E3" w14:textId="77777777" w:rsidR="00813744" w:rsidRPr="00596201" w:rsidRDefault="00813744" w:rsidP="009C0BAF">
            <w:pPr>
              <w:jc w:val="center"/>
              <w:rPr>
                <w:color w:val="000000"/>
                <w:sz w:val="20"/>
                <w:szCs w:val="20"/>
              </w:rPr>
            </w:pPr>
            <w:r w:rsidRPr="00596201">
              <w:rPr>
                <w:color w:val="000000"/>
                <w:sz w:val="20"/>
                <w:szCs w:val="20"/>
              </w:rPr>
              <w:t>2</w:t>
            </w:r>
          </w:p>
        </w:tc>
        <w:tc>
          <w:tcPr>
            <w:tcW w:w="669" w:type="pct"/>
            <w:tcBorders>
              <w:top w:val="single" w:sz="4" w:space="0" w:color="auto"/>
              <w:left w:val="nil"/>
              <w:bottom w:val="nil"/>
              <w:right w:val="dashed" w:sz="8" w:space="0" w:color="auto"/>
            </w:tcBorders>
            <w:shd w:val="clear" w:color="000000" w:fill="E7E6E6"/>
            <w:noWrap/>
            <w:vAlign w:val="center"/>
            <w:hideMark/>
          </w:tcPr>
          <w:p w14:paraId="17E1914D" w14:textId="77777777" w:rsidR="00813744" w:rsidRPr="00596201" w:rsidRDefault="00813744" w:rsidP="009C0BAF">
            <w:pPr>
              <w:jc w:val="center"/>
              <w:rPr>
                <w:color w:val="000000"/>
                <w:sz w:val="20"/>
                <w:szCs w:val="20"/>
              </w:rPr>
            </w:pPr>
            <w:r w:rsidRPr="00596201">
              <w:rPr>
                <w:color w:val="000000"/>
                <w:sz w:val="20"/>
                <w:szCs w:val="20"/>
              </w:rPr>
              <w:t>3</w:t>
            </w:r>
          </w:p>
        </w:tc>
        <w:tc>
          <w:tcPr>
            <w:tcW w:w="616" w:type="pct"/>
            <w:tcBorders>
              <w:top w:val="single" w:sz="4" w:space="0" w:color="auto"/>
              <w:left w:val="nil"/>
              <w:bottom w:val="nil"/>
              <w:right w:val="nil"/>
            </w:tcBorders>
            <w:shd w:val="clear" w:color="000000" w:fill="E7E6E6"/>
            <w:noWrap/>
            <w:vAlign w:val="center"/>
            <w:hideMark/>
          </w:tcPr>
          <w:p w14:paraId="438FF46A" w14:textId="77777777" w:rsidR="00813744" w:rsidRPr="00596201" w:rsidRDefault="00813744" w:rsidP="009C0BAF">
            <w:pPr>
              <w:jc w:val="center"/>
              <w:rPr>
                <w:color w:val="000000"/>
                <w:sz w:val="20"/>
                <w:szCs w:val="20"/>
              </w:rPr>
            </w:pPr>
            <w:r w:rsidRPr="00596201">
              <w:rPr>
                <w:color w:val="000000"/>
                <w:sz w:val="20"/>
                <w:szCs w:val="20"/>
              </w:rPr>
              <w:t>1</w:t>
            </w:r>
          </w:p>
        </w:tc>
        <w:tc>
          <w:tcPr>
            <w:tcW w:w="616" w:type="pct"/>
            <w:tcBorders>
              <w:top w:val="single" w:sz="4" w:space="0" w:color="auto"/>
              <w:left w:val="nil"/>
              <w:bottom w:val="nil"/>
              <w:right w:val="nil"/>
            </w:tcBorders>
            <w:shd w:val="clear" w:color="000000" w:fill="E7E6E6"/>
            <w:noWrap/>
            <w:vAlign w:val="center"/>
            <w:hideMark/>
          </w:tcPr>
          <w:p w14:paraId="04A05E41" w14:textId="77777777" w:rsidR="00813744" w:rsidRPr="00596201" w:rsidRDefault="00813744" w:rsidP="009C0BAF">
            <w:pPr>
              <w:jc w:val="center"/>
              <w:rPr>
                <w:color w:val="000000"/>
                <w:sz w:val="20"/>
                <w:szCs w:val="20"/>
              </w:rPr>
            </w:pPr>
            <w:r w:rsidRPr="00596201">
              <w:rPr>
                <w:color w:val="000000"/>
                <w:sz w:val="20"/>
                <w:szCs w:val="20"/>
              </w:rPr>
              <w:t>2</w:t>
            </w:r>
          </w:p>
        </w:tc>
        <w:tc>
          <w:tcPr>
            <w:tcW w:w="716" w:type="pct"/>
            <w:tcBorders>
              <w:top w:val="single" w:sz="4" w:space="0" w:color="auto"/>
              <w:left w:val="nil"/>
              <w:bottom w:val="nil"/>
              <w:right w:val="nil"/>
            </w:tcBorders>
            <w:shd w:val="clear" w:color="000000" w:fill="E7E6E6"/>
            <w:noWrap/>
            <w:vAlign w:val="center"/>
            <w:hideMark/>
          </w:tcPr>
          <w:p w14:paraId="174C8BA1" w14:textId="77777777" w:rsidR="00813744" w:rsidRPr="00596201" w:rsidRDefault="00813744" w:rsidP="009C0BAF">
            <w:pPr>
              <w:jc w:val="center"/>
              <w:rPr>
                <w:color w:val="000000"/>
                <w:sz w:val="20"/>
                <w:szCs w:val="20"/>
              </w:rPr>
            </w:pPr>
            <w:r w:rsidRPr="00596201">
              <w:rPr>
                <w:color w:val="000000"/>
                <w:sz w:val="20"/>
                <w:szCs w:val="20"/>
              </w:rPr>
              <w:t>3</w:t>
            </w:r>
          </w:p>
        </w:tc>
        <w:tc>
          <w:tcPr>
            <w:tcW w:w="616" w:type="pct"/>
            <w:tcBorders>
              <w:top w:val="single" w:sz="4" w:space="0" w:color="auto"/>
              <w:left w:val="nil"/>
              <w:bottom w:val="nil"/>
              <w:right w:val="nil"/>
            </w:tcBorders>
            <w:shd w:val="clear" w:color="000000" w:fill="E7E6E6"/>
            <w:noWrap/>
            <w:vAlign w:val="center"/>
            <w:hideMark/>
          </w:tcPr>
          <w:p w14:paraId="6E9552D0" w14:textId="77777777" w:rsidR="00813744" w:rsidRPr="00596201" w:rsidRDefault="00813744" w:rsidP="009C0BAF">
            <w:pPr>
              <w:jc w:val="center"/>
              <w:rPr>
                <w:color w:val="000000"/>
                <w:sz w:val="20"/>
                <w:szCs w:val="20"/>
              </w:rPr>
            </w:pPr>
            <w:r w:rsidRPr="00596201">
              <w:rPr>
                <w:color w:val="000000"/>
                <w:sz w:val="20"/>
                <w:szCs w:val="20"/>
              </w:rPr>
              <w:t>4</w:t>
            </w:r>
          </w:p>
        </w:tc>
      </w:tr>
      <w:tr w:rsidR="00813744" w:rsidRPr="00596201" w14:paraId="4C97794C" w14:textId="77777777" w:rsidTr="009C0BAF">
        <w:trPr>
          <w:trHeight w:val="429"/>
        </w:trPr>
        <w:tc>
          <w:tcPr>
            <w:tcW w:w="426" w:type="pct"/>
            <w:vMerge w:val="restart"/>
            <w:tcBorders>
              <w:top w:val="single" w:sz="4" w:space="0" w:color="auto"/>
              <w:left w:val="nil"/>
              <w:bottom w:val="nil"/>
              <w:right w:val="dashed" w:sz="8" w:space="0" w:color="auto"/>
            </w:tcBorders>
            <w:shd w:val="clear" w:color="000000" w:fill="FFFFFF"/>
            <w:vAlign w:val="center"/>
            <w:hideMark/>
          </w:tcPr>
          <w:p w14:paraId="440F3807" w14:textId="77777777" w:rsidR="00813744" w:rsidRPr="00596201" w:rsidRDefault="00813744" w:rsidP="009C0BAF">
            <w:pPr>
              <w:jc w:val="center"/>
              <w:rPr>
                <w:color w:val="000000"/>
                <w:sz w:val="20"/>
                <w:szCs w:val="20"/>
              </w:rPr>
            </w:pPr>
            <w:r w:rsidRPr="00596201">
              <w:rPr>
                <w:color w:val="000000"/>
                <w:sz w:val="20"/>
                <w:szCs w:val="20"/>
              </w:rPr>
              <w:t>Males</w:t>
            </w:r>
          </w:p>
        </w:tc>
        <w:tc>
          <w:tcPr>
            <w:tcW w:w="669" w:type="pct"/>
            <w:tcBorders>
              <w:top w:val="single" w:sz="4" w:space="0" w:color="auto"/>
              <w:left w:val="nil"/>
              <w:bottom w:val="nil"/>
              <w:right w:val="nil"/>
            </w:tcBorders>
            <w:shd w:val="clear" w:color="000000" w:fill="FFFFFF"/>
            <w:noWrap/>
            <w:vAlign w:val="center"/>
            <w:hideMark/>
          </w:tcPr>
          <w:p w14:paraId="16E53219"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1979</w:t>
            </w:r>
          </w:p>
        </w:tc>
        <w:tc>
          <w:tcPr>
            <w:tcW w:w="669" w:type="pct"/>
            <w:tcBorders>
              <w:top w:val="single" w:sz="4" w:space="0" w:color="auto"/>
              <w:left w:val="nil"/>
              <w:bottom w:val="nil"/>
              <w:right w:val="nil"/>
            </w:tcBorders>
            <w:shd w:val="clear" w:color="000000" w:fill="FFFFFF"/>
            <w:noWrap/>
            <w:vAlign w:val="center"/>
            <w:hideMark/>
          </w:tcPr>
          <w:p w14:paraId="71BF9C7B"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1998</w:t>
            </w:r>
          </w:p>
        </w:tc>
        <w:tc>
          <w:tcPr>
            <w:tcW w:w="669" w:type="pct"/>
            <w:tcBorders>
              <w:top w:val="single" w:sz="4" w:space="0" w:color="auto"/>
              <w:left w:val="nil"/>
              <w:bottom w:val="nil"/>
              <w:right w:val="dashed" w:sz="8" w:space="0" w:color="auto"/>
            </w:tcBorders>
            <w:shd w:val="clear" w:color="000000" w:fill="FFFFFF"/>
            <w:noWrap/>
            <w:vAlign w:val="center"/>
            <w:hideMark/>
          </w:tcPr>
          <w:p w14:paraId="5EE30BC0"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2011</w:t>
            </w:r>
          </w:p>
        </w:tc>
        <w:tc>
          <w:tcPr>
            <w:tcW w:w="616" w:type="pct"/>
            <w:tcBorders>
              <w:top w:val="single" w:sz="4" w:space="0" w:color="auto"/>
              <w:left w:val="nil"/>
              <w:bottom w:val="nil"/>
              <w:right w:val="nil"/>
            </w:tcBorders>
            <w:shd w:val="clear" w:color="000000" w:fill="FFFFFF"/>
            <w:noWrap/>
            <w:vAlign w:val="center"/>
            <w:hideMark/>
          </w:tcPr>
          <w:p w14:paraId="4746A256"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0.13</w:t>
            </w:r>
          </w:p>
        </w:tc>
        <w:tc>
          <w:tcPr>
            <w:tcW w:w="616" w:type="pct"/>
            <w:tcBorders>
              <w:top w:val="single" w:sz="4" w:space="0" w:color="auto"/>
              <w:left w:val="nil"/>
              <w:bottom w:val="nil"/>
              <w:right w:val="nil"/>
            </w:tcBorders>
            <w:shd w:val="clear" w:color="000000" w:fill="FFFFFF"/>
            <w:noWrap/>
            <w:vAlign w:val="center"/>
            <w:hideMark/>
          </w:tcPr>
          <w:p w14:paraId="7BCE920F"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0.20</w:t>
            </w:r>
          </w:p>
        </w:tc>
        <w:tc>
          <w:tcPr>
            <w:tcW w:w="716" w:type="pct"/>
            <w:tcBorders>
              <w:top w:val="single" w:sz="4" w:space="0" w:color="auto"/>
              <w:left w:val="nil"/>
              <w:bottom w:val="nil"/>
              <w:right w:val="nil"/>
            </w:tcBorders>
            <w:shd w:val="clear" w:color="000000" w:fill="FFFFFF"/>
            <w:noWrap/>
            <w:vAlign w:val="center"/>
            <w:hideMark/>
          </w:tcPr>
          <w:p w14:paraId="3EC63AF7"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0.28</w:t>
            </w:r>
          </w:p>
        </w:tc>
        <w:tc>
          <w:tcPr>
            <w:tcW w:w="616" w:type="pct"/>
            <w:tcBorders>
              <w:top w:val="single" w:sz="4" w:space="0" w:color="auto"/>
              <w:left w:val="nil"/>
              <w:bottom w:val="nil"/>
              <w:right w:val="nil"/>
            </w:tcBorders>
            <w:shd w:val="clear" w:color="000000" w:fill="FFFFFF"/>
            <w:noWrap/>
            <w:vAlign w:val="center"/>
            <w:hideMark/>
          </w:tcPr>
          <w:p w14:paraId="55D0F6C3"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0.05</w:t>
            </w:r>
          </w:p>
        </w:tc>
      </w:tr>
      <w:tr w:rsidR="00813744" w:rsidRPr="00596201" w14:paraId="32AE844F" w14:textId="77777777" w:rsidTr="009C0BAF">
        <w:trPr>
          <w:trHeight w:val="429"/>
        </w:trPr>
        <w:tc>
          <w:tcPr>
            <w:tcW w:w="426" w:type="pct"/>
            <w:vMerge/>
            <w:tcBorders>
              <w:top w:val="single" w:sz="4" w:space="0" w:color="auto"/>
              <w:left w:val="nil"/>
              <w:bottom w:val="nil"/>
              <w:right w:val="dashed" w:sz="8" w:space="0" w:color="auto"/>
            </w:tcBorders>
            <w:vAlign w:val="center"/>
            <w:hideMark/>
          </w:tcPr>
          <w:p w14:paraId="6A152602" w14:textId="77777777" w:rsidR="00813744" w:rsidRPr="00596201" w:rsidRDefault="00813744" w:rsidP="009C0BAF">
            <w:pPr>
              <w:rPr>
                <w:color w:val="000000"/>
                <w:sz w:val="20"/>
                <w:szCs w:val="20"/>
              </w:rPr>
            </w:pPr>
          </w:p>
        </w:tc>
        <w:tc>
          <w:tcPr>
            <w:tcW w:w="669" w:type="pct"/>
            <w:tcBorders>
              <w:top w:val="nil"/>
              <w:left w:val="nil"/>
              <w:bottom w:val="nil"/>
              <w:right w:val="nil"/>
            </w:tcBorders>
            <w:shd w:val="clear" w:color="000000" w:fill="FFFFFF"/>
            <w:noWrap/>
            <w:vAlign w:val="center"/>
            <w:hideMark/>
          </w:tcPr>
          <w:p w14:paraId="48600CEB"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(1976 to 1981)</w:t>
            </w:r>
          </w:p>
        </w:tc>
        <w:tc>
          <w:tcPr>
            <w:tcW w:w="669" w:type="pct"/>
            <w:tcBorders>
              <w:top w:val="nil"/>
              <w:left w:val="nil"/>
              <w:bottom w:val="nil"/>
              <w:right w:val="nil"/>
            </w:tcBorders>
            <w:shd w:val="clear" w:color="000000" w:fill="FFFFFF"/>
            <w:noWrap/>
            <w:vAlign w:val="center"/>
            <w:hideMark/>
          </w:tcPr>
          <w:p w14:paraId="27DC6652"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(1996 to 1999)</w:t>
            </w:r>
          </w:p>
        </w:tc>
        <w:tc>
          <w:tcPr>
            <w:tcW w:w="669" w:type="pct"/>
            <w:tcBorders>
              <w:top w:val="nil"/>
              <w:left w:val="nil"/>
              <w:bottom w:val="nil"/>
              <w:right w:val="dashed" w:sz="8" w:space="0" w:color="auto"/>
            </w:tcBorders>
            <w:shd w:val="clear" w:color="000000" w:fill="FFFFFF"/>
            <w:noWrap/>
            <w:vAlign w:val="center"/>
            <w:hideMark/>
          </w:tcPr>
          <w:p w14:paraId="4D4E0E30"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(2010 to 2012)</w:t>
            </w:r>
          </w:p>
        </w:tc>
        <w:tc>
          <w:tcPr>
            <w:tcW w:w="616" w:type="pct"/>
            <w:tcBorders>
              <w:top w:val="nil"/>
              <w:left w:val="nil"/>
              <w:bottom w:val="nil"/>
              <w:right w:val="nil"/>
            </w:tcBorders>
            <w:shd w:val="clear" w:color="000000" w:fill="FFFFFF"/>
            <w:noWrap/>
            <w:vAlign w:val="center"/>
            <w:hideMark/>
          </w:tcPr>
          <w:p w14:paraId="46831C55"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(0.09 to 0.16)</w:t>
            </w:r>
          </w:p>
        </w:tc>
        <w:tc>
          <w:tcPr>
            <w:tcW w:w="616" w:type="pct"/>
            <w:tcBorders>
              <w:top w:val="nil"/>
              <w:left w:val="nil"/>
              <w:bottom w:val="nil"/>
              <w:right w:val="nil"/>
            </w:tcBorders>
            <w:shd w:val="clear" w:color="000000" w:fill="FFFFFF"/>
            <w:noWrap/>
            <w:vAlign w:val="center"/>
            <w:hideMark/>
          </w:tcPr>
          <w:p w14:paraId="2EE2BB00"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(0.18 to 0.21)</w:t>
            </w:r>
          </w:p>
        </w:tc>
        <w:tc>
          <w:tcPr>
            <w:tcW w:w="716" w:type="pct"/>
            <w:tcBorders>
              <w:top w:val="nil"/>
              <w:left w:val="nil"/>
              <w:bottom w:val="nil"/>
              <w:right w:val="nil"/>
            </w:tcBorders>
            <w:shd w:val="clear" w:color="auto" w:fill="auto"/>
            <w:noWrap/>
            <w:vAlign w:val="center"/>
            <w:hideMark/>
          </w:tcPr>
          <w:p w14:paraId="4B2CCBD6"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(0.26 to 0.29)</w:t>
            </w:r>
          </w:p>
        </w:tc>
        <w:tc>
          <w:tcPr>
            <w:tcW w:w="616" w:type="pct"/>
            <w:tcBorders>
              <w:top w:val="nil"/>
              <w:left w:val="nil"/>
              <w:bottom w:val="nil"/>
              <w:right w:val="nil"/>
            </w:tcBorders>
            <w:shd w:val="clear" w:color="000000" w:fill="FFFFFF"/>
            <w:noWrap/>
            <w:vAlign w:val="center"/>
            <w:hideMark/>
          </w:tcPr>
          <w:p w14:paraId="1094AC9C"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(0.00 to 0.09)</w:t>
            </w:r>
          </w:p>
        </w:tc>
      </w:tr>
      <w:tr w:rsidR="00813744" w:rsidRPr="00596201" w14:paraId="307FD445" w14:textId="77777777" w:rsidTr="009C0BAF">
        <w:trPr>
          <w:trHeight w:val="429"/>
        </w:trPr>
        <w:tc>
          <w:tcPr>
            <w:tcW w:w="426" w:type="pct"/>
            <w:vMerge w:val="restart"/>
            <w:tcBorders>
              <w:top w:val="nil"/>
              <w:left w:val="nil"/>
              <w:bottom w:val="double" w:sz="6" w:space="0" w:color="000000"/>
              <w:right w:val="dashed" w:sz="8" w:space="0" w:color="auto"/>
            </w:tcBorders>
            <w:shd w:val="clear" w:color="000000" w:fill="FFFFFF"/>
            <w:vAlign w:val="center"/>
            <w:hideMark/>
          </w:tcPr>
          <w:p w14:paraId="6C16A7E8" w14:textId="77777777" w:rsidR="00813744" w:rsidRPr="00596201" w:rsidRDefault="00813744" w:rsidP="009C0BAF">
            <w:pPr>
              <w:jc w:val="center"/>
              <w:rPr>
                <w:color w:val="000000"/>
                <w:sz w:val="20"/>
                <w:szCs w:val="20"/>
              </w:rPr>
            </w:pPr>
            <w:r w:rsidRPr="00596201">
              <w:rPr>
                <w:color w:val="000000"/>
                <w:sz w:val="20"/>
                <w:szCs w:val="20"/>
              </w:rPr>
              <w:t>Females</w:t>
            </w:r>
          </w:p>
        </w:tc>
        <w:tc>
          <w:tcPr>
            <w:tcW w:w="669" w:type="pct"/>
            <w:tcBorders>
              <w:top w:val="single" w:sz="4" w:space="0" w:color="auto"/>
              <w:left w:val="nil"/>
              <w:bottom w:val="nil"/>
              <w:right w:val="nil"/>
            </w:tcBorders>
            <w:shd w:val="clear" w:color="000000" w:fill="FFFFFF"/>
            <w:noWrap/>
            <w:vAlign w:val="center"/>
            <w:hideMark/>
          </w:tcPr>
          <w:p w14:paraId="3C346DFC"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1999</w:t>
            </w:r>
          </w:p>
        </w:tc>
        <w:tc>
          <w:tcPr>
            <w:tcW w:w="669" w:type="pct"/>
            <w:tcBorders>
              <w:top w:val="single" w:sz="4" w:space="0" w:color="auto"/>
              <w:left w:val="nil"/>
              <w:bottom w:val="nil"/>
              <w:right w:val="nil"/>
            </w:tcBorders>
            <w:shd w:val="clear" w:color="000000" w:fill="FFFFFF"/>
            <w:noWrap/>
            <w:vAlign w:val="center"/>
            <w:hideMark/>
          </w:tcPr>
          <w:p w14:paraId="426C3C61"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2011</w:t>
            </w:r>
          </w:p>
        </w:tc>
        <w:tc>
          <w:tcPr>
            <w:tcW w:w="669" w:type="pct"/>
            <w:tcBorders>
              <w:top w:val="single" w:sz="4" w:space="0" w:color="auto"/>
              <w:left w:val="nil"/>
              <w:bottom w:val="nil"/>
              <w:right w:val="dashed" w:sz="8" w:space="0" w:color="auto"/>
            </w:tcBorders>
            <w:shd w:val="clear" w:color="000000" w:fill="FFFFFF"/>
            <w:noWrap/>
            <w:vAlign w:val="center"/>
            <w:hideMark/>
          </w:tcPr>
          <w:p w14:paraId="4D553B4A" w14:textId="77777777" w:rsidR="00813744" w:rsidRPr="00596201" w:rsidRDefault="00813744" w:rsidP="009C0BAF">
            <w:pPr>
              <w:jc w:val="center"/>
              <w:rPr>
                <w:rFonts w:ascii="Garamond" w:hAnsi="Garamond" w:cs="Calibri"/>
                <w:color w:val="000000"/>
                <w:sz w:val="20"/>
                <w:szCs w:val="20"/>
              </w:rPr>
            </w:pPr>
          </w:p>
        </w:tc>
        <w:tc>
          <w:tcPr>
            <w:tcW w:w="616" w:type="pct"/>
            <w:tcBorders>
              <w:top w:val="single" w:sz="4" w:space="0" w:color="auto"/>
              <w:left w:val="nil"/>
              <w:bottom w:val="nil"/>
              <w:right w:val="nil"/>
            </w:tcBorders>
            <w:shd w:val="clear" w:color="000000" w:fill="FFFFFF"/>
            <w:noWrap/>
            <w:vAlign w:val="center"/>
            <w:hideMark/>
          </w:tcPr>
          <w:p w14:paraId="59D06EDB"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0.14</w:t>
            </w:r>
          </w:p>
        </w:tc>
        <w:tc>
          <w:tcPr>
            <w:tcW w:w="616" w:type="pct"/>
            <w:tcBorders>
              <w:top w:val="single" w:sz="4" w:space="0" w:color="auto"/>
              <w:left w:val="nil"/>
              <w:bottom w:val="nil"/>
              <w:right w:val="nil"/>
            </w:tcBorders>
            <w:shd w:val="clear" w:color="000000" w:fill="FFFFFF"/>
            <w:noWrap/>
            <w:vAlign w:val="center"/>
            <w:hideMark/>
          </w:tcPr>
          <w:p w14:paraId="2C39B3C2"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0.21</w:t>
            </w:r>
          </w:p>
        </w:tc>
        <w:tc>
          <w:tcPr>
            <w:tcW w:w="716" w:type="pct"/>
            <w:tcBorders>
              <w:top w:val="single" w:sz="4" w:space="0" w:color="auto"/>
              <w:left w:val="nil"/>
              <w:bottom w:val="nil"/>
              <w:right w:val="nil"/>
            </w:tcBorders>
            <w:shd w:val="clear" w:color="000000" w:fill="FFFFFF"/>
            <w:noWrap/>
            <w:vAlign w:val="center"/>
            <w:hideMark/>
          </w:tcPr>
          <w:p w14:paraId="3CB1D80B"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0.04</w:t>
            </w:r>
          </w:p>
        </w:tc>
        <w:tc>
          <w:tcPr>
            <w:tcW w:w="616" w:type="pct"/>
            <w:tcBorders>
              <w:top w:val="single" w:sz="4" w:space="0" w:color="auto"/>
              <w:left w:val="nil"/>
              <w:bottom w:val="nil"/>
              <w:right w:val="nil"/>
            </w:tcBorders>
            <w:shd w:val="clear" w:color="000000" w:fill="FFFFFF"/>
            <w:noWrap/>
            <w:vAlign w:val="bottom"/>
            <w:hideMark/>
          </w:tcPr>
          <w:p w14:paraId="0DB9EB2D"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 </w:t>
            </w:r>
          </w:p>
        </w:tc>
      </w:tr>
      <w:tr w:rsidR="00813744" w:rsidRPr="00596201" w14:paraId="44545D09" w14:textId="77777777" w:rsidTr="009C0BAF">
        <w:trPr>
          <w:trHeight w:val="457"/>
        </w:trPr>
        <w:tc>
          <w:tcPr>
            <w:tcW w:w="426" w:type="pct"/>
            <w:vMerge/>
            <w:tcBorders>
              <w:top w:val="nil"/>
              <w:left w:val="nil"/>
              <w:bottom w:val="double" w:sz="6" w:space="0" w:color="000000"/>
              <w:right w:val="dashed" w:sz="8" w:space="0" w:color="auto"/>
            </w:tcBorders>
            <w:vAlign w:val="center"/>
            <w:hideMark/>
          </w:tcPr>
          <w:p w14:paraId="32FF3A60" w14:textId="77777777" w:rsidR="00813744" w:rsidRPr="00596201" w:rsidRDefault="00813744" w:rsidP="009C0BAF">
            <w:pPr>
              <w:jc w:val="center"/>
              <w:rPr>
                <w:color w:val="000000"/>
                <w:sz w:val="20"/>
                <w:szCs w:val="20"/>
              </w:rPr>
            </w:pPr>
          </w:p>
        </w:tc>
        <w:tc>
          <w:tcPr>
            <w:tcW w:w="669" w:type="pct"/>
            <w:tcBorders>
              <w:top w:val="nil"/>
              <w:left w:val="nil"/>
              <w:bottom w:val="double" w:sz="6" w:space="0" w:color="auto"/>
              <w:right w:val="nil"/>
            </w:tcBorders>
            <w:shd w:val="clear" w:color="000000" w:fill="FFFFFF"/>
            <w:noWrap/>
            <w:vAlign w:val="center"/>
            <w:hideMark/>
          </w:tcPr>
          <w:p w14:paraId="046F5084"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(1996 to 2001)</w:t>
            </w:r>
          </w:p>
        </w:tc>
        <w:tc>
          <w:tcPr>
            <w:tcW w:w="669" w:type="pct"/>
            <w:tcBorders>
              <w:top w:val="nil"/>
              <w:left w:val="nil"/>
              <w:bottom w:val="double" w:sz="6" w:space="0" w:color="auto"/>
              <w:right w:val="nil"/>
            </w:tcBorders>
            <w:shd w:val="clear" w:color="000000" w:fill="FFFFFF"/>
            <w:noWrap/>
            <w:vAlign w:val="center"/>
            <w:hideMark/>
          </w:tcPr>
          <w:p w14:paraId="3D70910D"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(2010 to 2012)</w:t>
            </w:r>
          </w:p>
        </w:tc>
        <w:tc>
          <w:tcPr>
            <w:tcW w:w="669" w:type="pct"/>
            <w:tcBorders>
              <w:top w:val="nil"/>
              <w:left w:val="nil"/>
              <w:bottom w:val="double" w:sz="6" w:space="0" w:color="auto"/>
              <w:right w:val="dashed" w:sz="8" w:space="0" w:color="auto"/>
            </w:tcBorders>
            <w:shd w:val="clear" w:color="000000" w:fill="FFFFFF"/>
            <w:noWrap/>
            <w:vAlign w:val="center"/>
            <w:hideMark/>
          </w:tcPr>
          <w:p w14:paraId="227962EF" w14:textId="77777777" w:rsidR="00813744" w:rsidRPr="00596201" w:rsidRDefault="00813744" w:rsidP="009C0BAF">
            <w:pPr>
              <w:jc w:val="center"/>
              <w:rPr>
                <w:rFonts w:ascii="Garamond" w:hAnsi="Garamond" w:cs="Calibri"/>
                <w:color w:val="000000"/>
                <w:sz w:val="20"/>
                <w:szCs w:val="20"/>
              </w:rPr>
            </w:pPr>
          </w:p>
        </w:tc>
        <w:tc>
          <w:tcPr>
            <w:tcW w:w="616" w:type="pct"/>
            <w:tcBorders>
              <w:top w:val="nil"/>
              <w:left w:val="nil"/>
              <w:bottom w:val="double" w:sz="6" w:space="0" w:color="auto"/>
              <w:right w:val="nil"/>
            </w:tcBorders>
            <w:shd w:val="clear" w:color="000000" w:fill="FFFFFF"/>
            <w:noWrap/>
            <w:vAlign w:val="center"/>
            <w:hideMark/>
          </w:tcPr>
          <w:p w14:paraId="25D5420B"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(0.13 to 0.14)</w:t>
            </w:r>
          </w:p>
        </w:tc>
        <w:tc>
          <w:tcPr>
            <w:tcW w:w="616" w:type="pct"/>
            <w:tcBorders>
              <w:top w:val="nil"/>
              <w:left w:val="nil"/>
              <w:bottom w:val="double" w:sz="6" w:space="0" w:color="auto"/>
              <w:right w:val="nil"/>
            </w:tcBorders>
            <w:shd w:val="clear" w:color="000000" w:fill="FFFFFF"/>
            <w:noWrap/>
            <w:vAlign w:val="center"/>
            <w:hideMark/>
          </w:tcPr>
          <w:p w14:paraId="015363F6"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(0.19 to 0.23)</w:t>
            </w:r>
          </w:p>
        </w:tc>
        <w:tc>
          <w:tcPr>
            <w:tcW w:w="716" w:type="pct"/>
            <w:tcBorders>
              <w:top w:val="nil"/>
              <w:left w:val="nil"/>
              <w:bottom w:val="double" w:sz="6" w:space="0" w:color="auto"/>
              <w:right w:val="nil"/>
            </w:tcBorders>
            <w:shd w:val="clear" w:color="auto" w:fill="auto"/>
            <w:noWrap/>
            <w:vAlign w:val="center"/>
            <w:hideMark/>
          </w:tcPr>
          <w:p w14:paraId="772E7E2D"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(-0.01 to  0.09)</w:t>
            </w:r>
          </w:p>
        </w:tc>
        <w:tc>
          <w:tcPr>
            <w:tcW w:w="616" w:type="pct"/>
            <w:tcBorders>
              <w:top w:val="nil"/>
              <w:left w:val="nil"/>
              <w:bottom w:val="double" w:sz="6" w:space="0" w:color="auto"/>
              <w:right w:val="nil"/>
            </w:tcBorders>
            <w:shd w:val="clear" w:color="000000" w:fill="FFFFFF"/>
            <w:noWrap/>
            <w:vAlign w:val="bottom"/>
            <w:hideMark/>
          </w:tcPr>
          <w:p w14:paraId="4DAB6BD3" w14:textId="77777777" w:rsidR="00813744" w:rsidRPr="00596201" w:rsidRDefault="00813744" w:rsidP="009C0BAF">
            <w:pPr>
              <w:jc w:val="center"/>
              <w:rPr>
                <w:rFonts w:ascii="Garamond" w:hAnsi="Garamond" w:cs="Calibri"/>
                <w:color w:val="000000"/>
                <w:sz w:val="20"/>
                <w:szCs w:val="20"/>
              </w:rPr>
            </w:pPr>
            <w:r w:rsidRPr="00596201">
              <w:rPr>
                <w:rFonts w:ascii="Garamond" w:hAnsi="Garamond" w:cs="Calibri"/>
                <w:color w:val="000000"/>
                <w:sz w:val="20"/>
                <w:szCs w:val="20"/>
              </w:rPr>
              <w:t> </w:t>
            </w:r>
          </w:p>
        </w:tc>
      </w:tr>
    </w:tbl>
    <w:p w14:paraId="738204DF" w14:textId="4CAE9277" w:rsidR="00813744" w:rsidRPr="00596201" w:rsidRDefault="00813744" w:rsidP="000217F2">
      <w:pPr>
        <w:jc w:val="both"/>
        <w:rPr>
          <w:rFonts w:ascii="Garamond" w:hAnsi="Garamond"/>
          <w:lang w:val="en-US"/>
        </w:rPr>
      </w:pPr>
      <w:r w:rsidRPr="00596201">
        <w:rPr>
          <w:rFonts w:ascii="Garamond" w:hAnsi="Garamond"/>
          <w:lang w:val="en-US"/>
        </w:rPr>
        <w:t>*</w:t>
      </w:r>
      <w:r w:rsidRPr="00596201">
        <w:rPr>
          <w:rFonts w:ascii="Garamond" w:hAnsi="Garamond"/>
          <w:color w:val="212121"/>
          <w:lang w:val="en-US"/>
        </w:rPr>
        <w:t xml:space="preserve"> Note: the number in each column indicates the number of the corresponding breakpoints obtained from segmented regression analysis. For example, slope 1 is the slope between the starting point of our observation, and the first breakpoint. Slope 2 is the slope between the first and the second breakpoint.</w:t>
      </w:r>
    </w:p>
    <w:p w14:paraId="5E01E0B6" w14:textId="77777777" w:rsidR="00813744" w:rsidRPr="00596201" w:rsidRDefault="00813744" w:rsidP="00241E90">
      <w:pPr>
        <w:rPr>
          <w:rFonts w:ascii="Garamond" w:hAnsi="Garamond"/>
          <w:lang w:val="en-US"/>
        </w:rPr>
      </w:pPr>
      <w:r w:rsidRPr="00596201">
        <w:rPr>
          <w:rFonts w:ascii="Garamond" w:hAnsi="Garamond"/>
          <w:lang w:val="en-US"/>
        </w:rPr>
        <w:t>Source data: ONS Longitudinal Study</w:t>
      </w:r>
    </w:p>
    <w:p w14:paraId="09169025" w14:textId="77777777" w:rsidR="00813744" w:rsidRPr="00596201" w:rsidRDefault="00813744" w:rsidP="00D82CEC">
      <w:pPr>
        <w:rPr>
          <w:rFonts w:ascii="Garamond" w:hAnsi="Garamond"/>
          <w:lang w:val="en-US"/>
        </w:rPr>
      </w:pPr>
      <w:r w:rsidRPr="00596201">
        <w:rPr>
          <w:rFonts w:ascii="Garamond" w:hAnsi="Garamond"/>
          <w:lang w:val="en-US"/>
        </w:rPr>
        <w:br w:type="page"/>
      </w:r>
    </w:p>
    <w:p w14:paraId="41A48FBE" w14:textId="26541EAA" w:rsidR="00813744" w:rsidRPr="00596201" w:rsidRDefault="00813744" w:rsidP="00241E90">
      <w:pPr>
        <w:rPr>
          <w:rFonts w:ascii="Garamond" w:hAnsi="Garamond"/>
          <w:lang w:val="en-US"/>
        </w:rPr>
      </w:pPr>
      <w:r w:rsidRPr="00596201">
        <w:rPr>
          <w:rFonts w:ascii="Garamond" w:hAnsi="Garamond"/>
          <w:b/>
          <w:bCs/>
          <w:lang w:val="en-US"/>
        </w:rPr>
        <w:lastRenderedPageBreak/>
        <w:t xml:space="preserve">Figure </w:t>
      </w:r>
      <w:r w:rsidR="004C6CE1" w:rsidRPr="00596201">
        <w:rPr>
          <w:rFonts w:ascii="Garamond" w:hAnsi="Garamond"/>
          <w:b/>
          <w:bCs/>
          <w:lang w:val="en-US"/>
        </w:rPr>
        <w:t>S</w:t>
      </w:r>
      <w:r w:rsidR="008C09B4">
        <w:rPr>
          <w:rFonts w:ascii="Garamond" w:hAnsi="Garamond"/>
          <w:b/>
          <w:bCs/>
          <w:lang w:val="en-US"/>
        </w:rPr>
        <w:t>3</w:t>
      </w:r>
      <w:r w:rsidRPr="00596201">
        <w:rPr>
          <w:rFonts w:ascii="Garamond" w:hAnsi="Garamond"/>
          <w:b/>
          <w:bCs/>
          <w:lang w:val="en-US"/>
        </w:rPr>
        <w:t xml:space="preserve">. </w:t>
      </w:r>
      <w:r w:rsidRPr="00596201">
        <w:rPr>
          <w:rFonts w:ascii="Garamond" w:hAnsi="Garamond"/>
          <w:lang w:val="en-US"/>
        </w:rPr>
        <w:t xml:space="preserve">Time trends in remaining life expectancy at age 30 (e30), by sex, in England &amp; Wales, 1971-2017. </w:t>
      </w:r>
      <w:r w:rsidRPr="00596201">
        <w:rPr>
          <w:rFonts w:ascii="Garamond" w:hAnsi="Garamond"/>
          <w:i/>
          <w:iCs/>
          <w:lang w:val="en-US"/>
        </w:rPr>
        <w:t>The dashed line represents the start of stagnation in the increase in e30, while the solid line represents additional trend breaks.</w:t>
      </w:r>
    </w:p>
    <w:p w14:paraId="612B3D9E" w14:textId="77777777" w:rsidR="00813744" w:rsidRPr="00596201" w:rsidRDefault="00813744" w:rsidP="00241E90">
      <w:pPr>
        <w:rPr>
          <w:rFonts w:ascii="Garamond" w:hAnsi="Garamond"/>
          <w:lang w:val="en-US"/>
        </w:rPr>
      </w:pPr>
      <w:r w:rsidRPr="00596201">
        <w:rPr>
          <w:rFonts w:ascii="Garamond" w:hAnsi="Garamond"/>
          <w:noProof/>
          <w:lang w:val="en-US"/>
          <w14:ligatures w14:val="standardContextual"/>
        </w:rPr>
        <w:drawing>
          <wp:inline distT="0" distB="0" distL="0" distR="0" wp14:anchorId="2BA5BFEF" wp14:editId="10C10EB7">
            <wp:extent cx="5612130" cy="3741420"/>
            <wp:effectExtent l="0" t="0" r="1270" b="5080"/>
            <wp:docPr id="163410530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105300" name="Imagen 163410530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p>
    <w:p w14:paraId="52E7CF2F" w14:textId="77777777" w:rsidR="00813744" w:rsidRPr="00596201" w:rsidRDefault="00813744" w:rsidP="00241E90">
      <w:pPr>
        <w:rPr>
          <w:rFonts w:ascii="Garamond" w:hAnsi="Garamond"/>
          <w:lang w:val="en-US"/>
        </w:rPr>
      </w:pPr>
      <w:r w:rsidRPr="00596201">
        <w:rPr>
          <w:rFonts w:ascii="Garamond" w:hAnsi="Garamond"/>
          <w:lang w:val="en-US"/>
        </w:rPr>
        <w:t>Source data: ONS Longitudinal Study</w:t>
      </w:r>
    </w:p>
    <w:p w14:paraId="2204106C" w14:textId="77777777" w:rsidR="00813744" w:rsidRDefault="00813744" w:rsidP="00AA5013">
      <w:pPr>
        <w:spacing w:line="360" w:lineRule="auto"/>
        <w:jc w:val="both"/>
        <w:rPr>
          <w:rFonts w:ascii="Garamond" w:hAnsi="Garamond"/>
          <w:lang w:val="en-US"/>
        </w:rPr>
      </w:pPr>
    </w:p>
    <w:p w14:paraId="10F6CA9E" w14:textId="77777777" w:rsidR="00813744" w:rsidRPr="00596201" w:rsidRDefault="00813744" w:rsidP="00AA5013">
      <w:pPr>
        <w:spacing w:line="360" w:lineRule="auto"/>
        <w:rPr>
          <w:rFonts w:ascii="Garamond" w:hAnsi="Garamond"/>
          <w:lang w:val="en-US"/>
        </w:rPr>
      </w:pPr>
    </w:p>
    <w:p w14:paraId="66C7B888" w14:textId="77777777" w:rsidR="00813744" w:rsidRPr="00596201" w:rsidRDefault="00813744" w:rsidP="00241E90">
      <w:pPr>
        <w:pStyle w:val="Prrafodelista"/>
        <w:numPr>
          <w:ilvl w:val="0"/>
          <w:numId w:val="1"/>
        </w:numPr>
        <w:spacing w:line="360" w:lineRule="auto"/>
        <w:jc w:val="both"/>
        <w:rPr>
          <w:rFonts w:ascii="Garamond" w:hAnsi="Garamond"/>
          <w:lang w:val="en-US"/>
        </w:rPr>
      </w:pPr>
      <w:r w:rsidRPr="00596201">
        <w:rPr>
          <w:rFonts w:ascii="Garamond" w:hAnsi="Garamond"/>
          <w:lang w:val="en-US"/>
        </w:rPr>
        <w:t>Operationalization of e30 stagnation</w:t>
      </w:r>
    </w:p>
    <w:p w14:paraId="16FF2EE6" w14:textId="77777777" w:rsidR="00813744" w:rsidRPr="00596201" w:rsidRDefault="00813744" w:rsidP="00241E90">
      <w:pPr>
        <w:spacing w:line="360" w:lineRule="auto"/>
        <w:ind w:left="360"/>
        <w:rPr>
          <w:rFonts w:ascii="Garamond" w:hAnsi="Garamond"/>
          <w:lang w:val="en-US"/>
        </w:rPr>
      </w:pPr>
      <w:r w:rsidRPr="00596201">
        <w:rPr>
          <w:rFonts w:ascii="Garamond" w:hAnsi="Garamond"/>
          <w:lang w:val="en-US"/>
        </w:rPr>
        <w:t xml:space="preserve"> </w:t>
      </w:r>
    </w:p>
    <w:p w14:paraId="7A5CA5DD" w14:textId="57D68B2B" w:rsidR="00CB6D71" w:rsidRPr="00596201" w:rsidRDefault="00CB6D71" w:rsidP="00DF41D2">
      <w:pPr>
        <w:spacing w:line="360" w:lineRule="auto"/>
        <w:jc w:val="both"/>
        <w:rPr>
          <w:rFonts w:ascii="Garamond" w:hAnsi="Garamond"/>
          <w:lang w:val="en-US"/>
        </w:rPr>
      </w:pPr>
      <w:r w:rsidRPr="00596201">
        <w:rPr>
          <w:rFonts w:ascii="Garamond" w:hAnsi="Garamond"/>
          <w:color w:val="212121"/>
          <w:lang w:val="en-US"/>
        </w:rPr>
        <w:t>With e30 stagnation we refer to the situation in which the previous increase in e30 either diminished (= slowdown), turns into stable e30 levels (reversal to stable levels), or turns into a decline (reversal to decline).</w:t>
      </w:r>
    </w:p>
    <w:p w14:paraId="56B6D9D6" w14:textId="468C9C8D" w:rsidR="00813744" w:rsidRPr="00596201" w:rsidRDefault="00813744" w:rsidP="00330D4E">
      <w:pPr>
        <w:spacing w:line="360" w:lineRule="auto"/>
        <w:ind w:firstLine="360"/>
        <w:jc w:val="both"/>
        <w:rPr>
          <w:rFonts w:ascii="Garamond" w:hAnsi="Garamond"/>
          <w:lang w:val="en-US"/>
        </w:rPr>
      </w:pPr>
      <w:r w:rsidRPr="00596201">
        <w:rPr>
          <w:rFonts w:ascii="Garamond" w:hAnsi="Garamond"/>
          <w:lang w:val="en-US"/>
        </w:rPr>
        <w:t xml:space="preserve">We </w:t>
      </w:r>
      <w:r w:rsidR="00CB6D71" w:rsidRPr="00596201">
        <w:rPr>
          <w:rFonts w:ascii="Garamond" w:hAnsi="Garamond"/>
          <w:lang w:val="en-US"/>
        </w:rPr>
        <w:t xml:space="preserve">measured </w:t>
      </w:r>
      <w:r w:rsidRPr="00596201">
        <w:rPr>
          <w:rFonts w:ascii="Garamond" w:hAnsi="Garamond"/>
          <w:lang w:val="en-US"/>
        </w:rPr>
        <w:t xml:space="preserve">stagnation in e30 between 2011 and 2017 as the difference between the observed and the expected increase in e30 between 2011 and 2017 (see the next section on how the expected increase in e30 is measured). This approach stems from the comparison of the observed </w:t>
      </w:r>
      <w:r w:rsidR="00D7104F" w:rsidRPr="00596201">
        <w:rPr>
          <w:rFonts w:ascii="Garamond" w:hAnsi="Garamond"/>
          <w:lang w:val="en-US"/>
        </w:rPr>
        <w:t xml:space="preserve">with </w:t>
      </w:r>
      <w:r w:rsidRPr="00596201">
        <w:rPr>
          <w:rFonts w:ascii="Garamond" w:hAnsi="Garamond"/>
          <w:lang w:val="en-US"/>
        </w:rPr>
        <w:t xml:space="preserve">the expected deaths, which is considered the most reliable way to quantify the mortality impact of COVID-19 </w:t>
      </w:r>
      <w:r w:rsidRPr="00596201">
        <w:rPr>
          <w:rFonts w:ascii="Garamond" w:hAnsi="Garamond"/>
          <w:noProof/>
          <w:lang w:val="en-US"/>
        </w:rPr>
        <w:t>(Islam et al., 2021; Marinetti et al., 2023)</w:t>
      </w:r>
      <w:r w:rsidRPr="00596201">
        <w:rPr>
          <w:rFonts w:ascii="Garamond" w:hAnsi="Garamond"/>
          <w:lang w:val="en-US"/>
        </w:rPr>
        <w:t xml:space="preserve">. We obtained the stagnation by subtracting the observed increase in e30 from the expected increase in e30. </w:t>
      </w:r>
    </w:p>
    <w:p w14:paraId="3FCFCDFE" w14:textId="77777777" w:rsidR="00813744" w:rsidRPr="00596201" w:rsidRDefault="00813744" w:rsidP="007772C3">
      <w:pPr>
        <w:spacing w:line="360" w:lineRule="auto"/>
        <w:ind w:firstLine="360"/>
        <w:jc w:val="both"/>
        <w:rPr>
          <w:rFonts w:ascii="Garamond" w:hAnsi="Garamond"/>
          <w:lang w:val="en-US"/>
        </w:rPr>
      </w:pPr>
      <w:r w:rsidRPr="00596201">
        <w:rPr>
          <w:rFonts w:ascii="Garamond" w:hAnsi="Garamond"/>
          <w:lang w:val="en-US"/>
        </w:rPr>
        <w:t xml:space="preserve">In addition to the overall stagnation, we estimated the annual stagnation by dividing the overall difference by seven and expressed this in months by multiplying again by 12. </w:t>
      </w:r>
      <w:r w:rsidRPr="00596201">
        <w:rPr>
          <w:rFonts w:ascii="Garamond" w:eastAsiaTheme="minorHAnsi" w:hAnsi="Garamond" w:cs="Helvetica Neue"/>
          <w:color w:val="000000" w:themeColor="text1"/>
          <w:lang w:val="en-US" w:eastAsia="en-US"/>
          <w14:ligatures w14:val="standardContextual"/>
        </w:rPr>
        <w:t xml:space="preserve">Our </w:t>
      </w:r>
      <w:r w:rsidRPr="00596201">
        <w:rPr>
          <w:rFonts w:ascii="Garamond" w:eastAsiaTheme="minorHAnsi" w:hAnsi="Garamond" w:cs="Helvetica Neue"/>
          <w:color w:val="000000" w:themeColor="text1"/>
          <w:lang w:val="en-US" w:eastAsia="en-US"/>
          <w14:ligatures w14:val="standardContextual"/>
        </w:rPr>
        <w:lastRenderedPageBreak/>
        <w:t>operationalization of (annual) stagnation enables a comparative assessment of e30 stagnation, including an assessment of excess deaths, and its decomposition into mortality patterns for underlying population groups.</w:t>
      </w:r>
    </w:p>
    <w:p w14:paraId="68DB7ACE" w14:textId="77777777" w:rsidR="00813744" w:rsidRPr="00596201" w:rsidRDefault="00813744" w:rsidP="00241E90">
      <w:pPr>
        <w:spacing w:line="360" w:lineRule="auto"/>
        <w:rPr>
          <w:rFonts w:ascii="Garamond" w:hAnsi="Garamond"/>
          <w:lang w:val="en-US"/>
        </w:rPr>
      </w:pPr>
    </w:p>
    <w:p w14:paraId="47031264" w14:textId="77777777" w:rsidR="00813744" w:rsidRPr="00596201" w:rsidRDefault="00813744" w:rsidP="00241E90">
      <w:pPr>
        <w:pStyle w:val="Prrafodelista"/>
        <w:numPr>
          <w:ilvl w:val="0"/>
          <w:numId w:val="1"/>
        </w:numPr>
        <w:spacing w:line="360" w:lineRule="auto"/>
        <w:rPr>
          <w:rFonts w:ascii="Garamond" w:hAnsi="Garamond"/>
          <w:lang w:val="en-US"/>
        </w:rPr>
      </w:pPr>
      <w:r w:rsidRPr="00596201">
        <w:rPr>
          <w:rFonts w:ascii="Garamond" w:hAnsi="Garamond"/>
          <w:lang w:val="en-US"/>
        </w:rPr>
        <w:t>Method to obtain expected e30</w:t>
      </w:r>
    </w:p>
    <w:p w14:paraId="5BE57333" w14:textId="77777777" w:rsidR="00813744" w:rsidRPr="00596201" w:rsidRDefault="00813744" w:rsidP="00241E90">
      <w:pPr>
        <w:spacing w:line="360" w:lineRule="auto"/>
        <w:rPr>
          <w:rFonts w:ascii="Garamond" w:hAnsi="Garamond"/>
          <w:lang w:val="en-US"/>
        </w:rPr>
      </w:pPr>
    </w:p>
    <w:p w14:paraId="69AFAC2B" w14:textId="538E123C" w:rsidR="009E20C8" w:rsidRPr="00596201" w:rsidRDefault="009E20C8" w:rsidP="009E20C8">
      <w:pPr>
        <w:spacing w:line="360" w:lineRule="auto"/>
        <w:jc w:val="both"/>
        <w:rPr>
          <w:rFonts w:ascii="Aptos" w:hAnsi="Aptos"/>
          <w:color w:val="212121"/>
          <w:lang w:val="en-US"/>
        </w:rPr>
      </w:pPr>
      <w:r w:rsidRPr="00596201">
        <w:rPr>
          <w:rFonts w:ascii="Garamond" w:hAnsi="Garamond"/>
          <w:color w:val="212121"/>
          <w:lang w:val="en-US"/>
        </w:rPr>
        <w:t xml:space="preserve">Previous estimates of the stagnation </w:t>
      </w:r>
      <w:r w:rsidRPr="009B2827">
        <w:rPr>
          <w:rFonts w:ascii="Garamond" w:hAnsi="Garamond"/>
          <w:color w:val="212121"/>
          <w:lang w:val="en-US"/>
        </w:rPr>
        <w:t>in e0</w:t>
      </w:r>
      <w:r w:rsidR="009B2827">
        <w:rPr>
          <w:rFonts w:ascii="Garamond" w:hAnsi="Garamond"/>
          <w:color w:val="212121"/>
          <w:lang w:val="en-US"/>
        </w:rPr>
        <w:t xml:space="preserve"> (e.g. </w:t>
      </w:r>
      <w:proofErr w:type="spellStart"/>
      <w:r w:rsidR="009B2827">
        <w:rPr>
          <w:rFonts w:ascii="Garamond" w:hAnsi="Garamond"/>
          <w:color w:val="212121"/>
          <w:lang w:val="en-US"/>
        </w:rPr>
        <w:t>Abrahms</w:t>
      </w:r>
      <w:proofErr w:type="spellEnd"/>
      <w:r w:rsidR="009B2827">
        <w:rPr>
          <w:rFonts w:ascii="Garamond" w:hAnsi="Garamond"/>
          <w:color w:val="212121"/>
          <w:lang w:val="en-US"/>
        </w:rPr>
        <w:t xml:space="preserve"> et al. 2023)</w:t>
      </w:r>
      <w:r w:rsidRPr="009B2827">
        <w:rPr>
          <w:rFonts w:ascii="Garamond" w:hAnsi="Garamond"/>
          <w:color w:val="212121"/>
          <w:lang w:val="en-US"/>
        </w:rPr>
        <w:t> purely</w:t>
      </w:r>
      <w:r w:rsidRPr="00596201">
        <w:rPr>
          <w:rFonts w:ascii="Garamond" w:hAnsi="Garamond"/>
          <w:color w:val="212121"/>
          <w:lang w:val="en-US"/>
        </w:rPr>
        <w:t xml:space="preserve"> relied on past trends in e0, for example by comparing the increase in e0 in 2011-2019 with the increase in e0 in 2000-2010, and – as such – assumed that e0 can continue to increase </w:t>
      </w:r>
      <w:r w:rsidR="00052F64" w:rsidRPr="00596201">
        <w:rPr>
          <w:rFonts w:ascii="Garamond" w:hAnsi="Garamond"/>
          <w:color w:val="212121"/>
          <w:lang w:val="en-US"/>
        </w:rPr>
        <w:t>at the same rate</w:t>
      </w:r>
      <w:r w:rsidRPr="00596201">
        <w:rPr>
          <w:rFonts w:ascii="Garamond" w:hAnsi="Garamond"/>
          <w:color w:val="212121"/>
          <w:lang w:val="en-US"/>
        </w:rPr>
        <w:t xml:space="preserve"> as in the past. The Lee-Carter methodology does not make this assumption and relies on the past trends in age-specific mortality. We used the Lee-Carter projection methodology over the use of a multi-population coherent mortality projection methodology because </w:t>
      </w:r>
      <w:r w:rsidR="00B13EC5" w:rsidRPr="00596201">
        <w:rPr>
          <w:rFonts w:ascii="Garamond" w:hAnsi="Garamond"/>
          <w:color w:val="212121"/>
          <w:lang w:val="en-US"/>
        </w:rPr>
        <w:t xml:space="preserve">of </w:t>
      </w:r>
      <w:r w:rsidRPr="00596201">
        <w:rPr>
          <w:rFonts w:ascii="Garamond" w:hAnsi="Garamond"/>
          <w:color w:val="212121"/>
          <w:lang w:val="en-US"/>
        </w:rPr>
        <w:t>previous estimates of stagnation in mortality and life expectancy </w:t>
      </w:r>
      <w:r w:rsidR="008929E4" w:rsidRPr="00596201">
        <w:rPr>
          <w:rFonts w:ascii="Garamond" w:hAnsi="Garamond"/>
          <w:noProof/>
          <w:lang w:val="en-US"/>
        </w:rPr>
        <w:t>(Islam</w:t>
      </w:r>
      <w:r w:rsidR="007F6D9D" w:rsidRPr="00596201">
        <w:rPr>
          <w:rFonts w:ascii="Garamond" w:hAnsi="Garamond"/>
          <w:noProof/>
          <w:lang w:val="en-US"/>
        </w:rPr>
        <w:t xml:space="preserve"> </w:t>
      </w:r>
      <w:r w:rsidR="008929E4" w:rsidRPr="00596201">
        <w:rPr>
          <w:rFonts w:ascii="Garamond" w:hAnsi="Garamond"/>
          <w:noProof/>
          <w:lang w:val="en-US"/>
        </w:rPr>
        <w:t>et al., 2021; Marinetti et al., 2023)</w:t>
      </w:r>
      <w:r w:rsidR="008929E4" w:rsidRPr="00596201">
        <w:rPr>
          <w:rFonts w:ascii="Garamond" w:hAnsi="Garamond"/>
          <w:lang w:val="en-US"/>
        </w:rPr>
        <w:t xml:space="preserve">. </w:t>
      </w:r>
      <w:r w:rsidRPr="00596201">
        <w:rPr>
          <w:rFonts w:ascii="Garamond" w:hAnsi="Garamond"/>
          <w:color w:val="212121"/>
          <w:lang w:val="en-US"/>
        </w:rPr>
        <w:t>also purely considered the past trend in mortality of the country itself.</w:t>
      </w:r>
    </w:p>
    <w:p w14:paraId="434D5F4B" w14:textId="4569898A" w:rsidR="00CB6D71" w:rsidRPr="00596201" w:rsidRDefault="00813744" w:rsidP="009E20C8">
      <w:pPr>
        <w:spacing w:line="360" w:lineRule="auto"/>
        <w:ind w:firstLine="708"/>
        <w:jc w:val="both"/>
        <w:rPr>
          <w:rFonts w:ascii="Garamond" w:hAnsi="Garamond"/>
          <w:lang w:val="en-US"/>
        </w:rPr>
      </w:pPr>
      <w:r w:rsidRPr="00596201">
        <w:rPr>
          <w:rFonts w:ascii="Garamond" w:hAnsi="Garamond"/>
          <w:lang w:val="en-US"/>
        </w:rPr>
        <w:t xml:space="preserve">The expected increase in e30 is based on the assumed continuation of previous mortality improvements, in line with the method used to obtain excess COVID-19 deaths </w:t>
      </w:r>
      <w:r w:rsidRPr="00596201">
        <w:rPr>
          <w:rFonts w:ascii="Garamond" w:hAnsi="Garamond"/>
          <w:noProof/>
          <w:lang w:val="en-US"/>
        </w:rPr>
        <w:t>(Islam et al., 2021; Marinetti et al., 2023)</w:t>
      </w:r>
      <w:r w:rsidRPr="00596201">
        <w:rPr>
          <w:rFonts w:ascii="Garamond" w:hAnsi="Garamond"/>
          <w:lang w:val="en-US"/>
        </w:rPr>
        <w:t xml:space="preserve">. For this purpose, we employed, by sex, a Lee-Carter projection of age-specific mortality rates </w:t>
      </w:r>
      <w:r w:rsidRPr="00596201">
        <w:rPr>
          <w:rFonts w:ascii="Garamond" w:hAnsi="Garamond"/>
          <w:noProof/>
          <w:lang w:val="en-US"/>
        </w:rPr>
        <w:t>(Lee &amp; Carter, 1992)</w:t>
      </w:r>
      <w:r w:rsidRPr="00596201">
        <w:rPr>
          <w:rFonts w:ascii="Garamond" w:hAnsi="Garamond"/>
          <w:lang w:val="en-US"/>
        </w:rPr>
        <w:t xml:space="preserve"> for the national population and the three educational groups. The Lee-Carter projection is considered </w:t>
      </w:r>
      <w:r w:rsidR="00CB6D71" w:rsidRPr="00596201">
        <w:rPr>
          <w:rFonts w:ascii="Garamond" w:hAnsi="Garamond"/>
          <w:lang w:val="en-US"/>
        </w:rPr>
        <w:t xml:space="preserve">a </w:t>
      </w:r>
      <w:r w:rsidRPr="00596201">
        <w:rPr>
          <w:rFonts w:ascii="Garamond" w:hAnsi="Garamond"/>
          <w:lang w:val="en-US"/>
        </w:rPr>
        <w:t xml:space="preserve">benchmark extrapolative mortality forecasting method </w:t>
      </w:r>
      <w:r w:rsidRPr="00596201">
        <w:rPr>
          <w:rFonts w:ascii="Garamond" w:hAnsi="Garamond"/>
          <w:noProof/>
          <w:lang w:val="en-US"/>
        </w:rPr>
        <w:t>(Janssen, 2018)</w:t>
      </w:r>
      <w:r w:rsidRPr="00596201">
        <w:rPr>
          <w:rFonts w:ascii="Garamond" w:hAnsi="Garamond"/>
          <w:lang w:val="en-US"/>
        </w:rPr>
        <w:t xml:space="preserve">, and is also used to obtain excess COVID-19 deaths </w:t>
      </w:r>
      <w:r w:rsidRPr="00596201">
        <w:rPr>
          <w:rFonts w:ascii="Garamond" w:hAnsi="Garamond"/>
          <w:noProof/>
          <w:lang w:val="en-US"/>
        </w:rPr>
        <w:t>(Islam</w:t>
      </w:r>
      <w:r w:rsidR="007F6D9D" w:rsidRPr="00596201">
        <w:rPr>
          <w:rFonts w:ascii="Garamond" w:hAnsi="Garamond"/>
          <w:noProof/>
          <w:lang w:val="en-US"/>
        </w:rPr>
        <w:t xml:space="preserve"> </w:t>
      </w:r>
      <w:r w:rsidRPr="00596201">
        <w:rPr>
          <w:rFonts w:ascii="Garamond" w:hAnsi="Garamond"/>
          <w:noProof/>
          <w:lang w:val="en-US"/>
        </w:rPr>
        <w:t>et al., 2021; Marinetti et al., 2023)</w:t>
      </w:r>
      <w:r w:rsidRPr="00596201">
        <w:rPr>
          <w:rFonts w:ascii="Garamond" w:hAnsi="Garamond"/>
          <w:lang w:val="en-US"/>
        </w:rPr>
        <w:t xml:space="preserve">. </w:t>
      </w:r>
    </w:p>
    <w:p w14:paraId="0C814273" w14:textId="080BAF36" w:rsidR="00813744" w:rsidRPr="00596201" w:rsidRDefault="00813744" w:rsidP="00B13EC5">
      <w:pPr>
        <w:spacing w:line="360" w:lineRule="auto"/>
        <w:ind w:firstLine="708"/>
        <w:jc w:val="both"/>
        <w:rPr>
          <w:rFonts w:ascii="Garamond" w:hAnsi="Garamond"/>
          <w:lang w:val="en-US"/>
        </w:rPr>
      </w:pPr>
      <w:r w:rsidRPr="00596201">
        <w:rPr>
          <w:rFonts w:ascii="Garamond" w:hAnsi="Garamond"/>
          <w:lang w:val="en-US"/>
        </w:rPr>
        <w:t xml:space="preserve">The first step of the Lee-Carter projection involves the fitting of the Lee-Carter model to historical time series of (logged) age-specific mortality rates. </w:t>
      </w:r>
    </w:p>
    <w:p w14:paraId="55DEDDDD" w14:textId="77777777" w:rsidR="00813744" w:rsidRPr="00596201" w:rsidRDefault="00813744" w:rsidP="003862AE">
      <w:pPr>
        <w:spacing w:line="360" w:lineRule="auto"/>
        <w:ind w:firstLine="708"/>
        <w:jc w:val="both"/>
        <w:rPr>
          <w:rFonts w:ascii="Garamond" w:hAnsi="Garamond"/>
          <w:lang w:val="en-US"/>
        </w:rPr>
      </w:pPr>
      <w:r w:rsidRPr="00596201">
        <w:rPr>
          <w:rFonts w:ascii="Garamond" w:hAnsi="Garamond"/>
          <w:lang w:val="en-US"/>
        </w:rPr>
        <w:t>The formula for the Lee Carter model reads as:</w:t>
      </w:r>
    </w:p>
    <w:p w14:paraId="61F247F1" w14:textId="77777777" w:rsidR="00813744" w:rsidRPr="00596201" w:rsidRDefault="00813744" w:rsidP="00241E90">
      <w:pPr>
        <w:jc w:val="both"/>
        <w:rPr>
          <w:rFonts w:ascii="Garamond" w:hAnsi="Garamond"/>
          <w:lang w:val="en-US"/>
        </w:rPr>
      </w:pPr>
    </w:p>
    <w:p w14:paraId="26BECE88" w14:textId="77777777" w:rsidR="00813744" w:rsidRPr="00596201" w:rsidRDefault="00813744" w:rsidP="00241E90">
      <w:pPr>
        <w:jc w:val="both"/>
        <w:rPr>
          <w:rFonts w:ascii="Garamond" w:hAnsi="Garamond"/>
          <w:lang w:val="en-US"/>
        </w:rPr>
      </w:pPr>
      <m:oMathPara>
        <m:oMath>
          <m:r>
            <w:rPr>
              <w:rFonts w:ascii="Cambria Math" w:hAnsi="Cambria Math"/>
              <w:lang w:val="en-US"/>
            </w:rPr>
            <m:t>log(</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x,t</m:t>
              </m:r>
            </m:sub>
          </m:sSub>
          <m:r>
            <w:rPr>
              <w:rFonts w:ascii="Cambria Math" w:hAnsi="Cambria Math"/>
              <w:lang w:val="en-US"/>
            </w:rPr>
            <m:t xml:space="preserve">) = </m:t>
          </m:r>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x</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x</m:t>
              </m:r>
            </m:sub>
          </m:sSub>
          <m:sSub>
            <m:sSubPr>
              <m:ctrlPr>
                <w:rPr>
                  <w:rFonts w:ascii="Cambria Math" w:hAnsi="Cambria Math"/>
                  <w:i/>
                  <w:lang w:val="en-US"/>
                </w:rPr>
              </m:ctrlPr>
            </m:sSubPr>
            <m:e>
              <m:r>
                <w:rPr>
                  <w:rFonts w:ascii="Cambria Math" w:hAnsi="Cambria Math"/>
                  <w:lang w:val="en-US"/>
                </w:rPr>
                <m:t>κ</m:t>
              </m:r>
            </m:e>
            <m:sub>
              <m:r>
                <w:rPr>
                  <w:rFonts w:ascii="Cambria Math" w:hAnsi="Cambria Math"/>
                  <w:lang w:val="en-US"/>
                </w:rPr>
                <m:t>t</m:t>
              </m:r>
            </m:sub>
          </m:sSub>
          <m:r>
            <w:rPr>
              <w:rFonts w:ascii="Cambria Math" w:hAnsi="Cambria Math"/>
              <w:lang w:val="en-US"/>
            </w:rPr>
            <m:t xml:space="preserve">+ </m:t>
          </m:r>
          <m:sSub>
            <m:sSubPr>
              <m:ctrlPr>
                <w:rPr>
                  <w:rFonts w:ascii="Cambria Math" w:hAnsi="Cambria Math"/>
                  <w:i/>
                  <w:lang w:val="en-US"/>
                </w:rPr>
              </m:ctrlPr>
            </m:sSubPr>
            <m:e>
              <m:r>
                <m:rPr>
                  <m:scr m:val="script"/>
                </m:rPr>
                <w:rPr>
                  <w:rFonts w:ascii="Cambria Math" w:hAnsi="Cambria Math"/>
                  <w:lang w:val="en-US"/>
                </w:rPr>
                <m:t>E</m:t>
              </m:r>
            </m:e>
            <m:sub>
              <m:r>
                <w:rPr>
                  <w:rFonts w:ascii="Cambria Math" w:hAnsi="Cambria Math"/>
                  <w:lang w:val="en-US"/>
                </w:rPr>
                <m:t>x,t</m:t>
              </m:r>
            </m:sub>
          </m:sSub>
        </m:oMath>
      </m:oMathPara>
    </w:p>
    <w:p w14:paraId="0105F30E" w14:textId="77777777" w:rsidR="00813744" w:rsidRPr="00596201" w:rsidRDefault="00813744" w:rsidP="00241E90">
      <w:pPr>
        <w:jc w:val="both"/>
        <w:rPr>
          <w:rFonts w:ascii="Garamond" w:hAnsi="Garamond"/>
          <w:lang w:val="en-US"/>
        </w:rPr>
      </w:pPr>
    </w:p>
    <w:p w14:paraId="5C4A03AD" w14:textId="77777777" w:rsidR="00813744" w:rsidRPr="00596201" w:rsidRDefault="00813744" w:rsidP="00241E90">
      <w:pPr>
        <w:jc w:val="both"/>
        <w:rPr>
          <w:rFonts w:ascii="Garamond" w:hAnsi="Garamond"/>
          <w:lang w:val="en-US"/>
        </w:rPr>
      </w:pPr>
    </w:p>
    <w:p w14:paraId="1E7BE868" w14:textId="77777777" w:rsidR="00813744" w:rsidRPr="00596201" w:rsidRDefault="00813744" w:rsidP="00241E90">
      <w:pPr>
        <w:spacing w:line="360" w:lineRule="auto"/>
        <w:jc w:val="both"/>
        <w:rPr>
          <w:rFonts w:ascii="Garamond" w:hAnsi="Garamond"/>
          <w:lang w:val="en-US"/>
        </w:rPr>
      </w:pPr>
      <w:r w:rsidRPr="00596201">
        <w:rPr>
          <w:rFonts w:ascii="Garamond" w:hAnsi="Garamond"/>
          <w:lang w:val="en-US"/>
        </w:rPr>
        <w:t xml:space="preserve">Where </w:t>
      </w: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x</m:t>
            </m:r>
          </m:sub>
        </m:sSub>
      </m:oMath>
      <w:r w:rsidRPr="00596201">
        <w:rPr>
          <w:rFonts w:ascii="Garamond" w:hAnsi="Garamond"/>
          <w:lang w:val="en-US"/>
        </w:rPr>
        <w:t xml:space="preserve"> is the general shape of mortality by age across time, </w:t>
      </w:r>
      <m:oMath>
        <m:sSub>
          <m:sSubPr>
            <m:ctrlPr>
              <w:rPr>
                <w:rFonts w:ascii="Cambria Math" w:hAnsi="Cambria Math"/>
                <w:i/>
                <w:lang w:val="en-US"/>
              </w:rPr>
            </m:ctrlPr>
          </m:sSubPr>
          <m:e>
            <m:r>
              <w:rPr>
                <w:rFonts w:ascii="Cambria Math" w:hAnsi="Cambria Math"/>
                <w:lang w:val="en-US"/>
              </w:rPr>
              <m:t>κ</m:t>
            </m:r>
          </m:e>
          <m:sub>
            <m:r>
              <w:rPr>
                <w:rFonts w:ascii="Cambria Math" w:hAnsi="Cambria Math"/>
                <w:lang w:val="en-US"/>
              </w:rPr>
              <m:t>t</m:t>
            </m:r>
          </m:sub>
        </m:sSub>
      </m:oMath>
      <w:r w:rsidRPr="00596201">
        <w:rPr>
          <w:rFonts w:ascii="Garamond" w:hAnsi="Garamond"/>
          <w:lang w:val="en-US"/>
        </w:rPr>
        <w:t xml:space="preserve"> is the overall time trend across all ages, and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x</m:t>
            </m:r>
          </m:sub>
        </m:sSub>
      </m:oMath>
      <w:r w:rsidRPr="00596201">
        <w:rPr>
          <w:rFonts w:ascii="Garamond" w:hAnsi="Garamond"/>
          <w:lang w:val="en-US"/>
        </w:rPr>
        <w:t xml:space="preserve"> is the age-specific adjustment of the overall time trend k(t). The second step of the Lee-Carter projection involves the projection of the overall time trend (kt) into the future.</w:t>
      </w:r>
    </w:p>
    <w:p w14:paraId="128F9395" w14:textId="1E837CFB" w:rsidR="00813744" w:rsidRPr="00596201" w:rsidRDefault="00813744" w:rsidP="00241E90">
      <w:pPr>
        <w:spacing w:line="360" w:lineRule="auto"/>
        <w:ind w:firstLine="708"/>
        <w:jc w:val="both"/>
        <w:rPr>
          <w:rFonts w:ascii="Garamond" w:hAnsi="Garamond"/>
          <w:lang w:val="en-US"/>
        </w:rPr>
      </w:pPr>
      <w:r w:rsidRPr="00596201">
        <w:rPr>
          <w:rFonts w:ascii="Garamond" w:hAnsi="Garamond"/>
          <w:lang w:val="en-US"/>
        </w:rPr>
        <w:t xml:space="preserve">For the start and the end year of the time series for fitting the Lee-Carter model, we selected, to the extent possible, 1999 and 2011, respectively, in line with the outcome of our </w:t>
      </w:r>
      <w:r w:rsidRPr="00596201">
        <w:rPr>
          <w:rFonts w:ascii="Garamond" w:hAnsi="Garamond"/>
          <w:lang w:val="en-US"/>
        </w:rPr>
        <w:lastRenderedPageBreak/>
        <w:t>segmented regression. However, given the relatively large fluctuations in education-specific e30 levels over time, we made some necessary adjustments to the start and the end years for selected educational groups (</w:t>
      </w:r>
      <w:r w:rsidRPr="00596201">
        <w:rPr>
          <w:rFonts w:ascii="Garamond" w:hAnsi="Garamond"/>
          <w:color w:val="215E99" w:themeColor="text2" w:themeTint="BF"/>
          <w:lang w:val="en-US"/>
        </w:rPr>
        <w:t xml:space="preserve">see Table </w:t>
      </w:r>
      <w:r w:rsidR="00B13EC5" w:rsidRPr="00596201">
        <w:rPr>
          <w:rFonts w:ascii="Garamond" w:hAnsi="Garamond"/>
          <w:color w:val="215E99" w:themeColor="text2" w:themeTint="BF"/>
          <w:lang w:val="en-US"/>
        </w:rPr>
        <w:t>S</w:t>
      </w:r>
      <w:r w:rsidRPr="00596201">
        <w:rPr>
          <w:rFonts w:ascii="Garamond" w:hAnsi="Garamond"/>
          <w:color w:val="215E99" w:themeColor="text2" w:themeTint="BF"/>
          <w:lang w:val="en-US"/>
        </w:rPr>
        <w:t>2</w:t>
      </w:r>
      <w:r w:rsidRPr="00596201">
        <w:rPr>
          <w:rFonts w:ascii="Garamond" w:hAnsi="Garamond"/>
          <w:lang w:val="en-US"/>
        </w:rPr>
        <w:t>) to make sure that the selected time series truly represented the historical trends. We did so by carefully examining the education-specific historical trends in e30 (</w:t>
      </w:r>
      <w:r w:rsidRPr="00596201">
        <w:rPr>
          <w:rFonts w:ascii="Garamond" w:hAnsi="Garamond"/>
          <w:color w:val="215E99" w:themeColor="text2" w:themeTint="BF"/>
          <w:lang w:val="en-US"/>
        </w:rPr>
        <w:t xml:space="preserve">see Figure </w:t>
      </w:r>
      <w:r w:rsidR="00B13EC5" w:rsidRPr="00596201">
        <w:rPr>
          <w:rFonts w:ascii="Garamond" w:hAnsi="Garamond"/>
          <w:color w:val="215E99" w:themeColor="text2" w:themeTint="BF"/>
          <w:lang w:val="en-US"/>
        </w:rPr>
        <w:t>S</w:t>
      </w:r>
      <w:r w:rsidR="00303E22">
        <w:rPr>
          <w:rFonts w:ascii="Garamond" w:hAnsi="Garamond"/>
          <w:color w:val="215E99" w:themeColor="text2" w:themeTint="BF"/>
          <w:lang w:val="en-US"/>
        </w:rPr>
        <w:t>4</w:t>
      </w:r>
      <w:r w:rsidRPr="00596201">
        <w:rPr>
          <w:rFonts w:ascii="Garamond" w:hAnsi="Garamond"/>
          <w:lang w:val="en-US"/>
        </w:rPr>
        <w:t xml:space="preserve">). </w:t>
      </w:r>
    </w:p>
    <w:p w14:paraId="71BFDFDD" w14:textId="792BD9A9" w:rsidR="00126889" w:rsidRPr="00596201" w:rsidRDefault="009E20C8" w:rsidP="00B13EC5">
      <w:pPr>
        <w:spacing w:line="360" w:lineRule="auto"/>
        <w:ind w:firstLine="708"/>
        <w:jc w:val="both"/>
        <w:rPr>
          <w:rFonts w:ascii="Garamond" w:hAnsi="Garamond"/>
          <w:lang w:val="en-US"/>
        </w:rPr>
      </w:pPr>
      <w:r w:rsidRPr="00596201">
        <w:rPr>
          <w:rFonts w:ascii="Garamond" w:hAnsi="Garamond"/>
          <w:lang w:val="en-US"/>
        </w:rPr>
        <w:t>We performed a sensitivity analysis</w:t>
      </w:r>
      <w:r w:rsidR="00B13EC5" w:rsidRPr="00596201">
        <w:rPr>
          <w:rFonts w:ascii="Garamond" w:hAnsi="Garamond"/>
          <w:lang w:val="en-US"/>
        </w:rPr>
        <w:t xml:space="preserve"> that used all populations 1972-2011 as the historical time series and 2012-2017 as the projection horizon to obtain expected e30 to add robustness to our decisions regarding the selected years and the impact of using similar years throughout our main results.</w:t>
      </w:r>
      <w:r w:rsidRPr="00596201">
        <w:rPr>
          <w:rFonts w:ascii="Garamond" w:hAnsi="Garamond"/>
          <w:lang w:val="en-US"/>
        </w:rPr>
        <w:t xml:space="preserve"> </w:t>
      </w:r>
      <w:r w:rsidR="00B13EC5" w:rsidRPr="00596201">
        <w:rPr>
          <w:rFonts w:ascii="Garamond" w:hAnsi="Garamond"/>
          <w:lang w:val="en-US"/>
        </w:rPr>
        <w:t>I</w:t>
      </w:r>
      <w:r w:rsidRPr="00596201">
        <w:rPr>
          <w:rFonts w:ascii="Garamond" w:hAnsi="Garamond"/>
          <w:lang w:val="en-US"/>
        </w:rPr>
        <w:t>n th</w:t>
      </w:r>
      <w:r w:rsidR="00B13EC5" w:rsidRPr="00596201">
        <w:rPr>
          <w:rFonts w:ascii="Garamond" w:hAnsi="Garamond"/>
          <w:lang w:val="en-US"/>
        </w:rPr>
        <w:t>is document, in the</w:t>
      </w:r>
      <w:r w:rsidRPr="00596201">
        <w:rPr>
          <w:rFonts w:ascii="Garamond" w:hAnsi="Garamond"/>
          <w:lang w:val="en-US"/>
        </w:rPr>
        <w:t xml:space="preserve"> section titled “Sensitivity analysis regarding the obtainment of expected e30” on page 11</w:t>
      </w:r>
      <w:r w:rsidR="00B13EC5" w:rsidRPr="00596201">
        <w:rPr>
          <w:rFonts w:ascii="Garamond" w:hAnsi="Garamond"/>
          <w:lang w:val="en-US"/>
        </w:rPr>
        <w:t xml:space="preserve">, we describe in detailed the results. </w:t>
      </w:r>
    </w:p>
    <w:p w14:paraId="291D7EA4" w14:textId="77777777" w:rsidR="00813744" w:rsidRPr="00596201" w:rsidRDefault="00813744" w:rsidP="00241E90">
      <w:pPr>
        <w:spacing w:line="360" w:lineRule="auto"/>
        <w:ind w:firstLine="708"/>
        <w:jc w:val="both"/>
        <w:rPr>
          <w:rFonts w:ascii="Garamond" w:hAnsi="Garamond"/>
          <w:lang w:val="en-US"/>
        </w:rPr>
      </w:pPr>
      <w:r w:rsidRPr="00596201">
        <w:rPr>
          <w:rFonts w:ascii="Garamond" w:hAnsi="Garamond"/>
          <w:lang w:val="en-US"/>
        </w:rPr>
        <w:t xml:space="preserve">To fit the Lee-Carter model, we employed single value decomposition (SVD). For the forecasting, we forecasted the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t</m:t>
            </m:r>
          </m:sub>
        </m:sSub>
      </m:oMath>
      <w:r w:rsidRPr="00596201">
        <w:rPr>
          <w:rFonts w:ascii="Garamond" w:hAnsi="Garamond"/>
          <w:lang w:val="en-US"/>
        </w:rPr>
        <w:t xml:space="preserve"> terms with a simple random walk with drift using the R package “</w:t>
      </w:r>
      <w:r w:rsidRPr="00596201">
        <w:rPr>
          <w:rFonts w:ascii="Garamond" w:hAnsi="Garamond"/>
          <w:i/>
          <w:iCs/>
          <w:lang w:val="en-US"/>
        </w:rPr>
        <w:t>forecast</w:t>
      </w:r>
      <w:r w:rsidRPr="00596201">
        <w:rPr>
          <w:rFonts w:ascii="Garamond" w:hAnsi="Garamond"/>
          <w:lang w:val="en-US"/>
        </w:rPr>
        <w:t xml:space="preserve">”.  </w:t>
      </w:r>
    </w:p>
    <w:p w14:paraId="6B90264D" w14:textId="77777777" w:rsidR="00813744" w:rsidRPr="00596201" w:rsidRDefault="00813744" w:rsidP="00241E90">
      <w:pPr>
        <w:spacing w:line="360" w:lineRule="auto"/>
        <w:ind w:firstLine="708"/>
        <w:jc w:val="both"/>
        <w:rPr>
          <w:rFonts w:ascii="Garamond" w:hAnsi="Garamond"/>
          <w:lang w:val="en-US"/>
        </w:rPr>
      </w:pPr>
    </w:p>
    <w:p w14:paraId="141A582E" w14:textId="1A7A7978" w:rsidR="00813744" w:rsidRPr="00596201" w:rsidRDefault="00813744" w:rsidP="007772C3">
      <w:pPr>
        <w:rPr>
          <w:rFonts w:ascii="Garamond" w:hAnsi="Garamond"/>
          <w:lang w:val="en-US"/>
        </w:rPr>
      </w:pPr>
      <w:r w:rsidRPr="00596201">
        <w:rPr>
          <w:rFonts w:ascii="Garamond" w:hAnsi="Garamond"/>
          <w:b/>
          <w:bCs/>
          <w:lang w:val="en-US"/>
        </w:rPr>
        <w:t xml:space="preserve">Table </w:t>
      </w:r>
      <w:r w:rsidR="004C6CE1" w:rsidRPr="00596201">
        <w:rPr>
          <w:rFonts w:ascii="Garamond" w:hAnsi="Garamond"/>
          <w:b/>
          <w:bCs/>
          <w:lang w:val="en-US"/>
        </w:rPr>
        <w:t>S</w:t>
      </w:r>
      <w:r w:rsidRPr="00596201">
        <w:rPr>
          <w:rFonts w:ascii="Garamond" w:hAnsi="Garamond"/>
          <w:b/>
          <w:bCs/>
          <w:lang w:val="en-US"/>
        </w:rPr>
        <w:t xml:space="preserve">2. </w:t>
      </w:r>
      <w:r w:rsidRPr="00596201">
        <w:rPr>
          <w:rFonts w:ascii="Garamond" w:hAnsi="Garamond"/>
          <w:lang w:val="en-US"/>
        </w:rPr>
        <w:t xml:space="preserve">Information regarding the start and the end year of the historical time-series used for the Lee-Carter forecasting and its forecasting horizon </w:t>
      </w:r>
    </w:p>
    <w:tbl>
      <w:tblPr>
        <w:tblW w:w="8705" w:type="dxa"/>
        <w:tblCellMar>
          <w:left w:w="70" w:type="dxa"/>
          <w:right w:w="70" w:type="dxa"/>
        </w:tblCellMar>
        <w:tblLook w:val="04A0" w:firstRow="1" w:lastRow="0" w:firstColumn="1" w:lastColumn="0" w:noHBand="0" w:noVBand="1"/>
      </w:tblPr>
      <w:tblGrid>
        <w:gridCol w:w="1300"/>
        <w:gridCol w:w="2805"/>
        <w:gridCol w:w="1300"/>
        <w:gridCol w:w="1300"/>
        <w:gridCol w:w="2000"/>
      </w:tblGrid>
      <w:tr w:rsidR="00813744" w:rsidRPr="00596201" w14:paraId="34B77A09" w14:textId="77777777" w:rsidTr="009C0BAF">
        <w:trPr>
          <w:trHeight w:val="340"/>
        </w:trPr>
        <w:tc>
          <w:tcPr>
            <w:tcW w:w="1300" w:type="dxa"/>
            <w:tcBorders>
              <w:top w:val="single" w:sz="8" w:space="0" w:color="auto"/>
              <w:left w:val="nil"/>
              <w:bottom w:val="nil"/>
              <w:right w:val="nil"/>
            </w:tcBorders>
            <w:shd w:val="clear" w:color="000000" w:fill="D9D9D9"/>
            <w:noWrap/>
            <w:vAlign w:val="center"/>
            <w:hideMark/>
          </w:tcPr>
          <w:p w14:paraId="51B58818" w14:textId="77777777" w:rsidR="00813744" w:rsidRPr="00596201" w:rsidRDefault="00813744" w:rsidP="009C0BAF">
            <w:pPr>
              <w:jc w:val="center"/>
              <w:rPr>
                <w:rFonts w:ascii="Garamond" w:hAnsi="Garamond"/>
                <w:color w:val="000000"/>
                <w:lang w:val="en-US"/>
              </w:rPr>
            </w:pPr>
            <w:r w:rsidRPr="00596201">
              <w:rPr>
                <w:rFonts w:ascii="Garamond" w:hAnsi="Garamond"/>
                <w:color w:val="000000"/>
                <w:lang w:val="en-US"/>
              </w:rPr>
              <w:t> </w:t>
            </w:r>
          </w:p>
        </w:tc>
        <w:tc>
          <w:tcPr>
            <w:tcW w:w="2805" w:type="dxa"/>
            <w:tcBorders>
              <w:top w:val="single" w:sz="8" w:space="0" w:color="auto"/>
              <w:left w:val="nil"/>
              <w:bottom w:val="nil"/>
              <w:right w:val="nil"/>
            </w:tcBorders>
            <w:shd w:val="clear" w:color="000000" w:fill="D9D9D9"/>
            <w:noWrap/>
            <w:vAlign w:val="center"/>
            <w:hideMark/>
          </w:tcPr>
          <w:p w14:paraId="3C32E114" w14:textId="77777777" w:rsidR="00813744" w:rsidRPr="00596201" w:rsidRDefault="00813744" w:rsidP="009C0BAF">
            <w:pPr>
              <w:jc w:val="center"/>
              <w:rPr>
                <w:rFonts w:ascii="Garamond" w:hAnsi="Garamond"/>
                <w:color w:val="000000"/>
                <w:lang w:val="en-US"/>
              </w:rPr>
            </w:pPr>
            <w:r w:rsidRPr="00596201">
              <w:rPr>
                <w:rFonts w:ascii="Garamond" w:hAnsi="Garamond"/>
                <w:color w:val="000000"/>
                <w:lang w:val="en-US"/>
              </w:rPr>
              <w:t> </w:t>
            </w:r>
          </w:p>
        </w:tc>
        <w:tc>
          <w:tcPr>
            <w:tcW w:w="2600" w:type="dxa"/>
            <w:gridSpan w:val="2"/>
            <w:tcBorders>
              <w:top w:val="single" w:sz="8" w:space="0" w:color="auto"/>
              <w:left w:val="nil"/>
              <w:bottom w:val="single" w:sz="8" w:space="0" w:color="auto"/>
              <w:right w:val="nil"/>
            </w:tcBorders>
            <w:shd w:val="clear" w:color="000000" w:fill="D9D9D9"/>
            <w:noWrap/>
            <w:vAlign w:val="center"/>
            <w:hideMark/>
          </w:tcPr>
          <w:p w14:paraId="06F18660" w14:textId="77777777" w:rsidR="00813744" w:rsidRPr="00596201" w:rsidRDefault="00813744" w:rsidP="009C0BAF">
            <w:pPr>
              <w:jc w:val="center"/>
              <w:rPr>
                <w:rFonts w:ascii="Garamond" w:hAnsi="Garamond"/>
                <w:color w:val="000000"/>
              </w:rPr>
            </w:pPr>
            <w:r w:rsidRPr="00596201">
              <w:rPr>
                <w:rFonts w:ascii="Garamond" w:hAnsi="Garamond"/>
                <w:color w:val="000000"/>
              </w:rPr>
              <w:t>Historical time series</w:t>
            </w:r>
          </w:p>
        </w:tc>
        <w:tc>
          <w:tcPr>
            <w:tcW w:w="2000" w:type="dxa"/>
            <w:vMerge w:val="restart"/>
            <w:tcBorders>
              <w:top w:val="single" w:sz="8" w:space="0" w:color="auto"/>
              <w:left w:val="nil"/>
              <w:bottom w:val="single" w:sz="8" w:space="0" w:color="000000"/>
              <w:right w:val="nil"/>
            </w:tcBorders>
            <w:shd w:val="clear" w:color="000000" w:fill="D9D9D9"/>
            <w:noWrap/>
            <w:vAlign w:val="center"/>
            <w:hideMark/>
          </w:tcPr>
          <w:p w14:paraId="7ABCB6A3" w14:textId="77777777" w:rsidR="00813744" w:rsidRPr="00596201" w:rsidRDefault="00813744" w:rsidP="009C0BAF">
            <w:pPr>
              <w:jc w:val="center"/>
              <w:rPr>
                <w:rFonts w:ascii="Garamond" w:hAnsi="Garamond"/>
                <w:color w:val="000000"/>
              </w:rPr>
            </w:pPr>
            <w:r w:rsidRPr="00596201">
              <w:rPr>
                <w:rFonts w:ascii="Garamond" w:hAnsi="Garamond"/>
                <w:color w:val="000000"/>
              </w:rPr>
              <w:t>Forecasting horizon</w:t>
            </w:r>
          </w:p>
        </w:tc>
      </w:tr>
      <w:tr w:rsidR="00813744" w:rsidRPr="00596201" w14:paraId="6335B4C4" w14:textId="77777777" w:rsidTr="009C0BAF">
        <w:trPr>
          <w:trHeight w:val="340"/>
        </w:trPr>
        <w:tc>
          <w:tcPr>
            <w:tcW w:w="1300" w:type="dxa"/>
            <w:tcBorders>
              <w:top w:val="single" w:sz="8" w:space="0" w:color="auto"/>
              <w:left w:val="nil"/>
              <w:bottom w:val="nil"/>
              <w:right w:val="nil"/>
            </w:tcBorders>
            <w:shd w:val="clear" w:color="000000" w:fill="D9D9D9"/>
            <w:noWrap/>
            <w:vAlign w:val="center"/>
            <w:hideMark/>
          </w:tcPr>
          <w:p w14:paraId="7DD1779E" w14:textId="77777777" w:rsidR="00813744" w:rsidRPr="00596201" w:rsidRDefault="00813744" w:rsidP="009C0BAF">
            <w:pPr>
              <w:jc w:val="center"/>
              <w:rPr>
                <w:rFonts w:ascii="Garamond" w:hAnsi="Garamond"/>
                <w:color w:val="000000"/>
              </w:rPr>
            </w:pPr>
            <w:r w:rsidRPr="00596201">
              <w:rPr>
                <w:rFonts w:ascii="Garamond" w:hAnsi="Garamond"/>
                <w:color w:val="000000"/>
              </w:rPr>
              <w:t>Sex</w:t>
            </w:r>
          </w:p>
        </w:tc>
        <w:tc>
          <w:tcPr>
            <w:tcW w:w="2805" w:type="dxa"/>
            <w:tcBorders>
              <w:top w:val="single" w:sz="8" w:space="0" w:color="auto"/>
              <w:left w:val="nil"/>
              <w:bottom w:val="nil"/>
              <w:right w:val="nil"/>
            </w:tcBorders>
            <w:shd w:val="clear" w:color="000000" w:fill="D9D9D9"/>
            <w:noWrap/>
            <w:vAlign w:val="center"/>
            <w:hideMark/>
          </w:tcPr>
          <w:p w14:paraId="67E6EC1F" w14:textId="77777777" w:rsidR="00813744" w:rsidRPr="00596201" w:rsidRDefault="00813744" w:rsidP="009C0BAF">
            <w:pPr>
              <w:jc w:val="center"/>
              <w:rPr>
                <w:rFonts w:ascii="Garamond" w:hAnsi="Garamond"/>
                <w:color w:val="000000"/>
              </w:rPr>
            </w:pPr>
            <w:r w:rsidRPr="00596201">
              <w:rPr>
                <w:rFonts w:ascii="Garamond" w:hAnsi="Garamond"/>
                <w:color w:val="000000"/>
              </w:rPr>
              <w:t>Educational attainment group</w:t>
            </w:r>
          </w:p>
        </w:tc>
        <w:tc>
          <w:tcPr>
            <w:tcW w:w="1300" w:type="dxa"/>
            <w:tcBorders>
              <w:top w:val="nil"/>
              <w:left w:val="nil"/>
              <w:bottom w:val="nil"/>
              <w:right w:val="nil"/>
            </w:tcBorders>
            <w:shd w:val="clear" w:color="000000" w:fill="D9D9D9"/>
            <w:noWrap/>
            <w:vAlign w:val="center"/>
            <w:hideMark/>
          </w:tcPr>
          <w:p w14:paraId="20FD478B" w14:textId="77777777" w:rsidR="00813744" w:rsidRPr="00596201" w:rsidRDefault="00813744" w:rsidP="009C0BAF">
            <w:pPr>
              <w:jc w:val="center"/>
              <w:rPr>
                <w:rFonts w:ascii="Garamond" w:hAnsi="Garamond"/>
                <w:color w:val="000000"/>
              </w:rPr>
            </w:pPr>
            <w:r w:rsidRPr="00596201">
              <w:rPr>
                <w:rFonts w:ascii="Garamond" w:hAnsi="Garamond"/>
                <w:color w:val="000000"/>
              </w:rPr>
              <w:t>Start</w:t>
            </w:r>
          </w:p>
        </w:tc>
        <w:tc>
          <w:tcPr>
            <w:tcW w:w="1300" w:type="dxa"/>
            <w:tcBorders>
              <w:top w:val="nil"/>
              <w:left w:val="nil"/>
              <w:bottom w:val="nil"/>
              <w:right w:val="nil"/>
            </w:tcBorders>
            <w:shd w:val="clear" w:color="000000" w:fill="D9D9D9"/>
            <w:noWrap/>
            <w:vAlign w:val="center"/>
            <w:hideMark/>
          </w:tcPr>
          <w:p w14:paraId="2FAE50A6" w14:textId="77777777" w:rsidR="00813744" w:rsidRPr="00596201" w:rsidRDefault="00813744" w:rsidP="009C0BAF">
            <w:pPr>
              <w:jc w:val="center"/>
              <w:rPr>
                <w:rFonts w:ascii="Garamond" w:hAnsi="Garamond"/>
                <w:color w:val="000000"/>
              </w:rPr>
            </w:pPr>
            <w:r w:rsidRPr="00596201">
              <w:rPr>
                <w:rFonts w:ascii="Garamond" w:hAnsi="Garamond"/>
                <w:color w:val="000000"/>
              </w:rPr>
              <w:t>End</w:t>
            </w:r>
          </w:p>
        </w:tc>
        <w:tc>
          <w:tcPr>
            <w:tcW w:w="2000" w:type="dxa"/>
            <w:vMerge/>
            <w:tcBorders>
              <w:top w:val="single" w:sz="8" w:space="0" w:color="auto"/>
              <w:left w:val="nil"/>
              <w:bottom w:val="single" w:sz="8" w:space="0" w:color="000000"/>
              <w:right w:val="nil"/>
            </w:tcBorders>
            <w:vAlign w:val="center"/>
            <w:hideMark/>
          </w:tcPr>
          <w:p w14:paraId="4D58D023" w14:textId="77777777" w:rsidR="00813744" w:rsidRPr="00596201" w:rsidRDefault="00813744" w:rsidP="009C0BAF">
            <w:pPr>
              <w:rPr>
                <w:rFonts w:ascii="Garamond" w:hAnsi="Garamond"/>
                <w:color w:val="000000"/>
              </w:rPr>
            </w:pPr>
          </w:p>
        </w:tc>
      </w:tr>
      <w:tr w:rsidR="00813744" w:rsidRPr="00596201" w14:paraId="0D00374B" w14:textId="77777777" w:rsidTr="009C0BAF">
        <w:trPr>
          <w:trHeight w:val="320"/>
        </w:trPr>
        <w:tc>
          <w:tcPr>
            <w:tcW w:w="1300" w:type="dxa"/>
            <w:vMerge w:val="restart"/>
            <w:tcBorders>
              <w:top w:val="single" w:sz="8" w:space="0" w:color="auto"/>
              <w:left w:val="nil"/>
              <w:bottom w:val="single" w:sz="8" w:space="0" w:color="000000"/>
              <w:right w:val="nil"/>
            </w:tcBorders>
            <w:shd w:val="clear" w:color="000000" w:fill="FFFFFF"/>
            <w:noWrap/>
            <w:vAlign w:val="center"/>
            <w:hideMark/>
          </w:tcPr>
          <w:p w14:paraId="1E64AC2E" w14:textId="77777777" w:rsidR="00813744" w:rsidRPr="00596201" w:rsidRDefault="00813744" w:rsidP="009C0BAF">
            <w:pPr>
              <w:jc w:val="center"/>
              <w:rPr>
                <w:rFonts w:ascii="Garamond" w:hAnsi="Garamond"/>
                <w:color w:val="000000"/>
              </w:rPr>
            </w:pPr>
            <w:r w:rsidRPr="00596201">
              <w:rPr>
                <w:rFonts w:ascii="Garamond" w:hAnsi="Garamond"/>
                <w:color w:val="000000"/>
              </w:rPr>
              <w:t>Males</w:t>
            </w:r>
          </w:p>
        </w:tc>
        <w:tc>
          <w:tcPr>
            <w:tcW w:w="2805" w:type="dxa"/>
            <w:tcBorders>
              <w:top w:val="single" w:sz="8" w:space="0" w:color="auto"/>
              <w:left w:val="nil"/>
              <w:bottom w:val="nil"/>
              <w:right w:val="nil"/>
            </w:tcBorders>
            <w:shd w:val="clear" w:color="000000" w:fill="FFFFFF"/>
            <w:noWrap/>
            <w:vAlign w:val="center"/>
            <w:hideMark/>
          </w:tcPr>
          <w:p w14:paraId="172E268C" w14:textId="77777777" w:rsidR="00813744" w:rsidRPr="00596201" w:rsidRDefault="00813744" w:rsidP="009C0BAF">
            <w:pPr>
              <w:jc w:val="center"/>
              <w:rPr>
                <w:rFonts w:ascii="Garamond" w:hAnsi="Garamond"/>
                <w:color w:val="000000"/>
              </w:rPr>
            </w:pPr>
            <w:r w:rsidRPr="00596201">
              <w:rPr>
                <w:rFonts w:ascii="Garamond" w:hAnsi="Garamond"/>
                <w:color w:val="000000"/>
              </w:rPr>
              <w:t>National</w:t>
            </w:r>
          </w:p>
        </w:tc>
        <w:tc>
          <w:tcPr>
            <w:tcW w:w="1300" w:type="dxa"/>
            <w:tcBorders>
              <w:top w:val="single" w:sz="8" w:space="0" w:color="auto"/>
              <w:left w:val="nil"/>
              <w:bottom w:val="nil"/>
              <w:right w:val="nil"/>
            </w:tcBorders>
            <w:shd w:val="clear" w:color="000000" w:fill="FFFFFF"/>
            <w:noWrap/>
            <w:vAlign w:val="center"/>
            <w:hideMark/>
          </w:tcPr>
          <w:p w14:paraId="6089876C" w14:textId="77777777" w:rsidR="00813744" w:rsidRPr="00596201" w:rsidRDefault="00813744" w:rsidP="009C0BAF">
            <w:pPr>
              <w:jc w:val="center"/>
              <w:rPr>
                <w:rFonts w:ascii="Garamond" w:hAnsi="Garamond"/>
                <w:color w:val="000000"/>
              </w:rPr>
            </w:pPr>
            <w:r w:rsidRPr="00596201">
              <w:rPr>
                <w:rFonts w:ascii="Garamond" w:hAnsi="Garamond"/>
                <w:color w:val="000000"/>
              </w:rPr>
              <w:t>1999</w:t>
            </w:r>
          </w:p>
        </w:tc>
        <w:tc>
          <w:tcPr>
            <w:tcW w:w="1300" w:type="dxa"/>
            <w:tcBorders>
              <w:top w:val="single" w:sz="8" w:space="0" w:color="auto"/>
              <w:left w:val="nil"/>
              <w:bottom w:val="nil"/>
              <w:right w:val="nil"/>
            </w:tcBorders>
            <w:shd w:val="clear" w:color="000000" w:fill="FFFFFF"/>
            <w:noWrap/>
            <w:vAlign w:val="center"/>
            <w:hideMark/>
          </w:tcPr>
          <w:p w14:paraId="171D2DC7" w14:textId="77777777" w:rsidR="00813744" w:rsidRPr="00596201" w:rsidRDefault="00813744" w:rsidP="009C0BAF">
            <w:pPr>
              <w:jc w:val="center"/>
              <w:rPr>
                <w:rFonts w:ascii="Garamond" w:hAnsi="Garamond"/>
                <w:color w:val="000000"/>
              </w:rPr>
            </w:pPr>
            <w:r w:rsidRPr="00596201">
              <w:rPr>
                <w:rFonts w:ascii="Garamond" w:hAnsi="Garamond"/>
                <w:color w:val="000000"/>
              </w:rPr>
              <w:t>2011</w:t>
            </w:r>
          </w:p>
        </w:tc>
        <w:tc>
          <w:tcPr>
            <w:tcW w:w="2000" w:type="dxa"/>
            <w:tcBorders>
              <w:top w:val="nil"/>
              <w:left w:val="nil"/>
              <w:bottom w:val="nil"/>
              <w:right w:val="nil"/>
            </w:tcBorders>
            <w:shd w:val="clear" w:color="000000" w:fill="FFFFFF"/>
            <w:noWrap/>
            <w:vAlign w:val="center"/>
            <w:hideMark/>
          </w:tcPr>
          <w:p w14:paraId="5571E237" w14:textId="77777777" w:rsidR="00813744" w:rsidRPr="00596201" w:rsidRDefault="00813744" w:rsidP="009C0BAF">
            <w:pPr>
              <w:jc w:val="center"/>
              <w:rPr>
                <w:rFonts w:ascii="Garamond" w:hAnsi="Garamond"/>
                <w:color w:val="000000"/>
              </w:rPr>
            </w:pPr>
            <w:r w:rsidRPr="00596201">
              <w:rPr>
                <w:rFonts w:ascii="Garamond" w:hAnsi="Garamond"/>
                <w:color w:val="000000"/>
              </w:rPr>
              <w:t>2012-2017</w:t>
            </w:r>
          </w:p>
        </w:tc>
      </w:tr>
      <w:tr w:rsidR="00813744" w:rsidRPr="00596201" w14:paraId="6C575107" w14:textId="77777777" w:rsidTr="009C0BAF">
        <w:trPr>
          <w:trHeight w:val="320"/>
        </w:trPr>
        <w:tc>
          <w:tcPr>
            <w:tcW w:w="1300" w:type="dxa"/>
            <w:vMerge/>
            <w:tcBorders>
              <w:top w:val="single" w:sz="8" w:space="0" w:color="auto"/>
              <w:left w:val="nil"/>
              <w:bottom w:val="single" w:sz="8" w:space="0" w:color="000000"/>
              <w:right w:val="nil"/>
            </w:tcBorders>
            <w:vAlign w:val="center"/>
            <w:hideMark/>
          </w:tcPr>
          <w:p w14:paraId="5C55ED85" w14:textId="77777777" w:rsidR="00813744" w:rsidRPr="00596201" w:rsidRDefault="00813744" w:rsidP="009C0BAF">
            <w:pPr>
              <w:rPr>
                <w:rFonts w:ascii="Garamond" w:hAnsi="Garamond"/>
                <w:color w:val="000000"/>
              </w:rPr>
            </w:pPr>
          </w:p>
        </w:tc>
        <w:tc>
          <w:tcPr>
            <w:tcW w:w="2805" w:type="dxa"/>
            <w:tcBorders>
              <w:top w:val="nil"/>
              <w:left w:val="nil"/>
              <w:bottom w:val="nil"/>
              <w:right w:val="nil"/>
            </w:tcBorders>
            <w:shd w:val="clear" w:color="000000" w:fill="FFFFFF"/>
            <w:noWrap/>
            <w:vAlign w:val="center"/>
            <w:hideMark/>
          </w:tcPr>
          <w:p w14:paraId="6785E6C6" w14:textId="77777777" w:rsidR="00813744" w:rsidRPr="00596201" w:rsidRDefault="00813744" w:rsidP="009C0BAF">
            <w:pPr>
              <w:jc w:val="center"/>
              <w:rPr>
                <w:rFonts w:ascii="Garamond" w:hAnsi="Garamond"/>
                <w:color w:val="000000"/>
              </w:rPr>
            </w:pPr>
            <w:r w:rsidRPr="00596201">
              <w:rPr>
                <w:rFonts w:ascii="Garamond" w:hAnsi="Garamond"/>
                <w:color w:val="000000"/>
              </w:rPr>
              <w:t>Low</w:t>
            </w:r>
          </w:p>
        </w:tc>
        <w:tc>
          <w:tcPr>
            <w:tcW w:w="1300" w:type="dxa"/>
            <w:tcBorders>
              <w:top w:val="nil"/>
              <w:left w:val="nil"/>
              <w:bottom w:val="nil"/>
              <w:right w:val="nil"/>
            </w:tcBorders>
            <w:shd w:val="clear" w:color="000000" w:fill="FFFFFF"/>
            <w:noWrap/>
            <w:vAlign w:val="center"/>
            <w:hideMark/>
          </w:tcPr>
          <w:p w14:paraId="16F32382" w14:textId="77777777" w:rsidR="00813744" w:rsidRPr="00596201" w:rsidRDefault="00813744" w:rsidP="009C0BAF">
            <w:pPr>
              <w:jc w:val="center"/>
              <w:rPr>
                <w:rFonts w:ascii="Garamond" w:hAnsi="Garamond"/>
                <w:color w:val="000000"/>
              </w:rPr>
            </w:pPr>
            <w:r w:rsidRPr="00596201">
              <w:rPr>
                <w:rFonts w:ascii="Garamond" w:hAnsi="Garamond"/>
                <w:color w:val="000000"/>
              </w:rPr>
              <w:t>1999</w:t>
            </w:r>
          </w:p>
        </w:tc>
        <w:tc>
          <w:tcPr>
            <w:tcW w:w="1300" w:type="dxa"/>
            <w:tcBorders>
              <w:top w:val="nil"/>
              <w:left w:val="nil"/>
              <w:bottom w:val="nil"/>
              <w:right w:val="nil"/>
            </w:tcBorders>
            <w:shd w:val="clear" w:color="000000" w:fill="FFFFFF"/>
            <w:noWrap/>
            <w:vAlign w:val="center"/>
            <w:hideMark/>
          </w:tcPr>
          <w:p w14:paraId="08A5E315" w14:textId="77777777" w:rsidR="00813744" w:rsidRPr="00596201" w:rsidRDefault="00813744" w:rsidP="009C0BAF">
            <w:pPr>
              <w:jc w:val="center"/>
              <w:rPr>
                <w:rFonts w:ascii="Garamond" w:hAnsi="Garamond"/>
                <w:color w:val="000000"/>
              </w:rPr>
            </w:pPr>
            <w:r w:rsidRPr="00596201">
              <w:rPr>
                <w:rFonts w:ascii="Garamond" w:hAnsi="Garamond"/>
                <w:color w:val="000000"/>
              </w:rPr>
              <w:t>2010</w:t>
            </w:r>
          </w:p>
        </w:tc>
        <w:tc>
          <w:tcPr>
            <w:tcW w:w="2000" w:type="dxa"/>
            <w:tcBorders>
              <w:top w:val="nil"/>
              <w:left w:val="nil"/>
              <w:bottom w:val="nil"/>
              <w:right w:val="nil"/>
            </w:tcBorders>
            <w:shd w:val="clear" w:color="000000" w:fill="FFFFFF"/>
            <w:noWrap/>
            <w:vAlign w:val="center"/>
            <w:hideMark/>
          </w:tcPr>
          <w:p w14:paraId="5F056096" w14:textId="77777777" w:rsidR="00813744" w:rsidRPr="00596201" w:rsidRDefault="00813744" w:rsidP="009C0BAF">
            <w:pPr>
              <w:jc w:val="center"/>
              <w:rPr>
                <w:rFonts w:ascii="Garamond" w:hAnsi="Garamond"/>
                <w:color w:val="000000"/>
              </w:rPr>
            </w:pPr>
            <w:r w:rsidRPr="00596201">
              <w:rPr>
                <w:rFonts w:ascii="Garamond" w:hAnsi="Garamond"/>
                <w:color w:val="000000"/>
              </w:rPr>
              <w:t>2011-2017</w:t>
            </w:r>
          </w:p>
        </w:tc>
      </w:tr>
      <w:tr w:rsidR="00813744" w:rsidRPr="00596201" w14:paraId="2344412B" w14:textId="77777777" w:rsidTr="009C0BAF">
        <w:trPr>
          <w:trHeight w:val="320"/>
        </w:trPr>
        <w:tc>
          <w:tcPr>
            <w:tcW w:w="1300" w:type="dxa"/>
            <w:vMerge/>
            <w:tcBorders>
              <w:top w:val="single" w:sz="8" w:space="0" w:color="auto"/>
              <w:left w:val="nil"/>
              <w:bottom w:val="single" w:sz="8" w:space="0" w:color="000000"/>
              <w:right w:val="nil"/>
            </w:tcBorders>
            <w:vAlign w:val="center"/>
            <w:hideMark/>
          </w:tcPr>
          <w:p w14:paraId="6CCC6104" w14:textId="77777777" w:rsidR="00813744" w:rsidRPr="00596201" w:rsidRDefault="00813744" w:rsidP="009C0BAF">
            <w:pPr>
              <w:rPr>
                <w:rFonts w:ascii="Garamond" w:hAnsi="Garamond"/>
                <w:color w:val="000000"/>
              </w:rPr>
            </w:pPr>
          </w:p>
        </w:tc>
        <w:tc>
          <w:tcPr>
            <w:tcW w:w="2805" w:type="dxa"/>
            <w:tcBorders>
              <w:top w:val="nil"/>
              <w:left w:val="nil"/>
              <w:bottom w:val="nil"/>
              <w:right w:val="nil"/>
            </w:tcBorders>
            <w:shd w:val="clear" w:color="000000" w:fill="FFFFFF"/>
            <w:noWrap/>
            <w:vAlign w:val="center"/>
            <w:hideMark/>
          </w:tcPr>
          <w:p w14:paraId="77B2D0CF" w14:textId="77777777" w:rsidR="00813744" w:rsidRPr="00596201" w:rsidRDefault="00813744" w:rsidP="009C0BAF">
            <w:pPr>
              <w:jc w:val="center"/>
              <w:rPr>
                <w:rFonts w:ascii="Garamond" w:hAnsi="Garamond"/>
                <w:color w:val="000000"/>
              </w:rPr>
            </w:pPr>
            <w:r w:rsidRPr="00596201">
              <w:rPr>
                <w:rFonts w:ascii="Garamond" w:hAnsi="Garamond"/>
                <w:color w:val="000000"/>
              </w:rPr>
              <w:t>Middle</w:t>
            </w:r>
          </w:p>
        </w:tc>
        <w:tc>
          <w:tcPr>
            <w:tcW w:w="1300" w:type="dxa"/>
            <w:tcBorders>
              <w:top w:val="nil"/>
              <w:left w:val="nil"/>
              <w:bottom w:val="nil"/>
              <w:right w:val="nil"/>
            </w:tcBorders>
            <w:shd w:val="clear" w:color="000000" w:fill="FFFFFF"/>
            <w:noWrap/>
            <w:vAlign w:val="center"/>
            <w:hideMark/>
          </w:tcPr>
          <w:p w14:paraId="220186DE" w14:textId="77777777" w:rsidR="00813744" w:rsidRPr="00596201" w:rsidRDefault="00813744" w:rsidP="009C0BAF">
            <w:pPr>
              <w:jc w:val="center"/>
              <w:rPr>
                <w:rFonts w:ascii="Garamond" w:hAnsi="Garamond"/>
                <w:color w:val="000000"/>
              </w:rPr>
            </w:pPr>
            <w:r w:rsidRPr="00596201">
              <w:rPr>
                <w:rFonts w:ascii="Garamond" w:hAnsi="Garamond"/>
                <w:color w:val="000000"/>
              </w:rPr>
              <w:t>1972</w:t>
            </w:r>
          </w:p>
        </w:tc>
        <w:tc>
          <w:tcPr>
            <w:tcW w:w="1300" w:type="dxa"/>
            <w:tcBorders>
              <w:top w:val="nil"/>
              <w:left w:val="nil"/>
              <w:bottom w:val="nil"/>
              <w:right w:val="nil"/>
            </w:tcBorders>
            <w:shd w:val="clear" w:color="000000" w:fill="FFFFFF"/>
            <w:noWrap/>
            <w:vAlign w:val="center"/>
            <w:hideMark/>
          </w:tcPr>
          <w:p w14:paraId="2F9FBB41" w14:textId="77777777" w:rsidR="00813744" w:rsidRPr="00596201" w:rsidRDefault="00813744" w:rsidP="009C0BAF">
            <w:pPr>
              <w:jc w:val="center"/>
              <w:rPr>
                <w:rFonts w:ascii="Garamond" w:hAnsi="Garamond"/>
                <w:color w:val="000000"/>
              </w:rPr>
            </w:pPr>
            <w:r w:rsidRPr="00596201">
              <w:rPr>
                <w:rFonts w:ascii="Garamond" w:hAnsi="Garamond"/>
                <w:color w:val="000000"/>
              </w:rPr>
              <w:t>2000</w:t>
            </w:r>
          </w:p>
        </w:tc>
        <w:tc>
          <w:tcPr>
            <w:tcW w:w="2000" w:type="dxa"/>
            <w:tcBorders>
              <w:top w:val="nil"/>
              <w:left w:val="nil"/>
              <w:bottom w:val="nil"/>
              <w:right w:val="nil"/>
            </w:tcBorders>
            <w:shd w:val="clear" w:color="000000" w:fill="FFFFFF"/>
            <w:noWrap/>
            <w:vAlign w:val="center"/>
            <w:hideMark/>
          </w:tcPr>
          <w:p w14:paraId="1DDF86D4" w14:textId="77777777" w:rsidR="00813744" w:rsidRPr="00596201" w:rsidRDefault="00813744" w:rsidP="009C0BAF">
            <w:pPr>
              <w:jc w:val="center"/>
              <w:rPr>
                <w:rFonts w:ascii="Garamond" w:hAnsi="Garamond"/>
                <w:color w:val="000000"/>
              </w:rPr>
            </w:pPr>
            <w:r w:rsidRPr="00596201">
              <w:rPr>
                <w:rFonts w:ascii="Garamond" w:hAnsi="Garamond"/>
                <w:color w:val="000000"/>
              </w:rPr>
              <w:t>2001-2017</w:t>
            </w:r>
          </w:p>
        </w:tc>
      </w:tr>
      <w:tr w:rsidR="00813744" w:rsidRPr="00596201" w14:paraId="0D15417C" w14:textId="77777777" w:rsidTr="009C0BAF">
        <w:trPr>
          <w:trHeight w:val="340"/>
        </w:trPr>
        <w:tc>
          <w:tcPr>
            <w:tcW w:w="1300" w:type="dxa"/>
            <w:vMerge/>
            <w:tcBorders>
              <w:top w:val="single" w:sz="8" w:space="0" w:color="auto"/>
              <w:left w:val="nil"/>
              <w:bottom w:val="single" w:sz="8" w:space="0" w:color="000000"/>
              <w:right w:val="nil"/>
            </w:tcBorders>
            <w:vAlign w:val="center"/>
            <w:hideMark/>
          </w:tcPr>
          <w:p w14:paraId="0C84D369" w14:textId="77777777" w:rsidR="00813744" w:rsidRPr="00596201" w:rsidRDefault="00813744" w:rsidP="009C0BAF">
            <w:pPr>
              <w:rPr>
                <w:rFonts w:ascii="Garamond" w:hAnsi="Garamond"/>
                <w:color w:val="000000"/>
              </w:rPr>
            </w:pPr>
          </w:p>
        </w:tc>
        <w:tc>
          <w:tcPr>
            <w:tcW w:w="2805" w:type="dxa"/>
            <w:tcBorders>
              <w:top w:val="nil"/>
              <w:left w:val="nil"/>
              <w:bottom w:val="nil"/>
              <w:right w:val="nil"/>
            </w:tcBorders>
            <w:shd w:val="clear" w:color="000000" w:fill="FFFFFF"/>
            <w:noWrap/>
            <w:vAlign w:val="center"/>
            <w:hideMark/>
          </w:tcPr>
          <w:p w14:paraId="5EAF0CE1" w14:textId="77777777" w:rsidR="00813744" w:rsidRPr="00596201" w:rsidRDefault="00813744" w:rsidP="009C0BAF">
            <w:pPr>
              <w:jc w:val="center"/>
              <w:rPr>
                <w:rFonts w:ascii="Garamond" w:hAnsi="Garamond"/>
                <w:color w:val="000000"/>
              </w:rPr>
            </w:pPr>
            <w:r w:rsidRPr="00596201">
              <w:rPr>
                <w:rFonts w:ascii="Garamond" w:hAnsi="Garamond"/>
                <w:color w:val="000000"/>
              </w:rPr>
              <w:t>High</w:t>
            </w:r>
          </w:p>
        </w:tc>
        <w:tc>
          <w:tcPr>
            <w:tcW w:w="1300" w:type="dxa"/>
            <w:tcBorders>
              <w:top w:val="nil"/>
              <w:left w:val="nil"/>
              <w:bottom w:val="nil"/>
              <w:right w:val="nil"/>
            </w:tcBorders>
            <w:shd w:val="clear" w:color="000000" w:fill="FFFFFF"/>
            <w:noWrap/>
            <w:vAlign w:val="center"/>
            <w:hideMark/>
          </w:tcPr>
          <w:p w14:paraId="7C8DF43E" w14:textId="77777777" w:rsidR="00813744" w:rsidRPr="00596201" w:rsidRDefault="00813744" w:rsidP="009C0BAF">
            <w:pPr>
              <w:jc w:val="center"/>
              <w:rPr>
                <w:rFonts w:ascii="Garamond" w:hAnsi="Garamond"/>
                <w:color w:val="000000"/>
              </w:rPr>
            </w:pPr>
            <w:r w:rsidRPr="00596201">
              <w:rPr>
                <w:rFonts w:ascii="Garamond" w:hAnsi="Garamond"/>
                <w:color w:val="000000"/>
              </w:rPr>
              <w:t>1999</w:t>
            </w:r>
          </w:p>
        </w:tc>
        <w:tc>
          <w:tcPr>
            <w:tcW w:w="1300" w:type="dxa"/>
            <w:tcBorders>
              <w:top w:val="nil"/>
              <w:left w:val="nil"/>
              <w:bottom w:val="single" w:sz="8" w:space="0" w:color="000000"/>
              <w:right w:val="nil"/>
            </w:tcBorders>
            <w:shd w:val="clear" w:color="000000" w:fill="FFFFFF"/>
            <w:noWrap/>
            <w:vAlign w:val="center"/>
            <w:hideMark/>
          </w:tcPr>
          <w:p w14:paraId="6CDFECED" w14:textId="77777777" w:rsidR="00813744" w:rsidRPr="00596201" w:rsidRDefault="00813744" w:rsidP="009C0BAF">
            <w:pPr>
              <w:jc w:val="center"/>
              <w:rPr>
                <w:rFonts w:ascii="Garamond" w:hAnsi="Garamond"/>
                <w:color w:val="000000"/>
              </w:rPr>
            </w:pPr>
            <w:r w:rsidRPr="00596201">
              <w:rPr>
                <w:rFonts w:ascii="Garamond" w:hAnsi="Garamond"/>
                <w:color w:val="000000"/>
              </w:rPr>
              <w:t>2011</w:t>
            </w:r>
          </w:p>
        </w:tc>
        <w:tc>
          <w:tcPr>
            <w:tcW w:w="2000" w:type="dxa"/>
            <w:tcBorders>
              <w:top w:val="nil"/>
              <w:left w:val="nil"/>
              <w:bottom w:val="nil"/>
              <w:right w:val="nil"/>
            </w:tcBorders>
            <w:shd w:val="clear" w:color="000000" w:fill="FFFFFF"/>
            <w:noWrap/>
            <w:vAlign w:val="center"/>
            <w:hideMark/>
          </w:tcPr>
          <w:p w14:paraId="65912A6B" w14:textId="77777777" w:rsidR="00813744" w:rsidRPr="00596201" w:rsidRDefault="00813744" w:rsidP="009C0BAF">
            <w:pPr>
              <w:jc w:val="center"/>
              <w:rPr>
                <w:rFonts w:ascii="Garamond" w:hAnsi="Garamond"/>
                <w:color w:val="000000"/>
              </w:rPr>
            </w:pPr>
            <w:r w:rsidRPr="00596201">
              <w:rPr>
                <w:rFonts w:ascii="Garamond" w:hAnsi="Garamond"/>
                <w:color w:val="000000"/>
              </w:rPr>
              <w:t>2012-2017</w:t>
            </w:r>
          </w:p>
        </w:tc>
      </w:tr>
      <w:tr w:rsidR="00813744" w:rsidRPr="00596201" w14:paraId="5A65B954" w14:textId="77777777" w:rsidTr="009C0BAF">
        <w:trPr>
          <w:trHeight w:val="320"/>
        </w:trPr>
        <w:tc>
          <w:tcPr>
            <w:tcW w:w="1300" w:type="dxa"/>
            <w:vMerge w:val="restart"/>
            <w:tcBorders>
              <w:top w:val="nil"/>
              <w:left w:val="nil"/>
              <w:bottom w:val="double" w:sz="6" w:space="0" w:color="000000"/>
              <w:right w:val="nil"/>
            </w:tcBorders>
            <w:shd w:val="clear" w:color="000000" w:fill="FFFFFF"/>
            <w:noWrap/>
            <w:vAlign w:val="center"/>
            <w:hideMark/>
          </w:tcPr>
          <w:p w14:paraId="037DFA22" w14:textId="77777777" w:rsidR="00813744" w:rsidRPr="00596201" w:rsidRDefault="00813744" w:rsidP="009C0BAF">
            <w:pPr>
              <w:jc w:val="center"/>
              <w:rPr>
                <w:rFonts w:ascii="Garamond" w:hAnsi="Garamond"/>
                <w:color w:val="000000"/>
              </w:rPr>
            </w:pPr>
            <w:r w:rsidRPr="00596201">
              <w:rPr>
                <w:rFonts w:ascii="Garamond" w:hAnsi="Garamond"/>
                <w:color w:val="000000"/>
              </w:rPr>
              <w:t>Females</w:t>
            </w:r>
          </w:p>
        </w:tc>
        <w:tc>
          <w:tcPr>
            <w:tcW w:w="2805" w:type="dxa"/>
            <w:tcBorders>
              <w:top w:val="single" w:sz="8" w:space="0" w:color="auto"/>
              <w:left w:val="nil"/>
              <w:bottom w:val="nil"/>
              <w:right w:val="nil"/>
            </w:tcBorders>
            <w:shd w:val="clear" w:color="000000" w:fill="FFFFFF"/>
            <w:noWrap/>
            <w:vAlign w:val="center"/>
            <w:hideMark/>
          </w:tcPr>
          <w:p w14:paraId="12F193CA" w14:textId="77777777" w:rsidR="00813744" w:rsidRPr="00596201" w:rsidRDefault="00813744" w:rsidP="009C0BAF">
            <w:pPr>
              <w:jc w:val="center"/>
              <w:rPr>
                <w:rFonts w:ascii="Garamond" w:hAnsi="Garamond"/>
                <w:color w:val="000000"/>
              </w:rPr>
            </w:pPr>
            <w:r w:rsidRPr="00596201">
              <w:rPr>
                <w:rFonts w:ascii="Garamond" w:hAnsi="Garamond"/>
                <w:color w:val="000000"/>
              </w:rPr>
              <w:t>National</w:t>
            </w:r>
          </w:p>
        </w:tc>
        <w:tc>
          <w:tcPr>
            <w:tcW w:w="1300" w:type="dxa"/>
            <w:tcBorders>
              <w:top w:val="single" w:sz="8" w:space="0" w:color="auto"/>
              <w:left w:val="nil"/>
              <w:bottom w:val="nil"/>
              <w:right w:val="nil"/>
            </w:tcBorders>
            <w:shd w:val="clear" w:color="000000" w:fill="FFFFFF"/>
            <w:noWrap/>
            <w:vAlign w:val="center"/>
            <w:hideMark/>
          </w:tcPr>
          <w:p w14:paraId="58BF7104" w14:textId="77777777" w:rsidR="00813744" w:rsidRPr="00596201" w:rsidRDefault="00813744" w:rsidP="009C0BAF">
            <w:pPr>
              <w:jc w:val="center"/>
              <w:rPr>
                <w:rFonts w:ascii="Garamond" w:hAnsi="Garamond"/>
                <w:color w:val="000000"/>
              </w:rPr>
            </w:pPr>
            <w:r w:rsidRPr="00596201">
              <w:rPr>
                <w:rFonts w:ascii="Garamond" w:hAnsi="Garamond"/>
                <w:color w:val="000000"/>
              </w:rPr>
              <w:t>1999</w:t>
            </w:r>
          </w:p>
        </w:tc>
        <w:tc>
          <w:tcPr>
            <w:tcW w:w="1300" w:type="dxa"/>
            <w:tcBorders>
              <w:top w:val="nil"/>
              <w:left w:val="nil"/>
              <w:bottom w:val="nil"/>
              <w:right w:val="nil"/>
            </w:tcBorders>
            <w:shd w:val="clear" w:color="000000" w:fill="FFFFFF"/>
            <w:noWrap/>
            <w:vAlign w:val="center"/>
            <w:hideMark/>
          </w:tcPr>
          <w:p w14:paraId="435F8EFA" w14:textId="77777777" w:rsidR="00813744" w:rsidRPr="00596201" w:rsidRDefault="00813744" w:rsidP="009C0BAF">
            <w:pPr>
              <w:jc w:val="center"/>
              <w:rPr>
                <w:rFonts w:ascii="Garamond" w:hAnsi="Garamond"/>
                <w:color w:val="000000"/>
              </w:rPr>
            </w:pPr>
            <w:r w:rsidRPr="00596201">
              <w:rPr>
                <w:rFonts w:ascii="Garamond" w:hAnsi="Garamond"/>
                <w:color w:val="000000"/>
              </w:rPr>
              <w:t>2011</w:t>
            </w:r>
          </w:p>
        </w:tc>
        <w:tc>
          <w:tcPr>
            <w:tcW w:w="2000" w:type="dxa"/>
            <w:tcBorders>
              <w:top w:val="single" w:sz="8" w:space="0" w:color="auto"/>
              <w:left w:val="nil"/>
              <w:bottom w:val="nil"/>
              <w:right w:val="nil"/>
            </w:tcBorders>
            <w:shd w:val="clear" w:color="000000" w:fill="FFFFFF"/>
            <w:noWrap/>
            <w:vAlign w:val="center"/>
            <w:hideMark/>
          </w:tcPr>
          <w:p w14:paraId="43FCF592" w14:textId="77777777" w:rsidR="00813744" w:rsidRPr="00596201" w:rsidRDefault="00813744" w:rsidP="009C0BAF">
            <w:pPr>
              <w:jc w:val="center"/>
              <w:rPr>
                <w:rFonts w:ascii="Garamond" w:hAnsi="Garamond"/>
                <w:color w:val="000000"/>
              </w:rPr>
            </w:pPr>
            <w:r w:rsidRPr="00596201">
              <w:rPr>
                <w:rFonts w:ascii="Garamond" w:hAnsi="Garamond"/>
                <w:color w:val="000000"/>
              </w:rPr>
              <w:t>2012-2017</w:t>
            </w:r>
          </w:p>
        </w:tc>
      </w:tr>
      <w:tr w:rsidR="00813744" w:rsidRPr="00596201" w14:paraId="378CABF8" w14:textId="77777777" w:rsidTr="009C0BAF">
        <w:trPr>
          <w:trHeight w:val="320"/>
        </w:trPr>
        <w:tc>
          <w:tcPr>
            <w:tcW w:w="1300" w:type="dxa"/>
            <w:vMerge/>
            <w:tcBorders>
              <w:top w:val="nil"/>
              <w:left w:val="nil"/>
              <w:bottom w:val="double" w:sz="6" w:space="0" w:color="000000"/>
              <w:right w:val="nil"/>
            </w:tcBorders>
            <w:vAlign w:val="center"/>
            <w:hideMark/>
          </w:tcPr>
          <w:p w14:paraId="0B83BCD0" w14:textId="77777777" w:rsidR="00813744" w:rsidRPr="00596201" w:rsidRDefault="00813744" w:rsidP="009C0BAF">
            <w:pPr>
              <w:rPr>
                <w:rFonts w:ascii="Garamond" w:hAnsi="Garamond"/>
                <w:color w:val="000000"/>
              </w:rPr>
            </w:pPr>
          </w:p>
        </w:tc>
        <w:tc>
          <w:tcPr>
            <w:tcW w:w="2805" w:type="dxa"/>
            <w:tcBorders>
              <w:top w:val="nil"/>
              <w:left w:val="nil"/>
              <w:bottom w:val="nil"/>
              <w:right w:val="nil"/>
            </w:tcBorders>
            <w:shd w:val="clear" w:color="000000" w:fill="FFFFFF"/>
            <w:noWrap/>
            <w:vAlign w:val="center"/>
            <w:hideMark/>
          </w:tcPr>
          <w:p w14:paraId="57EF1D40" w14:textId="77777777" w:rsidR="00813744" w:rsidRPr="00596201" w:rsidRDefault="00813744" w:rsidP="009C0BAF">
            <w:pPr>
              <w:jc w:val="center"/>
              <w:rPr>
                <w:rFonts w:ascii="Garamond" w:hAnsi="Garamond"/>
                <w:color w:val="000000"/>
              </w:rPr>
            </w:pPr>
            <w:r w:rsidRPr="00596201">
              <w:rPr>
                <w:rFonts w:ascii="Garamond" w:hAnsi="Garamond"/>
                <w:color w:val="000000"/>
              </w:rPr>
              <w:t>Low</w:t>
            </w:r>
          </w:p>
        </w:tc>
        <w:tc>
          <w:tcPr>
            <w:tcW w:w="1300" w:type="dxa"/>
            <w:tcBorders>
              <w:top w:val="nil"/>
              <w:left w:val="nil"/>
              <w:bottom w:val="nil"/>
              <w:right w:val="nil"/>
            </w:tcBorders>
            <w:shd w:val="clear" w:color="000000" w:fill="FFFFFF"/>
            <w:noWrap/>
            <w:vAlign w:val="center"/>
            <w:hideMark/>
          </w:tcPr>
          <w:p w14:paraId="0B42081B" w14:textId="77777777" w:rsidR="00813744" w:rsidRPr="00596201" w:rsidRDefault="00813744" w:rsidP="009C0BAF">
            <w:pPr>
              <w:jc w:val="center"/>
              <w:rPr>
                <w:rFonts w:ascii="Garamond" w:hAnsi="Garamond"/>
                <w:color w:val="000000"/>
              </w:rPr>
            </w:pPr>
            <w:r w:rsidRPr="00596201">
              <w:rPr>
                <w:rFonts w:ascii="Garamond" w:hAnsi="Garamond"/>
                <w:color w:val="000000"/>
              </w:rPr>
              <w:t>1999</w:t>
            </w:r>
          </w:p>
        </w:tc>
        <w:tc>
          <w:tcPr>
            <w:tcW w:w="1300" w:type="dxa"/>
            <w:tcBorders>
              <w:top w:val="nil"/>
              <w:left w:val="nil"/>
              <w:bottom w:val="nil"/>
              <w:right w:val="nil"/>
            </w:tcBorders>
            <w:shd w:val="clear" w:color="000000" w:fill="FFFFFF"/>
            <w:noWrap/>
            <w:vAlign w:val="center"/>
            <w:hideMark/>
          </w:tcPr>
          <w:p w14:paraId="7F3D9DD7" w14:textId="77777777" w:rsidR="00813744" w:rsidRPr="00596201" w:rsidRDefault="00813744" w:rsidP="009C0BAF">
            <w:pPr>
              <w:jc w:val="center"/>
              <w:rPr>
                <w:rFonts w:ascii="Garamond" w:hAnsi="Garamond"/>
                <w:color w:val="000000"/>
              </w:rPr>
            </w:pPr>
            <w:r w:rsidRPr="00596201">
              <w:rPr>
                <w:rFonts w:ascii="Garamond" w:hAnsi="Garamond"/>
                <w:color w:val="000000"/>
              </w:rPr>
              <w:t>2010</w:t>
            </w:r>
          </w:p>
        </w:tc>
        <w:tc>
          <w:tcPr>
            <w:tcW w:w="2000" w:type="dxa"/>
            <w:tcBorders>
              <w:top w:val="nil"/>
              <w:left w:val="nil"/>
              <w:bottom w:val="nil"/>
              <w:right w:val="nil"/>
            </w:tcBorders>
            <w:shd w:val="clear" w:color="000000" w:fill="FFFFFF"/>
            <w:noWrap/>
            <w:vAlign w:val="center"/>
            <w:hideMark/>
          </w:tcPr>
          <w:p w14:paraId="79DD3D7C" w14:textId="77777777" w:rsidR="00813744" w:rsidRPr="00596201" w:rsidRDefault="00813744" w:rsidP="009C0BAF">
            <w:pPr>
              <w:jc w:val="center"/>
              <w:rPr>
                <w:rFonts w:ascii="Garamond" w:hAnsi="Garamond"/>
                <w:color w:val="000000"/>
              </w:rPr>
            </w:pPr>
            <w:r w:rsidRPr="00596201">
              <w:rPr>
                <w:rFonts w:ascii="Garamond" w:hAnsi="Garamond"/>
                <w:color w:val="000000"/>
              </w:rPr>
              <w:t>2011-2017</w:t>
            </w:r>
          </w:p>
        </w:tc>
      </w:tr>
      <w:tr w:rsidR="00813744" w:rsidRPr="00596201" w14:paraId="314E037A" w14:textId="77777777" w:rsidTr="009C0BAF">
        <w:trPr>
          <w:trHeight w:val="320"/>
        </w:trPr>
        <w:tc>
          <w:tcPr>
            <w:tcW w:w="1300" w:type="dxa"/>
            <w:vMerge/>
            <w:tcBorders>
              <w:top w:val="nil"/>
              <w:left w:val="nil"/>
              <w:bottom w:val="double" w:sz="6" w:space="0" w:color="000000"/>
              <w:right w:val="nil"/>
            </w:tcBorders>
            <w:vAlign w:val="center"/>
            <w:hideMark/>
          </w:tcPr>
          <w:p w14:paraId="2AAE0E8E" w14:textId="77777777" w:rsidR="00813744" w:rsidRPr="00596201" w:rsidRDefault="00813744" w:rsidP="009C0BAF">
            <w:pPr>
              <w:rPr>
                <w:rFonts w:ascii="Garamond" w:hAnsi="Garamond"/>
                <w:color w:val="000000"/>
              </w:rPr>
            </w:pPr>
          </w:p>
        </w:tc>
        <w:tc>
          <w:tcPr>
            <w:tcW w:w="2805" w:type="dxa"/>
            <w:tcBorders>
              <w:top w:val="nil"/>
              <w:left w:val="nil"/>
              <w:bottom w:val="nil"/>
              <w:right w:val="nil"/>
            </w:tcBorders>
            <w:shd w:val="clear" w:color="000000" w:fill="FFFFFF"/>
            <w:noWrap/>
            <w:vAlign w:val="center"/>
            <w:hideMark/>
          </w:tcPr>
          <w:p w14:paraId="72711FAC" w14:textId="77777777" w:rsidR="00813744" w:rsidRPr="00596201" w:rsidRDefault="00813744" w:rsidP="009C0BAF">
            <w:pPr>
              <w:jc w:val="center"/>
              <w:rPr>
                <w:rFonts w:ascii="Garamond" w:hAnsi="Garamond"/>
                <w:color w:val="000000"/>
              </w:rPr>
            </w:pPr>
            <w:r w:rsidRPr="00596201">
              <w:rPr>
                <w:rFonts w:ascii="Garamond" w:hAnsi="Garamond"/>
                <w:color w:val="000000"/>
              </w:rPr>
              <w:t>Middle</w:t>
            </w:r>
          </w:p>
        </w:tc>
        <w:tc>
          <w:tcPr>
            <w:tcW w:w="1300" w:type="dxa"/>
            <w:tcBorders>
              <w:top w:val="nil"/>
              <w:left w:val="nil"/>
              <w:bottom w:val="nil"/>
              <w:right w:val="nil"/>
            </w:tcBorders>
            <w:shd w:val="clear" w:color="000000" w:fill="FFFFFF"/>
            <w:noWrap/>
            <w:vAlign w:val="center"/>
            <w:hideMark/>
          </w:tcPr>
          <w:p w14:paraId="78D8EB43" w14:textId="77777777" w:rsidR="00813744" w:rsidRPr="00596201" w:rsidRDefault="00813744" w:rsidP="009C0BAF">
            <w:pPr>
              <w:jc w:val="center"/>
              <w:rPr>
                <w:rFonts w:ascii="Garamond" w:hAnsi="Garamond"/>
                <w:color w:val="000000"/>
              </w:rPr>
            </w:pPr>
            <w:r w:rsidRPr="00596201">
              <w:rPr>
                <w:rFonts w:ascii="Garamond" w:hAnsi="Garamond"/>
                <w:color w:val="000000"/>
              </w:rPr>
              <w:t>1972</w:t>
            </w:r>
          </w:p>
        </w:tc>
        <w:tc>
          <w:tcPr>
            <w:tcW w:w="1300" w:type="dxa"/>
            <w:tcBorders>
              <w:top w:val="nil"/>
              <w:left w:val="nil"/>
              <w:bottom w:val="nil"/>
              <w:right w:val="nil"/>
            </w:tcBorders>
            <w:shd w:val="clear" w:color="000000" w:fill="FFFFFF"/>
            <w:noWrap/>
            <w:vAlign w:val="center"/>
            <w:hideMark/>
          </w:tcPr>
          <w:p w14:paraId="34C66B31" w14:textId="77777777" w:rsidR="00813744" w:rsidRPr="00596201" w:rsidRDefault="00813744" w:rsidP="009C0BAF">
            <w:pPr>
              <w:jc w:val="center"/>
              <w:rPr>
                <w:rFonts w:ascii="Garamond" w:hAnsi="Garamond"/>
                <w:color w:val="000000"/>
              </w:rPr>
            </w:pPr>
            <w:r w:rsidRPr="00596201">
              <w:rPr>
                <w:rFonts w:ascii="Garamond" w:hAnsi="Garamond"/>
                <w:color w:val="000000"/>
              </w:rPr>
              <w:t>2000</w:t>
            </w:r>
          </w:p>
        </w:tc>
        <w:tc>
          <w:tcPr>
            <w:tcW w:w="2000" w:type="dxa"/>
            <w:tcBorders>
              <w:top w:val="nil"/>
              <w:left w:val="nil"/>
              <w:bottom w:val="nil"/>
              <w:right w:val="nil"/>
            </w:tcBorders>
            <w:shd w:val="clear" w:color="000000" w:fill="FFFFFF"/>
            <w:noWrap/>
            <w:vAlign w:val="center"/>
            <w:hideMark/>
          </w:tcPr>
          <w:p w14:paraId="3B0B0866" w14:textId="77777777" w:rsidR="00813744" w:rsidRPr="00596201" w:rsidRDefault="00813744" w:rsidP="009C0BAF">
            <w:pPr>
              <w:jc w:val="center"/>
              <w:rPr>
                <w:rFonts w:ascii="Garamond" w:hAnsi="Garamond"/>
                <w:color w:val="000000"/>
              </w:rPr>
            </w:pPr>
            <w:r w:rsidRPr="00596201">
              <w:rPr>
                <w:rFonts w:ascii="Garamond" w:hAnsi="Garamond"/>
                <w:color w:val="000000"/>
              </w:rPr>
              <w:t>2001-2017</w:t>
            </w:r>
          </w:p>
        </w:tc>
      </w:tr>
      <w:tr w:rsidR="00813744" w:rsidRPr="00596201" w14:paraId="713ED964" w14:textId="77777777" w:rsidTr="009C0BAF">
        <w:trPr>
          <w:trHeight w:val="340"/>
        </w:trPr>
        <w:tc>
          <w:tcPr>
            <w:tcW w:w="1300" w:type="dxa"/>
            <w:vMerge/>
            <w:tcBorders>
              <w:top w:val="nil"/>
              <w:left w:val="nil"/>
              <w:bottom w:val="double" w:sz="6" w:space="0" w:color="000000"/>
              <w:right w:val="nil"/>
            </w:tcBorders>
            <w:vAlign w:val="center"/>
            <w:hideMark/>
          </w:tcPr>
          <w:p w14:paraId="18E831AB" w14:textId="77777777" w:rsidR="00813744" w:rsidRPr="00596201" w:rsidRDefault="00813744" w:rsidP="009C0BAF">
            <w:pPr>
              <w:rPr>
                <w:rFonts w:ascii="Garamond" w:hAnsi="Garamond"/>
                <w:color w:val="000000"/>
              </w:rPr>
            </w:pPr>
          </w:p>
        </w:tc>
        <w:tc>
          <w:tcPr>
            <w:tcW w:w="2805" w:type="dxa"/>
            <w:tcBorders>
              <w:top w:val="nil"/>
              <w:left w:val="nil"/>
              <w:bottom w:val="double" w:sz="6" w:space="0" w:color="auto"/>
              <w:right w:val="nil"/>
            </w:tcBorders>
            <w:shd w:val="clear" w:color="000000" w:fill="FFFFFF"/>
            <w:noWrap/>
            <w:vAlign w:val="center"/>
            <w:hideMark/>
          </w:tcPr>
          <w:p w14:paraId="1EC63880" w14:textId="77777777" w:rsidR="00813744" w:rsidRPr="00596201" w:rsidRDefault="00813744" w:rsidP="009C0BAF">
            <w:pPr>
              <w:jc w:val="center"/>
              <w:rPr>
                <w:rFonts w:ascii="Garamond" w:hAnsi="Garamond"/>
                <w:color w:val="000000"/>
              </w:rPr>
            </w:pPr>
            <w:r w:rsidRPr="00596201">
              <w:rPr>
                <w:rFonts w:ascii="Garamond" w:hAnsi="Garamond"/>
                <w:color w:val="000000"/>
              </w:rPr>
              <w:t>High</w:t>
            </w:r>
          </w:p>
        </w:tc>
        <w:tc>
          <w:tcPr>
            <w:tcW w:w="1300" w:type="dxa"/>
            <w:tcBorders>
              <w:top w:val="nil"/>
              <w:left w:val="nil"/>
              <w:bottom w:val="double" w:sz="6" w:space="0" w:color="auto"/>
              <w:right w:val="nil"/>
            </w:tcBorders>
            <w:shd w:val="clear" w:color="000000" w:fill="FFFFFF"/>
            <w:noWrap/>
            <w:vAlign w:val="center"/>
            <w:hideMark/>
          </w:tcPr>
          <w:p w14:paraId="35725600" w14:textId="77777777" w:rsidR="00813744" w:rsidRPr="00596201" w:rsidRDefault="00813744" w:rsidP="009C0BAF">
            <w:pPr>
              <w:jc w:val="center"/>
              <w:rPr>
                <w:rFonts w:ascii="Garamond" w:hAnsi="Garamond"/>
                <w:color w:val="000000"/>
              </w:rPr>
            </w:pPr>
            <w:r w:rsidRPr="00596201">
              <w:rPr>
                <w:rFonts w:ascii="Garamond" w:hAnsi="Garamond"/>
                <w:color w:val="000000"/>
              </w:rPr>
              <w:t>2001</w:t>
            </w:r>
          </w:p>
        </w:tc>
        <w:tc>
          <w:tcPr>
            <w:tcW w:w="1300" w:type="dxa"/>
            <w:tcBorders>
              <w:top w:val="nil"/>
              <w:left w:val="nil"/>
              <w:bottom w:val="double" w:sz="6" w:space="0" w:color="auto"/>
              <w:right w:val="nil"/>
            </w:tcBorders>
            <w:shd w:val="clear" w:color="000000" w:fill="FFFFFF"/>
            <w:noWrap/>
            <w:vAlign w:val="center"/>
            <w:hideMark/>
          </w:tcPr>
          <w:p w14:paraId="7E5A0D1F" w14:textId="77777777" w:rsidR="00813744" w:rsidRPr="00596201" w:rsidRDefault="00813744" w:rsidP="009C0BAF">
            <w:pPr>
              <w:jc w:val="center"/>
              <w:rPr>
                <w:rFonts w:ascii="Garamond" w:hAnsi="Garamond"/>
                <w:color w:val="000000"/>
              </w:rPr>
            </w:pPr>
            <w:r w:rsidRPr="00596201">
              <w:rPr>
                <w:rFonts w:ascii="Garamond" w:hAnsi="Garamond"/>
                <w:color w:val="000000"/>
              </w:rPr>
              <w:t>2011</w:t>
            </w:r>
          </w:p>
        </w:tc>
        <w:tc>
          <w:tcPr>
            <w:tcW w:w="2000" w:type="dxa"/>
            <w:tcBorders>
              <w:top w:val="nil"/>
              <w:left w:val="nil"/>
              <w:bottom w:val="double" w:sz="6" w:space="0" w:color="auto"/>
              <w:right w:val="nil"/>
            </w:tcBorders>
            <w:shd w:val="clear" w:color="000000" w:fill="FFFFFF"/>
            <w:noWrap/>
            <w:vAlign w:val="center"/>
            <w:hideMark/>
          </w:tcPr>
          <w:p w14:paraId="5FB65745" w14:textId="77777777" w:rsidR="00813744" w:rsidRPr="00596201" w:rsidRDefault="00813744" w:rsidP="009C0BAF">
            <w:pPr>
              <w:jc w:val="center"/>
              <w:rPr>
                <w:rFonts w:ascii="Garamond" w:hAnsi="Garamond"/>
                <w:color w:val="000000"/>
              </w:rPr>
            </w:pPr>
            <w:r w:rsidRPr="00596201">
              <w:rPr>
                <w:rFonts w:ascii="Garamond" w:hAnsi="Garamond"/>
                <w:color w:val="000000"/>
              </w:rPr>
              <w:t>2012-2017</w:t>
            </w:r>
          </w:p>
        </w:tc>
      </w:tr>
    </w:tbl>
    <w:p w14:paraId="1326BDAD" w14:textId="77B2838C" w:rsidR="00813744" w:rsidRPr="00596201" w:rsidRDefault="00813744" w:rsidP="00B13EC5">
      <w:pPr>
        <w:jc w:val="both"/>
        <w:rPr>
          <w:rFonts w:ascii="Garamond" w:hAnsi="Garamond"/>
          <w:lang w:val="en-US"/>
        </w:rPr>
      </w:pPr>
      <w:r w:rsidRPr="00596201">
        <w:rPr>
          <w:rFonts w:ascii="Garamond" w:hAnsi="Garamond"/>
          <w:lang w:val="en-US"/>
        </w:rPr>
        <w:t>Notes: For middle-educated males and females, we obtained the expected e30 values based on the projection of mortality over the 1972-2000 period. We did this because the e30 values for the middle-educated in 2002-2010 were substantially lower than the historical trend (</w:t>
      </w:r>
      <w:r w:rsidRPr="00596201">
        <w:rPr>
          <w:rFonts w:ascii="Garamond" w:hAnsi="Garamond"/>
          <w:color w:val="215E99" w:themeColor="text2" w:themeTint="BF"/>
          <w:lang w:val="en-US"/>
        </w:rPr>
        <w:t xml:space="preserve">see Figure </w:t>
      </w:r>
      <w:r w:rsidR="007F6D9D" w:rsidRPr="00596201">
        <w:rPr>
          <w:rFonts w:ascii="Garamond" w:hAnsi="Garamond"/>
          <w:color w:val="215E99" w:themeColor="text2" w:themeTint="BF"/>
          <w:lang w:val="en-US"/>
        </w:rPr>
        <w:t>S</w:t>
      </w:r>
      <w:r w:rsidR="00303E22">
        <w:rPr>
          <w:rFonts w:ascii="Garamond" w:hAnsi="Garamond"/>
          <w:color w:val="215E99" w:themeColor="text2" w:themeTint="BF"/>
          <w:lang w:val="en-US"/>
        </w:rPr>
        <w:t>4</w:t>
      </w:r>
      <w:r w:rsidRPr="00596201">
        <w:rPr>
          <w:rFonts w:ascii="Garamond" w:hAnsi="Garamond"/>
          <w:color w:val="215E99" w:themeColor="text2" w:themeTint="BF"/>
          <w:lang w:val="en-US"/>
        </w:rPr>
        <w:t xml:space="preserve"> in the Supplementary </w:t>
      </w:r>
      <w:r w:rsidR="007F6D9D" w:rsidRPr="00596201">
        <w:rPr>
          <w:rFonts w:ascii="Garamond" w:hAnsi="Garamond"/>
          <w:color w:val="215E99" w:themeColor="text2" w:themeTint="BF"/>
          <w:lang w:val="en-US"/>
        </w:rPr>
        <w:t>File</w:t>
      </w:r>
      <w:r w:rsidR="00303E22">
        <w:rPr>
          <w:rFonts w:ascii="Garamond" w:hAnsi="Garamond"/>
          <w:color w:val="215E99" w:themeColor="text2" w:themeTint="BF"/>
          <w:lang w:val="en-US"/>
        </w:rPr>
        <w:t>1</w:t>
      </w:r>
      <w:r w:rsidRPr="00596201">
        <w:rPr>
          <w:rFonts w:ascii="Garamond" w:hAnsi="Garamond"/>
          <w:lang w:val="en-US"/>
        </w:rPr>
        <w:t xml:space="preserve">), likely </w:t>
      </w:r>
      <w:proofErr w:type="gramStart"/>
      <w:r w:rsidRPr="00596201">
        <w:rPr>
          <w:rFonts w:ascii="Garamond" w:hAnsi="Garamond"/>
          <w:lang w:val="en-US"/>
        </w:rPr>
        <w:t>as a result of</w:t>
      </w:r>
      <w:proofErr w:type="gramEnd"/>
      <w:r w:rsidRPr="00596201">
        <w:rPr>
          <w:rFonts w:ascii="Garamond" w:hAnsi="Garamond"/>
          <w:lang w:val="en-US"/>
        </w:rPr>
        <w:t xml:space="preserve"> data issues in the 2001-2011 follow-up (see Janssen et al. 2024).</w:t>
      </w:r>
    </w:p>
    <w:p w14:paraId="50476259" w14:textId="77777777" w:rsidR="00813744" w:rsidRPr="00596201" w:rsidRDefault="00813744" w:rsidP="00B13EC5">
      <w:pPr>
        <w:jc w:val="both"/>
        <w:rPr>
          <w:rFonts w:ascii="Garamond" w:hAnsi="Garamond"/>
          <w:lang w:val="en-US"/>
        </w:rPr>
      </w:pPr>
      <w:r w:rsidRPr="00596201">
        <w:rPr>
          <w:rFonts w:ascii="Garamond" w:hAnsi="Garamond"/>
          <w:lang w:val="en-US"/>
        </w:rPr>
        <w:t xml:space="preserve">We used 2010 as the end year of the historical time series for the low-educated, given that the stagnation had already started in 2010 among low-educated males. </w:t>
      </w:r>
    </w:p>
    <w:p w14:paraId="5D94DBA1" w14:textId="566C4707" w:rsidR="00813744" w:rsidRPr="00596201" w:rsidRDefault="00813744" w:rsidP="00B13EC5">
      <w:pPr>
        <w:jc w:val="both"/>
        <w:rPr>
          <w:rFonts w:ascii="Garamond" w:hAnsi="Garamond"/>
          <w:lang w:val="en-US"/>
        </w:rPr>
      </w:pPr>
      <w:r w:rsidRPr="00596201">
        <w:rPr>
          <w:rFonts w:ascii="Garamond" w:hAnsi="Garamond"/>
          <w:lang w:val="en-US"/>
        </w:rPr>
        <w:t>We used 2001 instead of 1999 or 2000 as the start year for high-educated females because 1999-2000 represented outliers (</w:t>
      </w:r>
      <w:r w:rsidRPr="00596201">
        <w:rPr>
          <w:rFonts w:ascii="Garamond" w:hAnsi="Garamond"/>
          <w:color w:val="215E99" w:themeColor="text2" w:themeTint="BF"/>
          <w:lang w:val="en-US"/>
        </w:rPr>
        <w:t xml:space="preserve">see Figure </w:t>
      </w:r>
      <w:r w:rsidR="007F6D9D" w:rsidRPr="00596201">
        <w:rPr>
          <w:rFonts w:ascii="Garamond" w:hAnsi="Garamond"/>
          <w:color w:val="215E99" w:themeColor="text2" w:themeTint="BF"/>
          <w:lang w:val="en-US"/>
        </w:rPr>
        <w:t>S</w:t>
      </w:r>
      <w:r w:rsidR="00303E22">
        <w:rPr>
          <w:rFonts w:ascii="Garamond" w:hAnsi="Garamond"/>
          <w:color w:val="215E99" w:themeColor="text2" w:themeTint="BF"/>
          <w:lang w:val="en-US"/>
        </w:rPr>
        <w:t>4</w:t>
      </w:r>
      <w:r w:rsidR="007F6D9D" w:rsidRPr="00596201">
        <w:rPr>
          <w:rFonts w:ascii="Garamond" w:hAnsi="Garamond"/>
          <w:color w:val="215E99" w:themeColor="text2" w:themeTint="BF"/>
          <w:lang w:val="en-US"/>
        </w:rPr>
        <w:t xml:space="preserve"> in the Supplementary File</w:t>
      </w:r>
      <w:r w:rsidR="00303E22">
        <w:rPr>
          <w:rFonts w:ascii="Garamond" w:hAnsi="Garamond"/>
          <w:color w:val="215E99" w:themeColor="text2" w:themeTint="BF"/>
          <w:lang w:val="en-US"/>
        </w:rPr>
        <w:t>1</w:t>
      </w:r>
      <w:r w:rsidRPr="00596201">
        <w:rPr>
          <w:rFonts w:ascii="Garamond" w:hAnsi="Garamond"/>
          <w:lang w:val="en-US"/>
        </w:rPr>
        <w:t xml:space="preserve">). </w:t>
      </w:r>
      <w:r w:rsidRPr="00596201">
        <w:rPr>
          <w:rFonts w:ascii="Garamond" w:hAnsi="Garamond"/>
          <w:lang w:val="en-US"/>
        </w:rPr>
        <w:br w:type="page"/>
      </w:r>
    </w:p>
    <w:p w14:paraId="32BA8D86" w14:textId="460C8CD3" w:rsidR="00813744" w:rsidRPr="00596201" w:rsidRDefault="00813744" w:rsidP="00241E90">
      <w:pPr>
        <w:jc w:val="both"/>
        <w:rPr>
          <w:rFonts w:ascii="Garamond" w:hAnsi="Garamond"/>
          <w:b/>
          <w:bCs/>
          <w:lang w:val="en-US"/>
        </w:rPr>
      </w:pPr>
      <w:r w:rsidRPr="00596201">
        <w:rPr>
          <w:rFonts w:ascii="Garamond" w:hAnsi="Garamond"/>
          <w:b/>
          <w:bCs/>
          <w:lang w:val="en-US"/>
        </w:rPr>
        <w:lastRenderedPageBreak/>
        <w:t xml:space="preserve">Figure </w:t>
      </w:r>
      <w:r w:rsidR="004C6CE1" w:rsidRPr="00596201">
        <w:rPr>
          <w:rFonts w:ascii="Garamond" w:hAnsi="Garamond"/>
          <w:b/>
          <w:bCs/>
          <w:lang w:val="en-US"/>
        </w:rPr>
        <w:t>S</w:t>
      </w:r>
      <w:r w:rsidR="008C09B4">
        <w:rPr>
          <w:rFonts w:ascii="Garamond" w:hAnsi="Garamond"/>
          <w:b/>
          <w:bCs/>
          <w:lang w:val="en-US"/>
        </w:rPr>
        <w:t>4</w:t>
      </w:r>
      <w:r w:rsidRPr="00596201">
        <w:rPr>
          <w:rFonts w:ascii="Garamond" w:hAnsi="Garamond"/>
          <w:b/>
          <w:bCs/>
          <w:lang w:val="en-US"/>
        </w:rPr>
        <w:t>.</w:t>
      </w:r>
      <w:r w:rsidRPr="00596201">
        <w:rPr>
          <w:rFonts w:ascii="Helvetica Neue" w:eastAsiaTheme="minorHAnsi" w:hAnsi="Helvetica Neue" w:cs="Helvetica Neue"/>
          <w:color w:val="000000"/>
          <w:sz w:val="26"/>
          <w:szCs w:val="26"/>
          <w:lang w:val="en-US" w:eastAsia="en-US"/>
          <w14:ligatures w14:val="standardContextual"/>
        </w:rPr>
        <w:t xml:space="preserve"> </w:t>
      </w:r>
      <w:r w:rsidRPr="00596201">
        <w:rPr>
          <w:rFonts w:ascii="Garamond" w:eastAsiaTheme="minorHAnsi" w:hAnsi="Garamond" w:cs="Helvetica Neue"/>
          <w:color w:val="000000"/>
          <w:lang w:val="en-US" w:eastAsia="en-US"/>
          <w14:ligatures w14:val="standardContextual"/>
        </w:rPr>
        <w:t>Observed (1971-</w:t>
      </w:r>
      <w:proofErr w:type="gramStart"/>
      <w:r w:rsidRPr="00596201">
        <w:rPr>
          <w:rFonts w:ascii="Garamond" w:eastAsiaTheme="minorHAnsi" w:hAnsi="Garamond" w:cs="Helvetica Neue"/>
          <w:color w:val="000000"/>
          <w:lang w:val="en-US" w:eastAsia="en-US"/>
          <w14:ligatures w14:val="standardContextual"/>
        </w:rPr>
        <w:t>2017)</w:t>
      </w:r>
      <w:r w:rsidR="007F6D9D" w:rsidRPr="00596201">
        <w:rPr>
          <w:rFonts w:ascii="Garamond" w:eastAsiaTheme="minorHAnsi" w:hAnsi="Garamond" w:cs="Helvetica Neue"/>
          <w:color w:val="000000"/>
          <w:lang w:val="en-US" w:eastAsia="en-US"/>
          <w14:ligatures w14:val="standardContextual"/>
        </w:rPr>
        <w:t>*</w:t>
      </w:r>
      <w:proofErr w:type="gramEnd"/>
      <w:r w:rsidRPr="00596201">
        <w:rPr>
          <w:rFonts w:ascii="Garamond" w:eastAsiaTheme="minorHAnsi" w:hAnsi="Garamond" w:cs="Helvetica Neue"/>
          <w:color w:val="000000"/>
          <w:lang w:val="en-US" w:eastAsia="en-US"/>
          <w14:ligatures w14:val="standardContextual"/>
        </w:rPr>
        <w:t xml:space="preserve"> and expected*</w:t>
      </w:r>
      <w:r w:rsidR="00FF1FE3" w:rsidRPr="00596201">
        <w:rPr>
          <w:rFonts w:ascii="Garamond" w:eastAsiaTheme="minorHAnsi" w:hAnsi="Garamond" w:cs="Helvetica Neue"/>
          <w:color w:val="000000"/>
          <w:lang w:val="en-US" w:eastAsia="en-US"/>
          <w14:ligatures w14:val="standardContextual"/>
        </w:rPr>
        <w:t>*</w:t>
      </w:r>
      <w:r w:rsidRPr="00596201">
        <w:rPr>
          <w:rFonts w:ascii="Garamond" w:eastAsiaTheme="minorHAnsi" w:hAnsi="Garamond" w:cs="Helvetica Neue"/>
          <w:color w:val="000000"/>
          <w:lang w:val="en-US" w:eastAsia="en-US"/>
          <w14:ligatures w14:val="standardContextual"/>
        </w:rPr>
        <w:t xml:space="preserve"> (2011-2017) trends in remaining life expectancy at age 30 (e30), by sex, in England &amp; Wales. A) At the national level and B) by educational attainment group. </w:t>
      </w:r>
      <w:r w:rsidRPr="00596201">
        <w:rPr>
          <w:rFonts w:ascii="Garamond" w:eastAsiaTheme="minorHAnsi" w:hAnsi="Garamond" w:cs="Helvetica Neue"/>
          <w:i/>
          <w:iCs/>
          <w:color w:val="000000"/>
          <w:lang w:val="en-US" w:eastAsia="en-US"/>
          <w14:ligatures w14:val="standardContextual"/>
        </w:rPr>
        <w:t>The vertical dashed lines represent the start of the stagnation in e30.</w:t>
      </w:r>
    </w:p>
    <w:p w14:paraId="39D425F2" w14:textId="77777777" w:rsidR="00813744" w:rsidRPr="00596201" w:rsidRDefault="00813744" w:rsidP="00241E90">
      <w:pPr>
        <w:jc w:val="both"/>
        <w:rPr>
          <w:rFonts w:ascii="Garamond" w:hAnsi="Garamond"/>
          <w:lang w:val="en-US"/>
        </w:rPr>
      </w:pPr>
      <w:r w:rsidRPr="00596201">
        <w:rPr>
          <w:rFonts w:ascii="Garamond" w:hAnsi="Garamond"/>
          <w:noProof/>
          <w:lang w:val="en-US"/>
          <w14:ligatures w14:val="standardContextual"/>
        </w:rPr>
        <w:drawing>
          <wp:inline distT="0" distB="0" distL="0" distR="0" wp14:anchorId="595E429E" wp14:editId="102E93D3">
            <wp:extent cx="5612130" cy="5180330"/>
            <wp:effectExtent l="0" t="0" r="1270" b="1270"/>
            <wp:docPr id="34177838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78388" name="Imagen 34177838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2130" cy="5180330"/>
                    </a:xfrm>
                    <a:prstGeom prst="rect">
                      <a:avLst/>
                    </a:prstGeom>
                  </pic:spPr>
                </pic:pic>
              </a:graphicData>
            </a:graphic>
          </wp:inline>
        </w:drawing>
      </w:r>
    </w:p>
    <w:p w14:paraId="1AC08DB5" w14:textId="77777777" w:rsidR="00813744" w:rsidRPr="00596201" w:rsidRDefault="00813744" w:rsidP="003862AE">
      <w:pPr>
        <w:jc w:val="both"/>
        <w:rPr>
          <w:rFonts w:ascii="Garamond" w:hAnsi="Garamond"/>
          <w:lang w:val="en-US"/>
        </w:rPr>
      </w:pPr>
      <w:r w:rsidRPr="00596201">
        <w:rPr>
          <w:rFonts w:ascii="Garamond" w:eastAsiaTheme="minorHAnsi" w:hAnsi="Garamond" w:cs="Helvetica Neue"/>
          <w:color w:val="000000"/>
          <w:lang w:val="en-US" w:eastAsia="en-US"/>
          <w14:ligatures w14:val="standardContextual"/>
        </w:rPr>
        <w:t xml:space="preserve">* For middle-educated males and females, we obtained the expected e30 values based on the projection of mortality over the 1972-2000 period. We did this because the e30 values for the middle-educated in 2002-2010 were substantially lower than the historical trend, likely </w:t>
      </w:r>
      <w:proofErr w:type="gramStart"/>
      <w:r w:rsidRPr="00596201">
        <w:rPr>
          <w:rFonts w:ascii="Garamond" w:eastAsiaTheme="minorHAnsi" w:hAnsi="Garamond" w:cs="Helvetica Neue"/>
          <w:color w:val="000000"/>
          <w:lang w:val="en-US" w:eastAsia="en-US"/>
          <w14:ligatures w14:val="standardContextual"/>
        </w:rPr>
        <w:t>as a result of</w:t>
      </w:r>
      <w:proofErr w:type="gramEnd"/>
      <w:r w:rsidRPr="00596201">
        <w:rPr>
          <w:rFonts w:ascii="Garamond" w:eastAsiaTheme="minorHAnsi" w:hAnsi="Garamond" w:cs="Helvetica Neue"/>
          <w:color w:val="000000"/>
          <w:lang w:val="en-US" w:eastAsia="en-US"/>
          <w14:ligatures w14:val="standardContextual"/>
        </w:rPr>
        <w:t xml:space="preserve"> data issues in the 2001-2011 follow-up (see Janssen et al. 2024).   </w:t>
      </w:r>
    </w:p>
    <w:p w14:paraId="06FCF19B" w14:textId="295CE83C" w:rsidR="00FF1FE3" w:rsidRPr="00596201" w:rsidRDefault="00FF1FE3" w:rsidP="00FF1FE3">
      <w:pPr>
        <w:jc w:val="both"/>
        <w:rPr>
          <w:rFonts w:ascii="Garamond" w:hAnsi="Garamond"/>
          <w:lang w:val="en-GB"/>
        </w:rPr>
      </w:pPr>
      <w:r w:rsidRPr="00596201">
        <w:rPr>
          <w:rFonts w:ascii="Garamond" w:hAnsi="Garamond"/>
          <w:lang w:val="en-GB"/>
        </w:rPr>
        <w:t xml:space="preserve">** We used Lee-Carter model to obtain expected e30 trends based on the period 1990 to 2017. Only, for middle-educated males and females, we obtained the expected e30 values based on the projection of mortality over the 1972-2000 period. </w:t>
      </w:r>
    </w:p>
    <w:p w14:paraId="3F8E54F1" w14:textId="30CD7E62" w:rsidR="00813744" w:rsidRPr="00596201" w:rsidRDefault="00FF1FE3" w:rsidP="00FF1FE3">
      <w:pPr>
        <w:jc w:val="both"/>
        <w:rPr>
          <w:rFonts w:ascii="Garamond" w:hAnsi="Garamond"/>
          <w:lang w:val="en-GB"/>
        </w:rPr>
      </w:pPr>
      <w:r w:rsidRPr="00596201">
        <w:rPr>
          <w:rFonts w:ascii="Garamond" w:hAnsi="Garamond"/>
          <w:lang w:val="en-GB"/>
        </w:rPr>
        <w:t>Source data: ONS Longitudinal Study.</w:t>
      </w:r>
    </w:p>
    <w:p w14:paraId="33D38346" w14:textId="77777777" w:rsidR="004C6CE1" w:rsidRPr="00596201" w:rsidRDefault="004C6CE1" w:rsidP="00FF1FE3">
      <w:pPr>
        <w:jc w:val="both"/>
        <w:rPr>
          <w:rFonts w:ascii="Garamond" w:hAnsi="Garamond"/>
          <w:lang w:val="en-GB"/>
        </w:rPr>
      </w:pPr>
    </w:p>
    <w:p w14:paraId="248B70D5" w14:textId="14745FCB" w:rsidR="004C6CE1" w:rsidRPr="00596201" w:rsidRDefault="001F6725" w:rsidP="001F6725">
      <w:pPr>
        <w:rPr>
          <w:rFonts w:ascii="Garamond" w:hAnsi="Garamond"/>
          <w:lang w:val="en-GB"/>
        </w:rPr>
      </w:pPr>
      <w:r w:rsidRPr="00596201">
        <w:rPr>
          <w:rFonts w:ascii="Garamond" w:hAnsi="Garamond"/>
          <w:lang w:val="en-GB"/>
        </w:rPr>
        <w:br w:type="page"/>
      </w:r>
    </w:p>
    <w:p w14:paraId="174C6686" w14:textId="77777777" w:rsidR="00D901DA" w:rsidRPr="00596201" w:rsidRDefault="00D901DA" w:rsidP="00D901DA">
      <w:pPr>
        <w:pStyle w:val="Prrafodelista"/>
        <w:numPr>
          <w:ilvl w:val="0"/>
          <w:numId w:val="1"/>
        </w:numPr>
        <w:spacing w:line="360" w:lineRule="auto"/>
        <w:rPr>
          <w:rFonts w:ascii="Garamond" w:hAnsi="Garamond"/>
          <w:lang w:val="en-US"/>
        </w:rPr>
      </w:pPr>
      <w:r w:rsidRPr="00596201">
        <w:rPr>
          <w:rFonts w:ascii="Garamond" w:hAnsi="Garamond"/>
          <w:lang w:val="en-US"/>
        </w:rPr>
        <w:lastRenderedPageBreak/>
        <w:t>Decomposition method</w:t>
      </w:r>
    </w:p>
    <w:p w14:paraId="6905EF7B" w14:textId="77777777" w:rsidR="00D901DA" w:rsidRPr="00596201" w:rsidRDefault="00D901DA" w:rsidP="004C6CE1">
      <w:pPr>
        <w:spacing w:line="360" w:lineRule="auto"/>
        <w:jc w:val="both"/>
        <w:rPr>
          <w:rFonts w:ascii="Garamond" w:hAnsi="Garamond"/>
          <w:lang w:val="en-US"/>
        </w:rPr>
      </w:pPr>
    </w:p>
    <w:p w14:paraId="23C1227E" w14:textId="77777777" w:rsidR="00D901DA" w:rsidRPr="00596201" w:rsidRDefault="00D901DA" w:rsidP="004C6C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eastAsiaTheme="minorHAnsi" w:hAnsi="Garamond" w:cs="Helvetica Neue"/>
          <w:color w:val="000000"/>
          <w:lang w:val="en-US" w:eastAsia="en-US"/>
          <w14:ligatures w14:val="standardContextual"/>
        </w:rPr>
      </w:pPr>
      <w:r w:rsidRPr="00596201">
        <w:rPr>
          <w:rFonts w:ascii="Garamond" w:eastAsiaTheme="minorHAnsi" w:hAnsi="Garamond" w:cs="Helvetica Neue"/>
          <w:color w:val="000000"/>
          <w:lang w:val="en-US" w:eastAsia="en-US"/>
          <w14:ligatures w14:val="standardContextual"/>
        </w:rPr>
        <w:t xml:space="preserve">To assess the contribution of each educational group to the e30 stagnation, we decomposed, by sex, the difference between the observed and the expected changes in e30 over the 2011-2017 period. For this purpose, we extended the stepwise replacement decomposition method </w:t>
      </w:r>
      <w:r w:rsidRPr="00596201">
        <w:rPr>
          <w:rFonts w:ascii="Garamond" w:eastAsiaTheme="minorHAnsi" w:hAnsi="Garamond" w:cs="Helvetica Neue"/>
          <w:noProof/>
          <w:color w:val="000000"/>
          <w:lang w:val="en-US" w:eastAsia="en-US"/>
          <w14:ligatures w14:val="standardContextual"/>
        </w:rPr>
        <w:t>(Andreev et al., 2002)</w:t>
      </w:r>
      <w:r w:rsidRPr="00596201">
        <w:rPr>
          <w:rFonts w:ascii="Garamond" w:eastAsiaTheme="minorHAnsi" w:hAnsi="Garamond" w:cs="Helvetica Neue"/>
          <w:color w:val="000000"/>
          <w:lang w:val="en-US" w:eastAsia="en-US"/>
          <w14:ligatures w14:val="standardContextual"/>
        </w:rPr>
        <w:t xml:space="preserve"> and used the R package “</w:t>
      </w:r>
      <w:proofErr w:type="spellStart"/>
      <w:r w:rsidRPr="00596201">
        <w:rPr>
          <w:rFonts w:ascii="Garamond" w:eastAsiaTheme="minorHAnsi" w:hAnsi="Garamond" w:cs="Helvetica Neue"/>
          <w:i/>
          <w:iCs/>
          <w:color w:val="000000"/>
          <w:lang w:val="en-US" w:eastAsia="en-US"/>
          <w14:ligatures w14:val="standardContextual"/>
        </w:rPr>
        <w:t>DemoDecomp</w:t>
      </w:r>
      <w:proofErr w:type="spellEnd"/>
      <w:r w:rsidRPr="00596201">
        <w:rPr>
          <w:rFonts w:ascii="Garamond" w:eastAsiaTheme="minorHAnsi" w:hAnsi="Garamond" w:cs="Helvetica Neue"/>
          <w:color w:val="000000"/>
          <w:lang w:val="en-US" w:eastAsia="en-US"/>
          <w14:ligatures w14:val="standardContextual"/>
        </w:rPr>
        <w:t xml:space="preserve">” </w:t>
      </w:r>
      <w:r w:rsidRPr="00596201">
        <w:rPr>
          <w:rFonts w:ascii="Garamond" w:eastAsiaTheme="minorHAnsi" w:hAnsi="Garamond" w:cs="Helvetica Neue"/>
          <w:noProof/>
          <w:color w:val="000000"/>
          <w:lang w:val="en-US" w:eastAsia="en-US"/>
          <w14:ligatures w14:val="standardContextual"/>
        </w:rPr>
        <w:t>(Riffe, 2014)</w:t>
      </w:r>
      <w:r w:rsidRPr="00596201">
        <w:rPr>
          <w:rFonts w:ascii="Garamond" w:eastAsiaTheme="minorHAnsi" w:hAnsi="Garamond" w:cs="Helvetica Neue"/>
          <w:color w:val="000000"/>
          <w:lang w:val="en-US" w:eastAsia="en-US"/>
          <w14:ligatures w14:val="standardContextual"/>
        </w:rPr>
        <w:t>. Our extension of the stepwise replacement decomposition</w:t>
      </w:r>
      <w:r w:rsidRPr="00596201">
        <w:rPr>
          <w:rFonts w:ascii="Garamond" w:eastAsiaTheme="minorHAnsi" w:hAnsi="Garamond" w:cs="Helvetica Neue"/>
          <w:color w:val="000000" w:themeColor="text1"/>
          <w:lang w:val="en-US" w:eastAsia="en-US"/>
          <w14:ligatures w14:val="standardContextual"/>
        </w:rPr>
        <w:t xml:space="preserve"> method assumes that the stagnation in e30 is the net result of the expected and the observed trend and their underlying changes in the age-specific mortality rates by educational group, weighted by the changes in population composition.  </w:t>
      </w:r>
    </w:p>
    <w:p w14:paraId="11EA15AC" w14:textId="77777777" w:rsidR="00FF1FE3" w:rsidRPr="00596201" w:rsidRDefault="00FF1FE3" w:rsidP="00FF1FE3">
      <w:pPr>
        <w:spacing w:line="360" w:lineRule="auto"/>
        <w:jc w:val="both"/>
        <w:rPr>
          <w:rFonts w:ascii="Garamond" w:hAnsi="Garamond"/>
          <w:lang w:val="en-US"/>
        </w:rPr>
      </w:pPr>
    </w:p>
    <w:p w14:paraId="548A50BC" w14:textId="77777777" w:rsidR="00D901DA" w:rsidRPr="00596201" w:rsidRDefault="00D901DA" w:rsidP="00D901DA">
      <w:pPr>
        <w:pStyle w:val="Prrafodelista"/>
        <w:numPr>
          <w:ilvl w:val="0"/>
          <w:numId w:val="2"/>
        </w:numPr>
        <w:jc w:val="both"/>
        <w:rPr>
          <w:rFonts w:ascii="Garamond" w:hAnsi="Garamond"/>
          <w:lang w:val="en-US"/>
        </w:rPr>
      </w:pPr>
      <w:r w:rsidRPr="00596201">
        <w:rPr>
          <w:rFonts w:ascii="Garamond" w:hAnsi="Garamond"/>
          <w:lang w:val="en-US"/>
        </w:rPr>
        <w:t>Assessing the contribution of increasing educational inequalities to e30 stagnation</w:t>
      </w:r>
    </w:p>
    <w:p w14:paraId="594814A3" w14:textId="77777777" w:rsidR="00D901DA" w:rsidRPr="00596201" w:rsidRDefault="00D901DA" w:rsidP="00D901DA">
      <w:pPr>
        <w:ind w:left="709" w:hanging="709"/>
        <w:jc w:val="both"/>
        <w:rPr>
          <w:rFonts w:ascii="Garamond" w:hAnsi="Garamond"/>
          <w:lang w:val="en-US"/>
        </w:rPr>
      </w:pPr>
    </w:p>
    <w:p w14:paraId="3D4C90F9" w14:textId="0E0AB51D" w:rsidR="00D901DA" w:rsidRPr="00596201" w:rsidRDefault="00D901DA" w:rsidP="00D901DA">
      <w:pPr>
        <w:spacing w:line="360" w:lineRule="auto"/>
        <w:jc w:val="both"/>
        <w:rPr>
          <w:rFonts w:ascii="Garamond" w:hAnsi="Garamond"/>
          <w:lang w:val="en-US"/>
        </w:rPr>
      </w:pPr>
      <w:r w:rsidRPr="00596201">
        <w:rPr>
          <w:rFonts w:ascii="Garamond" w:hAnsi="Garamond"/>
          <w:lang w:val="en-US"/>
        </w:rPr>
        <w:t>In an additional analysis</w:t>
      </w:r>
      <w:r w:rsidR="00B13EC5" w:rsidRPr="00596201">
        <w:rPr>
          <w:rFonts w:ascii="Garamond" w:hAnsi="Garamond"/>
          <w:lang w:val="en-US"/>
        </w:rPr>
        <w:t>,</w:t>
      </w:r>
      <w:r w:rsidRPr="00596201">
        <w:rPr>
          <w:rFonts w:ascii="Garamond" w:hAnsi="Garamond"/>
          <w:lang w:val="en-US"/>
        </w:rPr>
        <w:t xml:space="preserve"> we assessed the contribution of educational inequalities in remaining life expectancy at age 30 (e30) to the overall national life expectancy stagnation in e30. We did so by comparing the observed stagnation with the stagnation </w:t>
      </w:r>
      <w:bookmarkStart w:id="0" w:name="_Hlk195514463"/>
      <w:r w:rsidRPr="00596201">
        <w:rPr>
          <w:rFonts w:ascii="Garamond" w:hAnsi="Garamond"/>
          <w:lang w:val="en-US"/>
        </w:rPr>
        <w:t xml:space="preserve">if educational inequalities in e30 during 2011-2017 would have remained constant at the average level for 2000-2010. </w:t>
      </w:r>
      <w:bookmarkEnd w:id="0"/>
    </w:p>
    <w:p w14:paraId="3D627F8B" w14:textId="723210B2" w:rsidR="00D901DA" w:rsidRPr="00596201" w:rsidRDefault="00D901DA" w:rsidP="00D901DA">
      <w:pPr>
        <w:spacing w:line="360" w:lineRule="auto"/>
        <w:ind w:firstLine="708"/>
        <w:jc w:val="both"/>
        <w:rPr>
          <w:rFonts w:ascii="Garamond" w:hAnsi="Garamond"/>
          <w:lang w:val="en-US"/>
        </w:rPr>
      </w:pPr>
      <w:r w:rsidRPr="00596201">
        <w:rPr>
          <w:rFonts w:ascii="Garamond" w:hAnsi="Garamond"/>
          <w:lang w:val="en-US"/>
        </w:rPr>
        <w:t>First, we computed the absolute educational inequalities in e30 between the high-educated and low-educated and between the high</w:t>
      </w:r>
      <w:r w:rsidR="00B13EC5" w:rsidRPr="00596201">
        <w:rPr>
          <w:rFonts w:ascii="Garamond" w:hAnsi="Garamond"/>
          <w:lang w:val="en-US"/>
        </w:rPr>
        <w:t>-</w:t>
      </w:r>
      <w:r w:rsidRPr="00596201">
        <w:rPr>
          <w:rFonts w:ascii="Garamond" w:hAnsi="Garamond"/>
          <w:lang w:val="en-US"/>
        </w:rPr>
        <w:t xml:space="preserve">educated and the middle-educated by year (2000-2017) and sex. </w:t>
      </w:r>
    </w:p>
    <w:p w14:paraId="06C3BE3B" w14:textId="09745A56" w:rsidR="00D901DA" w:rsidRPr="00596201" w:rsidRDefault="00D901DA" w:rsidP="00D901DA">
      <w:pPr>
        <w:spacing w:line="360" w:lineRule="auto"/>
        <w:ind w:firstLine="708"/>
        <w:jc w:val="both"/>
        <w:rPr>
          <w:rFonts w:ascii="Garamond" w:hAnsi="Garamond"/>
          <w:lang w:val="en-US"/>
        </w:rPr>
      </w:pPr>
      <w:r w:rsidRPr="00596201">
        <w:rPr>
          <w:rFonts w:ascii="Garamond" w:hAnsi="Garamond"/>
          <w:lang w:val="en-US"/>
        </w:rPr>
        <w:t>Second, we computed the average level of educational inequalities in e30 in the period 2000-2011 by sex. The average level of educational inequalities between high and low</w:t>
      </w:r>
      <w:r w:rsidR="00B13EC5" w:rsidRPr="00596201">
        <w:rPr>
          <w:rFonts w:ascii="Garamond" w:hAnsi="Garamond"/>
          <w:lang w:val="en-US"/>
        </w:rPr>
        <w:t>-</w:t>
      </w:r>
      <w:r w:rsidRPr="00596201">
        <w:rPr>
          <w:rFonts w:ascii="Garamond" w:hAnsi="Garamond"/>
          <w:lang w:val="en-US"/>
        </w:rPr>
        <w:t>educated was 4.63 years for males and 3.66 years for females, while the average level of educational inequalities between high and middle</w:t>
      </w:r>
      <w:r w:rsidR="00B13EC5" w:rsidRPr="00596201">
        <w:rPr>
          <w:rFonts w:ascii="Garamond" w:hAnsi="Garamond"/>
          <w:lang w:val="en-US"/>
        </w:rPr>
        <w:t>-</w:t>
      </w:r>
      <w:r w:rsidRPr="00596201">
        <w:rPr>
          <w:rFonts w:ascii="Garamond" w:hAnsi="Garamond"/>
          <w:lang w:val="en-US"/>
        </w:rPr>
        <w:t xml:space="preserve">educated was 1.54 years for males and 0.73 years for females. </w:t>
      </w:r>
    </w:p>
    <w:p w14:paraId="1E65A2E5" w14:textId="392E24E3" w:rsidR="00D901DA" w:rsidRPr="00596201" w:rsidRDefault="00D901DA" w:rsidP="00D901DA">
      <w:pPr>
        <w:spacing w:line="360" w:lineRule="auto"/>
        <w:jc w:val="both"/>
        <w:rPr>
          <w:rFonts w:ascii="Garamond" w:hAnsi="Garamond"/>
          <w:lang w:val="en-US"/>
        </w:rPr>
      </w:pPr>
      <w:r w:rsidRPr="00596201">
        <w:rPr>
          <w:rFonts w:ascii="Garamond" w:hAnsi="Garamond"/>
          <w:lang w:val="en-US"/>
        </w:rPr>
        <w:tab/>
        <w:t>Third, we estimated the e30 levels for the low and middle-educated for the period 2011-2017 assuming constant educational inequalities in e30, by applying the abovementioned average inequality levels to the e30 values for the high</w:t>
      </w:r>
      <w:r w:rsidR="00B13EC5" w:rsidRPr="00596201">
        <w:rPr>
          <w:rFonts w:ascii="Garamond" w:hAnsi="Garamond"/>
          <w:lang w:val="en-US"/>
        </w:rPr>
        <w:t>-</w:t>
      </w:r>
      <w:r w:rsidRPr="00596201">
        <w:rPr>
          <w:rFonts w:ascii="Garamond" w:hAnsi="Garamond"/>
          <w:lang w:val="en-US"/>
        </w:rPr>
        <w:t xml:space="preserve">educated for the years 2011-2017. </w:t>
      </w:r>
    </w:p>
    <w:p w14:paraId="3C26ED47" w14:textId="460A4C6F" w:rsidR="00D901DA" w:rsidRPr="00596201" w:rsidRDefault="00FD2891" w:rsidP="00D901DA">
      <w:pPr>
        <w:spacing w:line="360" w:lineRule="auto"/>
        <w:jc w:val="both"/>
        <w:rPr>
          <w:rFonts w:ascii="Garamond" w:hAnsi="Garamond"/>
          <w:lang w:val="en-US"/>
        </w:rPr>
      </w:pPr>
      <w:r w:rsidRPr="00596201">
        <w:rPr>
          <w:rFonts w:ascii="Garamond" w:hAnsi="Garamond"/>
          <w:lang w:val="en-US"/>
        </w:rPr>
        <w:tab/>
      </w:r>
      <w:r w:rsidR="00B13EC5" w:rsidRPr="00596201">
        <w:rPr>
          <w:rFonts w:ascii="Garamond" w:hAnsi="Garamond"/>
          <w:lang w:val="en-US"/>
        </w:rPr>
        <w:t>For the result</w:t>
      </w:r>
      <w:r w:rsidR="00111EA5" w:rsidRPr="00596201">
        <w:rPr>
          <w:rFonts w:ascii="Garamond" w:hAnsi="Garamond"/>
          <w:lang w:val="en-US"/>
        </w:rPr>
        <w:t>s</w:t>
      </w:r>
      <w:r w:rsidR="00B13EC5" w:rsidRPr="00596201">
        <w:rPr>
          <w:rFonts w:ascii="Garamond" w:hAnsi="Garamond"/>
          <w:lang w:val="en-US"/>
        </w:rPr>
        <w:t xml:space="preserve"> section, w</w:t>
      </w:r>
      <w:r w:rsidR="00783F93" w:rsidRPr="00596201">
        <w:rPr>
          <w:rFonts w:ascii="Garamond" w:hAnsi="Garamond"/>
          <w:lang w:val="en-US"/>
        </w:rPr>
        <w:t>e</w:t>
      </w:r>
      <w:r w:rsidR="00D901DA" w:rsidRPr="00596201">
        <w:rPr>
          <w:rFonts w:ascii="Garamond" w:hAnsi="Garamond"/>
          <w:lang w:val="en-US"/>
        </w:rPr>
        <w:t xml:space="preserve"> used the </w:t>
      </w:r>
      <w:r w:rsidR="009435DA" w:rsidRPr="00596201">
        <w:rPr>
          <w:rFonts w:ascii="Garamond" w:hAnsi="Garamond"/>
          <w:lang w:val="en-US"/>
        </w:rPr>
        <w:t>observed</w:t>
      </w:r>
      <w:r w:rsidR="00D901DA" w:rsidRPr="00596201">
        <w:rPr>
          <w:rFonts w:ascii="Garamond" w:hAnsi="Garamond"/>
          <w:lang w:val="en-US"/>
        </w:rPr>
        <w:t xml:space="preserve"> e30 for high educat</w:t>
      </w:r>
      <w:r w:rsidR="00B13EC5" w:rsidRPr="00596201">
        <w:rPr>
          <w:rFonts w:ascii="Garamond" w:hAnsi="Garamond"/>
          <w:lang w:val="en-US"/>
        </w:rPr>
        <w:t>ion</w:t>
      </w:r>
      <w:r w:rsidR="00D901DA" w:rsidRPr="00596201">
        <w:rPr>
          <w:rFonts w:ascii="Garamond" w:hAnsi="Garamond"/>
          <w:lang w:val="en-US"/>
        </w:rPr>
        <w:t xml:space="preserve"> because </w:t>
      </w:r>
      <w:r w:rsidR="00783F93" w:rsidRPr="00596201">
        <w:rPr>
          <w:rFonts w:ascii="Garamond" w:hAnsi="Garamond"/>
          <w:lang w:val="en-US"/>
        </w:rPr>
        <w:t xml:space="preserve">it </w:t>
      </w:r>
      <w:r w:rsidR="00B13EC5" w:rsidRPr="00596201">
        <w:rPr>
          <w:rFonts w:ascii="Garamond" w:hAnsi="Garamond"/>
          <w:lang w:val="en-US"/>
        </w:rPr>
        <w:t>captures</w:t>
      </w:r>
      <w:r w:rsidR="00783F93" w:rsidRPr="00596201">
        <w:rPr>
          <w:rFonts w:ascii="Garamond" w:hAnsi="Garamond"/>
          <w:lang w:val="en-US"/>
        </w:rPr>
        <w:t xml:space="preserve"> the impact of the observed inequalities on the e30 stagnation</w:t>
      </w:r>
      <w:r w:rsidR="00A37709">
        <w:rPr>
          <w:rFonts w:ascii="Garamond" w:hAnsi="Garamond"/>
          <w:lang w:val="en-US"/>
        </w:rPr>
        <w:t>, see</w:t>
      </w:r>
      <w:r w:rsidRPr="00596201">
        <w:rPr>
          <w:rFonts w:ascii="Garamond" w:hAnsi="Garamond"/>
          <w:lang w:val="en-US"/>
        </w:rPr>
        <w:t xml:space="preserve"> </w:t>
      </w:r>
      <w:r w:rsidRPr="00596201">
        <w:rPr>
          <w:rFonts w:ascii="Garamond" w:hAnsi="Garamond"/>
          <w:color w:val="215E99" w:themeColor="text2" w:themeTint="BF"/>
          <w:lang w:val="en-US"/>
        </w:rPr>
        <w:t>Table S</w:t>
      </w:r>
      <w:r w:rsidR="00D2214F">
        <w:rPr>
          <w:rFonts w:ascii="Garamond" w:hAnsi="Garamond"/>
          <w:color w:val="215E99" w:themeColor="text2" w:themeTint="BF"/>
          <w:lang w:val="en-US"/>
        </w:rPr>
        <w:t>1</w:t>
      </w:r>
      <w:r w:rsidRPr="00596201">
        <w:rPr>
          <w:rFonts w:ascii="Garamond" w:hAnsi="Garamond"/>
          <w:color w:val="215E99" w:themeColor="text2" w:themeTint="BF"/>
          <w:lang w:val="en-US"/>
        </w:rPr>
        <w:t xml:space="preserve"> </w:t>
      </w:r>
      <w:r w:rsidRPr="00596201">
        <w:rPr>
          <w:rFonts w:ascii="Garamond" w:hAnsi="Garamond"/>
          <w:lang w:val="en-US"/>
        </w:rPr>
        <w:t xml:space="preserve">in the </w:t>
      </w:r>
      <w:r w:rsidRPr="00596201">
        <w:rPr>
          <w:rFonts w:ascii="Garamond" w:hAnsi="Garamond"/>
          <w:color w:val="215E99" w:themeColor="text2" w:themeTint="BF"/>
          <w:lang w:val="en-US"/>
        </w:rPr>
        <w:t xml:space="preserve">Supplementary File </w:t>
      </w:r>
      <w:r w:rsidR="00303E22">
        <w:rPr>
          <w:rFonts w:ascii="Garamond" w:hAnsi="Garamond"/>
          <w:color w:val="215E99" w:themeColor="text2" w:themeTint="BF"/>
          <w:lang w:val="en-US"/>
        </w:rPr>
        <w:t>2</w:t>
      </w:r>
      <w:r w:rsidRPr="00596201">
        <w:rPr>
          <w:rFonts w:ascii="Garamond" w:hAnsi="Garamond"/>
          <w:lang w:val="en-US"/>
        </w:rPr>
        <w:t xml:space="preserve">. </w:t>
      </w:r>
    </w:p>
    <w:p w14:paraId="3C699E93" w14:textId="77777777" w:rsidR="00D901DA" w:rsidRPr="00596201" w:rsidRDefault="00D901DA" w:rsidP="00D901DA">
      <w:pPr>
        <w:spacing w:line="360" w:lineRule="auto"/>
        <w:ind w:firstLine="360"/>
        <w:jc w:val="both"/>
        <w:rPr>
          <w:rFonts w:ascii="Garamond" w:hAnsi="Garamond"/>
          <w:lang w:val="en-US"/>
        </w:rPr>
      </w:pPr>
      <w:r w:rsidRPr="00596201">
        <w:rPr>
          <w:rFonts w:ascii="Garamond" w:hAnsi="Garamond"/>
          <w:lang w:val="en-US"/>
        </w:rPr>
        <w:t xml:space="preserve">Fourth, taking the weighted average of the obtained e30 levels by educational level from the previous step, we obtained an approximation of the new national e30. </w:t>
      </w:r>
    </w:p>
    <w:p w14:paraId="3AF548D1" w14:textId="02D4DD22" w:rsidR="00D901DA" w:rsidRPr="00596201" w:rsidRDefault="00D901DA" w:rsidP="00D901DA">
      <w:pPr>
        <w:spacing w:line="360" w:lineRule="auto"/>
        <w:ind w:firstLine="360"/>
        <w:jc w:val="both"/>
        <w:rPr>
          <w:rFonts w:ascii="Garamond" w:hAnsi="Garamond"/>
          <w:lang w:val="en-US"/>
        </w:rPr>
      </w:pPr>
      <w:r w:rsidRPr="00596201">
        <w:rPr>
          <w:rFonts w:ascii="Garamond" w:hAnsi="Garamond"/>
          <w:lang w:val="en-US"/>
        </w:rPr>
        <w:lastRenderedPageBreak/>
        <w:t>Fifth, we compared the observed stagnation (expected minus observed change in e30 in 2011-2017) with the stagnation under constant inequalities (</w:t>
      </w:r>
      <w:r w:rsidR="00417D93">
        <w:rPr>
          <w:rFonts w:ascii="Garamond" w:hAnsi="Garamond"/>
          <w:lang w:val="en-US"/>
        </w:rPr>
        <w:t xml:space="preserve">expected </w:t>
      </w:r>
      <w:r w:rsidRPr="00596201">
        <w:rPr>
          <w:rFonts w:ascii="Garamond" w:hAnsi="Garamond"/>
          <w:lang w:val="en-US"/>
        </w:rPr>
        <w:t xml:space="preserve">change in e30 </w:t>
      </w:r>
      <w:r w:rsidR="00417D93">
        <w:rPr>
          <w:rFonts w:ascii="Garamond" w:hAnsi="Garamond"/>
          <w:lang w:val="en-US"/>
        </w:rPr>
        <w:t xml:space="preserve">minus change in e30 </w:t>
      </w:r>
      <w:r w:rsidRPr="00596201">
        <w:rPr>
          <w:rFonts w:ascii="Garamond" w:hAnsi="Garamond"/>
          <w:lang w:val="en-US"/>
        </w:rPr>
        <w:t xml:space="preserve">assuming constant inequality). </w:t>
      </w:r>
    </w:p>
    <w:p w14:paraId="15155E56" w14:textId="3B340E02" w:rsidR="00417D93" w:rsidRPr="00596201" w:rsidRDefault="00D901DA" w:rsidP="004C6CE1">
      <w:pPr>
        <w:spacing w:line="360" w:lineRule="auto"/>
        <w:ind w:firstLine="360"/>
        <w:jc w:val="both"/>
        <w:rPr>
          <w:rFonts w:ascii="Garamond" w:hAnsi="Garamond"/>
          <w:lang w:val="en-US"/>
        </w:rPr>
      </w:pPr>
      <w:r w:rsidRPr="00596201">
        <w:rPr>
          <w:rFonts w:ascii="Garamond" w:hAnsi="Garamond"/>
          <w:lang w:val="en-US"/>
        </w:rPr>
        <w:t xml:space="preserve">Finally, we obtained an approximation of the contribution of educational inequalities in e30 to the overall national life expectancy stagnation in e30, by dividing the </w:t>
      </w:r>
      <w:r w:rsidR="00417D93">
        <w:rPr>
          <w:rFonts w:ascii="Garamond" w:hAnsi="Garamond"/>
          <w:lang w:val="en-US"/>
        </w:rPr>
        <w:t xml:space="preserve">observed </w:t>
      </w:r>
      <w:r w:rsidRPr="00596201">
        <w:rPr>
          <w:rFonts w:ascii="Garamond" w:hAnsi="Garamond"/>
          <w:lang w:val="en-US"/>
        </w:rPr>
        <w:t>stagnation</w:t>
      </w:r>
      <w:r w:rsidR="00417D93">
        <w:rPr>
          <w:rFonts w:ascii="Garamond" w:hAnsi="Garamond"/>
          <w:lang w:val="en-US"/>
        </w:rPr>
        <w:t xml:space="preserve"> minus the stagnation</w:t>
      </w:r>
      <w:r w:rsidRPr="00596201">
        <w:rPr>
          <w:rFonts w:ascii="Garamond" w:hAnsi="Garamond"/>
          <w:lang w:val="en-US"/>
        </w:rPr>
        <w:t xml:space="preserve"> under constant inequalities</w:t>
      </w:r>
      <w:r w:rsidR="00417D93">
        <w:rPr>
          <w:rFonts w:ascii="Garamond" w:hAnsi="Garamond"/>
          <w:lang w:val="en-US"/>
        </w:rPr>
        <w:t>,</w:t>
      </w:r>
      <w:r w:rsidRPr="00596201">
        <w:rPr>
          <w:rFonts w:ascii="Garamond" w:hAnsi="Garamond"/>
          <w:lang w:val="en-US"/>
        </w:rPr>
        <w:t xml:space="preserve"> with the observed stagnation.</w:t>
      </w:r>
    </w:p>
    <w:p w14:paraId="266DFD51" w14:textId="77777777" w:rsidR="00813744" w:rsidRPr="00596201" w:rsidRDefault="00813744" w:rsidP="00241E90">
      <w:pPr>
        <w:spacing w:line="360" w:lineRule="auto"/>
        <w:jc w:val="both"/>
        <w:rPr>
          <w:rFonts w:ascii="Garamond" w:hAnsi="Garamond"/>
          <w:lang w:val="en-US"/>
        </w:rPr>
      </w:pPr>
    </w:p>
    <w:p w14:paraId="649BD2A2" w14:textId="5D71C8FD" w:rsidR="00813744" w:rsidRPr="00596201" w:rsidRDefault="00813744" w:rsidP="00241E90">
      <w:pPr>
        <w:pStyle w:val="Prrafodelista"/>
        <w:numPr>
          <w:ilvl w:val="0"/>
          <w:numId w:val="1"/>
        </w:numPr>
        <w:spacing w:line="360" w:lineRule="auto"/>
        <w:rPr>
          <w:rFonts w:ascii="Garamond" w:hAnsi="Garamond"/>
          <w:lang w:val="en-US"/>
        </w:rPr>
      </w:pPr>
      <w:r w:rsidRPr="00596201">
        <w:rPr>
          <w:rFonts w:ascii="Garamond" w:hAnsi="Garamond"/>
          <w:lang w:val="en-US"/>
        </w:rPr>
        <w:t xml:space="preserve">Sensitivity analysis </w:t>
      </w:r>
      <w:r w:rsidR="00EB5232" w:rsidRPr="00596201">
        <w:rPr>
          <w:rFonts w:ascii="Garamond" w:hAnsi="Garamond"/>
          <w:lang w:val="en-US"/>
        </w:rPr>
        <w:t xml:space="preserve">regarding the obtainment of expected </w:t>
      </w:r>
      <w:r w:rsidRPr="00596201">
        <w:rPr>
          <w:rFonts w:ascii="Garamond" w:hAnsi="Garamond"/>
          <w:lang w:val="en-US"/>
        </w:rPr>
        <w:t>e30</w:t>
      </w:r>
    </w:p>
    <w:p w14:paraId="48EC7242" w14:textId="77777777" w:rsidR="00813744" w:rsidRPr="00596201" w:rsidRDefault="00813744" w:rsidP="00241E90">
      <w:pPr>
        <w:spacing w:line="360" w:lineRule="auto"/>
        <w:jc w:val="both"/>
        <w:rPr>
          <w:rFonts w:ascii="Garamond" w:hAnsi="Garamond"/>
          <w:lang w:val="en-US"/>
        </w:rPr>
      </w:pPr>
    </w:p>
    <w:p w14:paraId="31E82CE9" w14:textId="4C1A4B6B" w:rsidR="00813744" w:rsidRPr="00596201" w:rsidRDefault="00813744" w:rsidP="00241E90">
      <w:pPr>
        <w:spacing w:line="360" w:lineRule="auto"/>
        <w:jc w:val="both"/>
        <w:rPr>
          <w:rFonts w:ascii="Garamond" w:hAnsi="Garamond"/>
          <w:lang w:val="en-US"/>
        </w:rPr>
      </w:pPr>
      <w:r w:rsidRPr="00596201">
        <w:rPr>
          <w:rFonts w:ascii="Garamond" w:hAnsi="Garamond"/>
          <w:lang w:val="en-US"/>
        </w:rPr>
        <w:t xml:space="preserve">To add robustness to our decisions regarding the selected years and the impact of using similar years throughout our main results, we performed a sensitivity analysis that used for all populations 1972-2011 as the historical time series and 2012-2017 as the projection horizon to obtain expected e30. </w:t>
      </w:r>
    </w:p>
    <w:p w14:paraId="6B665FA5" w14:textId="49433F04" w:rsidR="000F75DE" w:rsidRPr="00596201" w:rsidRDefault="000F75DE" w:rsidP="004C6CE1">
      <w:pPr>
        <w:spacing w:line="360" w:lineRule="auto"/>
        <w:ind w:firstLine="708"/>
        <w:jc w:val="both"/>
        <w:rPr>
          <w:rFonts w:ascii="Garamond" w:hAnsi="Garamond"/>
          <w:lang w:val="en-US"/>
        </w:rPr>
      </w:pPr>
      <w:r w:rsidRPr="00193450">
        <w:rPr>
          <w:rFonts w:ascii="Garamond" w:hAnsi="Garamond"/>
          <w:color w:val="215E99" w:themeColor="text2" w:themeTint="BF"/>
          <w:lang w:val="en-US"/>
        </w:rPr>
        <w:t xml:space="preserve">Figure </w:t>
      </w:r>
      <w:r w:rsidR="001E5E77" w:rsidRPr="00193450">
        <w:rPr>
          <w:rFonts w:ascii="Garamond" w:hAnsi="Garamond"/>
          <w:color w:val="215E99" w:themeColor="text2" w:themeTint="BF"/>
          <w:lang w:val="en-US"/>
        </w:rPr>
        <w:t>S</w:t>
      </w:r>
      <w:r w:rsidR="00193450" w:rsidRPr="00193450">
        <w:rPr>
          <w:rFonts w:ascii="Garamond" w:hAnsi="Garamond"/>
          <w:color w:val="215E99" w:themeColor="text2" w:themeTint="BF"/>
          <w:lang w:val="en-US"/>
        </w:rPr>
        <w:t>5</w:t>
      </w:r>
      <w:r w:rsidRPr="00193450">
        <w:rPr>
          <w:rFonts w:ascii="Garamond" w:hAnsi="Garamond"/>
          <w:color w:val="215E99" w:themeColor="text2" w:themeTint="BF"/>
          <w:lang w:val="en-US"/>
        </w:rPr>
        <w:t xml:space="preserve"> </w:t>
      </w:r>
      <w:r w:rsidRPr="00193450">
        <w:rPr>
          <w:rFonts w:ascii="Garamond" w:hAnsi="Garamond"/>
          <w:color w:val="212121"/>
          <w:lang w:val="en-US"/>
        </w:rPr>
        <w:t>shows the time trends in observed and expected e30 trends by the period of reference used for the forecast (2011-2017), we observed that at the national level, as expected the differences increased over time, but still the relative differences between the expected e30 using the long trends or the shorts is less than 1% (</w:t>
      </w:r>
      <w:r w:rsidRPr="00193450">
        <w:rPr>
          <w:rFonts w:ascii="Garamond" w:hAnsi="Garamond"/>
          <w:color w:val="215E99" w:themeColor="text2" w:themeTint="BF"/>
          <w:lang w:val="en-US"/>
        </w:rPr>
        <w:t xml:space="preserve">See Supplementary Figure </w:t>
      </w:r>
      <w:r w:rsidR="00193450" w:rsidRPr="00193450">
        <w:rPr>
          <w:rFonts w:ascii="Garamond" w:hAnsi="Garamond"/>
          <w:color w:val="215E99" w:themeColor="text2" w:themeTint="BF"/>
          <w:lang w:val="en-US"/>
        </w:rPr>
        <w:t>S5</w:t>
      </w:r>
      <w:r w:rsidRPr="00193450">
        <w:rPr>
          <w:rFonts w:ascii="Garamond" w:hAnsi="Garamond"/>
          <w:color w:val="212121"/>
          <w:lang w:val="en-US"/>
        </w:rPr>
        <w:t>). The results by educational attainment groups portray mixed results. For low-educated groups, for males, we observed large differences, but that is because of the differences in the year of the start of the forecasting, while for females we observed very small differences. For middle-educated males, we do not observe differences, while for middle-educated females the long-term trends would lead to a higher e30. For high-educated groups, for males, the short series led to a higher e30, but the differences with the expected e30 using the long-term series is 0.03%, while for females, we observed the largest difference 1%, and the short-series estimate a higher e30.</w:t>
      </w:r>
    </w:p>
    <w:p w14:paraId="74BDE95B" w14:textId="56AA94D8" w:rsidR="00813744" w:rsidRPr="00596201" w:rsidRDefault="000F75DE" w:rsidP="00241E90">
      <w:pPr>
        <w:spacing w:line="360" w:lineRule="auto"/>
        <w:jc w:val="both"/>
        <w:rPr>
          <w:rFonts w:ascii="Garamond" w:hAnsi="Garamond"/>
          <w:lang w:val="en-US"/>
        </w:rPr>
      </w:pPr>
      <w:r w:rsidRPr="00596201">
        <w:rPr>
          <w:rFonts w:ascii="Garamond" w:hAnsi="Garamond"/>
          <w:lang w:val="en-US"/>
        </w:rPr>
        <w:tab/>
      </w:r>
      <w:r w:rsidR="00813744" w:rsidRPr="00596201">
        <w:rPr>
          <w:rFonts w:ascii="Garamond" w:hAnsi="Garamond"/>
          <w:lang w:val="en-US"/>
        </w:rPr>
        <w:t xml:space="preserve">In this sensitivity analysis, we estimated a stagnation of e30 at the national level of 1.02 years (males) and 0.79 years (females) – that is, 0.30 years (males) and 0.35 years (females) less than in the main analysis – and a pattern </w:t>
      </w:r>
      <w:proofErr w:type="gramStart"/>
      <w:r w:rsidR="00813744" w:rsidRPr="00596201">
        <w:rPr>
          <w:rFonts w:ascii="Garamond" w:hAnsi="Garamond"/>
          <w:lang w:val="en-US"/>
        </w:rPr>
        <w:t>similar to</w:t>
      </w:r>
      <w:proofErr w:type="gramEnd"/>
      <w:r w:rsidR="00813744" w:rsidRPr="00596201">
        <w:rPr>
          <w:rFonts w:ascii="Garamond" w:hAnsi="Garamond"/>
          <w:lang w:val="en-US"/>
        </w:rPr>
        <w:t xml:space="preserve"> that in the main analysis for the contribution of education to e30 stagnation. Looking at trends by educational group, we observed that the level of stagnation was high among low-educated females, while it was lower among other low-educated groups (</w:t>
      </w:r>
      <w:r w:rsidR="00813744" w:rsidRPr="00596201">
        <w:rPr>
          <w:rFonts w:ascii="Garamond" w:hAnsi="Garamond"/>
          <w:color w:val="215E99" w:themeColor="text2" w:themeTint="BF"/>
          <w:lang w:val="en-US"/>
        </w:rPr>
        <w:t xml:space="preserve">See Figure </w:t>
      </w:r>
      <w:r w:rsidR="001E5E77" w:rsidRPr="00596201">
        <w:rPr>
          <w:rFonts w:ascii="Garamond" w:hAnsi="Garamond"/>
          <w:color w:val="215E99" w:themeColor="text2" w:themeTint="BF"/>
          <w:lang w:val="en-US"/>
        </w:rPr>
        <w:t>S</w:t>
      </w:r>
      <w:r w:rsidR="005C7FB3">
        <w:rPr>
          <w:rFonts w:ascii="Garamond" w:hAnsi="Garamond"/>
          <w:color w:val="215E99" w:themeColor="text2" w:themeTint="BF"/>
          <w:lang w:val="en-US"/>
        </w:rPr>
        <w:t>6</w:t>
      </w:r>
      <w:r w:rsidR="00813744" w:rsidRPr="00596201">
        <w:rPr>
          <w:rFonts w:ascii="Garamond" w:hAnsi="Garamond"/>
          <w:lang w:val="en-US"/>
        </w:rPr>
        <w:t xml:space="preserve">). That is because we started the </w:t>
      </w:r>
      <w:r w:rsidR="00813744" w:rsidRPr="005C7FB3">
        <w:rPr>
          <w:rFonts w:ascii="Garamond" w:hAnsi="Garamond"/>
          <w:color w:val="000000" w:themeColor="text1"/>
          <w:lang w:val="en-US"/>
        </w:rPr>
        <w:t xml:space="preserve">forecast in </w:t>
      </w:r>
      <w:r w:rsidR="001E5E77" w:rsidRPr="005C7FB3">
        <w:rPr>
          <w:rFonts w:ascii="Garamond" w:hAnsi="Garamond"/>
          <w:color w:val="000000" w:themeColor="text1"/>
          <w:lang w:val="en-US"/>
        </w:rPr>
        <w:t>2011</w:t>
      </w:r>
      <w:r w:rsidR="00813744" w:rsidRPr="005C7FB3">
        <w:rPr>
          <w:rFonts w:ascii="Garamond" w:hAnsi="Garamond"/>
          <w:color w:val="000000" w:themeColor="text1"/>
          <w:lang w:val="en-US"/>
        </w:rPr>
        <w:t xml:space="preserve"> in the </w:t>
      </w:r>
      <w:r w:rsidR="00813744" w:rsidRPr="00596201">
        <w:rPr>
          <w:rFonts w:ascii="Garamond" w:hAnsi="Garamond"/>
          <w:lang w:val="en-US"/>
        </w:rPr>
        <w:t xml:space="preserve">main analysis, as we observed an early year of stagnation among low-educated groups. </w:t>
      </w:r>
    </w:p>
    <w:p w14:paraId="34AE4377" w14:textId="7F232A53" w:rsidR="00813744" w:rsidRPr="00596201" w:rsidRDefault="00813744" w:rsidP="00241E90">
      <w:pPr>
        <w:spacing w:line="360" w:lineRule="auto"/>
        <w:ind w:firstLine="708"/>
        <w:jc w:val="both"/>
        <w:rPr>
          <w:rFonts w:ascii="Garamond" w:hAnsi="Garamond"/>
          <w:lang w:val="en-US"/>
        </w:rPr>
      </w:pPr>
      <w:r w:rsidRPr="00596201">
        <w:rPr>
          <w:rFonts w:ascii="Garamond" w:hAnsi="Garamond"/>
          <w:lang w:val="en-US"/>
        </w:rPr>
        <w:lastRenderedPageBreak/>
        <w:t>Nonetheless, the decomposition of the stagnation of e30 for this sensitivity analysis (</w:t>
      </w:r>
      <w:r w:rsidRPr="00596201">
        <w:rPr>
          <w:rFonts w:ascii="Garamond" w:hAnsi="Garamond"/>
          <w:color w:val="215E99" w:themeColor="text2" w:themeTint="BF"/>
          <w:lang w:val="en-US"/>
        </w:rPr>
        <w:t xml:space="preserve">Figure </w:t>
      </w:r>
      <w:r w:rsidR="001E5E77" w:rsidRPr="00596201">
        <w:rPr>
          <w:rFonts w:ascii="Garamond" w:hAnsi="Garamond"/>
          <w:color w:val="215E99" w:themeColor="text2" w:themeTint="BF"/>
          <w:lang w:val="en-US"/>
        </w:rPr>
        <w:t>S</w:t>
      </w:r>
      <w:r w:rsidR="005C7FB3">
        <w:rPr>
          <w:rFonts w:ascii="Garamond" w:hAnsi="Garamond"/>
          <w:color w:val="215E99" w:themeColor="text2" w:themeTint="BF"/>
          <w:lang w:val="en-US"/>
        </w:rPr>
        <w:t>7</w:t>
      </w:r>
      <w:r w:rsidRPr="00596201">
        <w:rPr>
          <w:rFonts w:ascii="Garamond" w:hAnsi="Garamond"/>
          <w:lang w:val="en-US"/>
        </w:rPr>
        <w:t xml:space="preserve">) revealed largely similar outcomes. Specifically, we found that the low-educated still contributed the most to the stagnation (85% instead of 86%) among females and that the low-educated (22% instead of 41%) and the middle-educated (66% instead of 54%) still contributed the most to the stagnation among males. </w:t>
      </w:r>
    </w:p>
    <w:p w14:paraId="056A275A" w14:textId="77777777" w:rsidR="00813744" w:rsidRPr="00596201" w:rsidRDefault="00813744" w:rsidP="00241E90">
      <w:pPr>
        <w:spacing w:line="360" w:lineRule="auto"/>
        <w:jc w:val="both"/>
        <w:rPr>
          <w:rFonts w:ascii="Garamond" w:hAnsi="Garamond"/>
          <w:lang w:val="en-US"/>
        </w:rPr>
      </w:pPr>
    </w:p>
    <w:p w14:paraId="21ED258D" w14:textId="49676D4D" w:rsidR="00CD5C72" w:rsidRPr="00596201" w:rsidRDefault="00CD5C72" w:rsidP="00CD5C72">
      <w:pPr>
        <w:jc w:val="both"/>
        <w:rPr>
          <w:rFonts w:ascii="Garamond" w:hAnsi="Garamond"/>
          <w:lang w:val="en-US"/>
        </w:rPr>
      </w:pPr>
      <w:r w:rsidRPr="00596201">
        <w:rPr>
          <w:rFonts w:ascii="Garamond" w:hAnsi="Garamond"/>
          <w:b/>
          <w:bCs/>
          <w:lang w:val="en-US"/>
        </w:rPr>
        <w:t>Figure S</w:t>
      </w:r>
      <w:r w:rsidR="008C09B4">
        <w:rPr>
          <w:rFonts w:ascii="Garamond" w:hAnsi="Garamond"/>
          <w:b/>
          <w:bCs/>
          <w:lang w:val="en-US"/>
        </w:rPr>
        <w:t>5</w:t>
      </w:r>
      <w:r w:rsidRPr="00596201">
        <w:rPr>
          <w:rFonts w:ascii="Garamond" w:hAnsi="Garamond"/>
          <w:b/>
          <w:bCs/>
          <w:lang w:val="en-US"/>
        </w:rPr>
        <w:t>.</w:t>
      </w:r>
      <w:r w:rsidRPr="00596201">
        <w:rPr>
          <w:rFonts w:ascii="Garamond" w:hAnsi="Garamond"/>
          <w:lang w:val="en-US"/>
        </w:rPr>
        <w:t xml:space="preserve">  </w:t>
      </w:r>
      <w:r w:rsidRPr="00596201">
        <w:rPr>
          <w:rFonts w:ascii="Garamond" w:hAnsi="Garamond"/>
          <w:color w:val="212121"/>
          <w:lang w:val="en-US"/>
        </w:rPr>
        <w:t xml:space="preserve">Time trends in observed (1972-2017) and expected (2011-2017) remaining life expectancy at age 30 (e30), by sex, in England &amp; Wales, thereby comparing the use of the baseline period for the Lee-Carter projection in our main analysis (1999-2011 with some exceptions*) with a longer baseline period for the Lee-Carter projection in our sensitivity analysis (1972-2011 throughout) to obtain expected e30.   </w:t>
      </w:r>
    </w:p>
    <w:p w14:paraId="21C65549" w14:textId="77777777" w:rsidR="00CD5C72" w:rsidRPr="00596201" w:rsidRDefault="00CD5C72" w:rsidP="00CD5C72">
      <w:pPr>
        <w:jc w:val="both"/>
        <w:rPr>
          <w:rFonts w:ascii="Garamond" w:hAnsi="Garamond"/>
          <w:lang w:val="en-US"/>
        </w:rPr>
      </w:pPr>
      <w:r w:rsidRPr="00596201">
        <w:rPr>
          <w:rFonts w:ascii="Garamond" w:hAnsi="Garamond"/>
          <w:noProof/>
          <w:lang w:val="en-GB"/>
          <w14:ligatures w14:val="standardContextual"/>
        </w:rPr>
        <w:drawing>
          <wp:inline distT="0" distB="0" distL="0" distR="0" wp14:anchorId="54B976AC" wp14:editId="6A0A9A45">
            <wp:extent cx="5612130" cy="4489450"/>
            <wp:effectExtent l="0" t="0" r="1270" b="6350"/>
            <wp:docPr id="16034162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16216" name="Imagen 16034162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4489450"/>
                    </a:xfrm>
                    <a:prstGeom prst="rect">
                      <a:avLst/>
                    </a:prstGeom>
                  </pic:spPr>
                </pic:pic>
              </a:graphicData>
            </a:graphic>
          </wp:inline>
        </w:drawing>
      </w:r>
      <w:r w:rsidRPr="00596201">
        <w:rPr>
          <w:rFonts w:ascii="Garamond" w:hAnsi="Garamond"/>
          <w:lang w:val="en-GB"/>
        </w:rPr>
        <w:t xml:space="preserve">* For middle-educated males and females, we obtained the expected e30 values based on the projection of mortality over the 1972-2000 period. </w:t>
      </w:r>
    </w:p>
    <w:p w14:paraId="50C29ACC" w14:textId="77777777" w:rsidR="00CD5C72" w:rsidRPr="00596201" w:rsidRDefault="00CD5C72" w:rsidP="00CD5C72">
      <w:pPr>
        <w:jc w:val="both"/>
        <w:rPr>
          <w:rFonts w:ascii="Garamond" w:hAnsi="Garamond"/>
          <w:lang w:val="en-GB"/>
        </w:rPr>
      </w:pPr>
      <w:r w:rsidRPr="00596201">
        <w:rPr>
          <w:rFonts w:ascii="Garamond" w:hAnsi="Garamond"/>
          <w:lang w:val="en-GB"/>
        </w:rPr>
        <w:t>Source data: ONS-Longitudinal Study</w:t>
      </w:r>
    </w:p>
    <w:p w14:paraId="7A080D24" w14:textId="77777777" w:rsidR="00CD5C72" w:rsidRPr="00596201" w:rsidRDefault="00CD5C72" w:rsidP="00241E90">
      <w:pPr>
        <w:spacing w:line="360" w:lineRule="auto"/>
        <w:jc w:val="both"/>
        <w:rPr>
          <w:rFonts w:ascii="Garamond" w:hAnsi="Garamond"/>
          <w:lang w:val="en-US"/>
        </w:rPr>
      </w:pPr>
    </w:p>
    <w:p w14:paraId="216FDCF1" w14:textId="77777777" w:rsidR="00DA3DA2" w:rsidRDefault="00DA3DA2">
      <w:pPr>
        <w:rPr>
          <w:rFonts w:ascii="Garamond" w:hAnsi="Garamond"/>
          <w:b/>
          <w:bCs/>
          <w:lang w:val="en-US"/>
        </w:rPr>
      </w:pPr>
      <w:r>
        <w:rPr>
          <w:rFonts w:ascii="Garamond" w:hAnsi="Garamond"/>
          <w:b/>
          <w:bCs/>
          <w:lang w:val="en-US"/>
        </w:rPr>
        <w:br w:type="page"/>
      </w:r>
    </w:p>
    <w:p w14:paraId="547459D2" w14:textId="0AACC78B" w:rsidR="00813744" w:rsidRPr="00596201" w:rsidRDefault="00813744" w:rsidP="00241E90">
      <w:pPr>
        <w:jc w:val="both"/>
        <w:rPr>
          <w:rFonts w:ascii="Garamond" w:hAnsi="Garamond"/>
          <w:lang w:val="en-US"/>
        </w:rPr>
      </w:pPr>
      <w:r w:rsidRPr="00596201">
        <w:rPr>
          <w:rFonts w:ascii="Garamond" w:hAnsi="Garamond"/>
          <w:b/>
          <w:bCs/>
          <w:lang w:val="en-US"/>
        </w:rPr>
        <w:lastRenderedPageBreak/>
        <w:t xml:space="preserve">Figure </w:t>
      </w:r>
      <w:r w:rsidR="004C6CE1" w:rsidRPr="00596201">
        <w:rPr>
          <w:rFonts w:ascii="Garamond" w:hAnsi="Garamond"/>
          <w:b/>
          <w:bCs/>
          <w:lang w:val="en-US"/>
        </w:rPr>
        <w:t>S</w:t>
      </w:r>
      <w:r w:rsidR="008C09B4">
        <w:rPr>
          <w:rFonts w:ascii="Garamond" w:hAnsi="Garamond"/>
          <w:b/>
          <w:bCs/>
          <w:lang w:val="en-US"/>
        </w:rPr>
        <w:t>6</w:t>
      </w:r>
      <w:r w:rsidRPr="00596201">
        <w:rPr>
          <w:rFonts w:ascii="Garamond" w:hAnsi="Garamond"/>
          <w:b/>
          <w:bCs/>
          <w:lang w:val="en-US"/>
        </w:rPr>
        <w:t>.</w:t>
      </w:r>
      <w:r w:rsidRPr="00596201">
        <w:rPr>
          <w:rFonts w:ascii="Garamond" w:hAnsi="Garamond"/>
          <w:lang w:val="en-US"/>
        </w:rPr>
        <w:t xml:space="preserve"> Time trends in observed (1972-2011) and expected (2012-2017) remaining life expectancy at age 30 (e30) at the national level and for the different educational groups based on our sensitivity analysis in which we used the trends from 1972-2011 to obtain the </w:t>
      </w:r>
      <w:r w:rsidR="00EB5232" w:rsidRPr="00596201">
        <w:rPr>
          <w:rFonts w:ascii="Garamond" w:hAnsi="Garamond"/>
          <w:lang w:val="en-US"/>
        </w:rPr>
        <w:t xml:space="preserve">expected e30 </w:t>
      </w:r>
      <w:r w:rsidRPr="00596201">
        <w:rPr>
          <w:rFonts w:ascii="Garamond" w:hAnsi="Garamond"/>
          <w:lang w:val="en-US"/>
        </w:rPr>
        <w:t xml:space="preserve">for 2012-2017. England </w:t>
      </w:r>
      <w:r w:rsidRPr="00596201">
        <w:rPr>
          <w:rFonts w:ascii="Garamond" w:hAnsi="Garamond" w:cs="Arial"/>
          <w:color w:val="212121"/>
          <w:lang w:val="en-US"/>
        </w:rPr>
        <w:t>&amp;</w:t>
      </w:r>
      <w:r w:rsidRPr="00596201">
        <w:rPr>
          <w:rFonts w:ascii="Garamond" w:hAnsi="Garamond"/>
          <w:lang w:val="en-US"/>
        </w:rPr>
        <w:t xml:space="preserve"> Wales.</w:t>
      </w:r>
    </w:p>
    <w:p w14:paraId="0EA6BAFD" w14:textId="77777777" w:rsidR="00813744" w:rsidRPr="00596201" w:rsidRDefault="00813744" w:rsidP="00241E90">
      <w:pPr>
        <w:spacing w:line="276" w:lineRule="auto"/>
        <w:jc w:val="both"/>
        <w:rPr>
          <w:rFonts w:ascii="Garamond" w:hAnsi="Garamond"/>
          <w:b/>
          <w:bCs/>
          <w:lang w:val="en-US"/>
        </w:rPr>
      </w:pPr>
      <w:r w:rsidRPr="00596201">
        <w:rPr>
          <w:rFonts w:ascii="Garamond" w:hAnsi="Garamond"/>
          <w:b/>
          <w:bCs/>
          <w:noProof/>
          <w:lang w:val="en-US"/>
          <w14:ligatures w14:val="standardContextual"/>
        </w:rPr>
        <w:drawing>
          <wp:inline distT="0" distB="0" distL="0" distR="0" wp14:anchorId="65E9B2C2" wp14:editId="7D792768">
            <wp:extent cx="5610860" cy="6890919"/>
            <wp:effectExtent l="0" t="0" r="2540" b="5715"/>
            <wp:docPr id="20923605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056" name="Imagen 2092360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48070" cy="6936618"/>
                    </a:xfrm>
                    <a:prstGeom prst="rect">
                      <a:avLst/>
                    </a:prstGeom>
                  </pic:spPr>
                </pic:pic>
              </a:graphicData>
            </a:graphic>
          </wp:inline>
        </w:drawing>
      </w:r>
    </w:p>
    <w:p w14:paraId="77DA69F6" w14:textId="0297F27B" w:rsidR="00D901DA" w:rsidRPr="00596201" w:rsidRDefault="00813744" w:rsidP="004C6CE1">
      <w:pPr>
        <w:spacing w:line="276" w:lineRule="auto"/>
        <w:jc w:val="both"/>
        <w:rPr>
          <w:rFonts w:ascii="Garamond" w:hAnsi="Garamond"/>
          <w:lang w:val="en-US"/>
        </w:rPr>
      </w:pPr>
      <w:r w:rsidRPr="00596201">
        <w:rPr>
          <w:rFonts w:ascii="Garamond" w:hAnsi="Garamond"/>
          <w:lang w:val="en-US"/>
        </w:rPr>
        <w:t>Source data: ONS Longitudinal Study</w:t>
      </w:r>
      <w:r w:rsidR="004C6CE1" w:rsidRPr="00596201">
        <w:rPr>
          <w:rFonts w:ascii="Garamond" w:hAnsi="Garamond"/>
          <w:lang w:val="en-US"/>
        </w:rPr>
        <w:t>.</w:t>
      </w:r>
    </w:p>
    <w:p w14:paraId="1CA8BDC2" w14:textId="77777777" w:rsidR="008F12C2" w:rsidRPr="00596201" w:rsidRDefault="008F12C2" w:rsidP="00241E90">
      <w:pPr>
        <w:jc w:val="both"/>
        <w:rPr>
          <w:rFonts w:ascii="Garamond" w:hAnsi="Garamond"/>
          <w:b/>
          <w:bCs/>
          <w:lang w:val="en-US"/>
        </w:rPr>
      </w:pPr>
    </w:p>
    <w:p w14:paraId="4FF2A218" w14:textId="77777777" w:rsidR="00CD5C72" w:rsidRPr="00596201" w:rsidRDefault="00CD5C72">
      <w:pPr>
        <w:rPr>
          <w:rFonts w:ascii="Garamond" w:hAnsi="Garamond"/>
          <w:b/>
          <w:bCs/>
          <w:lang w:val="en-US"/>
        </w:rPr>
      </w:pPr>
      <w:r w:rsidRPr="00596201">
        <w:rPr>
          <w:rFonts w:ascii="Garamond" w:hAnsi="Garamond"/>
          <w:b/>
          <w:bCs/>
          <w:lang w:val="en-US"/>
        </w:rPr>
        <w:br w:type="page"/>
      </w:r>
    </w:p>
    <w:p w14:paraId="0CBFF86D" w14:textId="0B1F8A78" w:rsidR="00813744" w:rsidRPr="00596201" w:rsidRDefault="00813744" w:rsidP="00241E90">
      <w:pPr>
        <w:jc w:val="both"/>
        <w:rPr>
          <w:rFonts w:ascii="Garamond" w:hAnsi="Garamond"/>
          <w:lang w:val="en-US"/>
        </w:rPr>
      </w:pPr>
      <w:r w:rsidRPr="00596201">
        <w:rPr>
          <w:rFonts w:ascii="Garamond" w:hAnsi="Garamond"/>
          <w:b/>
          <w:bCs/>
          <w:lang w:val="en-US"/>
        </w:rPr>
        <w:lastRenderedPageBreak/>
        <w:t xml:space="preserve">Figure </w:t>
      </w:r>
      <w:r w:rsidR="004C6CE1" w:rsidRPr="00596201">
        <w:rPr>
          <w:rFonts w:ascii="Garamond" w:hAnsi="Garamond"/>
          <w:b/>
          <w:bCs/>
          <w:lang w:val="en-US"/>
        </w:rPr>
        <w:t>S</w:t>
      </w:r>
      <w:r w:rsidR="008C09B4">
        <w:rPr>
          <w:rFonts w:ascii="Garamond" w:hAnsi="Garamond"/>
          <w:b/>
          <w:bCs/>
          <w:lang w:val="en-US"/>
        </w:rPr>
        <w:t>7</w:t>
      </w:r>
      <w:r w:rsidRPr="00596201">
        <w:rPr>
          <w:rFonts w:ascii="Garamond" w:hAnsi="Garamond"/>
          <w:b/>
          <w:bCs/>
          <w:lang w:val="en-US"/>
        </w:rPr>
        <w:t>.</w:t>
      </w:r>
      <w:r w:rsidRPr="00596201">
        <w:rPr>
          <w:rFonts w:ascii="Garamond" w:hAnsi="Garamond"/>
          <w:lang w:val="en-US"/>
        </w:rPr>
        <w:t xml:space="preserve">  Contribution of education-specific mortality trends to the observed stagnation in e30 from 2011-2017 (1.02 years among males; 0.79 years among females), by sex, England </w:t>
      </w:r>
      <w:r w:rsidRPr="00596201">
        <w:rPr>
          <w:rFonts w:ascii="Garamond" w:hAnsi="Garamond" w:cs="Arial"/>
          <w:color w:val="212121"/>
          <w:lang w:val="en-US"/>
        </w:rPr>
        <w:t>&amp;</w:t>
      </w:r>
      <w:r w:rsidRPr="00596201">
        <w:rPr>
          <w:rFonts w:ascii="Garamond" w:hAnsi="Garamond"/>
          <w:lang w:val="en-US"/>
        </w:rPr>
        <w:t xml:space="preserve"> Wales. Results from our sensitivity analysis in which we used the trends from 1972-2011 </w:t>
      </w:r>
      <w:r w:rsidR="00EB5232" w:rsidRPr="00596201">
        <w:rPr>
          <w:rFonts w:ascii="Garamond" w:hAnsi="Garamond"/>
          <w:lang w:val="en-US"/>
        </w:rPr>
        <w:t xml:space="preserve">throughout </w:t>
      </w:r>
      <w:r w:rsidRPr="00596201">
        <w:rPr>
          <w:rFonts w:ascii="Garamond" w:hAnsi="Garamond"/>
          <w:lang w:val="en-US"/>
        </w:rPr>
        <w:t xml:space="preserve">to obtain the projection for 2012-2017. </w:t>
      </w:r>
    </w:p>
    <w:p w14:paraId="3BAA2CC3" w14:textId="77777777" w:rsidR="00813744" w:rsidRPr="00596201" w:rsidRDefault="00813744" w:rsidP="00241E90">
      <w:pPr>
        <w:spacing w:line="276" w:lineRule="auto"/>
        <w:jc w:val="both"/>
        <w:rPr>
          <w:rFonts w:ascii="Garamond" w:hAnsi="Garamond"/>
          <w:b/>
          <w:bCs/>
          <w:lang w:val="en-US"/>
        </w:rPr>
      </w:pPr>
      <w:r w:rsidRPr="00596201">
        <w:rPr>
          <w:rFonts w:ascii="Garamond" w:hAnsi="Garamond"/>
          <w:b/>
          <w:bCs/>
          <w:noProof/>
          <w:lang w:val="en-US"/>
          <w14:ligatures w14:val="standardContextual"/>
        </w:rPr>
        <w:drawing>
          <wp:inline distT="0" distB="0" distL="0" distR="0" wp14:anchorId="0F421C15" wp14:editId="4927EB85">
            <wp:extent cx="5612130" cy="3507740"/>
            <wp:effectExtent l="0" t="0" r="1270" b="0"/>
            <wp:docPr id="17128122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12215" name="Imagen 17128122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2130" cy="3507740"/>
                    </a:xfrm>
                    <a:prstGeom prst="rect">
                      <a:avLst/>
                    </a:prstGeom>
                  </pic:spPr>
                </pic:pic>
              </a:graphicData>
            </a:graphic>
          </wp:inline>
        </w:drawing>
      </w:r>
    </w:p>
    <w:p w14:paraId="0A841367" w14:textId="77777777" w:rsidR="00813744" w:rsidRPr="00596201" w:rsidRDefault="00813744" w:rsidP="00246EA7">
      <w:pPr>
        <w:jc w:val="both"/>
        <w:rPr>
          <w:rFonts w:ascii="Garamond" w:hAnsi="Garamond"/>
          <w:lang w:val="en-US"/>
        </w:rPr>
      </w:pPr>
      <w:r w:rsidRPr="00596201">
        <w:rPr>
          <w:rFonts w:ascii="Garamond" w:hAnsi="Garamond"/>
          <w:lang w:val="en-US"/>
        </w:rPr>
        <w:t>*</w:t>
      </w:r>
      <w:r w:rsidRPr="00596201">
        <w:rPr>
          <w:rFonts w:ascii="Garamond" w:eastAsiaTheme="minorHAnsi" w:hAnsi="Garamond" w:cs="Helvetica Neue"/>
          <w:color w:val="000000"/>
          <w:lang w:val="en-US" w:eastAsia="en-US"/>
          <w14:ligatures w14:val="standardContextual"/>
        </w:rPr>
        <w:t>The abovementioned contributions add up to 104% for males and 103% for females, because the contributions were counterbalanced by 3.92% among males and 3.09% among females by changes over time in the population composition by education.</w:t>
      </w:r>
    </w:p>
    <w:p w14:paraId="07E912BD" w14:textId="77777777" w:rsidR="00813744" w:rsidRPr="00596201" w:rsidRDefault="00813744" w:rsidP="00246EA7">
      <w:pPr>
        <w:jc w:val="both"/>
        <w:rPr>
          <w:rFonts w:ascii="Garamond" w:hAnsi="Garamond"/>
          <w:lang w:val="en-US"/>
        </w:rPr>
      </w:pPr>
      <w:r w:rsidRPr="00596201">
        <w:rPr>
          <w:rFonts w:ascii="Garamond" w:hAnsi="Garamond"/>
          <w:lang w:val="en-US"/>
        </w:rPr>
        <w:t>Source data: ONS Longitudinal Study</w:t>
      </w:r>
    </w:p>
    <w:p w14:paraId="76614CFF" w14:textId="77777777" w:rsidR="00813744" w:rsidRPr="00596201" w:rsidRDefault="00813744" w:rsidP="00241E90">
      <w:pPr>
        <w:spacing w:line="360" w:lineRule="auto"/>
        <w:rPr>
          <w:rFonts w:ascii="Garamond" w:hAnsi="Garamond"/>
          <w:lang w:val="en-US"/>
        </w:rPr>
      </w:pPr>
    </w:p>
    <w:p w14:paraId="1127210C" w14:textId="77777777" w:rsidR="00813744" w:rsidRPr="00596201" w:rsidRDefault="00813744" w:rsidP="00241E90">
      <w:pPr>
        <w:spacing w:line="360" w:lineRule="auto"/>
        <w:rPr>
          <w:rFonts w:ascii="Garamond" w:hAnsi="Garamond"/>
          <w:lang w:val="en-US"/>
        </w:rPr>
      </w:pPr>
    </w:p>
    <w:p w14:paraId="252B81B5" w14:textId="77777777" w:rsidR="00813744" w:rsidRPr="00596201" w:rsidRDefault="00813744" w:rsidP="00241E90">
      <w:pPr>
        <w:spacing w:line="360" w:lineRule="auto"/>
        <w:rPr>
          <w:rFonts w:ascii="Garamond" w:hAnsi="Garamond"/>
          <w:lang w:val="en-US"/>
        </w:rPr>
      </w:pPr>
    </w:p>
    <w:p w14:paraId="211E3FA4" w14:textId="77777777" w:rsidR="00D901DA" w:rsidRPr="00596201" w:rsidRDefault="00D901DA" w:rsidP="00241E90">
      <w:pPr>
        <w:spacing w:line="360" w:lineRule="auto"/>
        <w:rPr>
          <w:rFonts w:ascii="Garamond" w:hAnsi="Garamond"/>
          <w:lang w:val="en-US"/>
        </w:rPr>
      </w:pPr>
    </w:p>
    <w:p w14:paraId="7E5311DD" w14:textId="77777777" w:rsidR="00D901DA" w:rsidRPr="00596201" w:rsidRDefault="00D901DA" w:rsidP="00241E90">
      <w:pPr>
        <w:spacing w:line="360" w:lineRule="auto"/>
        <w:rPr>
          <w:rFonts w:ascii="Garamond" w:hAnsi="Garamond"/>
          <w:lang w:val="en-US"/>
        </w:rPr>
      </w:pPr>
    </w:p>
    <w:p w14:paraId="033401F1" w14:textId="77777777" w:rsidR="00D901DA" w:rsidRPr="00596201" w:rsidRDefault="00D901DA" w:rsidP="00241E90">
      <w:pPr>
        <w:spacing w:line="360" w:lineRule="auto"/>
        <w:rPr>
          <w:rFonts w:ascii="Garamond" w:hAnsi="Garamond"/>
          <w:lang w:val="en-US"/>
        </w:rPr>
      </w:pPr>
    </w:p>
    <w:p w14:paraId="6C61F7E7" w14:textId="77777777" w:rsidR="00D901DA" w:rsidRPr="00596201" w:rsidRDefault="00D901DA" w:rsidP="00241E90">
      <w:pPr>
        <w:spacing w:line="360" w:lineRule="auto"/>
        <w:rPr>
          <w:rFonts w:ascii="Garamond" w:hAnsi="Garamond"/>
          <w:lang w:val="en-US"/>
        </w:rPr>
      </w:pPr>
    </w:p>
    <w:p w14:paraId="3F99A8B8" w14:textId="77777777" w:rsidR="00D901DA" w:rsidRPr="00596201" w:rsidRDefault="00D901DA" w:rsidP="00241E90">
      <w:pPr>
        <w:spacing w:line="360" w:lineRule="auto"/>
        <w:rPr>
          <w:rFonts w:ascii="Garamond" w:hAnsi="Garamond"/>
          <w:lang w:val="en-US"/>
        </w:rPr>
      </w:pPr>
    </w:p>
    <w:p w14:paraId="31A50E15" w14:textId="77777777" w:rsidR="00D901DA" w:rsidRPr="00596201" w:rsidRDefault="00D901DA" w:rsidP="00241E90">
      <w:pPr>
        <w:spacing w:line="360" w:lineRule="auto"/>
        <w:rPr>
          <w:rFonts w:ascii="Garamond" w:hAnsi="Garamond"/>
          <w:lang w:val="en-US"/>
        </w:rPr>
      </w:pPr>
    </w:p>
    <w:p w14:paraId="17D60CD9" w14:textId="77777777" w:rsidR="00D901DA" w:rsidRPr="00596201" w:rsidRDefault="00D901DA" w:rsidP="00241E90">
      <w:pPr>
        <w:spacing w:line="360" w:lineRule="auto"/>
        <w:rPr>
          <w:rFonts w:ascii="Garamond" w:hAnsi="Garamond"/>
          <w:lang w:val="en-US"/>
        </w:rPr>
      </w:pPr>
    </w:p>
    <w:p w14:paraId="0A606668" w14:textId="77777777" w:rsidR="00D901DA" w:rsidRPr="00596201" w:rsidRDefault="00D901DA" w:rsidP="00241E90">
      <w:pPr>
        <w:spacing w:line="360" w:lineRule="auto"/>
        <w:rPr>
          <w:rFonts w:ascii="Garamond" w:hAnsi="Garamond"/>
          <w:lang w:val="en-US"/>
        </w:rPr>
      </w:pPr>
    </w:p>
    <w:p w14:paraId="05654045" w14:textId="77777777" w:rsidR="00D901DA" w:rsidRPr="00596201" w:rsidRDefault="00D901DA" w:rsidP="00241E90">
      <w:pPr>
        <w:spacing w:line="360" w:lineRule="auto"/>
        <w:rPr>
          <w:rFonts w:ascii="Garamond" w:hAnsi="Garamond"/>
          <w:lang w:val="en-US"/>
        </w:rPr>
      </w:pPr>
    </w:p>
    <w:p w14:paraId="3CA60278" w14:textId="77777777" w:rsidR="00813744" w:rsidRPr="00596201" w:rsidRDefault="00813744" w:rsidP="00241E90">
      <w:pPr>
        <w:spacing w:line="360" w:lineRule="auto"/>
        <w:rPr>
          <w:rFonts w:ascii="Garamond" w:hAnsi="Garamond"/>
          <w:lang w:val="en-US"/>
        </w:rPr>
      </w:pPr>
    </w:p>
    <w:p w14:paraId="360B7320" w14:textId="58EBC149" w:rsidR="00813744" w:rsidRPr="00596201" w:rsidRDefault="00813744" w:rsidP="00932A1C">
      <w:pPr>
        <w:spacing w:line="360" w:lineRule="auto"/>
        <w:jc w:val="both"/>
        <w:rPr>
          <w:rFonts w:ascii="Garamond" w:hAnsi="Garamond"/>
          <w:lang w:val="en-US"/>
        </w:rPr>
      </w:pPr>
      <w:r w:rsidRPr="00596201">
        <w:rPr>
          <w:rFonts w:ascii="Garamond" w:hAnsi="Garamond"/>
          <w:smallCaps/>
          <w:color w:val="000000"/>
          <w:lang w:val="en-GB" w:eastAsia="de-DE"/>
        </w:rPr>
        <w:lastRenderedPageBreak/>
        <w:t>References</w:t>
      </w:r>
    </w:p>
    <w:p w14:paraId="704C70BB" w14:textId="77777777" w:rsidR="00813744" w:rsidRPr="00596201" w:rsidRDefault="00813744" w:rsidP="00932A1C">
      <w:pPr>
        <w:jc w:val="both"/>
        <w:rPr>
          <w:rFonts w:ascii="Garamond" w:hAnsi="Garamond"/>
          <w:lang w:val="en-US"/>
        </w:rPr>
      </w:pPr>
    </w:p>
    <w:p w14:paraId="3B602527" w14:textId="62BD9349" w:rsidR="00813744" w:rsidRPr="00596201" w:rsidRDefault="00813744" w:rsidP="00475097">
      <w:pPr>
        <w:pStyle w:val="EndNoteBibliography"/>
        <w:ind w:left="720" w:hanging="720"/>
        <w:jc w:val="both"/>
        <w:rPr>
          <w:rFonts w:ascii="Garamond" w:hAnsi="Garamond"/>
          <w:noProof/>
          <w:lang w:val="en-US"/>
        </w:rPr>
      </w:pPr>
      <w:r w:rsidRPr="00596201">
        <w:rPr>
          <w:rFonts w:ascii="Garamond" w:hAnsi="Garamond"/>
          <w:noProof/>
          <w:lang w:val="en-US"/>
        </w:rPr>
        <w:t xml:space="preserve">Aburto, J. M., Schöley, J., Kashnitsky, I., Zhang, L., Rahal, C., Missov, T. I., Mills, M. C., Dowd, J. B., &amp; Kashyap, R. (2021). Quantifying impacts of the COVID-19 pandemic through life-expectancy losses: a population-level study of 29 countries. </w:t>
      </w:r>
      <w:r w:rsidRPr="00596201">
        <w:rPr>
          <w:rFonts w:ascii="Garamond" w:hAnsi="Garamond"/>
          <w:i/>
          <w:noProof/>
          <w:lang w:val="en-US"/>
        </w:rPr>
        <w:t>International Journal of Epidemiology</w:t>
      </w:r>
      <w:r w:rsidRPr="00596201">
        <w:rPr>
          <w:rFonts w:ascii="Garamond" w:hAnsi="Garamond"/>
          <w:noProof/>
          <w:lang w:val="en-US"/>
        </w:rPr>
        <w:t>,</w:t>
      </w:r>
      <w:r w:rsidRPr="00596201">
        <w:rPr>
          <w:rFonts w:ascii="Garamond" w:hAnsi="Garamond"/>
          <w:i/>
          <w:noProof/>
          <w:lang w:val="en-US"/>
        </w:rPr>
        <w:t xml:space="preserve"> 51</w:t>
      </w:r>
      <w:r w:rsidRPr="00596201">
        <w:rPr>
          <w:rFonts w:ascii="Garamond" w:hAnsi="Garamond"/>
          <w:noProof/>
          <w:lang w:val="en-US"/>
        </w:rPr>
        <w:t xml:space="preserve">(1), 63-74. https://doi.org/10.1093/ije/dyab207 </w:t>
      </w:r>
    </w:p>
    <w:p w14:paraId="68D31AC5" w14:textId="38F6A4A7" w:rsidR="00813744" w:rsidRPr="00596201" w:rsidRDefault="00813744" w:rsidP="00475097">
      <w:pPr>
        <w:ind w:left="709" w:hanging="709"/>
        <w:jc w:val="both"/>
        <w:rPr>
          <w:rFonts w:ascii="Garamond" w:hAnsi="Garamond"/>
        </w:rPr>
      </w:pPr>
      <w:r w:rsidRPr="00596201">
        <w:rPr>
          <w:rFonts w:ascii="Garamond" w:hAnsi="Garamond" w:cs="Open Sans"/>
          <w:color w:val="262626"/>
          <w:lang w:val="en-US"/>
        </w:rPr>
        <w:t>Abrams, LR.</w:t>
      </w:r>
      <w:r w:rsidRPr="00596201">
        <w:rPr>
          <w:rStyle w:val="apple-converted-space"/>
          <w:rFonts w:ascii="Garamond" w:hAnsi="Garamond" w:cs="Open Sans"/>
          <w:color w:val="262626"/>
          <w:lang w:val="en-US"/>
        </w:rPr>
        <w:t> </w:t>
      </w:r>
      <w:r w:rsidRPr="00596201">
        <w:rPr>
          <w:rFonts w:ascii="Garamond" w:hAnsi="Garamond" w:cs="Open Sans"/>
          <w:color w:val="262626"/>
          <w:lang w:val="en-US"/>
        </w:rPr>
        <w:t>M.</w:t>
      </w:r>
      <w:r w:rsidRPr="00596201">
        <w:rPr>
          <w:rStyle w:val="apple-converted-space"/>
          <w:rFonts w:ascii="Garamond" w:hAnsi="Garamond" w:cs="Open Sans"/>
          <w:color w:val="262626"/>
          <w:lang w:val="en-US"/>
        </w:rPr>
        <w:t> </w:t>
      </w:r>
      <w:proofErr w:type="spellStart"/>
      <w:r w:rsidRPr="00596201">
        <w:rPr>
          <w:rFonts w:ascii="Garamond" w:hAnsi="Garamond" w:cs="Open Sans"/>
          <w:color w:val="262626"/>
          <w:lang w:val="en-US"/>
        </w:rPr>
        <w:t>Myrskylä</w:t>
      </w:r>
      <w:proofErr w:type="spellEnd"/>
      <w:r w:rsidRPr="00596201">
        <w:rPr>
          <w:rFonts w:ascii="Garamond" w:hAnsi="Garamond" w:cs="Open Sans"/>
          <w:color w:val="262626"/>
          <w:lang w:val="en-US"/>
        </w:rPr>
        <w:t>,</w:t>
      </w:r>
      <w:r w:rsidRPr="00596201">
        <w:rPr>
          <w:rStyle w:val="apple-converted-space"/>
          <w:rFonts w:ascii="Garamond" w:hAnsi="Garamond" w:cs="Open Sans"/>
          <w:color w:val="262626"/>
          <w:lang w:val="en-US"/>
        </w:rPr>
        <w:t> </w:t>
      </w:r>
      <w:r w:rsidRPr="00596201">
        <w:rPr>
          <w:rFonts w:ascii="Garamond" w:hAnsi="Garamond" w:cs="Open Sans"/>
          <w:color w:val="262626"/>
          <w:lang w:val="en-US"/>
        </w:rPr>
        <w:t>N.K.</w:t>
      </w:r>
      <w:r w:rsidRPr="00596201">
        <w:rPr>
          <w:rStyle w:val="apple-converted-space"/>
          <w:rFonts w:ascii="Garamond" w:hAnsi="Garamond" w:cs="Open Sans"/>
          <w:color w:val="262626"/>
          <w:lang w:val="en-US"/>
        </w:rPr>
        <w:t> </w:t>
      </w:r>
      <w:r w:rsidRPr="00596201">
        <w:rPr>
          <w:rFonts w:ascii="Garamond" w:hAnsi="Garamond" w:cs="Open Sans"/>
          <w:color w:val="262626"/>
          <w:lang w:val="en-US"/>
        </w:rPr>
        <w:t>Mehta (2023).</w:t>
      </w:r>
      <w:r w:rsidRPr="00596201">
        <w:rPr>
          <w:rStyle w:val="apple-converted-space"/>
          <w:rFonts w:ascii="Garamond" w:hAnsi="Garamond" w:cs="Open Sans"/>
          <w:color w:val="262626"/>
          <w:lang w:val="en-US"/>
        </w:rPr>
        <w:t> </w:t>
      </w:r>
      <w:r w:rsidRPr="00596201">
        <w:rPr>
          <w:rFonts w:ascii="Garamond" w:hAnsi="Garamond" w:cs="Open Sans"/>
          <w:color w:val="262626"/>
          <w:lang w:val="en-US"/>
        </w:rPr>
        <w:t>The “double jeopardy” of midlife and old age mortality trends in the United States,</w:t>
      </w:r>
      <w:r w:rsidRPr="00596201">
        <w:rPr>
          <w:rStyle w:val="apple-converted-space"/>
          <w:rFonts w:ascii="Garamond" w:hAnsi="Garamond" w:cs="Open Sans"/>
          <w:color w:val="262626"/>
          <w:lang w:val="en-US"/>
        </w:rPr>
        <w:t> </w:t>
      </w:r>
      <w:r w:rsidRPr="00596201">
        <w:rPr>
          <w:rFonts w:ascii="Garamond" w:hAnsi="Garamond" w:cs="Open Sans"/>
          <w:i/>
          <w:iCs/>
          <w:color w:val="262626"/>
          <w:lang w:val="en-US"/>
        </w:rPr>
        <w:t xml:space="preserve">Proc. </w:t>
      </w:r>
      <w:r w:rsidRPr="00596201">
        <w:rPr>
          <w:rFonts w:ascii="Garamond" w:hAnsi="Garamond" w:cs="Open Sans"/>
          <w:i/>
          <w:iCs/>
          <w:color w:val="262626"/>
        </w:rPr>
        <w:t xml:space="preserve">Natl. Acad. Sci. U.S.A. </w:t>
      </w:r>
      <w:r w:rsidRPr="00596201">
        <w:rPr>
          <w:rFonts w:ascii="Garamond" w:hAnsi="Garamond" w:cs="Open Sans"/>
          <w:color w:val="262626"/>
        </w:rPr>
        <w:t xml:space="preserve">120 (42) e2308360120. </w:t>
      </w:r>
      <w:r w:rsidRPr="00596201">
        <w:rPr>
          <w:rFonts w:ascii="Garamond" w:hAnsi="Garamond" w:cs="Open Sans"/>
        </w:rPr>
        <w:t>https://doi.org/10.1073/pnas.2308360120</w:t>
      </w:r>
    </w:p>
    <w:p w14:paraId="05B6F91F"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Andreev, E. M., Shkolnikov, V., &amp; Begun, A. (2002). Algorithm for decomposition of differences between aggregate demographic measures and its application to life expectancies, healthy life expectancies, parity-progression ratios and total fertility rates. </w:t>
      </w:r>
      <w:r w:rsidRPr="00596201">
        <w:rPr>
          <w:rFonts w:ascii="Garamond" w:hAnsi="Garamond"/>
          <w:i/>
          <w:noProof/>
          <w:lang w:val="en-US"/>
        </w:rPr>
        <w:t>Demographic Research</w:t>
      </w:r>
      <w:r w:rsidRPr="00596201">
        <w:rPr>
          <w:rFonts w:ascii="Garamond" w:hAnsi="Garamond"/>
          <w:noProof/>
          <w:lang w:val="en-US"/>
        </w:rPr>
        <w:t>,</w:t>
      </w:r>
      <w:r w:rsidRPr="00596201">
        <w:rPr>
          <w:rFonts w:ascii="Garamond" w:hAnsi="Garamond"/>
          <w:i/>
          <w:noProof/>
          <w:lang w:val="en-US"/>
        </w:rPr>
        <w:t xml:space="preserve"> 7</w:t>
      </w:r>
      <w:r w:rsidRPr="00596201">
        <w:rPr>
          <w:rFonts w:ascii="Garamond" w:hAnsi="Garamond"/>
          <w:noProof/>
          <w:lang w:val="en-US"/>
        </w:rPr>
        <w:t xml:space="preserve">(14), 499-522. https://www.demographic-research.org/volumes/vol7/14/ </w:t>
      </w:r>
    </w:p>
    <w:p w14:paraId="577FCFE9"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de Gelder, R., Menvielle, G., Costa, G., Kovács, K., Martikainen, P., Strand, B. H., &amp; Mackenbach, J. P. (2017). Long-term trends of inequalities in mortality in 6 European countries. </w:t>
      </w:r>
      <w:r w:rsidRPr="00596201">
        <w:rPr>
          <w:rFonts w:ascii="Garamond" w:hAnsi="Garamond"/>
          <w:i/>
          <w:noProof/>
          <w:lang w:val="en-US"/>
        </w:rPr>
        <w:t>International Journal of Public Health</w:t>
      </w:r>
      <w:r w:rsidRPr="00596201">
        <w:rPr>
          <w:rFonts w:ascii="Garamond" w:hAnsi="Garamond"/>
          <w:noProof/>
          <w:lang w:val="en-US"/>
        </w:rPr>
        <w:t>,</w:t>
      </w:r>
      <w:r w:rsidRPr="00596201">
        <w:rPr>
          <w:rFonts w:ascii="Garamond" w:hAnsi="Garamond"/>
          <w:i/>
          <w:noProof/>
          <w:lang w:val="en-US"/>
        </w:rPr>
        <w:t xml:space="preserve"> 62</w:t>
      </w:r>
      <w:r w:rsidRPr="00596201">
        <w:rPr>
          <w:rFonts w:ascii="Garamond" w:hAnsi="Garamond"/>
          <w:noProof/>
          <w:lang w:val="en-US"/>
        </w:rPr>
        <w:t xml:space="preserve">(1), 127-141. https://doi.org/10.1007/s00038-016-0922-9 </w:t>
      </w:r>
    </w:p>
    <w:p w14:paraId="5D57F995"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Eikemo, T. A., Hoffmann, R., Kulik, M. C., Kulhánová, I., Toch-Marquardt, M., Menvielle, G., Looman, C., Jasilionis, D., Martikainen, P., Lundberg, O., Mackenbach, J. P., &amp; for the, E.-G. B. D. S. E. c. (2014). How Can Inequalities in Mortality Be Reduced? A Quantitative Analysis of 6 Risk Factors in 21 European Populations. </w:t>
      </w:r>
      <w:r w:rsidRPr="00596201">
        <w:rPr>
          <w:rFonts w:ascii="Garamond" w:hAnsi="Garamond"/>
          <w:i/>
          <w:noProof/>
          <w:lang w:val="en-US"/>
        </w:rPr>
        <w:t>PLOS ONE</w:t>
      </w:r>
      <w:r w:rsidRPr="00596201">
        <w:rPr>
          <w:rFonts w:ascii="Garamond" w:hAnsi="Garamond"/>
          <w:noProof/>
          <w:lang w:val="en-US"/>
        </w:rPr>
        <w:t>,</w:t>
      </w:r>
      <w:r w:rsidRPr="00596201">
        <w:rPr>
          <w:rFonts w:ascii="Garamond" w:hAnsi="Garamond"/>
          <w:i/>
          <w:noProof/>
          <w:lang w:val="en-US"/>
        </w:rPr>
        <w:t xml:space="preserve"> 9</w:t>
      </w:r>
      <w:r w:rsidRPr="00596201">
        <w:rPr>
          <w:rFonts w:ascii="Garamond" w:hAnsi="Garamond"/>
          <w:noProof/>
          <w:lang w:val="en-US"/>
        </w:rPr>
        <w:t xml:space="preserve">(11), e110952. https://doi.org/10.1371/journal.pone.0110952 </w:t>
      </w:r>
    </w:p>
    <w:p w14:paraId="130E9E1A"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HMD. (2021). </w:t>
      </w:r>
      <w:r w:rsidRPr="00596201">
        <w:rPr>
          <w:rFonts w:ascii="Garamond" w:hAnsi="Garamond"/>
          <w:i/>
          <w:noProof/>
          <w:lang w:val="en-US"/>
        </w:rPr>
        <w:t>Human Mortality Database, Max Planck Institute for Demographic Research (Germany), University of California, Berkeley (USA), and French Institute for Demographic Studies (France). Retrieved November 19, 2021</w:t>
      </w:r>
      <w:r w:rsidRPr="00596201">
        <w:rPr>
          <w:rFonts w:ascii="Garamond" w:hAnsi="Garamond"/>
          <w:noProof/>
          <w:lang w:val="en-US"/>
        </w:rPr>
        <w:t xml:space="preserve">. Available at www.mortality.org </w:t>
      </w:r>
    </w:p>
    <w:p w14:paraId="32D3FE2C"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Islam, N., García López, F. J., Jdanov, D. A., Royo- Bordonada, M. Á., Khunti, K., Lewington, S., Lacey, B., White, M., Morris, E. J., &amp; Zunzunegui, M. V. (2021). Unequal impact of the Covid-19 pandemic on excess deaths, life expectancy, and premature mortality across Spanish regions in 2020 and 2021. </w:t>
      </w:r>
      <w:r w:rsidRPr="00596201">
        <w:rPr>
          <w:rFonts w:ascii="Garamond" w:hAnsi="Garamond"/>
          <w:i/>
          <w:noProof/>
          <w:lang w:val="en-US"/>
        </w:rPr>
        <w:t>medRxiv</w:t>
      </w:r>
      <w:r w:rsidRPr="00596201">
        <w:rPr>
          <w:rFonts w:ascii="Garamond" w:hAnsi="Garamond"/>
          <w:noProof/>
          <w:lang w:val="en-US"/>
        </w:rPr>
        <w:t xml:space="preserve">, 2021.2011.2029.21266617. https://doi.org/10.1101/2021.11.29.21266617 </w:t>
      </w:r>
    </w:p>
    <w:p w14:paraId="09CAB6B4"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Islam, N., Shkolnikov, V. M., Acosta, R. J., Klimkin, I., Kawachi, I., Irizarry, R. A., Alicandro, G., Khunti, K., Yates, T., Jdanov, D. A., White, M., Lewington, S., &amp; Lacey, B. (2021). Excess deaths associated with covid-19 pandemic in 2020: age and sex disaggregated time series analysis in 29 high income countries. </w:t>
      </w:r>
      <w:r w:rsidRPr="00596201">
        <w:rPr>
          <w:rFonts w:ascii="Garamond" w:hAnsi="Garamond"/>
          <w:i/>
          <w:noProof/>
          <w:lang w:val="en-US"/>
        </w:rPr>
        <w:t>BMJ</w:t>
      </w:r>
      <w:r w:rsidRPr="00596201">
        <w:rPr>
          <w:rFonts w:ascii="Garamond" w:hAnsi="Garamond"/>
          <w:noProof/>
          <w:lang w:val="en-US"/>
        </w:rPr>
        <w:t>,</w:t>
      </w:r>
      <w:r w:rsidRPr="00596201">
        <w:rPr>
          <w:rFonts w:ascii="Garamond" w:hAnsi="Garamond"/>
          <w:i/>
          <w:noProof/>
          <w:lang w:val="en-US"/>
        </w:rPr>
        <w:t xml:space="preserve"> 373</w:t>
      </w:r>
      <w:r w:rsidRPr="00596201">
        <w:rPr>
          <w:rFonts w:ascii="Garamond" w:hAnsi="Garamond"/>
          <w:noProof/>
          <w:lang w:val="en-US"/>
        </w:rPr>
        <w:t xml:space="preserve">, n1137. https://doi.org/10.1136/bmj.n1137 </w:t>
      </w:r>
    </w:p>
    <w:p w14:paraId="40CFCD44" w14:textId="77777777" w:rsidR="00813744" w:rsidRPr="00596201" w:rsidRDefault="00813744" w:rsidP="00932A1C">
      <w:pPr>
        <w:pStyle w:val="EndNoteBibliography"/>
        <w:ind w:left="720" w:hanging="720"/>
        <w:jc w:val="both"/>
        <w:rPr>
          <w:rFonts w:ascii="Garamond" w:hAnsi="Garamond"/>
          <w:noProof/>
          <w:lang w:val="nl-NL"/>
        </w:rPr>
      </w:pPr>
      <w:r w:rsidRPr="00596201">
        <w:rPr>
          <w:rFonts w:ascii="Garamond" w:hAnsi="Garamond"/>
          <w:noProof/>
          <w:lang w:val="en-US"/>
        </w:rPr>
        <w:t xml:space="preserve">Janssen, F. (2018). Advances in mortality forecasting: introduction. </w:t>
      </w:r>
      <w:r w:rsidRPr="00596201">
        <w:rPr>
          <w:rFonts w:ascii="Garamond" w:hAnsi="Garamond"/>
          <w:i/>
          <w:noProof/>
          <w:lang w:val="nl-NL"/>
        </w:rPr>
        <w:t>Genus</w:t>
      </w:r>
      <w:r w:rsidRPr="00596201">
        <w:rPr>
          <w:rFonts w:ascii="Garamond" w:hAnsi="Garamond"/>
          <w:noProof/>
          <w:lang w:val="nl-NL"/>
        </w:rPr>
        <w:t>,</w:t>
      </w:r>
      <w:r w:rsidRPr="00596201">
        <w:rPr>
          <w:rFonts w:ascii="Garamond" w:hAnsi="Garamond"/>
          <w:i/>
          <w:noProof/>
          <w:lang w:val="nl-NL"/>
        </w:rPr>
        <w:t xml:space="preserve"> 74</w:t>
      </w:r>
      <w:r w:rsidRPr="00596201">
        <w:rPr>
          <w:rFonts w:ascii="Garamond" w:hAnsi="Garamond"/>
          <w:noProof/>
          <w:lang w:val="nl-NL"/>
        </w:rPr>
        <w:t xml:space="preserve">(1), 21. https://doi.org/10.1186/s41118-018-0045-7 </w:t>
      </w:r>
    </w:p>
    <w:p w14:paraId="7F02742E"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nl-NL"/>
        </w:rPr>
        <w:t xml:space="preserve">Janssen, F., Van Hemelrijck, W., Kagenaar, E., &amp; Sizer, A. (2024). </w:t>
      </w:r>
      <w:r w:rsidRPr="00596201">
        <w:rPr>
          <w:rFonts w:ascii="Garamond" w:hAnsi="Garamond"/>
          <w:noProof/>
          <w:lang w:val="en-US"/>
        </w:rPr>
        <w:t xml:space="preserve">Enabling the examination of long-term mortality trends by educational level for England and Wales in a time-consistent and internationally comparable manner. </w:t>
      </w:r>
      <w:r w:rsidRPr="00596201">
        <w:rPr>
          <w:rFonts w:ascii="Garamond" w:hAnsi="Garamond"/>
          <w:i/>
          <w:noProof/>
          <w:lang w:val="en-US"/>
        </w:rPr>
        <w:t>Population Health Metrics</w:t>
      </w:r>
      <w:r w:rsidRPr="00596201">
        <w:rPr>
          <w:rFonts w:ascii="Garamond" w:hAnsi="Garamond"/>
          <w:noProof/>
          <w:lang w:val="en-US"/>
        </w:rPr>
        <w:t>,</w:t>
      </w:r>
      <w:r w:rsidRPr="00596201">
        <w:rPr>
          <w:rFonts w:ascii="Garamond" w:hAnsi="Garamond"/>
          <w:i/>
          <w:noProof/>
          <w:lang w:val="en-US"/>
        </w:rPr>
        <w:t xml:space="preserve"> 22</w:t>
      </w:r>
      <w:r w:rsidRPr="00596201">
        <w:rPr>
          <w:rFonts w:ascii="Garamond" w:hAnsi="Garamond"/>
          <w:noProof/>
          <w:lang w:val="en-US"/>
        </w:rPr>
        <w:t xml:space="preserve">(1), 4. https://doi.org/10.1186/s12963-024-00324-2 </w:t>
      </w:r>
    </w:p>
    <w:p w14:paraId="1C2FF7AF"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Lee, R. D., &amp; Carter, L. R. (1992). Modeling and forecasting US mortality. </w:t>
      </w:r>
      <w:r w:rsidRPr="00596201">
        <w:rPr>
          <w:rFonts w:ascii="Garamond" w:hAnsi="Garamond"/>
          <w:i/>
          <w:noProof/>
          <w:lang w:val="en-US"/>
        </w:rPr>
        <w:t>Journal of the American Statistical Association</w:t>
      </w:r>
      <w:r w:rsidRPr="00596201">
        <w:rPr>
          <w:rFonts w:ascii="Garamond" w:hAnsi="Garamond"/>
          <w:noProof/>
          <w:lang w:val="en-US"/>
        </w:rPr>
        <w:t>,</w:t>
      </w:r>
      <w:r w:rsidRPr="00596201">
        <w:rPr>
          <w:rFonts w:ascii="Garamond" w:hAnsi="Garamond"/>
          <w:i/>
          <w:noProof/>
          <w:lang w:val="en-US"/>
        </w:rPr>
        <w:t xml:space="preserve"> 87</w:t>
      </w:r>
      <w:r w:rsidRPr="00596201">
        <w:rPr>
          <w:rFonts w:ascii="Garamond" w:hAnsi="Garamond"/>
          <w:noProof/>
          <w:lang w:val="en-US"/>
        </w:rPr>
        <w:t xml:space="preserve">(419), 659--671. https://doi.org/10.2307/2290201 </w:t>
      </w:r>
    </w:p>
    <w:p w14:paraId="773DA87F"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Marinetti, I., Jdanov, D., Grigoriev, P., Klüsener, S., &amp; Janssen, F. (2023). Effects of the COVID-19 pandemic on life expectancy and premature mortality in the German federal states in </w:t>
      </w:r>
      <w:r w:rsidRPr="00596201">
        <w:rPr>
          <w:rFonts w:ascii="Garamond" w:hAnsi="Garamond"/>
          <w:noProof/>
          <w:lang w:val="en-US"/>
        </w:rPr>
        <w:lastRenderedPageBreak/>
        <w:t xml:space="preserve">2020 and 2021. </w:t>
      </w:r>
      <w:r w:rsidRPr="00596201">
        <w:rPr>
          <w:rFonts w:ascii="Garamond" w:hAnsi="Garamond"/>
          <w:i/>
          <w:noProof/>
          <w:lang w:val="en-US"/>
        </w:rPr>
        <w:t>PLOS ONE</w:t>
      </w:r>
      <w:r w:rsidRPr="00596201">
        <w:rPr>
          <w:rFonts w:ascii="Garamond" w:hAnsi="Garamond"/>
          <w:noProof/>
          <w:lang w:val="en-US"/>
        </w:rPr>
        <w:t>,</w:t>
      </w:r>
      <w:r w:rsidRPr="00596201">
        <w:rPr>
          <w:rFonts w:ascii="Garamond" w:hAnsi="Garamond"/>
          <w:i/>
          <w:noProof/>
          <w:lang w:val="en-US"/>
        </w:rPr>
        <w:t xml:space="preserve"> 18</w:t>
      </w:r>
      <w:r w:rsidRPr="00596201">
        <w:rPr>
          <w:rFonts w:ascii="Garamond" w:hAnsi="Garamond"/>
          <w:noProof/>
          <w:lang w:val="en-US"/>
        </w:rPr>
        <w:t xml:space="preserve">(12), e0295763. https://doi.org/10.1371/journal.pone.0295763 </w:t>
      </w:r>
    </w:p>
    <w:p w14:paraId="13760B9F"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Muggeo, V. M. (2008). Segmented: an R package to fit regression models with broken-line relationships. </w:t>
      </w:r>
      <w:r w:rsidRPr="00596201">
        <w:rPr>
          <w:rFonts w:ascii="Garamond" w:hAnsi="Garamond"/>
          <w:i/>
          <w:noProof/>
          <w:lang w:val="en-US"/>
        </w:rPr>
        <w:t>R news 8</w:t>
      </w:r>
      <w:r w:rsidRPr="00596201">
        <w:rPr>
          <w:rFonts w:ascii="Garamond" w:hAnsi="Garamond"/>
          <w:noProof/>
          <w:lang w:val="en-US"/>
        </w:rPr>
        <w:t xml:space="preserve">, 20-25. </w:t>
      </w:r>
    </w:p>
    <w:p w14:paraId="32A8936D"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ONS. (2019). </w:t>
      </w:r>
      <w:r w:rsidRPr="00596201">
        <w:rPr>
          <w:rFonts w:ascii="Garamond" w:hAnsi="Garamond"/>
          <w:i/>
          <w:noProof/>
          <w:lang w:val="en-US"/>
        </w:rPr>
        <w:t>ONS Longitudinal Study – England and Wales. Office for National Statistics, Released 11 June 2019,</w:t>
      </w:r>
      <w:r w:rsidRPr="00596201">
        <w:rPr>
          <w:rFonts w:ascii="Garamond" w:hAnsi="Garamond"/>
          <w:noProof/>
          <w:lang w:val="en-US"/>
        </w:rPr>
        <w:t xml:space="preserve"> ONS SRS Metadata Catalogue. https://doi.org/doi: 10.57906/z9xn-ng05</w:t>
      </w:r>
    </w:p>
    <w:p w14:paraId="082C8D13"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Preston, S., Heuveline, P., &amp; Guillot, M. (2001). </w:t>
      </w:r>
      <w:r w:rsidRPr="00596201">
        <w:rPr>
          <w:rFonts w:ascii="Garamond" w:hAnsi="Garamond"/>
          <w:i/>
          <w:noProof/>
          <w:lang w:val="en-US"/>
        </w:rPr>
        <w:t>Demography: measuring and modeling population processes</w:t>
      </w:r>
      <w:r w:rsidRPr="00596201">
        <w:rPr>
          <w:rFonts w:ascii="Garamond" w:hAnsi="Garamond"/>
          <w:noProof/>
          <w:lang w:val="en-US"/>
        </w:rPr>
        <w:t xml:space="preserve">. Blackwell Publishers. </w:t>
      </w:r>
    </w:p>
    <w:p w14:paraId="302CC887"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Riffe, T. (2014). </w:t>
      </w:r>
      <w:r w:rsidRPr="00596201">
        <w:rPr>
          <w:rFonts w:ascii="Garamond" w:hAnsi="Garamond"/>
          <w:i/>
          <w:noProof/>
          <w:lang w:val="en-US"/>
        </w:rPr>
        <w:t>Package ‘DemoDecomp’. Decompose Demographic Functions</w:t>
      </w:r>
      <w:r w:rsidRPr="00596201">
        <w:rPr>
          <w:rFonts w:ascii="Garamond" w:hAnsi="Garamond"/>
          <w:noProof/>
          <w:lang w:val="en-US"/>
        </w:rPr>
        <w:t>.</w:t>
      </w:r>
      <w:r w:rsidRPr="00596201">
        <w:rPr>
          <w:rFonts w:ascii="Garamond" w:hAnsi="Garamond"/>
          <w:i/>
          <w:noProof/>
          <w:lang w:val="en-US"/>
        </w:rPr>
        <w:t xml:space="preserve"> </w:t>
      </w:r>
      <w:r w:rsidRPr="00596201">
        <w:rPr>
          <w:rFonts w:ascii="Garamond" w:hAnsi="Garamond"/>
          <w:noProof/>
          <w:lang w:val="en-US"/>
        </w:rPr>
        <w:t xml:space="preserve">In (Version R package version 1.0. 1) </w:t>
      </w:r>
    </w:p>
    <w:p w14:paraId="4115A67B"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Shelton, N., Marshall, C. E., Stuchbury, R., Grundy, E., Dennett, A., Tomlinson, J., Duke-Williams, O., &amp; Xun, W. (2018). Cohort Profile: the Office for National Statistics Longitudinal Study (The LS). </w:t>
      </w:r>
      <w:r w:rsidRPr="00596201">
        <w:rPr>
          <w:rFonts w:ascii="Garamond" w:hAnsi="Garamond"/>
          <w:i/>
          <w:noProof/>
          <w:lang w:val="en-US"/>
        </w:rPr>
        <w:t>International Journal of Epidemiology</w:t>
      </w:r>
      <w:r w:rsidRPr="00596201">
        <w:rPr>
          <w:rFonts w:ascii="Garamond" w:hAnsi="Garamond"/>
          <w:noProof/>
          <w:lang w:val="en-US"/>
        </w:rPr>
        <w:t>,</w:t>
      </w:r>
      <w:r w:rsidRPr="00596201">
        <w:rPr>
          <w:rFonts w:ascii="Garamond" w:hAnsi="Garamond"/>
          <w:i/>
          <w:noProof/>
          <w:lang w:val="en-US"/>
        </w:rPr>
        <w:t xml:space="preserve"> 48</w:t>
      </w:r>
      <w:r w:rsidRPr="00596201">
        <w:rPr>
          <w:rFonts w:ascii="Garamond" w:hAnsi="Garamond"/>
          <w:noProof/>
          <w:lang w:val="en-US"/>
        </w:rPr>
        <w:t xml:space="preserve">(2), 383-384g. https://doi.org/10.1093/ije/dyy243 </w:t>
      </w:r>
    </w:p>
    <w:p w14:paraId="76A08270" w14:textId="77777777" w:rsidR="00813744" w:rsidRPr="00596201" w:rsidRDefault="00813744" w:rsidP="00932A1C">
      <w:pPr>
        <w:pStyle w:val="EndNoteBibliography"/>
        <w:ind w:left="720" w:hanging="720"/>
        <w:jc w:val="both"/>
        <w:rPr>
          <w:rFonts w:ascii="Garamond" w:hAnsi="Garamond"/>
          <w:noProof/>
          <w:lang w:val="en-US"/>
        </w:rPr>
      </w:pPr>
      <w:r w:rsidRPr="00596201">
        <w:rPr>
          <w:rFonts w:ascii="Garamond" w:hAnsi="Garamond"/>
          <w:noProof/>
          <w:lang w:val="en-US"/>
        </w:rPr>
        <w:t xml:space="preserve">Silcocks, P. B. S., Jenner, D. A., &amp; Reza, R. (2001). Life expectancy as a summary of mortality in a population: statistical considerations and suitability for use by health authorities. </w:t>
      </w:r>
      <w:r w:rsidRPr="00596201">
        <w:rPr>
          <w:rFonts w:ascii="Garamond" w:hAnsi="Garamond"/>
          <w:i/>
          <w:noProof/>
          <w:lang w:val="en-US"/>
        </w:rPr>
        <w:t>Journal of Epidemiology and Community Health</w:t>
      </w:r>
      <w:r w:rsidRPr="00596201">
        <w:rPr>
          <w:rFonts w:ascii="Garamond" w:hAnsi="Garamond"/>
          <w:noProof/>
          <w:lang w:val="en-US"/>
        </w:rPr>
        <w:t>,</w:t>
      </w:r>
      <w:r w:rsidRPr="00596201">
        <w:rPr>
          <w:rFonts w:ascii="Garamond" w:hAnsi="Garamond"/>
          <w:i/>
          <w:noProof/>
          <w:lang w:val="en-US"/>
        </w:rPr>
        <w:t xml:space="preserve"> 55</w:t>
      </w:r>
      <w:r w:rsidRPr="00596201">
        <w:rPr>
          <w:rFonts w:ascii="Garamond" w:hAnsi="Garamond"/>
          <w:noProof/>
          <w:lang w:val="en-US"/>
        </w:rPr>
        <w:t xml:space="preserve">(1), 38-43. https://doi.org/10.1136/jech.55.1.38 </w:t>
      </w:r>
    </w:p>
    <w:p w14:paraId="06B90704" w14:textId="77777777" w:rsidR="00813744" w:rsidRPr="004431D5" w:rsidRDefault="00813744" w:rsidP="00932A1C">
      <w:pPr>
        <w:pStyle w:val="EndNoteBibliography"/>
        <w:ind w:left="720" w:hanging="720"/>
        <w:jc w:val="both"/>
        <w:rPr>
          <w:rFonts w:ascii="Garamond" w:hAnsi="Garamond"/>
          <w:noProof/>
        </w:rPr>
      </w:pPr>
      <w:r w:rsidRPr="00596201">
        <w:rPr>
          <w:rFonts w:ascii="Garamond" w:hAnsi="Garamond"/>
          <w:noProof/>
          <w:lang w:val="en-US"/>
        </w:rPr>
        <w:t xml:space="preserve">UNESCO. (1997). </w:t>
      </w:r>
      <w:r w:rsidRPr="00596201">
        <w:rPr>
          <w:rFonts w:ascii="Garamond" w:hAnsi="Garamond"/>
          <w:i/>
          <w:noProof/>
          <w:lang w:val="en-US"/>
        </w:rPr>
        <w:t>International standard classification of education-ISCED 1997</w:t>
      </w:r>
      <w:r w:rsidRPr="00596201">
        <w:rPr>
          <w:rFonts w:ascii="Garamond" w:hAnsi="Garamond"/>
          <w:noProof/>
          <w:lang w:val="en-US"/>
        </w:rPr>
        <w:t xml:space="preserve">. </w:t>
      </w:r>
      <w:r w:rsidRPr="00596201">
        <w:rPr>
          <w:rFonts w:ascii="Garamond" w:hAnsi="Garamond"/>
          <w:noProof/>
        </w:rPr>
        <w:t>United Nations Educational, Scientific and Cultural Organization.</w:t>
      </w:r>
      <w:r w:rsidRPr="004431D5">
        <w:rPr>
          <w:rFonts w:ascii="Garamond" w:hAnsi="Garamond"/>
          <w:noProof/>
        </w:rPr>
        <w:t xml:space="preserve"> </w:t>
      </w:r>
    </w:p>
    <w:p w14:paraId="034ECF64" w14:textId="77777777" w:rsidR="00813744" w:rsidRPr="00625DF8" w:rsidRDefault="00813744" w:rsidP="00932A1C">
      <w:pPr>
        <w:jc w:val="both"/>
        <w:rPr>
          <w:rFonts w:ascii="Garamond" w:hAnsi="Garamond"/>
        </w:rPr>
      </w:pPr>
    </w:p>
    <w:p w14:paraId="0176E5E1" w14:textId="77777777" w:rsidR="00627BAC" w:rsidRDefault="00627BAC"/>
    <w:sectPr w:rsidR="00627BAC" w:rsidSect="00935AD9">
      <w:headerReference w:type="even" r:id="rId17"/>
      <w:headerReference w:type="default" r:id="rId18"/>
      <w:footerReference w:type="even" r:id="rId19"/>
      <w:footerReference w:type="default" r:id="rId20"/>
      <w:headerReference w:type="first" r:id="rId21"/>
      <w:footerReference w:type="first" r:id="rId22"/>
      <w:pgSz w:w="12240" w:h="15840"/>
      <w:pgMar w:top="1417" w:right="1701" w:bottom="1417" w:left="1701"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C399E" w14:textId="77777777" w:rsidR="00181161" w:rsidRDefault="00181161">
      <w:r>
        <w:separator/>
      </w:r>
    </w:p>
  </w:endnote>
  <w:endnote w:type="continuationSeparator" w:id="0">
    <w:p w14:paraId="0856DCAE" w14:textId="77777777" w:rsidR="00181161" w:rsidRDefault="00181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17220668"/>
      <w:docPartObj>
        <w:docPartGallery w:val="Page Numbers (Bottom of Page)"/>
        <w:docPartUnique/>
      </w:docPartObj>
    </w:sdtPr>
    <w:sdtContent>
      <w:p w14:paraId="438C0185" w14:textId="77777777" w:rsidR="002018FD" w:rsidRDefault="002C7539" w:rsidP="00660B6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 xml:space="preserve">- 2 </w:t>
        </w:r>
        <w:r>
          <w:rPr>
            <w:rStyle w:val="Nmerodepgina"/>
            <w:noProof/>
          </w:rPr>
          <w:t>-</w:t>
        </w:r>
        <w:r>
          <w:rPr>
            <w:rStyle w:val="Nmerodepgina"/>
          </w:rPr>
          <w:fldChar w:fldCharType="end"/>
        </w:r>
      </w:p>
    </w:sdtContent>
  </w:sdt>
  <w:p w14:paraId="6D232740" w14:textId="77777777" w:rsidR="002018FD" w:rsidRDefault="002018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311680092"/>
      <w:docPartObj>
        <w:docPartGallery w:val="Page Numbers (Bottom of Page)"/>
        <w:docPartUnique/>
      </w:docPartObj>
    </w:sdtPr>
    <w:sdtContent>
      <w:p w14:paraId="0966D639" w14:textId="77777777" w:rsidR="002018FD" w:rsidRDefault="002C7539" w:rsidP="00660B6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934FB22" w14:textId="77777777" w:rsidR="002018FD" w:rsidRDefault="002018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B6D88" w14:textId="77777777" w:rsidR="00935AD9" w:rsidRDefault="00935A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0922A" w14:textId="77777777" w:rsidR="00181161" w:rsidRDefault="00181161">
      <w:r>
        <w:separator/>
      </w:r>
    </w:p>
  </w:footnote>
  <w:footnote w:type="continuationSeparator" w:id="0">
    <w:p w14:paraId="05920740" w14:textId="77777777" w:rsidR="00181161" w:rsidRDefault="00181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D14A3" w14:textId="77777777" w:rsidR="00935AD9" w:rsidRDefault="00935A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26FF7" w14:textId="77777777" w:rsidR="00935AD9" w:rsidRDefault="00935AD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ED923" w14:textId="77777777" w:rsidR="00935AD9" w:rsidRDefault="00935A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1751DE"/>
    <w:multiLevelType w:val="hybridMultilevel"/>
    <w:tmpl w:val="280A5B06"/>
    <w:lvl w:ilvl="0" w:tplc="A162DE56">
      <w:numFmt w:val="bullet"/>
      <w:lvlText w:val="-"/>
      <w:lvlJc w:val="left"/>
      <w:pPr>
        <w:ind w:left="720" w:hanging="360"/>
      </w:pPr>
      <w:rPr>
        <w:rFonts w:ascii="Aptos" w:eastAsiaTheme="minorHAnsi" w:hAnsi="Aptos"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5351AFF"/>
    <w:multiLevelType w:val="hybridMultilevel"/>
    <w:tmpl w:val="276CABB0"/>
    <w:lvl w:ilvl="0" w:tplc="C910DF1E">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5C01965"/>
    <w:multiLevelType w:val="hybridMultilevel"/>
    <w:tmpl w:val="FF8EA4FC"/>
    <w:lvl w:ilvl="0" w:tplc="CB807146">
      <w:numFmt w:val="bullet"/>
      <w:lvlText w:val="-"/>
      <w:lvlJc w:val="left"/>
      <w:pPr>
        <w:ind w:left="720" w:hanging="360"/>
      </w:pPr>
      <w:rPr>
        <w:rFonts w:ascii="Garamond" w:eastAsiaTheme="minorHAnsi" w:hAnsi="Garamond"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5446205">
    <w:abstractNumId w:val="1"/>
  </w:num>
  <w:num w:numId="2" w16cid:durableId="1431118178">
    <w:abstractNumId w:val="2"/>
  </w:num>
  <w:num w:numId="3" w16cid:durableId="1637442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13744"/>
    <w:rsid w:val="00000774"/>
    <w:rsid w:val="00004FF7"/>
    <w:rsid w:val="00013C7C"/>
    <w:rsid w:val="00013E75"/>
    <w:rsid w:val="000219A0"/>
    <w:rsid w:val="00023207"/>
    <w:rsid w:val="00024451"/>
    <w:rsid w:val="0004328B"/>
    <w:rsid w:val="000452B1"/>
    <w:rsid w:val="000501BC"/>
    <w:rsid w:val="000508A5"/>
    <w:rsid w:val="00051075"/>
    <w:rsid w:val="00051A5D"/>
    <w:rsid w:val="00052F64"/>
    <w:rsid w:val="00053EC4"/>
    <w:rsid w:val="0006228C"/>
    <w:rsid w:val="00063E87"/>
    <w:rsid w:val="000644C4"/>
    <w:rsid w:val="0006524A"/>
    <w:rsid w:val="00067544"/>
    <w:rsid w:val="00070372"/>
    <w:rsid w:val="000745B1"/>
    <w:rsid w:val="00082AA1"/>
    <w:rsid w:val="00082CBF"/>
    <w:rsid w:val="00084146"/>
    <w:rsid w:val="0009027C"/>
    <w:rsid w:val="00091948"/>
    <w:rsid w:val="00094AD8"/>
    <w:rsid w:val="00094EF0"/>
    <w:rsid w:val="00097F60"/>
    <w:rsid w:val="000A7510"/>
    <w:rsid w:val="000B5FD6"/>
    <w:rsid w:val="000C2DFE"/>
    <w:rsid w:val="000C3CB0"/>
    <w:rsid w:val="000D0AB1"/>
    <w:rsid w:val="000D4F5D"/>
    <w:rsid w:val="000E1E61"/>
    <w:rsid w:val="000F00ED"/>
    <w:rsid w:val="000F3C74"/>
    <w:rsid w:val="000F5071"/>
    <w:rsid w:val="000F6E2E"/>
    <w:rsid w:val="000F75DE"/>
    <w:rsid w:val="000F77F0"/>
    <w:rsid w:val="00101515"/>
    <w:rsid w:val="00104E31"/>
    <w:rsid w:val="0010615F"/>
    <w:rsid w:val="00111282"/>
    <w:rsid w:val="001113ED"/>
    <w:rsid w:val="00111455"/>
    <w:rsid w:val="00111EA5"/>
    <w:rsid w:val="001159CD"/>
    <w:rsid w:val="00115A4A"/>
    <w:rsid w:val="00116B1C"/>
    <w:rsid w:val="00117925"/>
    <w:rsid w:val="0012080F"/>
    <w:rsid w:val="0012294F"/>
    <w:rsid w:val="00122A6D"/>
    <w:rsid w:val="0012399E"/>
    <w:rsid w:val="00126889"/>
    <w:rsid w:val="001273D4"/>
    <w:rsid w:val="00130ACA"/>
    <w:rsid w:val="0013421C"/>
    <w:rsid w:val="001346CF"/>
    <w:rsid w:val="0013488C"/>
    <w:rsid w:val="00137480"/>
    <w:rsid w:val="00137C2A"/>
    <w:rsid w:val="00140CE6"/>
    <w:rsid w:val="00140D50"/>
    <w:rsid w:val="001438D2"/>
    <w:rsid w:val="001477EF"/>
    <w:rsid w:val="00151336"/>
    <w:rsid w:val="001546F2"/>
    <w:rsid w:val="00154F2D"/>
    <w:rsid w:val="0015602B"/>
    <w:rsid w:val="00161874"/>
    <w:rsid w:val="00163ECE"/>
    <w:rsid w:val="0016457F"/>
    <w:rsid w:val="00166D18"/>
    <w:rsid w:val="00181161"/>
    <w:rsid w:val="0018457E"/>
    <w:rsid w:val="0018709F"/>
    <w:rsid w:val="00187910"/>
    <w:rsid w:val="0019067E"/>
    <w:rsid w:val="00192674"/>
    <w:rsid w:val="00193450"/>
    <w:rsid w:val="00193BAA"/>
    <w:rsid w:val="0019518D"/>
    <w:rsid w:val="001A0DB7"/>
    <w:rsid w:val="001A10FD"/>
    <w:rsid w:val="001A1243"/>
    <w:rsid w:val="001A2B65"/>
    <w:rsid w:val="001A3662"/>
    <w:rsid w:val="001A5350"/>
    <w:rsid w:val="001A605B"/>
    <w:rsid w:val="001A7BAC"/>
    <w:rsid w:val="001A7FF8"/>
    <w:rsid w:val="001B0D37"/>
    <w:rsid w:val="001C36AD"/>
    <w:rsid w:val="001C383C"/>
    <w:rsid w:val="001C5597"/>
    <w:rsid w:val="001C5FC5"/>
    <w:rsid w:val="001C7F24"/>
    <w:rsid w:val="001D11D8"/>
    <w:rsid w:val="001D1CCB"/>
    <w:rsid w:val="001D20A8"/>
    <w:rsid w:val="001D5853"/>
    <w:rsid w:val="001D657E"/>
    <w:rsid w:val="001D6896"/>
    <w:rsid w:val="001E3B34"/>
    <w:rsid w:val="001E5E77"/>
    <w:rsid w:val="001E77A9"/>
    <w:rsid w:val="001F109C"/>
    <w:rsid w:val="001F29BE"/>
    <w:rsid w:val="001F3030"/>
    <w:rsid w:val="001F41BA"/>
    <w:rsid w:val="001F6725"/>
    <w:rsid w:val="00200DEA"/>
    <w:rsid w:val="002018FD"/>
    <w:rsid w:val="00204C47"/>
    <w:rsid w:val="0021003D"/>
    <w:rsid w:val="002155C4"/>
    <w:rsid w:val="00215A02"/>
    <w:rsid w:val="0021746B"/>
    <w:rsid w:val="0021767B"/>
    <w:rsid w:val="00221F24"/>
    <w:rsid w:val="00222B5C"/>
    <w:rsid w:val="00224F6D"/>
    <w:rsid w:val="00226AB9"/>
    <w:rsid w:val="002356D7"/>
    <w:rsid w:val="0023680E"/>
    <w:rsid w:val="00237E7A"/>
    <w:rsid w:val="002512FA"/>
    <w:rsid w:val="00253C3A"/>
    <w:rsid w:val="00255E03"/>
    <w:rsid w:val="0025748B"/>
    <w:rsid w:val="00266939"/>
    <w:rsid w:val="00266E6E"/>
    <w:rsid w:val="00272DFE"/>
    <w:rsid w:val="002730EC"/>
    <w:rsid w:val="002761B2"/>
    <w:rsid w:val="00277710"/>
    <w:rsid w:val="00282F3C"/>
    <w:rsid w:val="002838A9"/>
    <w:rsid w:val="00284843"/>
    <w:rsid w:val="00287B79"/>
    <w:rsid w:val="002900C4"/>
    <w:rsid w:val="002A2074"/>
    <w:rsid w:val="002A3E91"/>
    <w:rsid w:val="002B145F"/>
    <w:rsid w:val="002B1833"/>
    <w:rsid w:val="002B4619"/>
    <w:rsid w:val="002B73FC"/>
    <w:rsid w:val="002B7734"/>
    <w:rsid w:val="002C2D9C"/>
    <w:rsid w:val="002C2F62"/>
    <w:rsid w:val="002C36CD"/>
    <w:rsid w:val="002C7539"/>
    <w:rsid w:val="002C7AED"/>
    <w:rsid w:val="002D338F"/>
    <w:rsid w:val="002D3502"/>
    <w:rsid w:val="002D39C9"/>
    <w:rsid w:val="002D3AD3"/>
    <w:rsid w:val="002E3D1F"/>
    <w:rsid w:val="002E5F2E"/>
    <w:rsid w:val="002F369D"/>
    <w:rsid w:val="002F5E41"/>
    <w:rsid w:val="00303487"/>
    <w:rsid w:val="00303E22"/>
    <w:rsid w:val="0030558E"/>
    <w:rsid w:val="00305954"/>
    <w:rsid w:val="003108FC"/>
    <w:rsid w:val="00311FED"/>
    <w:rsid w:val="00314B50"/>
    <w:rsid w:val="003152E6"/>
    <w:rsid w:val="00317327"/>
    <w:rsid w:val="00323CAD"/>
    <w:rsid w:val="00323F1C"/>
    <w:rsid w:val="00324A38"/>
    <w:rsid w:val="00325DF4"/>
    <w:rsid w:val="00330073"/>
    <w:rsid w:val="00330D4E"/>
    <w:rsid w:val="0033106D"/>
    <w:rsid w:val="00331EB0"/>
    <w:rsid w:val="00333D47"/>
    <w:rsid w:val="003354D8"/>
    <w:rsid w:val="0034095A"/>
    <w:rsid w:val="003439A6"/>
    <w:rsid w:val="00345676"/>
    <w:rsid w:val="00345B45"/>
    <w:rsid w:val="00360768"/>
    <w:rsid w:val="00362DEB"/>
    <w:rsid w:val="0036390D"/>
    <w:rsid w:val="00366ED9"/>
    <w:rsid w:val="00373AB9"/>
    <w:rsid w:val="003755CB"/>
    <w:rsid w:val="0037597A"/>
    <w:rsid w:val="00380072"/>
    <w:rsid w:val="00380C03"/>
    <w:rsid w:val="00380E86"/>
    <w:rsid w:val="00384C15"/>
    <w:rsid w:val="003877DD"/>
    <w:rsid w:val="00391FC9"/>
    <w:rsid w:val="003920AA"/>
    <w:rsid w:val="0039395B"/>
    <w:rsid w:val="00396EBE"/>
    <w:rsid w:val="00397C0A"/>
    <w:rsid w:val="003B22FE"/>
    <w:rsid w:val="003B7AF5"/>
    <w:rsid w:val="003C2743"/>
    <w:rsid w:val="003D20C8"/>
    <w:rsid w:val="003D3A5D"/>
    <w:rsid w:val="003E1F57"/>
    <w:rsid w:val="003E2D9E"/>
    <w:rsid w:val="003E5D1E"/>
    <w:rsid w:val="003E5FF6"/>
    <w:rsid w:val="003E69EF"/>
    <w:rsid w:val="003F0761"/>
    <w:rsid w:val="003F11AB"/>
    <w:rsid w:val="003F798F"/>
    <w:rsid w:val="00404395"/>
    <w:rsid w:val="00405512"/>
    <w:rsid w:val="00406BFF"/>
    <w:rsid w:val="0041068C"/>
    <w:rsid w:val="00410C99"/>
    <w:rsid w:val="004117BB"/>
    <w:rsid w:val="004131CD"/>
    <w:rsid w:val="00417D93"/>
    <w:rsid w:val="00423D24"/>
    <w:rsid w:val="004247B2"/>
    <w:rsid w:val="00436D50"/>
    <w:rsid w:val="00443524"/>
    <w:rsid w:val="00444B8F"/>
    <w:rsid w:val="0044575E"/>
    <w:rsid w:val="00446B3B"/>
    <w:rsid w:val="00450A75"/>
    <w:rsid w:val="00452691"/>
    <w:rsid w:val="00453763"/>
    <w:rsid w:val="0045469A"/>
    <w:rsid w:val="0045505F"/>
    <w:rsid w:val="004551A1"/>
    <w:rsid w:val="004557A1"/>
    <w:rsid w:val="00456F26"/>
    <w:rsid w:val="00456FBD"/>
    <w:rsid w:val="00461EC7"/>
    <w:rsid w:val="0046234E"/>
    <w:rsid w:val="00464C2E"/>
    <w:rsid w:val="004720BB"/>
    <w:rsid w:val="00473AE7"/>
    <w:rsid w:val="00474CCE"/>
    <w:rsid w:val="00475097"/>
    <w:rsid w:val="00475760"/>
    <w:rsid w:val="00475AB3"/>
    <w:rsid w:val="00476035"/>
    <w:rsid w:val="00476137"/>
    <w:rsid w:val="0047648E"/>
    <w:rsid w:val="0047689C"/>
    <w:rsid w:val="00482630"/>
    <w:rsid w:val="0049347C"/>
    <w:rsid w:val="00496200"/>
    <w:rsid w:val="004A22A5"/>
    <w:rsid w:val="004A2DD1"/>
    <w:rsid w:val="004A3718"/>
    <w:rsid w:val="004A5E93"/>
    <w:rsid w:val="004A7244"/>
    <w:rsid w:val="004B25D6"/>
    <w:rsid w:val="004B2637"/>
    <w:rsid w:val="004B2AAE"/>
    <w:rsid w:val="004B3118"/>
    <w:rsid w:val="004C04EC"/>
    <w:rsid w:val="004C20F6"/>
    <w:rsid w:val="004C4653"/>
    <w:rsid w:val="004C4F7C"/>
    <w:rsid w:val="004C6CE1"/>
    <w:rsid w:val="004C7970"/>
    <w:rsid w:val="004D4BC0"/>
    <w:rsid w:val="004D5686"/>
    <w:rsid w:val="004D73A7"/>
    <w:rsid w:val="004E3776"/>
    <w:rsid w:val="004F0440"/>
    <w:rsid w:val="004F1E91"/>
    <w:rsid w:val="004F2650"/>
    <w:rsid w:val="004F3FCC"/>
    <w:rsid w:val="00507565"/>
    <w:rsid w:val="00510273"/>
    <w:rsid w:val="005216D7"/>
    <w:rsid w:val="005221B2"/>
    <w:rsid w:val="0052660B"/>
    <w:rsid w:val="00530C6E"/>
    <w:rsid w:val="0053466F"/>
    <w:rsid w:val="00535D0D"/>
    <w:rsid w:val="00536499"/>
    <w:rsid w:val="00542015"/>
    <w:rsid w:val="005440FF"/>
    <w:rsid w:val="0054690E"/>
    <w:rsid w:val="00547005"/>
    <w:rsid w:val="00547701"/>
    <w:rsid w:val="00550518"/>
    <w:rsid w:val="005507F3"/>
    <w:rsid w:val="00553299"/>
    <w:rsid w:val="00553F49"/>
    <w:rsid w:val="00555038"/>
    <w:rsid w:val="00555307"/>
    <w:rsid w:val="005566E3"/>
    <w:rsid w:val="00556D6A"/>
    <w:rsid w:val="00565B3A"/>
    <w:rsid w:val="00567C56"/>
    <w:rsid w:val="00571AA0"/>
    <w:rsid w:val="00572601"/>
    <w:rsid w:val="0058220E"/>
    <w:rsid w:val="00587DC3"/>
    <w:rsid w:val="00591029"/>
    <w:rsid w:val="00591363"/>
    <w:rsid w:val="00593A58"/>
    <w:rsid w:val="005944F2"/>
    <w:rsid w:val="00596201"/>
    <w:rsid w:val="005970B3"/>
    <w:rsid w:val="005A0438"/>
    <w:rsid w:val="005A33BC"/>
    <w:rsid w:val="005A5678"/>
    <w:rsid w:val="005A571C"/>
    <w:rsid w:val="005A5E68"/>
    <w:rsid w:val="005A67B0"/>
    <w:rsid w:val="005B13A2"/>
    <w:rsid w:val="005B1A70"/>
    <w:rsid w:val="005B5385"/>
    <w:rsid w:val="005C0E67"/>
    <w:rsid w:val="005C7FB3"/>
    <w:rsid w:val="005D0213"/>
    <w:rsid w:val="005D3DBE"/>
    <w:rsid w:val="005D4441"/>
    <w:rsid w:val="005D4911"/>
    <w:rsid w:val="005E5D08"/>
    <w:rsid w:val="005E5E53"/>
    <w:rsid w:val="005E6813"/>
    <w:rsid w:val="005F0CD4"/>
    <w:rsid w:val="005F3FC6"/>
    <w:rsid w:val="005F71C4"/>
    <w:rsid w:val="00607EE4"/>
    <w:rsid w:val="00614EA1"/>
    <w:rsid w:val="00617749"/>
    <w:rsid w:val="006202E9"/>
    <w:rsid w:val="0062278D"/>
    <w:rsid w:val="0062642C"/>
    <w:rsid w:val="00627BAC"/>
    <w:rsid w:val="00630610"/>
    <w:rsid w:val="006329DB"/>
    <w:rsid w:val="00632EC6"/>
    <w:rsid w:val="00632EE2"/>
    <w:rsid w:val="00634760"/>
    <w:rsid w:val="0064125F"/>
    <w:rsid w:val="00642FCA"/>
    <w:rsid w:val="00643466"/>
    <w:rsid w:val="00644737"/>
    <w:rsid w:val="00645F1F"/>
    <w:rsid w:val="00646910"/>
    <w:rsid w:val="00646E29"/>
    <w:rsid w:val="00647D7C"/>
    <w:rsid w:val="006508AF"/>
    <w:rsid w:val="00652704"/>
    <w:rsid w:val="0065331C"/>
    <w:rsid w:val="00653F4F"/>
    <w:rsid w:val="00663352"/>
    <w:rsid w:val="00664719"/>
    <w:rsid w:val="006667B7"/>
    <w:rsid w:val="00666B3E"/>
    <w:rsid w:val="006705AE"/>
    <w:rsid w:val="00677104"/>
    <w:rsid w:val="00682DA9"/>
    <w:rsid w:val="00684E95"/>
    <w:rsid w:val="00685A32"/>
    <w:rsid w:val="006862E1"/>
    <w:rsid w:val="006A67E0"/>
    <w:rsid w:val="006A6DE9"/>
    <w:rsid w:val="006B15FD"/>
    <w:rsid w:val="006B169B"/>
    <w:rsid w:val="006C2CFA"/>
    <w:rsid w:val="006C347B"/>
    <w:rsid w:val="006C5983"/>
    <w:rsid w:val="006C688C"/>
    <w:rsid w:val="006D2103"/>
    <w:rsid w:val="006D5A5B"/>
    <w:rsid w:val="006E53F6"/>
    <w:rsid w:val="006F1FB8"/>
    <w:rsid w:val="006F237B"/>
    <w:rsid w:val="006F2745"/>
    <w:rsid w:val="006F3FE4"/>
    <w:rsid w:val="006F52DC"/>
    <w:rsid w:val="006F5A28"/>
    <w:rsid w:val="006F6318"/>
    <w:rsid w:val="00700AE1"/>
    <w:rsid w:val="007015D4"/>
    <w:rsid w:val="00703AC0"/>
    <w:rsid w:val="00703CD8"/>
    <w:rsid w:val="00714224"/>
    <w:rsid w:val="00716CD6"/>
    <w:rsid w:val="0072188B"/>
    <w:rsid w:val="00721DBD"/>
    <w:rsid w:val="00724AEB"/>
    <w:rsid w:val="00724C9C"/>
    <w:rsid w:val="00724DEE"/>
    <w:rsid w:val="007260F9"/>
    <w:rsid w:val="007309CD"/>
    <w:rsid w:val="00734849"/>
    <w:rsid w:val="0073734E"/>
    <w:rsid w:val="00737E49"/>
    <w:rsid w:val="00741374"/>
    <w:rsid w:val="007507CE"/>
    <w:rsid w:val="0075154F"/>
    <w:rsid w:val="00753F2A"/>
    <w:rsid w:val="00755A9A"/>
    <w:rsid w:val="00756FB6"/>
    <w:rsid w:val="00757A99"/>
    <w:rsid w:val="00761775"/>
    <w:rsid w:val="00763042"/>
    <w:rsid w:val="00765078"/>
    <w:rsid w:val="007715A4"/>
    <w:rsid w:val="007720E7"/>
    <w:rsid w:val="007743FA"/>
    <w:rsid w:val="00775BB7"/>
    <w:rsid w:val="00783F93"/>
    <w:rsid w:val="0078435F"/>
    <w:rsid w:val="00785731"/>
    <w:rsid w:val="007870F1"/>
    <w:rsid w:val="00787E17"/>
    <w:rsid w:val="00792617"/>
    <w:rsid w:val="00793B84"/>
    <w:rsid w:val="0079432C"/>
    <w:rsid w:val="00797A57"/>
    <w:rsid w:val="00797E0B"/>
    <w:rsid w:val="007A51F5"/>
    <w:rsid w:val="007A77E5"/>
    <w:rsid w:val="007B6623"/>
    <w:rsid w:val="007B7A51"/>
    <w:rsid w:val="007D1F12"/>
    <w:rsid w:val="007D46D1"/>
    <w:rsid w:val="007D53AB"/>
    <w:rsid w:val="007E0B5A"/>
    <w:rsid w:val="007E0B82"/>
    <w:rsid w:val="007E49CC"/>
    <w:rsid w:val="007F0F6F"/>
    <w:rsid w:val="007F2247"/>
    <w:rsid w:val="007F283D"/>
    <w:rsid w:val="007F2D75"/>
    <w:rsid w:val="007F4867"/>
    <w:rsid w:val="007F6D9D"/>
    <w:rsid w:val="0080173F"/>
    <w:rsid w:val="00801B34"/>
    <w:rsid w:val="008021A7"/>
    <w:rsid w:val="00804298"/>
    <w:rsid w:val="00804EB6"/>
    <w:rsid w:val="008060A2"/>
    <w:rsid w:val="00807D17"/>
    <w:rsid w:val="008110D2"/>
    <w:rsid w:val="00813744"/>
    <w:rsid w:val="00813D4F"/>
    <w:rsid w:val="00815AF3"/>
    <w:rsid w:val="00816F9C"/>
    <w:rsid w:val="008170D5"/>
    <w:rsid w:val="0082413A"/>
    <w:rsid w:val="00830F8B"/>
    <w:rsid w:val="00835D54"/>
    <w:rsid w:val="008410FB"/>
    <w:rsid w:val="008422E8"/>
    <w:rsid w:val="00844D4C"/>
    <w:rsid w:val="00846BE8"/>
    <w:rsid w:val="008544DC"/>
    <w:rsid w:val="00855B27"/>
    <w:rsid w:val="00856739"/>
    <w:rsid w:val="008622C2"/>
    <w:rsid w:val="008638CE"/>
    <w:rsid w:val="00865778"/>
    <w:rsid w:val="008673B5"/>
    <w:rsid w:val="00872784"/>
    <w:rsid w:val="00872D65"/>
    <w:rsid w:val="00872F53"/>
    <w:rsid w:val="008748BD"/>
    <w:rsid w:val="00880A66"/>
    <w:rsid w:val="00881723"/>
    <w:rsid w:val="008836F9"/>
    <w:rsid w:val="008929E4"/>
    <w:rsid w:val="00894C84"/>
    <w:rsid w:val="008A32EA"/>
    <w:rsid w:val="008A6A71"/>
    <w:rsid w:val="008A749E"/>
    <w:rsid w:val="008B16FB"/>
    <w:rsid w:val="008B2C78"/>
    <w:rsid w:val="008B4388"/>
    <w:rsid w:val="008B587B"/>
    <w:rsid w:val="008B60B4"/>
    <w:rsid w:val="008B6CF5"/>
    <w:rsid w:val="008B7D90"/>
    <w:rsid w:val="008C09B4"/>
    <w:rsid w:val="008C2C0B"/>
    <w:rsid w:val="008C321B"/>
    <w:rsid w:val="008C3B23"/>
    <w:rsid w:val="008C5387"/>
    <w:rsid w:val="008C67AF"/>
    <w:rsid w:val="008C7D64"/>
    <w:rsid w:val="008D00E5"/>
    <w:rsid w:val="008D0709"/>
    <w:rsid w:val="008D1228"/>
    <w:rsid w:val="008D3401"/>
    <w:rsid w:val="008D66D8"/>
    <w:rsid w:val="008E2561"/>
    <w:rsid w:val="008E370F"/>
    <w:rsid w:val="008E70AE"/>
    <w:rsid w:val="008E79E9"/>
    <w:rsid w:val="008F12C2"/>
    <w:rsid w:val="008F3E3D"/>
    <w:rsid w:val="008F5DA5"/>
    <w:rsid w:val="00900407"/>
    <w:rsid w:val="00903A0E"/>
    <w:rsid w:val="0092097C"/>
    <w:rsid w:val="009232CA"/>
    <w:rsid w:val="00924E29"/>
    <w:rsid w:val="009252BF"/>
    <w:rsid w:val="00930D2D"/>
    <w:rsid w:val="00934A5B"/>
    <w:rsid w:val="00935AD9"/>
    <w:rsid w:val="009435DA"/>
    <w:rsid w:val="00946838"/>
    <w:rsid w:val="00955F06"/>
    <w:rsid w:val="0096089D"/>
    <w:rsid w:val="00964EC2"/>
    <w:rsid w:val="00967198"/>
    <w:rsid w:val="00972111"/>
    <w:rsid w:val="00972265"/>
    <w:rsid w:val="00973AC6"/>
    <w:rsid w:val="00973E58"/>
    <w:rsid w:val="00990567"/>
    <w:rsid w:val="009907C6"/>
    <w:rsid w:val="00990889"/>
    <w:rsid w:val="00994413"/>
    <w:rsid w:val="00994DC3"/>
    <w:rsid w:val="009A0A47"/>
    <w:rsid w:val="009A2E6C"/>
    <w:rsid w:val="009A33FF"/>
    <w:rsid w:val="009A60BB"/>
    <w:rsid w:val="009B2827"/>
    <w:rsid w:val="009B48D9"/>
    <w:rsid w:val="009B7D28"/>
    <w:rsid w:val="009B7E0D"/>
    <w:rsid w:val="009C4609"/>
    <w:rsid w:val="009C6BF1"/>
    <w:rsid w:val="009C6D79"/>
    <w:rsid w:val="009D2262"/>
    <w:rsid w:val="009D6197"/>
    <w:rsid w:val="009E20C8"/>
    <w:rsid w:val="009E44BB"/>
    <w:rsid w:val="009E46F3"/>
    <w:rsid w:val="009E6F14"/>
    <w:rsid w:val="009F1D70"/>
    <w:rsid w:val="009F1DF3"/>
    <w:rsid w:val="009F202C"/>
    <w:rsid w:val="009F61E8"/>
    <w:rsid w:val="009F6EAC"/>
    <w:rsid w:val="00A010B3"/>
    <w:rsid w:val="00A020F4"/>
    <w:rsid w:val="00A06C48"/>
    <w:rsid w:val="00A0735C"/>
    <w:rsid w:val="00A24089"/>
    <w:rsid w:val="00A27B57"/>
    <w:rsid w:val="00A3128C"/>
    <w:rsid w:val="00A3289D"/>
    <w:rsid w:val="00A3565E"/>
    <w:rsid w:val="00A37709"/>
    <w:rsid w:val="00A455B1"/>
    <w:rsid w:val="00A504BB"/>
    <w:rsid w:val="00A51626"/>
    <w:rsid w:val="00A52B76"/>
    <w:rsid w:val="00A53237"/>
    <w:rsid w:val="00A533D6"/>
    <w:rsid w:val="00A572DF"/>
    <w:rsid w:val="00A6739E"/>
    <w:rsid w:val="00A710C8"/>
    <w:rsid w:val="00A7693D"/>
    <w:rsid w:val="00A80011"/>
    <w:rsid w:val="00A81EAE"/>
    <w:rsid w:val="00A8231C"/>
    <w:rsid w:val="00A83183"/>
    <w:rsid w:val="00A87E00"/>
    <w:rsid w:val="00A912CA"/>
    <w:rsid w:val="00A94272"/>
    <w:rsid w:val="00A94688"/>
    <w:rsid w:val="00A97425"/>
    <w:rsid w:val="00AA1CD1"/>
    <w:rsid w:val="00AA24CA"/>
    <w:rsid w:val="00AA3FAD"/>
    <w:rsid w:val="00AA4E4A"/>
    <w:rsid w:val="00AA5013"/>
    <w:rsid w:val="00AB14CD"/>
    <w:rsid w:val="00AB181D"/>
    <w:rsid w:val="00AB49B3"/>
    <w:rsid w:val="00AB63E4"/>
    <w:rsid w:val="00AB6E91"/>
    <w:rsid w:val="00AB79DF"/>
    <w:rsid w:val="00AC18E3"/>
    <w:rsid w:val="00AC4B06"/>
    <w:rsid w:val="00AC5872"/>
    <w:rsid w:val="00AC7538"/>
    <w:rsid w:val="00AD1975"/>
    <w:rsid w:val="00AD4FB6"/>
    <w:rsid w:val="00AE1F95"/>
    <w:rsid w:val="00AE3C13"/>
    <w:rsid w:val="00AE6BC9"/>
    <w:rsid w:val="00AE772A"/>
    <w:rsid w:val="00B01C90"/>
    <w:rsid w:val="00B03A57"/>
    <w:rsid w:val="00B13AF1"/>
    <w:rsid w:val="00B13EC5"/>
    <w:rsid w:val="00B20F51"/>
    <w:rsid w:val="00B21EC7"/>
    <w:rsid w:val="00B23DFA"/>
    <w:rsid w:val="00B312B9"/>
    <w:rsid w:val="00B313D7"/>
    <w:rsid w:val="00B34028"/>
    <w:rsid w:val="00B3533B"/>
    <w:rsid w:val="00B3725B"/>
    <w:rsid w:val="00B43B05"/>
    <w:rsid w:val="00B5160B"/>
    <w:rsid w:val="00B51665"/>
    <w:rsid w:val="00B544C1"/>
    <w:rsid w:val="00B60317"/>
    <w:rsid w:val="00B62C12"/>
    <w:rsid w:val="00B62CAA"/>
    <w:rsid w:val="00B656AD"/>
    <w:rsid w:val="00B70D49"/>
    <w:rsid w:val="00B7272E"/>
    <w:rsid w:val="00B729CC"/>
    <w:rsid w:val="00B75250"/>
    <w:rsid w:val="00B776B1"/>
    <w:rsid w:val="00B81E0D"/>
    <w:rsid w:val="00B8396A"/>
    <w:rsid w:val="00B90617"/>
    <w:rsid w:val="00B93EC9"/>
    <w:rsid w:val="00B94840"/>
    <w:rsid w:val="00B960F3"/>
    <w:rsid w:val="00BA772A"/>
    <w:rsid w:val="00BB3E1B"/>
    <w:rsid w:val="00BC23BD"/>
    <w:rsid w:val="00BD1863"/>
    <w:rsid w:val="00BD22EF"/>
    <w:rsid w:val="00BD25D9"/>
    <w:rsid w:val="00BD53AC"/>
    <w:rsid w:val="00BE71A9"/>
    <w:rsid w:val="00BF0396"/>
    <w:rsid w:val="00BF5190"/>
    <w:rsid w:val="00BF5D85"/>
    <w:rsid w:val="00BF5E41"/>
    <w:rsid w:val="00BF7CBE"/>
    <w:rsid w:val="00C00CE7"/>
    <w:rsid w:val="00C06A3A"/>
    <w:rsid w:val="00C07B4C"/>
    <w:rsid w:val="00C1053F"/>
    <w:rsid w:val="00C12371"/>
    <w:rsid w:val="00C1744B"/>
    <w:rsid w:val="00C247E0"/>
    <w:rsid w:val="00C24CA1"/>
    <w:rsid w:val="00C30492"/>
    <w:rsid w:val="00C30A07"/>
    <w:rsid w:val="00C32CE7"/>
    <w:rsid w:val="00C33D69"/>
    <w:rsid w:val="00C33EB0"/>
    <w:rsid w:val="00C372B8"/>
    <w:rsid w:val="00C41DC0"/>
    <w:rsid w:val="00C44E55"/>
    <w:rsid w:val="00C45F05"/>
    <w:rsid w:val="00C54CCB"/>
    <w:rsid w:val="00C55D28"/>
    <w:rsid w:val="00C55EA9"/>
    <w:rsid w:val="00C56E6B"/>
    <w:rsid w:val="00C62450"/>
    <w:rsid w:val="00C62D99"/>
    <w:rsid w:val="00C62F14"/>
    <w:rsid w:val="00C6602A"/>
    <w:rsid w:val="00C66103"/>
    <w:rsid w:val="00C6630D"/>
    <w:rsid w:val="00C678FB"/>
    <w:rsid w:val="00C67A52"/>
    <w:rsid w:val="00C70DA6"/>
    <w:rsid w:val="00C70F48"/>
    <w:rsid w:val="00C74218"/>
    <w:rsid w:val="00C74C4F"/>
    <w:rsid w:val="00C75153"/>
    <w:rsid w:val="00C77921"/>
    <w:rsid w:val="00C83646"/>
    <w:rsid w:val="00C87991"/>
    <w:rsid w:val="00C908BF"/>
    <w:rsid w:val="00C90D97"/>
    <w:rsid w:val="00C91ED1"/>
    <w:rsid w:val="00C92093"/>
    <w:rsid w:val="00C943B0"/>
    <w:rsid w:val="00C949F6"/>
    <w:rsid w:val="00C962A6"/>
    <w:rsid w:val="00C966EC"/>
    <w:rsid w:val="00C97F6E"/>
    <w:rsid w:val="00CA2E2A"/>
    <w:rsid w:val="00CA4C16"/>
    <w:rsid w:val="00CA65A5"/>
    <w:rsid w:val="00CB29B6"/>
    <w:rsid w:val="00CB6D71"/>
    <w:rsid w:val="00CC21FC"/>
    <w:rsid w:val="00CC2337"/>
    <w:rsid w:val="00CC4292"/>
    <w:rsid w:val="00CC6648"/>
    <w:rsid w:val="00CC6A28"/>
    <w:rsid w:val="00CD09FD"/>
    <w:rsid w:val="00CD1C29"/>
    <w:rsid w:val="00CD2DA6"/>
    <w:rsid w:val="00CD4FD4"/>
    <w:rsid w:val="00CD5C72"/>
    <w:rsid w:val="00CD73D1"/>
    <w:rsid w:val="00CD7751"/>
    <w:rsid w:val="00CE0870"/>
    <w:rsid w:val="00CE1116"/>
    <w:rsid w:val="00CE19A7"/>
    <w:rsid w:val="00CE7D24"/>
    <w:rsid w:val="00CF0D57"/>
    <w:rsid w:val="00CF1DAE"/>
    <w:rsid w:val="00CF6F22"/>
    <w:rsid w:val="00D01C0C"/>
    <w:rsid w:val="00D04083"/>
    <w:rsid w:val="00D04449"/>
    <w:rsid w:val="00D052AE"/>
    <w:rsid w:val="00D10722"/>
    <w:rsid w:val="00D10CC5"/>
    <w:rsid w:val="00D11DE2"/>
    <w:rsid w:val="00D138F4"/>
    <w:rsid w:val="00D145A7"/>
    <w:rsid w:val="00D1472C"/>
    <w:rsid w:val="00D21941"/>
    <w:rsid w:val="00D2214F"/>
    <w:rsid w:val="00D22E5A"/>
    <w:rsid w:val="00D23BF4"/>
    <w:rsid w:val="00D2451B"/>
    <w:rsid w:val="00D24A85"/>
    <w:rsid w:val="00D2794E"/>
    <w:rsid w:val="00D27FBC"/>
    <w:rsid w:val="00D3443F"/>
    <w:rsid w:val="00D371C3"/>
    <w:rsid w:val="00D37D86"/>
    <w:rsid w:val="00D447FB"/>
    <w:rsid w:val="00D517FC"/>
    <w:rsid w:val="00D522E1"/>
    <w:rsid w:val="00D57652"/>
    <w:rsid w:val="00D637B3"/>
    <w:rsid w:val="00D64F3F"/>
    <w:rsid w:val="00D7104F"/>
    <w:rsid w:val="00D725D8"/>
    <w:rsid w:val="00D7559B"/>
    <w:rsid w:val="00D76C90"/>
    <w:rsid w:val="00D777F8"/>
    <w:rsid w:val="00D80F13"/>
    <w:rsid w:val="00D83391"/>
    <w:rsid w:val="00D901DA"/>
    <w:rsid w:val="00D91F62"/>
    <w:rsid w:val="00DA0F07"/>
    <w:rsid w:val="00DA2BC2"/>
    <w:rsid w:val="00DA3DA2"/>
    <w:rsid w:val="00DA61E7"/>
    <w:rsid w:val="00DB0E74"/>
    <w:rsid w:val="00DB32C9"/>
    <w:rsid w:val="00DB38FF"/>
    <w:rsid w:val="00DB52FA"/>
    <w:rsid w:val="00DB60CE"/>
    <w:rsid w:val="00DC3184"/>
    <w:rsid w:val="00DC6E28"/>
    <w:rsid w:val="00DD2913"/>
    <w:rsid w:val="00DD2D61"/>
    <w:rsid w:val="00DD3F0D"/>
    <w:rsid w:val="00DD498C"/>
    <w:rsid w:val="00DE2D96"/>
    <w:rsid w:val="00DF1227"/>
    <w:rsid w:val="00E0149C"/>
    <w:rsid w:val="00E02A66"/>
    <w:rsid w:val="00E02B16"/>
    <w:rsid w:val="00E0597D"/>
    <w:rsid w:val="00E06A30"/>
    <w:rsid w:val="00E13359"/>
    <w:rsid w:val="00E13378"/>
    <w:rsid w:val="00E137F8"/>
    <w:rsid w:val="00E17E29"/>
    <w:rsid w:val="00E20CA4"/>
    <w:rsid w:val="00E22AC8"/>
    <w:rsid w:val="00E264F7"/>
    <w:rsid w:val="00E3037B"/>
    <w:rsid w:val="00E323F0"/>
    <w:rsid w:val="00E37E92"/>
    <w:rsid w:val="00E44511"/>
    <w:rsid w:val="00E45734"/>
    <w:rsid w:val="00E5227E"/>
    <w:rsid w:val="00E529FB"/>
    <w:rsid w:val="00E52F54"/>
    <w:rsid w:val="00E54A60"/>
    <w:rsid w:val="00E559DB"/>
    <w:rsid w:val="00E56501"/>
    <w:rsid w:val="00E6075C"/>
    <w:rsid w:val="00E62D67"/>
    <w:rsid w:val="00E67603"/>
    <w:rsid w:val="00E71D3E"/>
    <w:rsid w:val="00E74EE2"/>
    <w:rsid w:val="00E83CA6"/>
    <w:rsid w:val="00E83FAA"/>
    <w:rsid w:val="00E849AA"/>
    <w:rsid w:val="00E92FE0"/>
    <w:rsid w:val="00E94806"/>
    <w:rsid w:val="00EA2608"/>
    <w:rsid w:val="00EA309B"/>
    <w:rsid w:val="00EA6337"/>
    <w:rsid w:val="00EA660C"/>
    <w:rsid w:val="00EA6D3F"/>
    <w:rsid w:val="00EB2361"/>
    <w:rsid w:val="00EB5232"/>
    <w:rsid w:val="00EB56E0"/>
    <w:rsid w:val="00EC15A1"/>
    <w:rsid w:val="00EC4AEE"/>
    <w:rsid w:val="00EC4B8F"/>
    <w:rsid w:val="00EC5440"/>
    <w:rsid w:val="00EC5E9D"/>
    <w:rsid w:val="00ED4D1E"/>
    <w:rsid w:val="00EE0C1D"/>
    <w:rsid w:val="00EE150A"/>
    <w:rsid w:val="00EE2B45"/>
    <w:rsid w:val="00EF0C1F"/>
    <w:rsid w:val="00EF2C05"/>
    <w:rsid w:val="00EF3536"/>
    <w:rsid w:val="00F0082E"/>
    <w:rsid w:val="00F014D6"/>
    <w:rsid w:val="00F01E54"/>
    <w:rsid w:val="00F02675"/>
    <w:rsid w:val="00F04967"/>
    <w:rsid w:val="00F118FC"/>
    <w:rsid w:val="00F1273C"/>
    <w:rsid w:val="00F17777"/>
    <w:rsid w:val="00F20BED"/>
    <w:rsid w:val="00F3459B"/>
    <w:rsid w:val="00F434BD"/>
    <w:rsid w:val="00F441D3"/>
    <w:rsid w:val="00F53B2A"/>
    <w:rsid w:val="00F6181F"/>
    <w:rsid w:val="00F624C1"/>
    <w:rsid w:val="00F67A12"/>
    <w:rsid w:val="00F73A25"/>
    <w:rsid w:val="00F75377"/>
    <w:rsid w:val="00F76704"/>
    <w:rsid w:val="00F7774F"/>
    <w:rsid w:val="00F80ECB"/>
    <w:rsid w:val="00F813E6"/>
    <w:rsid w:val="00F85026"/>
    <w:rsid w:val="00F859F6"/>
    <w:rsid w:val="00F90A13"/>
    <w:rsid w:val="00F91E6A"/>
    <w:rsid w:val="00F924DD"/>
    <w:rsid w:val="00F95289"/>
    <w:rsid w:val="00F97613"/>
    <w:rsid w:val="00FA0E63"/>
    <w:rsid w:val="00FA396E"/>
    <w:rsid w:val="00FA4359"/>
    <w:rsid w:val="00FA7AF9"/>
    <w:rsid w:val="00FB23DA"/>
    <w:rsid w:val="00FC0305"/>
    <w:rsid w:val="00FC0E69"/>
    <w:rsid w:val="00FD18CC"/>
    <w:rsid w:val="00FD2891"/>
    <w:rsid w:val="00FD6B06"/>
    <w:rsid w:val="00FE0D26"/>
    <w:rsid w:val="00FE186D"/>
    <w:rsid w:val="00FE2D05"/>
    <w:rsid w:val="00FE31F1"/>
    <w:rsid w:val="00FF10CC"/>
    <w:rsid w:val="00FF1FE3"/>
    <w:rsid w:val="00FF3A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647D3"/>
  <w15:chartTrackingRefBased/>
  <w15:docId w15:val="{66E16F28-48ED-354A-B793-3FCFE9B1A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744"/>
    <w:rPr>
      <w:rFonts w:ascii="Times New Roman" w:eastAsia="Times New Roman" w:hAnsi="Times New Roman" w:cs="Times New Roman"/>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3744"/>
    <w:pPr>
      <w:ind w:left="720"/>
      <w:contextualSpacing/>
    </w:pPr>
  </w:style>
  <w:style w:type="paragraph" w:customStyle="1" w:styleId="EndNoteBibliography">
    <w:name w:val="EndNote Bibliography"/>
    <w:basedOn w:val="Normal"/>
    <w:link w:val="EndNoteBibliographyCar"/>
    <w:rsid w:val="00813744"/>
  </w:style>
  <w:style w:type="character" w:customStyle="1" w:styleId="EndNoteBibliographyCar">
    <w:name w:val="EndNote Bibliography Car"/>
    <w:basedOn w:val="Fuentedeprrafopredeter"/>
    <w:link w:val="EndNoteBibliography"/>
    <w:rsid w:val="00813744"/>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unhideWhenUsed/>
    <w:rsid w:val="00813744"/>
    <w:rPr>
      <w:color w:val="467886" w:themeColor="hyperlink"/>
      <w:u w:val="single"/>
    </w:rPr>
  </w:style>
  <w:style w:type="character" w:styleId="Refdecomentario">
    <w:name w:val="annotation reference"/>
    <w:basedOn w:val="Fuentedeprrafopredeter"/>
    <w:uiPriority w:val="99"/>
    <w:semiHidden/>
    <w:unhideWhenUsed/>
    <w:rsid w:val="00813744"/>
    <w:rPr>
      <w:sz w:val="16"/>
      <w:szCs w:val="16"/>
    </w:rPr>
  </w:style>
  <w:style w:type="paragraph" w:styleId="Textocomentario">
    <w:name w:val="annotation text"/>
    <w:basedOn w:val="Normal"/>
    <w:link w:val="TextocomentarioCar"/>
    <w:uiPriority w:val="99"/>
    <w:unhideWhenUsed/>
    <w:rsid w:val="00813744"/>
    <w:rPr>
      <w:sz w:val="20"/>
      <w:szCs w:val="20"/>
    </w:rPr>
  </w:style>
  <w:style w:type="character" w:customStyle="1" w:styleId="TextocomentarioCar">
    <w:name w:val="Texto comentario Car"/>
    <w:basedOn w:val="Fuentedeprrafopredeter"/>
    <w:link w:val="Textocomentario"/>
    <w:uiPriority w:val="99"/>
    <w:rsid w:val="00813744"/>
    <w:rPr>
      <w:rFonts w:ascii="Times New Roman" w:eastAsia="Times New Roman" w:hAnsi="Times New Roman" w:cs="Times New Roman"/>
      <w:kern w:val="0"/>
      <w:sz w:val="20"/>
      <w:szCs w:val="20"/>
      <w:lang w:eastAsia="es-MX"/>
      <w14:ligatures w14:val="none"/>
    </w:rPr>
  </w:style>
  <w:style w:type="paragraph" w:customStyle="1" w:styleId="EndNoteBibliographyTitle">
    <w:name w:val="EndNote Bibliography Title"/>
    <w:basedOn w:val="Normal"/>
    <w:link w:val="EndNoteBibliographyTitleCar"/>
    <w:rsid w:val="00813744"/>
    <w:pPr>
      <w:jc w:val="center"/>
    </w:pPr>
  </w:style>
  <w:style w:type="character" w:customStyle="1" w:styleId="EndNoteBibliographyTitleCar">
    <w:name w:val="EndNote Bibliography Title Car"/>
    <w:basedOn w:val="Fuentedeprrafopredeter"/>
    <w:link w:val="EndNoteBibliographyTitle"/>
    <w:rsid w:val="00813744"/>
    <w:rPr>
      <w:rFonts w:ascii="Times New Roman" w:eastAsia="Times New Roman" w:hAnsi="Times New Roman" w:cs="Times New Roman"/>
      <w:kern w:val="0"/>
      <w:lang w:eastAsia="es-MX"/>
      <w14:ligatures w14:val="none"/>
    </w:rPr>
  </w:style>
  <w:style w:type="character" w:styleId="Mencinsinresolver">
    <w:name w:val="Unresolved Mention"/>
    <w:basedOn w:val="Fuentedeprrafopredeter"/>
    <w:uiPriority w:val="99"/>
    <w:semiHidden/>
    <w:unhideWhenUsed/>
    <w:rsid w:val="00813744"/>
    <w:rPr>
      <w:color w:val="605E5C"/>
      <w:shd w:val="clear" w:color="auto" w:fill="E1DFDD"/>
    </w:rPr>
  </w:style>
  <w:style w:type="paragraph" w:styleId="Revisin">
    <w:name w:val="Revision"/>
    <w:hidden/>
    <w:uiPriority w:val="99"/>
    <w:semiHidden/>
    <w:rsid w:val="00813744"/>
    <w:rPr>
      <w:rFonts w:ascii="Times New Roman" w:eastAsia="Times New Roman" w:hAnsi="Times New Roman" w:cs="Times New Roman"/>
      <w:kern w:val="0"/>
      <w:lang w:eastAsia="es-MX"/>
      <w14:ligatures w14:val="none"/>
    </w:rPr>
  </w:style>
  <w:style w:type="paragraph" w:styleId="Piedepgina">
    <w:name w:val="footer"/>
    <w:basedOn w:val="Normal"/>
    <w:link w:val="PiedepginaCar"/>
    <w:uiPriority w:val="99"/>
    <w:unhideWhenUsed/>
    <w:rsid w:val="00813744"/>
    <w:pPr>
      <w:tabs>
        <w:tab w:val="center" w:pos="4419"/>
        <w:tab w:val="right" w:pos="8838"/>
      </w:tabs>
    </w:pPr>
  </w:style>
  <w:style w:type="character" w:customStyle="1" w:styleId="PiedepginaCar">
    <w:name w:val="Pie de página Car"/>
    <w:basedOn w:val="Fuentedeprrafopredeter"/>
    <w:link w:val="Piedepgina"/>
    <w:uiPriority w:val="99"/>
    <w:rsid w:val="00813744"/>
    <w:rPr>
      <w:rFonts w:ascii="Times New Roman" w:eastAsia="Times New Roman" w:hAnsi="Times New Roman" w:cs="Times New Roman"/>
      <w:kern w:val="0"/>
      <w:lang w:eastAsia="es-MX"/>
      <w14:ligatures w14:val="none"/>
    </w:rPr>
  </w:style>
  <w:style w:type="character" w:styleId="Nmerodepgina">
    <w:name w:val="page number"/>
    <w:basedOn w:val="Fuentedeprrafopredeter"/>
    <w:uiPriority w:val="99"/>
    <w:semiHidden/>
    <w:unhideWhenUsed/>
    <w:rsid w:val="00813744"/>
  </w:style>
  <w:style w:type="paragraph" w:styleId="Encabezado">
    <w:name w:val="header"/>
    <w:basedOn w:val="Normal"/>
    <w:link w:val="EncabezadoCar"/>
    <w:uiPriority w:val="99"/>
    <w:unhideWhenUsed/>
    <w:rsid w:val="00813744"/>
    <w:pPr>
      <w:tabs>
        <w:tab w:val="center" w:pos="4419"/>
        <w:tab w:val="right" w:pos="8838"/>
      </w:tabs>
    </w:pPr>
  </w:style>
  <w:style w:type="character" w:customStyle="1" w:styleId="EncabezadoCar">
    <w:name w:val="Encabezado Car"/>
    <w:basedOn w:val="Fuentedeprrafopredeter"/>
    <w:link w:val="Encabezado"/>
    <w:uiPriority w:val="99"/>
    <w:rsid w:val="00813744"/>
    <w:rPr>
      <w:rFonts w:ascii="Times New Roman" w:eastAsia="Times New Roman" w:hAnsi="Times New Roman" w:cs="Times New Roman"/>
      <w:kern w:val="0"/>
      <w:lang w:eastAsia="es-MX"/>
      <w14:ligatures w14:val="none"/>
    </w:rPr>
  </w:style>
  <w:style w:type="character" w:customStyle="1" w:styleId="apple-converted-space">
    <w:name w:val="apple-converted-space"/>
    <w:basedOn w:val="Fuentedeprrafopredeter"/>
    <w:rsid w:val="00813744"/>
  </w:style>
  <w:style w:type="paragraph" w:styleId="Asuntodelcomentario">
    <w:name w:val="annotation subject"/>
    <w:basedOn w:val="Textocomentario"/>
    <w:next w:val="Textocomentario"/>
    <w:link w:val="AsuntodelcomentarioCar"/>
    <w:uiPriority w:val="99"/>
    <w:semiHidden/>
    <w:unhideWhenUsed/>
    <w:rsid w:val="00C54CCB"/>
    <w:rPr>
      <w:b/>
      <w:bCs/>
    </w:rPr>
  </w:style>
  <w:style w:type="character" w:customStyle="1" w:styleId="AsuntodelcomentarioCar">
    <w:name w:val="Asunto del comentario Car"/>
    <w:basedOn w:val="TextocomentarioCar"/>
    <w:link w:val="Asuntodelcomentario"/>
    <w:uiPriority w:val="99"/>
    <w:semiHidden/>
    <w:rsid w:val="00C54CCB"/>
    <w:rPr>
      <w:rFonts w:ascii="Times New Roman" w:eastAsia="Times New Roman" w:hAnsi="Times New Roman" w:cs="Times New Roman"/>
      <w:b/>
      <w:bCs/>
      <w:kern w:val="0"/>
      <w:sz w:val="20"/>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531494">
      <w:bodyDiv w:val="1"/>
      <w:marLeft w:val="0"/>
      <w:marRight w:val="0"/>
      <w:marTop w:val="0"/>
      <w:marBottom w:val="0"/>
      <w:divBdr>
        <w:top w:val="none" w:sz="0" w:space="0" w:color="auto"/>
        <w:left w:val="none" w:sz="0" w:space="0" w:color="auto"/>
        <w:bottom w:val="none" w:sz="0" w:space="0" w:color="auto"/>
        <w:right w:val="none" w:sz="0" w:space="0" w:color="auto"/>
      </w:divBdr>
    </w:div>
    <w:div w:id="1203057016">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1A8C4ED5C6B479AB1A0520863ABFB" ma:contentTypeVersion="16" ma:contentTypeDescription="Create a new document." ma:contentTypeScope="" ma:versionID="08ab85dcb446df740d6e59be5b87a9c6">
  <xsd:schema xmlns:xsd="http://www.w3.org/2001/XMLSchema" xmlns:xs="http://www.w3.org/2001/XMLSchema" xmlns:p="http://schemas.microsoft.com/office/2006/metadata/properties" xmlns:ns2="931f3b0e-5f27-496e-8503-62de587f4ce1" xmlns:ns3="6dab36e7-c487-4780-8e35-3b48fa83d7a8" targetNamespace="http://schemas.microsoft.com/office/2006/metadata/properties" ma:root="true" ma:fieldsID="69cb3dadd2673547467d24b1c28aeae2" ns2:_="" ns3:_="">
    <xsd:import namespace="931f3b0e-5f27-496e-8503-62de587f4ce1"/>
    <xsd:import namespace="6dab36e7-c487-4780-8e35-3b48fa83d7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f3b0e-5f27-496e-8503-62de587f4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ab36e7-c487-4780-8e35-3b48fa83d7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490438d-070b-4028-884c-21520bb5af0a}" ma:internalName="TaxCatchAll" ma:showField="CatchAllData" ma:web="6dab36e7-c487-4780-8e35-3b48fa83d7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dab36e7-c487-4780-8e35-3b48fa83d7a8" xsi:nil="true"/>
    <lcf76f155ced4ddcb4097134ff3c332f xmlns="931f3b0e-5f27-496e-8503-62de587f4c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AE021F-23D0-4851-9BF8-258DF6009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f3b0e-5f27-496e-8503-62de587f4ce1"/>
    <ds:schemaRef ds:uri="6dab36e7-c487-4780-8e35-3b48fa83d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3F093-B907-47E0-B4C0-BCB60B516E4E}">
  <ds:schemaRefs>
    <ds:schemaRef ds:uri="http://schemas.microsoft.com/sharepoint/v3/contenttype/forms"/>
  </ds:schemaRefs>
</ds:datastoreItem>
</file>

<file path=customXml/itemProps3.xml><?xml version="1.0" encoding="utf-8"?>
<ds:datastoreItem xmlns:ds="http://schemas.openxmlformats.org/officeDocument/2006/customXml" ds:itemID="{F8F52EF0-0CB9-4048-98D2-4B4CEDA14990}">
  <ds:schemaRefs>
    <ds:schemaRef ds:uri="http://schemas.microsoft.com/office/2006/metadata/properties"/>
    <ds:schemaRef ds:uri="http://schemas.microsoft.com/office/infopath/2007/PartnerControls"/>
    <ds:schemaRef ds:uri="6dab36e7-c487-4780-8e35-3b48fa83d7a8"/>
    <ds:schemaRef ds:uri="931f3b0e-5f27-496e-8503-62de587f4ce1"/>
  </ds:schemaRefs>
</ds:datastoreItem>
</file>

<file path=docProps/app.xml><?xml version="1.0" encoding="utf-8"?>
<Properties xmlns="http://schemas.openxmlformats.org/officeDocument/2006/extended-properties" xmlns:vt="http://schemas.openxmlformats.org/officeDocument/2006/docPropsVTypes">
  <Template>.~WRD0841</Template>
  <TotalTime>9</TotalTime>
  <Pages>17</Pages>
  <Words>4567</Words>
  <Characters>25119</Characters>
  <Application>Microsoft Office Word</Application>
  <DocSecurity>0</DocSecurity>
  <Lines>209</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Zazueta Borboa</dc:creator>
  <cp:keywords/>
  <dc:description/>
  <cp:lastModifiedBy>Daniel Zazueta</cp:lastModifiedBy>
  <cp:revision>12</cp:revision>
  <dcterms:created xsi:type="dcterms:W3CDTF">2025-04-14T10:08:00Z</dcterms:created>
  <dcterms:modified xsi:type="dcterms:W3CDTF">2025-04-17T09:13:00Z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0x0101000611A8C4ED5C6B479AB1A0520863ABFB</vt:lpwstr>
  </property>
</Properties>
</file>