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6D46D" w14:textId="77777777" w:rsidR="008779DD" w:rsidRDefault="008779DD" w:rsidP="0091279E">
      <w:pPr>
        <w:pStyle w:val="Heading1"/>
        <w:rPr>
          <w:rFonts w:ascii="Aptos Display" w:eastAsia="Aptos Display" w:hAnsi="Aptos Display" w:cs="Aptos Display"/>
          <w:color w:val="0F4761"/>
        </w:rPr>
      </w:pPr>
      <w:r w:rsidRPr="743E81BE">
        <w:rPr>
          <w:rFonts w:ascii="Aptos Display" w:eastAsia="Aptos Display" w:hAnsi="Aptos Display" w:cs="Aptos Display"/>
          <w:color w:val="0F4761"/>
        </w:rPr>
        <w:t>Supplementary material</w:t>
      </w:r>
    </w:p>
    <w:p w14:paraId="624E210F" w14:textId="32263760" w:rsidR="005105A2" w:rsidRPr="005105A2" w:rsidRDefault="005105A2" w:rsidP="005105A2">
      <w:pPr>
        <w:rPr>
          <w:rFonts w:asciiTheme="majorHAnsi" w:eastAsiaTheme="majorEastAsia" w:hAnsiTheme="majorHAnsi" w:cstheme="majorBidi"/>
          <w:color w:val="0F4761" w:themeColor="accent1" w:themeShade="BF"/>
          <w:sz w:val="28"/>
          <w:szCs w:val="28"/>
        </w:rPr>
      </w:pPr>
      <w:r w:rsidRPr="002B0BB7">
        <w:rPr>
          <w:rFonts w:asciiTheme="majorHAnsi" w:eastAsiaTheme="majorEastAsia" w:hAnsiTheme="majorHAnsi" w:cstheme="majorBidi"/>
          <w:color w:val="0F4761" w:themeColor="accent1" w:themeShade="BF"/>
          <w:sz w:val="28"/>
          <w:szCs w:val="28"/>
        </w:rPr>
        <w:t>The Dutch</w:t>
      </w:r>
      <w:r w:rsidRPr="109B60CA">
        <w:rPr>
          <w:rFonts w:asciiTheme="majorHAnsi" w:eastAsiaTheme="majorEastAsia" w:hAnsiTheme="majorHAnsi" w:cstheme="majorBidi"/>
          <w:color w:val="0F4761" w:themeColor="accent1" w:themeShade="BF"/>
          <w:sz w:val="28"/>
          <w:szCs w:val="28"/>
        </w:rPr>
        <w:t xml:space="preserve"> Cutaneous</w:t>
      </w:r>
      <w:r w:rsidRPr="002B0BB7">
        <w:rPr>
          <w:rFonts w:asciiTheme="majorHAnsi" w:eastAsiaTheme="majorEastAsia" w:hAnsiTheme="majorHAnsi" w:cstheme="majorBidi"/>
          <w:color w:val="0F4761" w:themeColor="accent1" w:themeShade="BF"/>
          <w:sz w:val="28"/>
          <w:szCs w:val="28"/>
        </w:rPr>
        <w:t xml:space="preserve"> Squamous Cell Carcinoma and Metastasis (D-SQUAME) Study: </w:t>
      </w:r>
      <w:r>
        <w:rPr>
          <w:rFonts w:asciiTheme="majorHAnsi" w:eastAsiaTheme="majorEastAsia" w:hAnsiTheme="majorHAnsi" w:cstheme="majorBidi"/>
          <w:color w:val="0F4761" w:themeColor="accent1" w:themeShade="BF"/>
          <w:sz w:val="28"/>
          <w:szCs w:val="28"/>
        </w:rPr>
        <w:t>a nationwide discovery and nationwide validation cohort with</w:t>
      </w:r>
      <w:r w:rsidRPr="002B0BB7">
        <w:rPr>
          <w:rFonts w:asciiTheme="majorHAnsi" w:eastAsiaTheme="majorEastAsia" w:hAnsiTheme="majorHAnsi" w:cstheme="majorBidi"/>
          <w:color w:val="0F4761" w:themeColor="accent1" w:themeShade="BF"/>
          <w:sz w:val="28"/>
          <w:szCs w:val="28"/>
        </w:rPr>
        <w:t xml:space="preserve"> nested case-control design</w:t>
      </w:r>
      <w:r>
        <w:rPr>
          <w:rFonts w:asciiTheme="majorHAnsi" w:eastAsiaTheme="majorEastAsia" w:hAnsiTheme="majorHAnsi" w:cstheme="majorBidi"/>
          <w:color w:val="0F4761" w:themeColor="accent1" w:themeShade="BF"/>
          <w:sz w:val="28"/>
          <w:szCs w:val="28"/>
        </w:rPr>
        <w:t>s</w:t>
      </w:r>
      <w:r w:rsidRPr="002B0BB7">
        <w:rPr>
          <w:rFonts w:asciiTheme="majorHAnsi" w:eastAsiaTheme="majorEastAsia" w:hAnsiTheme="majorHAnsi" w:cstheme="majorBidi"/>
          <w:color w:val="0F4761" w:themeColor="accent1" w:themeShade="BF"/>
          <w:sz w:val="28"/>
          <w:szCs w:val="28"/>
        </w:rPr>
        <w:t xml:space="preserve"> for </w:t>
      </w:r>
      <w:r>
        <w:rPr>
          <w:rFonts w:asciiTheme="majorHAnsi" w:eastAsiaTheme="majorEastAsia" w:hAnsiTheme="majorHAnsi" w:cstheme="majorBidi"/>
          <w:color w:val="0F4761" w:themeColor="accent1" w:themeShade="BF"/>
          <w:sz w:val="28"/>
          <w:szCs w:val="28"/>
        </w:rPr>
        <w:t xml:space="preserve">risk </w:t>
      </w:r>
      <w:r w:rsidRPr="002B0BB7">
        <w:rPr>
          <w:rFonts w:asciiTheme="majorHAnsi" w:eastAsiaTheme="majorEastAsia" w:hAnsiTheme="majorHAnsi" w:cstheme="majorBidi"/>
          <w:color w:val="0F4761" w:themeColor="accent1" w:themeShade="BF"/>
          <w:sz w:val="28"/>
          <w:szCs w:val="28"/>
        </w:rPr>
        <w:t>p</w:t>
      </w:r>
      <w:r>
        <w:rPr>
          <w:rFonts w:asciiTheme="majorHAnsi" w:eastAsiaTheme="majorEastAsia" w:hAnsiTheme="majorHAnsi" w:cstheme="majorBidi"/>
          <w:color w:val="0F4761" w:themeColor="accent1" w:themeShade="BF"/>
          <w:sz w:val="28"/>
          <w:szCs w:val="28"/>
        </w:rPr>
        <w:t>rediction</w:t>
      </w:r>
      <w:r w:rsidRPr="002B0BB7">
        <w:rPr>
          <w:rFonts w:asciiTheme="majorHAnsi" w:eastAsiaTheme="majorEastAsia" w:hAnsiTheme="majorHAnsi" w:cstheme="majorBidi"/>
          <w:color w:val="0F4761" w:themeColor="accent1" w:themeShade="BF"/>
          <w:sz w:val="28"/>
          <w:szCs w:val="28"/>
        </w:rPr>
        <w:t xml:space="preserve"> </w:t>
      </w:r>
      <w:r>
        <w:rPr>
          <w:rFonts w:asciiTheme="majorHAnsi" w:eastAsiaTheme="majorEastAsia" w:hAnsiTheme="majorHAnsi" w:cstheme="majorBidi"/>
          <w:color w:val="0F4761" w:themeColor="accent1" w:themeShade="BF"/>
          <w:sz w:val="28"/>
          <w:szCs w:val="28"/>
        </w:rPr>
        <w:t>modeling</w:t>
      </w:r>
    </w:p>
    <w:p w14:paraId="57F1ECE4" w14:textId="33DE5C53" w:rsidR="005105A2" w:rsidRPr="005105A2" w:rsidRDefault="005105A2" w:rsidP="005105A2"/>
    <w:p w14:paraId="7540128A" w14:textId="77777777" w:rsidR="008779DD" w:rsidRDefault="008779DD" w:rsidP="0091279E">
      <w:pPr>
        <w:pStyle w:val="Heading2"/>
        <w:rPr>
          <w:rFonts w:ascii="Calibri" w:eastAsia="Calibri" w:hAnsi="Calibri" w:cs="Calibri"/>
          <w:color w:val="074F6A"/>
          <w:sz w:val="24"/>
          <w:szCs w:val="24"/>
        </w:rPr>
      </w:pPr>
      <w:r w:rsidRPr="53E167B1">
        <w:rPr>
          <w:rFonts w:ascii="Calibri" w:eastAsia="Calibri" w:hAnsi="Calibri" w:cs="Calibri"/>
          <w:b/>
          <w:bCs/>
          <w:color w:val="074F6A"/>
          <w:sz w:val="24"/>
          <w:szCs w:val="24"/>
        </w:rPr>
        <w:t>S1. Variables requested from the Netherlands Cancer Registry (NCR)</w:t>
      </w:r>
    </w:p>
    <w:p w14:paraId="36143A23" w14:textId="77777777" w:rsidR="008779DD" w:rsidRDefault="008779DD" w:rsidP="0091279E">
      <w:pPr>
        <w:keepNext/>
        <w:keepLines/>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Needed NCR variables of all patients with first primary CSCC in 2007-2009 and 2017-2019:  </w:t>
      </w:r>
    </w:p>
    <w:p w14:paraId="410720D0" w14:textId="77777777" w:rsidR="008779DD" w:rsidRDefault="008779DD" w:rsidP="0091279E">
      <w:pPr>
        <w:pStyle w:val="ListParagraph"/>
        <w:keepNext/>
        <w:keepLines/>
        <w:numPr>
          <w:ilvl w:val="0"/>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Patient characteristics:  </w:t>
      </w:r>
    </w:p>
    <w:p w14:paraId="4982AC12"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53E167B1">
        <w:rPr>
          <w:rFonts w:ascii="Calibri" w:eastAsia="Calibri" w:hAnsi="Calibri" w:cs="Calibri"/>
          <w:color w:val="000000" w:themeColor="text1"/>
          <w:sz w:val="20"/>
          <w:szCs w:val="20"/>
        </w:rPr>
        <w:t xml:space="preserve">Unique patient identifier </w:t>
      </w:r>
    </w:p>
    <w:p w14:paraId="35100695"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53E167B1">
        <w:rPr>
          <w:rFonts w:ascii="Calibri" w:eastAsia="Calibri" w:hAnsi="Calibri" w:cs="Calibri"/>
          <w:color w:val="000000" w:themeColor="text1"/>
          <w:sz w:val="20"/>
          <w:szCs w:val="20"/>
        </w:rPr>
        <w:t xml:space="preserve">Unique tumor identifier </w:t>
      </w:r>
    </w:p>
    <w:p w14:paraId="42D94604"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Sex </w:t>
      </w:r>
    </w:p>
    <w:p w14:paraId="245FD0A9"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Age at diagnosis </w:t>
      </w:r>
    </w:p>
    <w:p w14:paraId="0AD4A8A2"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Vital status [censor data = date latest update of the data] </w:t>
      </w:r>
    </w:p>
    <w:p w14:paraId="1B55FC09"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Follow up time in days [censor data = date latest update of the data] </w:t>
      </w:r>
    </w:p>
    <w:p w14:paraId="4CB2AD0D" w14:textId="77777777" w:rsidR="008779DD" w:rsidRDefault="008779DD" w:rsidP="0091279E">
      <w:pPr>
        <w:keepNext/>
        <w:keepLines/>
        <w:ind w:left="72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 </w:t>
      </w:r>
    </w:p>
    <w:p w14:paraId="7DA5A602" w14:textId="77777777" w:rsidR="008779DD" w:rsidRDefault="008779DD" w:rsidP="0091279E">
      <w:pPr>
        <w:pStyle w:val="ListParagraph"/>
        <w:keepNext/>
        <w:keepLines/>
        <w:numPr>
          <w:ilvl w:val="0"/>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Tumor characteristics of the registered first primary </w:t>
      </w:r>
      <w:proofErr w:type="spellStart"/>
      <w:r w:rsidRPr="743E81BE">
        <w:rPr>
          <w:rFonts w:ascii="Calibri" w:eastAsia="Calibri" w:hAnsi="Calibri" w:cs="Calibri"/>
          <w:color w:val="000000" w:themeColor="text1"/>
          <w:sz w:val="20"/>
          <w:szCs w:val="20"/>
        </w:rPr>
        <w:t>cSCC</w:t>
      </w:r>
      <w:proofErr w:type="spellEnd"/>
      <w:r w:rsidRPr="743E81BE">
        <w:rPr>
          <w:rFonts w:ascii="Calibri" w:eastAsia="Calibri" w:hAnsi="Calibri" w:cs="Calibri"/>
          <w:color w:val="000000" w:themeColor="text1"/>
          <w:sz w:val="20"/>
          <w:szCs w:val="20"/>
        </w:rPr>
        <w:t xml:space="preserve">:  </w:t>
      </w:r>
    </w:p>
    <w:p w14:paraId="56DE9635"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Year of incidence </w:t>
      </w:r>
    </w:p>
    <w:p w14:paraId="34355648"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Topography (localization) </w:t>
      </w:r>
    </w:p>
    <w:p w14:paraId="7D3BD8A0"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Lateralization </w:t>
      </w:r>
    </w:p>
    <w:p w14:paraId="7BF27579"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Morphology </w:t>
      </w:r>
    </w:p>
    <w:p w14:paraId="1F918CD5"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Histology (including ‘</w:t>
      </w:r>
      <w:proofErr w:type="spellStart"/>
      <w:r w:rsidRPr="743E81BE">
        <w:rPr>
          <w:rFonts w:ascii="Calibri" w:eastAsia="Calibri" w:hAnsi="Calibri" w:cs="Calibri"/>
          <w:color w:val="000000" w:themeColor="text1"/>
          <w:sz w:val="20"/>
          <w:szCs w:val="20"/>
        </w:rPr>
        <w:t>morfologie</w:t>
      </w:r>
      <w:proofErr w:type="spellEnd"/>
      <w:r w:rsidRPr="743E81BE">
        <w:rPr>
          <w:rFonts w:ascii="Calibri" w:eastAsia="Calibri" w:hAnsi="Calibri" w:cs="Calibri"/>
          <w:color w:val="000000" w:themeColor="text1"/>
          <w:sz w:val="20"/>
          <w:szCs w:val="20"/>
        </w:rPr>
        <w:t>’, ‘</w:t>
      </w:r>
      <w:proofErr w:type="spellStart"/>
      <w:r w:rsidRPr="743E81BE">
        <w:rPr>
          <w:rFonts w:ascii="Calibri" w:eastAsia="Calibri" w:hAnsi="Calibri" w:cs="Calibri"/>
          <w:color w:val="000000" w:themeColor="text1"/>
          <w:sz w:val="20"/>
          <w:szCs w:val="20"/>
        </w:rPr>
        <w:t>tumorgedrag</w:t>
      </w:r>
      <w:proofErr w:type="spellEnd"/>
      <w:r w:rsidRPr="743E81BE">
        <w:rPr>
          <w:rFonts w:ascii="Calibri" w:eastAsia="Calibri" w:hAnsi="Calibri" w:cs="Calibri"/>
          <w:color w:val="000000" w:themeColor="text1"/>
          <w:sz w:val="20"/>
          <w:szCs w:val="20"/>
        </w:rPr>
        <w:t>’, ‘</w:t>
      </w:r>
      <w:proofErr w:type="spellStart"/>
      <w:r w:rsidRPr="743E81BE">
        <w:rPr>
          <w:rFonts w:ascii="Calibri" w:eastAsia="Calibri" w:hAnsi="Calibri" w:cs="Calibri"/>
          <w:color w:val="000000" w:themeColor="text1"/>
          <w:sz w:val="20"/>
          <w:szCs w:val="20"/>
        </w:rPr>
        <w:t>multifocaliteit</w:t>
      </w:r>
      <w:proofErr w:type="spellEnd"/>
      <w:r w:rsidRPr="743E81BE">
        <w:rPr>
          <w:rFonts w:ascii="Calibri" w:eastAsia="Calibri" w:hAnsi="Calibri" w:cs="Calibri"/>
          <w:color w:val="000000" w:themeColor="text1"/>
          <w:sz w:val="20"/>
          <w:szCs w:val="20"/>
        </w:rPr>
        <w:t xml:space="preserve">’) </w:t>
      </w:r>
    </w:p>
    <w:p w14:paraId="2DD4942F"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Differentiation (‘</w:t>
      </w:r>
      <w:proofErr w:type="spellStart"/>
      <w:r w:rsidRPr="743E81BE">
        <w:rPr>
          <w:rFonts w:ascii="Calibri" w:eastAsia="Calibri" w:hAnsi="Calibri" w:cs="Calibri"/>
          <w:color w:val="000000" w:themeColor="text1"/>
          <w:sz w:val="20"/>
          <w:szCs w:val="20"/>
        </w:rPr>
        <w:t>differentiatiegraad</w:t>
      </w:r>
      <w:proofErr w:type="spellEnd"/>
      <w:r w:rsidRPr="743E81BE">
        <w:rPr>
          <w:rFonts w:ascii="Calibri" w:eastAsia="Calibri" w:hAnsi="Calibri" w:cs="Calibri"/>
          <w:color w:val="000000" w:themeColor="text1"/>
          <w:sz w:val="20"/>
          <w:szCs w:val="20"/>
        </w:rPr>
        <w:t xml:space="preserve">’) </w:t>
      </w:r>
    </w:p>
    <w:p w14:paraId="4F458985"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proofErr w:type="spellStart"/>
      <w:r w:rsidRPr="743E81BE">
        <w:rPr>
          <w:rFonts w:ascii="Calibri" w:eastAsia="Calibri" w:hAnsi="Calibri" w:cs="Calibri"/>
          <w:color w:val="000000" w:themeColor="text1"/>
          <w:sz w:val="20"/>
          <w:szCs w:val="20"/>
        </w:rPr>
        <w:t>Multifocaliteit</w:t>
      </w:r>
      <w:proofErr w:type="spellEnd"/>
      <w:r w:rsidRPr="743E81BE">
        <w:rPr>
          <w:rFonts w:ascii="Calibri" w:eastAsia="Calibri" w:hAnsi="Calibri" w:cs="Calibri"/>
          <w:color w:val="000000" w:themeColor="text1"/>
          <w:sz w:val="20"/>
          <w:szCs w:val="20"/>
        </w:rPr>
        <w:t xml:space="preserve"> </w:t>
      </w:r>
    </w:p>
    <w:p w14:paraId="39B980DE"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Stage </w:t>
      </w:r>
    </w:p>
    <w:p w14:paraId="1C919E6A"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proofErr w:type="spellStart"/>
      <w:r w:rsidRPr="743E81BE">
        <w:rPr>
          <w:rFonts w:ascii="Calibri" w:eastAsia="Calibri" w:hAnsi="Calibri" w:cs="Calibri"/>
          <w:color w:val="000000" w:themeColor="text1"/>
          <w:sz w:val="20"/>
          <w:szCs w:val="20"/>
        </w:rPr>
        <w:t>cTNM</w:t>
      </w:r>
      <w:proofErr w:type="spellEnd"/>
      <w:r w:rsidRPr="743E81BE">
        <w:rPr>
          <w:rFonts w:ascii="Calibri" w:eastAsia="Calibri" w:hAnsi="Calibri" w:cs="Calibri"/>
          <w:color w:val="000000" w:themeColor="text1"/>
          <w:sz w:val="20"/>
          <w:szCs w:val="20"/>
        </w:rPr>
        <w:t xml:space="preserve"> </w:t>
      </w:r>
    </w:p>
    <w:p w14:paraId="19771337"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proofErr w:type="spellStart"/>
      <w:r w:rsidRPr="743E81BE">
        <w:rPr>
          <w:rFonts w:ascii="Calibri" w:eastAsia="Calibri" w:hAnsi="Calibri" w:cs="Calibri"/>
          <w:color w:val="000000" w:themeColor="text1"/>
          <w:sz w:val="20"/>
          <w:szCs w:val="20"/>
        </w:rPr>
        <w:t>pTNM</w:t>
      </w:r>
      <w:proofErr w:type="spellEnd"/>
      <w:r w:rsidRPr="743E81BE">
        <w:rPr>
          <w:rFonts w:ascii="Calibri" w:eastAsia="Calibri" w:hAnsi="Calibri" w:cs="Calibri"/>
          <w:color w:val="000000" w:themeColor="text1"/>
          <w:sz w:val="20"/>
          <w:szCs w:val="20"/>
        </w:rPr>
        <w:t xml:space="preserve"> </w:t>
      </w:r>
    </w:p>
    <w:p w14:paraId="0828DC22" w14:textId="77777777" w:rsidR="008779DD" w:rsidRDefault="008779DD" w:rsidP="0091279E">
      <w:pPr>
        <w:keepNext/>
        <w:keepLines/>
        <w:ind w:left="1440"/>
        <w:rPr>
          <w:rFonts w:ascii="Calibri" w:eastAsia="Calibri" w:hAnsi="Calibri" w:cs="Calibri"/>
          <w:color w:val="000000" w:themeColor="text1"/>
          <w:sz w:val="20"/>
          <w:szCs w:val="20"/>
        </w:rPr>
      </w:pPr>
    </w:p>
    <w:p w14:paraId="2291ABD7" w14:textId="77777777" w:rsidR="008779DD" w:rsidRDefault="008779DD" w:rsidP="0091279E">
      <w:pPr>
        <w:pStyle w:val="ListParagraph"/>
        <w:keepNext/>
        <w:keepLines/>
        <w:numPr>
          <w:ilvl w:val="0"/>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Other hematological malignancy before and after first </w:t>
      </w:r>
      <w:proofErr w:type="spellStart"/>
      <w:r w:rsidRPr="743E81BE">
        <w:rPr>
          <w:rFonts w:ascii="Calibri" w:eastAsia="Calibri" w:hAnsi="Calibri" w:cs="Calibri"/>
          <w:color w:val="000000" w:themeColor="text1"/>
          <w:sz w:val="20"/>
          <w:szCs w:val="20"/>
        </w:rPr>
        <w:t>cSCC</w:t>
      </w:r>
      <w:proofErr w:type="spellEnd"/>
      <w:r w:rsidRPr="743E81BE">
        <w:rPr>
          <w:rFonts w:ascii="Calibri" w:eastAsia="Calibri" w:hAnsi="Calibri" w:cs="Calibri"/>
          <w:color w:val="000000" w:themeColor="text1"/>
          <w:sz w:val="20"/>
          <w:szCs w:val="20"/>
        </w:rPr>
        <w:t xml:space="preserve"> </w:t>
      </w:r>
    </w:p>
    <w:p w14:paraId="497A2661" w14:textId="77777777" w:rsidR="008779DD" w:rsidRDefault="008779DD" w:rsidP="0091279E">
      <w:pPr>
        <w:pStyle w:val="ListParagraph"/>
        <w:keepNext/>
        <w:keepLines/>
        <w:numPr>
          <w:ilvl w:val="1"/>
          <w:numId w:val="4"/>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Type of hematological malignancy:</w:t>
      </w:r>
    </w:p>
    <w:p w14:paraId="6E1F37D2" w14:textId="77777777" w:rsidR="008779DD" w:rsidRDefault="008779DD" w:rsidP="0091279E">
      <w:pPr>
        <w:pStyle w:val="ListParagraph"/>
        <w:keepNext/>
        <w:keepLines/>
        <w:numPr>
          <w:ilvl w:val="2"/>
          <w:numId w:val="1"/>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Hodgkin lymphoma</w:t>
      </w:r>
    </w:p>
    <w:p w14:paraId="3EAD524C"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B-CLL / small cell B-cell lymphoma</w:t>
      </w:r>
    </w:p>
    <w:p w14:paraId="1A3B13BD"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Indolent non-Hodgkin lymphoma</w:t>
      </w:r>
    </w:p>
    <w:p w14:paraId="6771033D"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Aggressive non-Hodgkin lymphoma</w:t>
      </w:r>
    </w:p>
    <w:p w14:paraId="7596233C"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Plasma cell </w:t>
      </w:r>
      <w:proofErr w:type="spellStart"/>
      <w:r w:rsidRPr="743E81BE">
        <w:rPr>
          <w:rFonts w:ascii="Calibri" w:eastAsia="Calibri" w:hAnsi="Calibri" w:cs="Calibri"/>
          <w:color w:val="000000" w:themeColor="text1"/>
          <w:sz w:val="20"/>
          <w:szCs w:val="20"/>
          <w:lang w:val="en-GB"/>
        </w:rPr>
        <w:t>tumors</w:t>
      </w:r>
      <w:proofErr w:type="spellEnd"/>
    </w:p>
    <w:p w14:paraId="1BD29A1A"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Mature T-cell and NK-cell </w:t>
      </w:r>
      <w:proofErr w:type="spellStart"/>
      <w:r w:rsidRPr="743E81BE">
        <w:rPr>
          <w:rFonts w:ascii="Calibri" w:eastAsia="Calibri" w:hAnsi="Calibri" w:cs="Calibri"/>
          <w:color w:val="000000" w:themeColor="text1"/>
          <w:sz w:val="20"/>
          <w:szCs w:val="20"/>
          <w:lang w:val="en-GB"/>
        </w:rPr>
        <w:t>tumors</w:t>
      </w:r>
      <w:proofErr w:type="spellEnd"/>
      <w:r w:rsidRPr="743E81BE">
        <w:rPr>
          <w:rFonts w:ascii="Calibri" w:eastAsia="Calibri" w:hAnsi="Calibri" w:cs="Calibri"/>
          <w:color w:val="000000" w:themeColor="text1"/>
          <w:sz w:val="20"/>
          <w:szCs w:val="20"/>
          <w:lang w:val="en-GB"/>
        </w:rPr>
        <w:t xml:space="preserve"> (excluding cutaneous lymphomas)</w:t>
      </w:r>
    </w:p>
    <w:p w14:paraId="796EA119"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Cutaneous lymphomas</w:t>
      </w:r>
    </w:p>
    <w:p w14:paraId="24272B21"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Lymphoblastic </w:t>
      </w:r>
      <w:proofErr w:type="spellStart"/>
      <w:r w:rsidRPr="743E81BE">
        <w:rPr>
          <w:rFonts w:ascii="Calibri" w:eastAsia="Calibri" w:hAnsi="Calibri" w:cs="Calibri"/>
          <w:color w:val="000000" w:themeColor="text1"/>
          <w:sz w:val="20"/>
          <w:szCs w:val="20"/>
          <w:lang w:val="en-GB"/>
        </w:rPr>
        <w:t>leukemia</w:t>
      </w:r>
      <w:proofErr w:type="spellEnd"/>
      <w:r w:rsidRPr="743E81BE">
        <w:rPr>
          <w:rFonts w:ascii="Calibri" w:eastAsia="Calibri" w:hAnsi="Calibri" w:cs="Calibri"/>
          <w:color w:val="000000" w:themeColor="text1"/>
          <w:sz w:val="20"/>
          <w:szCs w:val="20"/>
          <w:lang w:val="en-GB"/>
        </w:rPr>
        <w:t>/lymphoma</w:t>
      </w:r>
    </w:p>
    <w:p w14:paraId="0DAE4BF6"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Acute myeloid </w:t>
      </w:r>
      <w:proofErr w:type="spellStart"/>
      <w:r w:rsidRPr="743E81BE">
        <w:rPr>
          <w:rFonts w:ascii="Calibri" w:eastAsia="Calibri" w:hAnsi="Calibri" w:cs="Calibri"/>
          <w:color w:val="000000" w:themeColor="text1"/>
          <w:sz w:val="20"/>
          <w:szCs w:val="20"/>
          <w:lang w:val="en-GB"/>
        </w:rPr>
        <w:t>leukemia</w:t>
      </w:r>
      <w:proofErr w:type="spellEnd"/>
    </w:p>
    <w:p w14:paraId="72A4CDF8"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Unspecified and </w:t>
      </w:r>
      <w:proofErr w:type="spellStart"/>
      <w:r w:rsidRPr="743E81BE">
        <w:rPr>
          <w:rFonts w:ascii="Calibri" w:eastAsia="Calibri" w:hAnsi="Calibri" w:cs="Calibri"/>
          <w:color w:val="000000" w:themeColor="text1"/>
          <w:sz w:val="20"/>
          <w:szCs w:val="20"/>
          <w:lang w:val="en-GB"/>
        </w:rPr>
        <w:t>biphenotypic</w:t>
      </w:r>
      <w:proofErr w:type="spellEnd"/>
      <w:r w:rsidRPr="743E81BE">
        <w:rPr>
          <w:rFonts w:ascii="Calibri" w:eastAsia="Calibri" w:hAnsi="Calibri" w:cs="Calibri"/>
          <w:color w:val="000000" w:themeColor="text1"/>
          <w:sz w:val="20"/>
          <w:szCs w:val="20"/>
          <w:lang w:val="en-GB"/>
        </w:rPr>
        <w:t xml:space="preserve"> </w:t>
      </w:r>
      <w:proofErr w:type="spellStart"/>
      <w:r w:rsidRPr="743E81BE">
        <w:rPr>
          <w:rFonts w:ascii="Calibri" w:eastAsia="Calibri" w:hAnsi="Calibri" w:cs="Calibri"/>
          <w:color w:val="000000" w:themeColor="text1"/>
          <w:sz w:val="20"/>
          <w:szCs w:val="20"/>
          <w:lang w:val="en-GB"/>
        </w:rPr>
        <w:t>leukemia</w:t>
      </w:r>
      <w:proofErr w:type="spellEnd"/>
    </w:p>
    <w:p w14:paraId="377E8660" w14:textId="77777777" w:rsidR="008779DD" w:rsidRDefault="008779DD" w:rsidP="0091279E">
      <w:pPr>
        <w:pStyle w:val="ListParagraph"/>
        <w:numPr>
          <w:ilvl w:val="2"/>
          <w:numId w:val="1"/>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Myeloproliferative disorders</w:t>
      </w:r>
    </w:p>
    <w:p w14:paraId="0BF5DE48" w14:textId="77777777" w:rsidR="008779DD" w:rsidRDefault="008779DD" w:rsidP="0091279E">
      <w:pPr>
        <w:pStyle w:val="ListParagraph"/>
        <w:numPr>
          <w:ilvl w:val="1"/>
          <w:numId w:val="4"/>
        </w:numPr>
        <w:spacing w:before="240" w:after="240"/>
        <w:rPr>
          <w:rFonts w:ascii="Calibri" w:eastAsia="Calibri" w:hAnsi="Calibri" w:cs="Calibri"/>
          <w:color w:val="000000" w:themeColor="text1"/>
          <w:sz w:val="20"/>
          <w:szCs w:val="20"/>
        </w:rPr>
      </w:pPr>
      <w:r w:rsidRPr="53E167B1">
        <w:rPr>
          <w:rFonts w:ascii="Calibri" w:eastAsia="Calibri" w:hAnsi="Calibri" w:cs="Calibri"/>
          <w:color w:val="000000" w:themeColor="text1"/>
          <w:sz w:val="20"/>
          <w:szCs w:val="20"/>
          <w:lang w:val="en-GB"/>
        </w:rPr>
        <w:t xml:space="preserve">Number of days between first CSCC and incidence date of </w:t>
      </w:r>
      <w:proofErr w:type="spellStart"/>
      <w:r w:rsidRPr="53E167B1">
        <w:rPr>
          <w:rFonts w:ascii="Calibri" w:eastAsia="Calibri" w:hAnsi="Calibri" w:cs="Calibri"/>
          <w:color w:val="000000" w:themeColor="text1"/>
          <w:sz w:val="20"/>
          <w:szCs w:val="20"/>
          <w:lang w:val="en-GB"/>
        </w:rPr>
        <w:t>hematological</w:t>
      </w:r>
      <w:proofErr w:type="spellEnd"/>
      <w:r w:rsidRPr="53E167B1">
        <w:rPr>
          <w:rFonts w:ascii="Calibri" w:eastAsia="Calibri" w:hAnsi="Calibri" w:cs="Calibri"/>
          <w:color w:val="000000" w:themeColor="text1"/>
          <w:sz w:val="20"/>
          <w:szCs w:val="20"/>
          <w:lang w:val="en-GB"/>
        </w:rPr>
        <w:t xml:space="preserve"> malignancy</w:t>
      </w:r>
    </w:p>
    <w:p w14:paraId="725D159E" w14:textId="77777777" w:rsidR="008779DD" w:rsidRDefault="008779DD" w:rsidP="0091279E">
      <w:pPr>
        <w:pStyle w:val="Heading2"/>
        <w:rPr>
          <w:rFonts w:ascii="Calibri" w:eastAsia="Calibri" w:hAnsi="Calibri" w:cs="Calibri"/>
          <w:b/>
          <w:bCs/>
          <w:color w:val="074F6A"/>
          <w:sz w:val="24"/>
          <w:szCs w:val="24"/>
        </w:rPr>
      </w:pPr>
      <w:r w:rsidRPr="53E167B1">
        <w:rPr>
          <w:rFonts w:ascii="Calibri" w:eastAsia="Calibri" w:hAnsi="Calibri" w:cs="Calibri"/>
          <w:b/>
          <w:bCs/>
          <w:color w:val="074F6A"/>
          <w:sz w:val="24"/>
          <w:szCs w:val="24"/>
        </w:rPr>
        <w:t xml:space="preserve">S2. </w:t>
      </w:r>
      <w:proofErr w:type="spellStart"/>
      <w:r w:rsidRPr="53E167B1">
        <w:rPr>
          <w:rFonts w:ascii="Calibri" w:eastAsia="Calibri" w:hAnsi="Calibri" w:cs="Calibri"/>
          <w:b/>
          <w:bCs/>
          <w:color w:val="074F6A"/>
          <w:sz w:val="24"/>
          <w:szCs w:val="24"/>
        </w:rPr>
        <w:t>Codelists</w:t>
      </w:r>
      <w:proofErr w:type="spellEnd"/>
      <w:r w:rsidRPr="53E167B1">
        <w:rPr>
          <w:rFonts w:ascii="Calibri" w:eastAsia="Calibri" w:hAnsi="Calibri" w:cs="Calibri"/>
          <w:b/>
          <w:bCs/>
          <w:color w:val="074F6A"/>
          <w:sz w:val="24"/>
          <w:szCs w:val="24"/>
        </w:rPr>
        <w:t xml:space="preserve"> (supplementary Excel file)</w:t>
      </w:r>
    </w:p>
    <w:p w14:paraId="781347B4" w14:textId="77777777" w:rsidR="008779DD" w:rsidRDefault="008779DD" w:rsidP="0091279E"/>
    <w:p w14:paraId="16B2C798" w14:textId="77777777" w:rsidR="008779DD" w:rsidRDefault="008779DD" w:rsidP="0091279E">
      <w:pPr>
        <w:pStyle w:val="Heading2"/>
        <w:rPr>
          <w:rFonts w:ascii="Calibri" w:eastAsia="Calibri" w:hAnsi="Calibri" w:cs="Calibri"/>
          <w:b/>
          <w:bCs/>
          <w:color w:val="074F6A"/>
          <w:sz w:val="24"/>
          <w:szCs w:val="24"/>
        </w:rPr>
      </w:pPr>
      <w:r w:rsidRPr="53E167B1">
        <w:rPr>
          <w:rFonts w:ascii="Calibri" w:eastAsia="Calibri" w:hAnsi="Calibri" w:cs="Calibri"/>
          <w:b/>
          <w:bCs/>
          <w:color w:val="074F6A"/>
          <w:sz w:val="24"/>
          <w:szCs w:val="24"/>
        </w:rPr>
        <w:lastRenderedPageBreak/>
        <w:t xml:space="preserve">S3. Sample processing protocol </w:t>
      </w:r>
    </w:p>
    <w:p w14:paraId="639FC7CA" w14:textId="77777777" w:rsidR="008779DD" w:rsidRDefault="008779DD" w:rsidP="0091279E">
      <w:pPr>
        <w:pStyle w:val="Heading3"/>
        <w:rPr>
          <w:rFonts w:ascii="Aptos" w:eastAsia="Aptos" w:hAnsi="Aptos" w:cs="Aptos"/>
          <w:color w:val="0F4761"/>
          <w:sz w:val="22"/>
          <w:szCs w:val="22"/>
        </w:rPr>
      </w:pPr>
      <w:r w:rsidRPr="743E81BE">
        <w:rPr>
          <w:rFonts w:ascii="Aptos" w:eastAsia="Aptos" w:hAnsi="Aptos" w:cs="Aptos"/>
          <w:color w:val="0F4761"/>
          <w:sz w:val="22"/>
          <w:szCs w:val="22"/>
          <w:lang w:val="en-GB"/>
        </w:rPr>
        <w:t>Batch preparation</w:t>
      </w:r>
    </w:p>
    <w:p w14:paraId="03C08BB8" w14:textId="44D7B5B9"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Formalin-fixed paraffin-embedded (FFPE) tumour blocks were sent by participating pathology laboratories to the central pathology unit at </w:t>
      </w:r>
      <w:r w:rsidR="00565822">
        <w:rPr>
          <w:rFonts w:ascii="Calibri" w:eastAsia="Calibri" w:hAnsi="Calibri" w:cs="Calibri"/>
          <w:color w:val="000000" w:themeColor="text1"/>
          <w:sz w:val="20"/>
          <w:szCs w:val="20"/>
          <w:lang w:val="en-GB"/>
        </w:rPr>
        <w:t xml:space="preserve">the </w:t>
      </w:r>
      <w:r w:rsidRPr="743E81BE">
        <w:rPr>
          <w:rFonts w:ascii="Calibri" w:eastAsia="Calibri" w:hAnsi="Calibri" w:cs="Calibri"/>
          <w:color w:val="000000" w:themeColor="text1"/>
          <w:sz w:val="20"/>
          <w:szCs w:val="20"/>
          <w:lang w:val="en-GB"/>
        </w:rPr>
        <w:t>Erasmus</w:t>
      </w:r>
      <w:r w:rsidR="00565822">
        <w:rPr>
          <w:rFonts w:ascii="Calibri" w:eastAsia="Calibri" w:hAnsi="Calibri" w:cs="Calibri"/>
          <w:color w:val="000000" w:themeColor="text1"/>
          <w:sz w:val="20"/>
          <w:szCs w:val="20"/>
          <w:lang w:val="en-GB"/>
        </w:rPr>
        <w:t xml:space="preserve"> University</w:t>
      </w:r>
      <w:r w:rsidRPr="743E81BE">
        <w:rPr>
          <w:rFonts w:ascii="Calibri" w:eastAsia="Calibri" w:hAnsi="Calibri" w:cs="Calibri"/>
          <w:color w:val="000000" w:themeColor="text1"/>
          <w:sz w:val="20"/>
          <w:szCs w:val="20"/>
          <w:lang w:val="en-GB"/>
        </w:rPr>
        <w:t xml:space="preserve"> M</w:t>
      </w:r>
      <w:r w:rsidR="00565822">
        <w:rPr>
          <w:rFonts w:ascii="Calibri" w:eastAsia="Calibri" w:hAnsi="Calibri" w:cs="Calibri"/>
          <w:color w:val="000000" w:themeColor="text1"/>
          <w:sz w:val="20"/>
          <w:szCs w:val="20"/>
          <w:lang w:val="en-GB"/>
        </w:rPr>
        <w:t xml:space="preserve">edical </w:t>
      </w:r>
      <w:r w:rsidR="00565822" w:rsidRPr="743E81BE">
        <w:rPr>
          <w:rFonts w:ascii="Calibri" w:eastAsia="Calibri" w:hAnsi="Calibri" w:cs="Calibri"/>
          <w:color w:val="000000" w:themeColor="text1"/>
          <w:sz w:val="20"/>
          <w:szCs w:val="20"/>
          <w:lang w:val="en-GB"/>
        </w:rPr>
        <w:t>C</w:t>
      </w:r>
      <w:r w:rsidR="00565822">
        <w:rPr>
          <w:rFonts w:ascii="Calibri" w:eastAsia="Calibri" w:hAnsi="Calibri" w:cs="Calibri"/>
          <w:color w:val="000000" w:themeColor="text1"/>
          <w:sz w:val="20"/>
          <w:szCs w:val="20"/>
          <w:lang w:val="en-GB"/>
        </w:rPr>
        <w:t>entre (Erasmus MC)</w:t>
      </w:r>
      <w:r w:rsidRPr="743E81BE">
        <w:rPr>
          <w:rFonts w:ascii="Calibri" w:eastAsia="Calibri" w:hAnsi="Calibri" w:cs="Calibri"/>
          <w:color w:val="000000" w:themeColor="text1"/>
          <w:sz w:val="20"/>
          <w:szCs w:val="20"/>
          <w:lang w:val="en-GB"/>
        </w:rPr>
        <w:t>. Upon arrival, each delivery was checked to confirm that the received blocks matched the requested specimens. When multiple blocks were provided, the selection followed these criteria:</w:t>
      </w:r>
    </w:p>
    <w:p w14:paraId="0CBCC493" w14:textId="77777777" w:rsidR="008779DD" w:rsidRDefault="008779DD" w:rsidP="0091279E">
      <w:pPr>
        <w:pStyle w:val="ListParagraph"/>
        <w:numPr>
          <w:ilvl w:val="0"/>
          <w:numId w:val="3"/>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Blocks taken from the borders of the excision (head or tail) were excluded.</w:t>
      </w:r>
    </w:p>
    <w:p w14:paraId="40CDEDC1" w14:textId="77777777" w:rsidR="008779DD" w:rsidRDefault="008779DD" w:rsidP="0091279E">
      <w:pPr>
        <w:pStyle w:val="ListParagraph"/>
        <w:numPr>
          <w:ilvl w:val="0"/>
          <w:numId w:val="3"/>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The selected block had to contain visible tumour tissue, as described in the microscopy section of the pathology report.</w:t>
      </w:r>
    </w:p>
    <w:p w14:paraId="3726E15A" w14:textId="77777777" w:rsidR="008779DD" w:rsidRDefault="008779DD" w:rsidP="0091279E">
      <w:pPr>
        <w:pStyle w:val="ListParagraph"/>
        <w:numPr>
          <w:ilvl w:val="0"/>
          <w:numId w:val="3"/>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If the microscopy description was unclear or unavailable, the block was macroscopically inspected, and the block containing the largest amount of tissue was selected.</w:t>
      </w:r>
    </w:p>
    <w:p w14:paraId="69A0042C" w14:textId="77777777" w:rsidR="008779DD" w:rsidRDefault="008779DD" w:rsidP="0091279E">
      <w:pPr>
        <w:spacing w:before="240" w:after="240"/>
        <w:rPr>
          <w:rFonts w:ascii="Calibri" w:eastAsia="Calibri" w:hAnsi="Calibri" w:cs="Calibri"/>
          <w:color w:val="000000" w:themeColor="text1"/>
          <w:sz w:val="20"/>
          <w:szCs w:val="20"/>
        </w:rPr>
      </w:pPr>
      <w:r>
        <w:rPr>
          <w:rFonts w:ascii="Calibri" w:eastAsia="Calibri" w:hAnsi="Calibri" w:cs="Calibri"/>
          <w:color w:val="000000" w:themeColor="text1"/>
          <w:sz w:val="20"/>
          <w:szCs w:val="20"/>
          <w:lang w:val="en-GB"/>
        </w:rPr>
        <w:t xml:space="preserve">After selection, blocks were organized into batches for sectioning. For the development cohort, each batch consisted of 25 case-control pairs.  For the validation cohort, </w:t>
      </w:r>
      <w:r w:rsidRPr="743E81BE">
        <w:rPr>
          <w:rFonts w:ascii="Calibri" w:eastAsia="Calibri" w:hAnsi="Calibri" w:cs="Calibri"/>
          <w:color w:val="000000" w:themeColor="text1"/>
          <w:sz w:val="20"/>
          <w:szCs w:val="20"/>
          <w:lang w:val="en-GB"/>
        </w:rPr>
        <w:t xml:space="preserve"> </w:t>
      </w:r>
      <w:r>
        <w:rPr>
          <w:rFonts w:ascii="Calibri" w:eastAsia="Calibri" w:hAnsi="Calibri" w:cs="Calibri"/>
          <w:color w:val="000000" w:themeColor="text1"/>
          <w:sz w:val="20"/>
          <w:szCs w:val="20"/>
          <w:lang w:val="en-GB"/>
        </w:rPr>
        <w:t xml:space="preserve">each </w:t>
      </w:r>
      <w:r w:rsidRPr="743E81BE">
        <w:rPr>
          <w:rFonts w:ascii="Calibri" w:eastAsia="Calibri" w:hAnsi="Calibri" w:cs="Calibri"/>
          <w:color w:val="000000" w:themeColor="text1"/>
          <w:sz w:val="20"/>
          <w:szCs w:val="20"/>
          <w:lang w:val="en-GB"/>
        </w:rPr>
        <w:t xml:space="preserve">batch consisted of 48 FFPE blocks, including 16 cases, 16 random controls, and 16 matched controls. </w:t>
      </w:r>
    </w:p>
    <w:p w14:paraId="3ACCFAF4" w14:textId="77777777"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Sectioning followed a first-in, first-cut approach, meaning that blocks were processed in the order they were received. All blocks were labelled according to the established labelling protocol. If any label detached during handling, it was checked and replaced before further processing. To </w:t>
      </w:r>
      <w:r>
        <w:rPr>
          <w:rFonts w:ascii="Calibri" w:eastAsia="Calibri" w:hAnsi="Calibri" w:cs="Calibri"/>
          <w:color w:val="000000" w:themeColor="text1"/>
          <w:sz w:val="20"/>
          <w:szCs w:val="20"/>
          <w:lang w:val="en-GB"/>
        </w:rPr>
        <w:t>enable correction for batch effects and the potential effects of different pathology labs in sequencing analyses</w:t>
      </w:r>
      <w:r w:rsidRPr="743E81BE">
        <w:rPr>
          <w:rFonts w:ascii="Calibri" w:eastAsia="Calibri" w:hAnsi="Calibri" w:cs="Calibri"/>
          <w:color w:val="000000" w:themeColor="text1"/>
          <w:sz w:val="20"/>
          <w:szCs w:val="20"/>
          <w:lang w:val="en-GB"/>
        </w:rPr>
        <w:t xml:space="preserve">, blocks from the same laboratory were distributed across different batches. </w:t>
      </w:r>
    </w:p>
    <w:p w14:paraId="64C43CDA" w14:textId="77777777"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Completed batches were then sent for sectioning according to the scheme described in </w:t>
      </w:r>
      <w:proofErr w:type="spellStart"/>
      <w:r w:rsidRPr="743E81BE">
        <w:rPr>
          <w:rFonts w:ascii="Calibri" w:eastAsia="Calibri" w:hAnsi="Calibri" w:cs="Calibri"/>
          <w:color w:val="000000" w:themeColor="text1"/>
          <w:sz w:val="20"/>
          <w:szCs w:val="20"/>
          <w:lang w:val="en-GB"/>
        </w:rPr>
        <w:t>sTable</w:t>
      </w:r>
      <w:proofErr w:type="spellEnd"/>
      <w:r w:rsidRPr="743E81BE">
        <w:rPr>
          <w:rFonts w:ascii="Calibri" w:eastAsia="Calibri" w:hAnsi="Calibri" w:cs="Calibri"/>
          <w:color w:val="000000" w:themeColor="text1"/>
          <w:sz w:val="20"/>
          <w:szCs w:val="20"/>
          <w:lang w:val="en-GB"/>
        </w:rPr>
        <w:t xml:space="preserve"> 1.</w:t>
      </w:r>
    </w:p>
    <w:p w14:paraId="575F6BB5" w14:textId="77777777"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One participating pathology laboratory preferred not to send FFPE blocks and instead prepared and sent scraped RNA and unstained slides to Erasmus MC. For these cases, the laboratory received</w:t>
      </w:r>
      <w:r>
        <w:rPr>
          <w:rFonts w:ascii="Calibri" w:eastAsia="Calibri" w:hAnsi="Calibri" w:cs="Calibri"/>
          <w:color w:val="000000" w:themeColor="text1"/>
          <w:sz w:val="20"/>
          <w:szCs w:val="20"/>
          <w:lang w:val="en-GB"/>
        </w:rPr>
        <w:t xml:space="preserve"> the cutting procedure and</w:t>
      </w:r>
      <w:r w:rsidRPr="743E81BE">
        <w:rPr>
          <w:rFonts w:ascii="Calibri" w:eastAsia="Calibri" w:hAnsi="Calibri" w:cs="Calibri"/>
          <w:color w:val="000000" w:themeColor="text1"/>
          <w:sz w:val="20"/>
          <w:szCs w:val="20"/>
          <w:lang w:val="en-GB"/>
        </w:rPr>
        <w:t xml:space="preserve"> a list of study codes from the research team to ensure that all slides were correctly labelled before shipment. Upon arrival at Erasmus MC, the slides were checked and stored or subsequently </w:t>
      </w:r>
      <w:r>
        <w:rPr>
          <w:rFonts w:ascii="Calibri" w:eastAsia="Calibri" w:hAnsi="Calibri" w:cs="Calibri"/>
          <w:color w:val="000000" w:themeColor="text1"/>
          <w:sz w:val="20"/>
          <w:szCs w:val="20"/>
          <w:lang w:val="en-GB"/>
        </w:rPr>
        <w:t>stained</w:t>
      </w:r>
      <w:r w:rsidRPr="743E81BE">
        <w:rPr>
          <w:rFonts w:ascii="Calibri" w:eastAsia="Calibri" w:hAnsi="Calibri" w:cs="Calibri"/>
          <w:color w:val="000000" w:themeColor="text1"/>
          <w:sz w:val="20"/>
          <w:szCs w:val="20"/>
          <w:lang w:val="en-GB"/>
        </w:rPr>
        <w:t>. When slides were received instead of FFPE blocks, this information was recorded in the study data files.</w:t>
      </w:r>
    </w:p>
    <w:p w14:paraId="02B3E9E8" w14:textId="77777777"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b/>
          <w:bCs/>
          <w:color w:val="000000" w:themeColor="text1"/>
          <w:sz w:val="20"/>
          <w:szCs w:val="20"/>
          <w:lang w:val="en-GB"/>
        </w:rPr>
        <w:t xml:space="preserve">Cutting and Staining Procedures </w:t>
      </w:r>
    </w:p>
    <w:p w14:paraId="4B211304" w14:textId="77777777"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All slides and Eppendorf tubes were labelled with a unique study code according to the labelling protocol. Slides were cut at a thickness of 4 µm. The processing of slides followed the following specifications:</w:t>
      </w:r>
    </w:p>
    <w:p w14:paraId="4EE360F6" w14:textId="77777777" w:rsidR="008779DD" w:rsidRDefault="008779DD" w:rsidP="0091279E">
      <w:pPr>
        <w:pStyle w:val="ListParagraph"/>
        <w:numPr>
          <w:ilvl w:val="0"/>
          <w:numId w:val="2"/>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Slides for RNA isolation: </w:t>
      </w:r>
      <w:r>
        <w:rPr>
          <w:rFonts w:ascii="Calibri" w:eastAsia="Calibri" w:hAnsi="Calibri" w:cs="Calibri"/>
          <w:color w:val="000000" w:themeColor="text1"/>
          <w:sz w:val="20"/>
          <w:szCs w:val="20"/>
          <w:lang w:val="en-GB"/>
        </w:rPr>
        <w:t>Whole</w:t>
      </w:r>
      <w:r w:rsidRPr="743E81BE">
        <w:rPr>
          <w:rFonts w:ascii="Calibri" w:eastAsia="Calibri" w:hAnsi="Calibri" w:cs="Calibri"/>
          <w:color w:val="000000" w:themeColor="text1"/>
          <w:sz w:val="20"/>
          <w:szCs w:val="20"/>
          <w:lang w:val="en-GB"/>
        </w:rPr>
        <w:t xml:space="preserve"> slides</w:t>
      </w:r>
      <w:r>
        <w:rPr>
          <w:rFonts w:ascii="Calibri" w:eastAsia="Calibri" w:hAnsi="Calibri" w:cs="Calibri"/>
          <w:color w:val="000000" w:themeColor="text1"/>
          <w:sz w:val="20"/>
          <w:szCs w:val="20"/>
          <w:lang w:val="en-GB"/>
        </w:rPr>
        <w:t xml:space="preserve"> were scraped and collected in an Eppendorf tube in order to enable transcriptomics analyses of both the tumour and the surrounding </w:t>
      </w:r>
      <w:proofErr w:type="spellStart"/>
      <w:r>
        <w:rPr>
          <w:rFonts w:ascii="Calibri" w:eastAsia="Calibri" w:hAnsi="Calibri" w:cs="Calibri"/>
          <w:color w:val="000000" w:themeColor="text1"/>
          <w:sz w:val="20"/>
          <w:szCs w:val="20"/>
          <w:lang w:val="en-GB"/>
        </w:rPr>
        <w:t>tumor</w:t>
      </w:r>
      <w:proofErr w:type="spellEnd"/>
      <w:r>
        <w:rPr>
          <w:rFonts w:ascii="Calibri" w:eastAsia="Calibri" w:hAnsi="Calibri" w:cs="Calibri"/>
          <w:color w:val="000000" w:themeColor="text1"/>
          <w:sz w:val="20"/>
          <w:szCs w:val="20"/>
          <w:lang w:val="en-GB"/>
        </w:rPr>
        <w:t xml:space="preserve"> microenvironment. Details on RNA isolation will be described in the respective manuscript(s).</w:t>
      </w:r>
    </w:p>
    <w:p w14:paraId="040BAC6A" w14:textId="77777777" w:rsidR="008779DD" w:rsidRDefault="008779DD" w:rsidP="0091279E">
      <w:pPr>
        <w:pStyle w:val="ListParagraph"/>
        <w:numPr>
          <w:ilvl w:val="0"/>
          <w:numId w:val="2"/>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 xml:space="preserve">Slides for DNA isolation: slides were kept </w:t>
      </w:r>
      <w:proofErr w:type="spellStart"/>
      <w:r w:rsidRPr="743E81BE">
        <w:rPr>
          <w:rFonts w:ascii="Calibri" w:eastAsia="Calibri" w:hAnsi="Calibri" w:cs="Calibri"/>
          <w:color w:val="000000" w:themeColor="text1"/>
          <w:sz w:val="20"/>
          <w:szCs w:val="20"/>
          <w:lang w:val="en-GB"/>
        </w:rPr>
        <w:t>blan</w:t>
      </w:r>
      <w:r>
        <w:rPr>
          <w:rFonts w:ascii="Calibri" w:eastAsia="Calibri" w:hAnsi="Calibri" w:cs="Calibri"/>
          <w:color w:val="000000" w:themeColor="text1"/>
          <w:sz w:val="20"/>
          <w:szCs w:val="20"/>
          <w:lang w:val="en-GB"/>
        </w:rPr>
        <w:t>co</w:t>
      </w:r>
      <w:proofErr w:type="spellEnd"/>
      <w:r w:rsidRPr="743E81BE">
        <w:rPr>
          <w:rFonts w:ascii="Calibri" w:eastAsia="Calibri" w:hAnsi="Calibri" w:cs="Calibri"/>
          <w:color w:val="000000" w:themeColor="text1"/>
          <w:sz w:val="20"/>
          <w:szCs w:val="20"/>
          <w:lang w:val="en-GB"/>
        </w:rPr>
        <w:t xml:space="preserve"> and stored in slide boxes for later use.</w:t>
      </w:r>
      <w:r>
        <w:rPr>
          <w:rFonts w:ascii="Calibri" w:eastAsia="Calibri" w:hAnsi="Calibri" w:cs="Calibri"/>
          <w:color w:val="000000" w:themeColor="text1"/>
          <w:sz w:val="20"/>
          <w:szCs w:val="20"/>
          <w:lang w:val="en-GB"/>
        </w:rPr>
        <w:t xml:space="preserve"> At the time of </w:t>
      </w:r>
      <w:proofErr w:type="spellStart"/>
      <w:r>
        <w:rPr>
          <w:rFonts w:ascii="Calibri" w:eastAsia="Calibri" w:hAnsi="Calibri" w:cs="Calibri"/>
          <w:color w:val="000000" w:themeColor="text1"/>
          <w:sz w:val="20"/>
          <w:szCs w:val="20"/>
          <w:lang w:val="en-GB"/>
        </w:rPr>
        <w:t>DNAseq</w:t>
      </w:r>
      <w:proofErr w:type="spellEnd"/>
      <w:r>
        <w:rPr>
          <w:rFonts w:ascii="Calibri" w:eastAsia="Calibri" w:hAnsi="Calibri" w:cs="Calibri"/>
          <w:color w:val="000000" w:themeColor="text1"/>
          <w:sz w:val="20"/>
          <w:szCs w:val="20"/>
          <w:lang w:val="en-GB"/>
        </w:rPr>
        <w:t xml:space="preserve">  H&amp;E staining was performed and </w:t>
      </w:r>
      <w:proofErr w:type="spellStart"/>
      <w:r>
        <w:rPr>
          <w:rFonts w:ascii="Calibri" w:eastAsia="Calibri" w:hAnsi="Calibri" w:cs="Calibri"/>
          <w:color w:val="000000" w:themeColor="text1"/>
          <w:sz w:val="20"/>
          <w:szCs w:val="20"/>
          <w:lang w:val="en-GB"/>
        </w:rPr>
        <w:t>macrodissection</w:t>
      </w:r>
      <w:proofErr w:type="spellEnd"/>
      <w:r>
        <w:rPr>
          <w:rFonts w:ascii="Calibri" w:eastAsia="Calibri" w:hAnsi="Calibri" w:cs="Calibri"/>
          <w:color w:val="000000" w:themeColor="text1"/>
          <w:sz w:val="20"/>
          <w:szCs w:val="20"/>
          <w:lang w:val="en-GB"/>
        </w:rPr>
        <w:t xml:space="preserve"> was applied. </w:t>
      </w:r>
      <w:r w:rsidRPr="004428E8">
        <w:rPr>
          <w:rFonts w:ascii="Calibri" w:eastAsia="Calibri" w:hAnsi="Calibri" w:cs="Calibri"/>
          <w:color w:val="000000" w:themeColor="text1"/>
          <w:sz w:val="20"/>
          <w:szCs w:val="20"/>
        </w:rPr>
        <w:t>DNA was isolated from both tumor and normal from the adjacent skin</w:t>
      </w:r>
      <w:r>
        <w:rPr>
          <w:rFonts w:ascii="Calibri" w:eastAsia="Calibri" w:hAnsi="Calibri" w:cs="Calibri"/>
          <w:color w:val="000000" w:themeColor="text1"/>
          <w:sz w:val="20"/>
          <w:szCs w:val="20"/>
        </w:rPr>
        <w:t xml:space="preserve">. </w:t>
      </w:r>
      <w:r>
        <w:rPr>
          <w:rFonts w:ascii="Calibri" w:eastAsia="Calibri" w:hAnsi="Calibri" w:cs="Calibri"/>
          <w:color w:val="000000" w:themeColor="text1"/>
          <w:sz w:val="20"/>
          <w:szCs w:val="20"/>
          <w:lang w:val="en-GB"/>
        </w:rPr>
        <w:t xml:space="preserve">Details on DNA isolation will be described in the respective manuscript(s). </w:t>
      </w:r>
    </w:p>
    <w:p w14:paraId="4EE21953" w14:textId="77777777" w:rsidR="008779DD" w:rsidRDefault="008779DD" w:rsidP="0091279E">
      <w:pPr>
        <w:pStyle w:val="ListParagraph"/>
        <w:numPr>
          <w:ilvl w:val="0"/>
          <w:numId w:val="2"/>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Slides for immunohistochemistry (IHC): sections were mounted on adhesive glass slides, dipped in paraffin</w:t>
      </w:r>
      <w:r>
        <w:rPr>
          <w:rFonts w:ascii="Calibri" w:eastAsia="Calibri" w:hAnsi="Calibri" w:cs="Calibri"/>
          <w:color w:val="000000" w:themeColor="text1"/>
          <w:sz w:val="20"/>
          <w:szCs w:val="20"/>
          <w:lang w:val="en-GB"/>
        </w:rPr>
        <w:t xml:space="preserve"> to preserve tissue integrity for future analyses. A</w:t>
      </w:r>
      <w:r w:rsidRPr="743E81BE">
        <w:rPr>
          <w:rFonts w:ascii="Calibri" w:eastAsia="Calibri" w:hAnsi="Calibri" w:cs="Calibri"/>
          <w:color w:val="000000" w:themeColor="text1"/>
          <w:sz w:val="20"/>
          <w:szCs w:val="20"/>
          <w:lang w:val="en-GB"/>
        </w:rPr>
        <w:t>ny excess paraffin was carefully removed.</w:t>
      </w:r>
    </w:p>
    <w:p w14:paraId="52F2758B" w14:textId="77777777" w:rsidR="008779DD" w:rsidRDefault="008779DD" w:rsidP="0091279E">
      <w:pPr>
        <w:pStyle w:val="ListParagraph"/>
        <w:numPr>
          <w:ilvl w:val="0"/>
          <w:numId w:val="2"/>
        </w:num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lang w:val="en-GB"/>
        </w:rPr>
        <w:t>Slides for haematoxylin and eosin (H&amp;E) staining: the first section of each block was stained with H&amp;E for quality control and histopathological evaluation.</w:t>
      </w:r>
    </w:p>
    <w:p w14:paraId="3A944105" w14:textId="77777777" w:rsidR="008779DD" w:rsidRDefault="008779DD" w:rsidP="0091279E">
      <w:pPr>
        <w:pStyle w:val="ListParagraph"/>
        <w:numPr>
          <w:ilvl w:val="0"/>
          <w:numId w:val="2"/>
        </w:num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Blank slides: after every set of five sections, one blank slide was cut. These blank slides were reserved for potential additional analyses, such as repeated H&amp;E staining or other future applications.</w:t>
      </w:r>
    </w:p>
    <w:p w14:paraId="648F2964" w14:textId="77777777" w:rsidR="008779DD" w:rsidRDefault="008779DD" w:rsidP="006213FA">
      <w:pPr>
        <w:pStyle w:val="ListParagraph"/>
        <w:rPr>
          <w:rFonts w:ascii="Calibri" w:eastAsia="Calibri" w:hAnsi="Calibri" w:cs="Calibri"/>
          <w:color w:val="000000" w:themeColor="text1"/>
          <w:sz w:val="20"/>
          <w:szCs w:val="20"/>
        </w:rPr>
      </w:pPr>
    </w:p>
    <w:p w14:paraId="6333D398" w14:textId="77777777" w:rsidR="008779DD" w:rsidRDefault="008779DD" w:rsidP="0091279E">
      <w:pPr>
        <w:rPr>
          <w:rFonts w:ascii="Calibri" w:eastAsia="Calibri" w:hAnsi="Calibri" w:cs="Calibri"/>
          <w:color w:val="000000" w:themeColor="text1"/>
          <w:sz w:val="20"/>
          <w:szCs w:val="20"/>
        </w:rPr>
      </w:pPr>
      <w:proofErr w:type="spellStart"/>
      <w:r w:rsidRPr="743E81BE">
        <w:rPr>
          <w:rFonts w:ascii="Calibri" w:eastAsia="Calibri" w:hAnsi="Calibri" w:cs="Calibri"/>
          <w:color w:val="000000" w:themeColor="text1"/>
          <w:sz w:val="20"/>
          <w:szCs w:val="20"/>
          <w:lang w:val="en-GB"/>
        </w:rPr>
        <w:t>sTable</w:t>
      </w:r>
      <w:proofErr w:type="spellEnd"/>
      <w:r w:rsidRPr="743E81BE">
        <w:rPr>
          <w:rFonts w:ascii="Calibri" w:eastAsia="Calibri" w:hAnsi="Calibri" w:cs="Calibri"/>
          <w:color w:val="000000" w:themeColor="text1"/>
          <w:sz w:val="20"/>
          <w:szCs w:val="20"/>
          <w:lang w:val="en-GB"/>
        </w:rPr>
        <w:t xml:space="preserve"> 1: Overview of sectioning and processing of FFPE </w:t>
      </w:r>
      <w:proofErr w:type="spellStart"/>
      <w:r w:rsidRPr="743E81BE">
        <w:rPr>
          <w:rFonts w:ascii="Calibri" w:eastAsia="Calibri" w:hAnsi="Calibri" w:cs="Calibri"/>
          <w:color w:val="000000" w:themeColor="text1"/>
          <w:sz w:val="20"/>
          <w:szCs w:val="20"/>
          <w:lang w:val="en-GB"/>
        </w:rPr>
        <w:t>tumor</w:t>
      </w:r>
      <w:proofErr w:type="spellEnd"/>
      <w:r w:rsidRPr="743E81BE">
        <w:rPr>
          <w:rFonts w:ascii="Calibri" w:eastAsia="Calibri" w:hAnsi="Calibri" w:cs="Calibri"/>
          <w:color w:val="000000" w:themeColor="text1"/>
          <w:sz w:val="20"/>
          <w:szCs w:val="20"/>
          <w:lang w:val="en-GB"/>
        </w:rPr>
        <w:t xml:space="preserve"> samples</w:t>
      </w:r>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2070"/>
        <w:gridCol w:w="1830"/>
        <w:gridCol w:w="1605"/>
        <w:gridCol w:w="1845"/>
      </w:tblGrid>
      <w:tr w:rsidR="008779DD" w14:paraId="21B6F1CD" w14:textId="77777777" w:rsidTr="00041056">
        <w:trPr>
          <w:trHeight w:val="300"/>
        </w:trPr>
        <w:tc>
          <w:tcPr>
            <w:tcW w:w="1680" w:type="dxa"/>
            <w:tcMar>
              <w:left w:w="105" w:type="dxa"/>
              <w:right w:w="105" w:type="dxa"/>
            </w:tcMar>
          </w:tcPr>
          <w:p w14:paraId="56494822" w14:textId="77777777" w:rsidR="008779DD" w:rsidRDefault="008779DD" w:rsidP="00041056">
            <w:pPr>
              <w:jc w:val="center"/>
              <w:rPr>
                <w:rFonts w:ascii="Calibri" w:eastAsia="Calibri" w:hAnsi="Calibri" w:cs="Calibri"/>
                <w:sz w:val="20"/>
                <w:szCs w:val="20"/>
              </w:rPr>
            </w:pPr>
            <w:r w:rsidRPr="743E81BE">
              <w:rPr>
                <w:rFonts w:ascii="Calibri" w:eastAsia="Calibri" w:hAnsi="Calibri" w:cs="Calibri"/>
                <w:b/>
                <w:bCs/>
                <w:sz w:val="20"/>
                <w:szCs w:val="20"/>
                <w:lang w:val="en-GB"/>
              </w:rPr>
              <w:t>Slide number</w:t>
            </w:r>
          </w:p>
        </w:tc>
        <w:tc>
          <w:tcPr>
            <w:tcW w:w="2070" w:type="dxa"/>
            <w:tcMar>
              <w:left w:w="105" w:type="dxa"/>
              <w:right w:w="105" w:type="dxa"/>
            </w:tcMar>
          </w:tcPr>
          <w:p w14:paraId="546118FE" w14:textId="77777777" w:rsidR="008779DD" w:rsidRDefault="008779DD" w:rsidP="00041056">
            <w:pPr>
              <w:jc w:val="center"/>
              <w:rPr>
                <w:rFonts w:ascii="Calibri" w:eastAsia="Calibri" w:hAnsi="Calibri" w:cs="Calibri"/>
                <w:sz w:val="20"/>
                <w:szCs w:val="20"/>
              </w:rPr>
            </w:pPr>
            <w:r w:rsidRPr="743E81BE">
              <w:rPr>
                <w:rFonts w:ascii="Calibri" w:eastAsia="Calibri" w:hAnsi="Calibri" w:cs="Calibri"/>
                <w:b/>
                <w:bCs/>
                <w:sz w:val="20"/>
                <w:szCs w:val="20"/>
                <w:lang w:val="en-GB"/>
              </w:rPr>
              <w:t>Label</w:t>
            </w:r>
          </w:p>
        </w:tc>
        <w:tc>
          <w:tcPr>
            <w:tcW w:w="1830" w:type="dxa"/>
            <w:tcMar>
              <w:left w:w="105" w:type="dxa"/>
              <w:right w:w="105" w:type="dxa"/>
            </w:tcMar>
          </w:tcPr>
          <w:p w14:paraId="2C089D8B" w14:textId="77777777" w:rsidR="008779DD" w:rsidRDefault="008779DD" w:rsidP="00041056">
            <w:pPr>
              <w:jc w:val="center"/>
              <w:rPr>
                <w:rFonts w:ascii="Calibri" w:eastAsia="Calibri" w:hAnsi="Calibri" w:cs="Calibri"/>
                <w:sz w:val="20"/>
                <w:szCs w:val="20"/>
              </w:rPr>
            </w:pPr>
            <w:r w:rsidRPr="743E81BE">
              <w:rPr>
                <w:rFonts w:ascii="Calibri" w:eastAsia="Calibri" w:hAnsi="Calibri" w:cs="Calibri"/>
                <w:b/>
                <w:bCs/>
                <w:sz w:val="20"/>
                <w:szCs w:val="20"/>
                <w:lang w:val="en-GB"/>
              </w:rPr>
              <w:t>Glass or Eppendorf tube</w:t>
            </w:r>
          </w:p>
        </w:tc>
        <w:tc>
          <w:tcPr>
            <w:tcW w:w="1605" w:type="dxa"/>
            <w:tcMar>
              <w:left w:w="105" w:type="dxa"/>
              <w:right w:w="105" w:type="dxa"/>
            </w:tcMar>
          </w:tcPr>
          <w:p w14:paraId="6190AC18" w14:textId="77777777" w:rsidR="008779DD" w:rsidRDefault="008779DD" w:rsidP="00041056">
            <w:pPr>
              <w:jc w:val="center"/>
              <w:rPr>
                <w:rFonts w:ascii="Calibri" w:eastAsia="Calibri" w:hAnsi="Calibri" w:cs="Calibri"/>
                <w:sz w:val="20"/>
                <w:szCs w:val="20"/>
              </w:rPr>
            </w:pPr>
            <w:r w:rsidRPr="743E81BE">
              <w:rPr>
                <w:rFonts w:ascii="Calibri" w:eastAsia="Calibri" w:hAnsi="Calibri" w:cs="Calibri"/>
                <w:b/>
                <w:bCs/>
                <w:sz w:val="20"/>
                <w:szCs w:val="20"/>
                <w:lang w:val="en-GB"/>
              </w:rPr>
              <w:t>Staining</w:t>
            </w:r>
          </w:p>
        </w:tc>
        <w:tc>
          <w:tcPr>
            <w:tcW w:w="1845" w:type="dxa"/>
            <w:tcMar>
              <w:left w:w="105" w:type="dxa"/>
              <w:right w:w="105" w:type="dxa"/>
            </w:tcMar>
          </w:tcPr>
          <w:p w14:paraId="06270351" w14:textId="77777777" w:rsidR="008779DD" w:rsidRDefault="008779DD" w:rsidP="00041056">
            <w:pPr>
              <w:jc w:val="center"/>
              <w:rPr>
                <w:rFonts w:ascii="Calibri" w:eastAsia="Calibri" w:hAnsi="Calibri" w:cs="Calibri"/>
                <w:sz w:val="20"/>
                <w:szCs w:val="20"/>
              </w:rPr>
            </w:pPr>
            <w:r w:rsidRPr="743E81BE">
              <w:rPr>
                <w:rFonts w:ascii="Calibri" w:eastAsia="Calibri" w:hAnsi="Calibri" w:cs="Calibri"/>
                <w:b/>
                <w:bCs/>
                <w:sz w:val="20"/>
                <w:szCs w:val="20"/>
                <w:lang w:val="en-GB"/>
              </w:rPr>
              <w:t>Processing</w:t>
            </w:r>
          </w:p>
        </w:tc>
      </w:tr>
      <w:tr w:rsidR="008779DD" w14:paraId="03ACB817" w14:textId="77777777" w:rsidTr="00041056">
        <w:trPr>
          <w:trHeight w:val="300"/>
        </w:trPr>
        <w:tc>
          <w:tcPr>
            <w:tcW w:w="1680" w:type="dxa"/>
            <w:tcMar>
              <w:left w:w="105" w:type="dxa"/>
              <w:right w:w="105" w:type="dxa"/>
            </w:tcMar>
          </w:tcPr>
          <w:p w14:paraId="026701D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w:t>
            </w:r>
          </w:p>
        </w:tc>
        <w:tc>
          <w:tcPr>
            <w:tcW w:w="2070" w:type="dxa"/>
            <w:tcMar>
              <w:left w:w="105" w:type="dxa"/>
              <w:right w:w="105" w:type="dxa"/>
            </w:tcMar>
          </w:tcPr>
          <w:p w14:paraId="44BF648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H&amp;E</w:t>
            </w:r>
          </w:p>
        </w:tc>
        <w:tc>
          <w:tcPr>
            <w:tcW w:w="1830" w:type="dxa"/>
            <w:tcMar>
              <w:left w:w="105" w:type="dxa"/>
              <w:right w:w="105" w:type="dxa"/>
            </w:tcMar>
          </w:tcPr>
          <w:p w14:paraId="7D81A3A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71704F7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H&amp;E</w:t>
            </w:r>
          </w:p>
        </w:tc>
        <w:tc>
          <w:tcPr>
            <w:tcW w:w="1845" w:type="dxa"/>
            <w:tcMar>
              <w:left w:w="105" w:type="dxa"/>
              <w:right w:w="105" w:type="dxa"/>
            </w:tcMar>
          </w:tcPr>
          <w:p w14:paraId="7CA5E77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Digitalization</w:t>
            </w:r>
          </w:p>
        </w:tc>
      </w:tr>
      <w:tr w:rsidR="008779DD" w14:paraId="343E2511" w14:textId="77777777" w:rsidTr="00041056">
        <w:trPr>
          <w:trHeight w:val="300"/>
        </w:trPr>
        <w:tc>
          <w:tcPr>
            <w:tcW w:w="1680" w:type="dxa"/>
            <w:tcMar>
              <w:left w:w="105" w:type="dxa"/>
              <w:right w:w="105" w:type="dxa"/>
            </w:tcMar>
          </w:tcPr>
          <w:p w14:paraId="141EFC56"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lastRenderedPageBreak/>
              <w:t>2</w:t>
            </w:r>
          </w:p>
        </w:tc>
        <w:tc>
          <w:tcPr>
            <w:tcW w:w="2070" w:type="dxa"/>
            <w:tcMar>
              <w:left w:w="105" w:type="dxa"/>
              <w:right w:w="105" w:type="dxa"/>
            </w:tcMar>
          </w:tcPr>
          <w:p w14:paraId="03C328A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70FAD44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61AF54B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1E51693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5FB9A7CA" w14:textId="77777777" w:rsidTr="00041056">
        <w:trPr>
          <w:trHeight w:val="300"/>
        </w:trPr>
        <w:tc>
          <w:tcPr>
            <w:tcW w:w="1680" w:type="dxa"/>
            <w:tcMar>
              <w:left w:w="105" w:type="dxa"/>
              <w:right w:w="105" w:type="dxa"/>
            </w:tcMar>
          </w:tcPr>
          <w:p w14:paraId="4F20DEF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3</w:t>
            </w:r>
          </w:p>
        </w:tc>
        <w:tc>
          <w:tcPr>
            <w:tcW w:w="2070" w:type="dxa"/>
            <w:tcMar>
              <w:left w:w="105" w:type="dxa"/>
              <w:right w:w="105" w:type="dxa"/>
            </w:tcMar>
          </w:tcPr>
          <w:p w14:paraId="3B16386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5E7F2B6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Glass </w:t>
            </w:r>
          </w:p>
        </w:tc>
        <w:tc>
          <w:tcPr>
            <w:tcW w:w="1605" w:type="dxa"/>
            <w:tcMar>
              <w:left w:w="105" w:type="dxa"/>
              <w:right w:w="105" w:type="dxa"/>
            </w:tcMar>
          </w:tcPr>
          <w:p w14:paraId="4FB1C42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71BFA21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64DDBEF6" w14:textId="77777777" w:rsidTr="00041056">
        <w:trPr>
          <w:trHeight w:val="300"/>
        </w:trPr>
        <w:tc>
          <w:tcPr>
            <w:tcW w:w="1680" w:type="dxa"/>
            <w:tcMar>
              <w:left w:w="105" w:type="dxa"/>
              <w:right w:w="105" w:type="dxa"/>
            </w:tcMar>
          </w:tcPr>
          <w:p w14:paraId="7066D80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4</w:t>
            </w:r>
          </w:p>
        </w:tc>
        <w:tc>
          <w:tcPr>
            <w:tcW w:w="2070" w:type="dxa"/>
            <w:tcMar>
              <w:left w:w="105" w:type="dxa"/>
              <w:right w:w="105" w:type="dxa"/>
            </w:tcMar>
          </w:tcPr>
          <w:p w14:paraId="3479A69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39F884A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0E061BC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1B63F5E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4B4EC3EB" w14:textId="77777777" w:rsidTr="00041056">
        <w:trPr>
          <w:trHeight w:val="300"/>
        </w:trPr>
        <w:tc>
          <w:tcPr>
            <w:tcW w:w="1680" w:type="dxa"/>
            <w:tcMar>
              <w:left w:w="105" w:type="dxa"/>
              <w:right w:w="105" w:type="dxa"/>
            </w:tcMar>
          </w:tcPr>
          <w:p w14:paraId="29F3E2F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5</w:t>
            </w:r>
          </w:p>
        </w:tc>
        <w:tc>
          <w:tcPr>
            <w:tcW w:w="2070" w:type="dxa"/>
            <w:tcMar>
              <w:left w:w="105" w:type="dxa"/>
              <w:right w:w="105" w:type="dxa"/>
            </w:tcMar>
          </w:tcPr>
          <w:p w14:paraId="0C572AC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070FB56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00AE3BD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373A1BF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311ADF9A" w14:textId="77777777" w:rsidTr="00041056">
        <w:trPr>
          <w:trHeight w:val="300"/>
        </w:trPr>
        <w:tc>
          <w:tcPr>
            <w:tcW w:w="1680" w:type="dxa"/>
            <w:tcMar>
              <w:left w:w="105" w:type="dxa"/>
              <w:right w:w="105" w:type="dxa"/>
            </w:tcMar>
          </w:tcPr>
          <w:p w14:paraId="27BEEBB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6</w:t>
            </w:r>
          </w:p>
        </w:tc>
        <w:tc>
          <w:tcPr>
            <w:tcW w:w="2070" w:type="dxa"/>
            <w:tcMar>
              <w:left w:w="105" w:type="dxa"/>
              <w:right w:w="105" w:type="dxa"/>
            </w:tcMar>
          </w:tcPr>
          <w:p w14:paraId="62664B3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r>
              <w:rPr>
                <w:rFonts w:ascii="Calibri" w:eastAsia="Calibri" w:hAnsi="Calibri" w:cs="Calibri"/>
                <w:sz w:val="20"/>
                <w:szCs w:val="20"/>
                <w:lang w:val="en-GB"/>
              </w:rPr>
              <w:t>*</w:t>
            </w:r>
          </w:p>
        </w:tc>
        <w:tc>
          <w:tcPr>
            <w:tcW w:w="1830" w:type="dxa"/>
            <w:tcMar>
              <w:left w:w="105" w:type="dxa"/>
              <w:right w:w="105" w:type="dxa"/>
            </w:tcMar>
          </w:tcPr>
          <w:p w14:paraId="09602E2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49D6AE2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4BE52720" w14:textId="77777777" w:rsidR="008779DD" w:rsidRDefault="008779DD" w:rsidP="00041056">
            <w:pPr>
              <w:rPr>
                <w:rFonts w:ascii="Calibri" w:eastAsia="Calibri" w:hAnsi="Calibri" w:cs="Calibri"/>
                <w:sz w:val="20"/>
                <w:szCs w:val="20"/>
              </w:rPr>
            </w:pPr>
          </w:p>
        </w:tc>
      </w:tr>
      <w:tr w:rsidR="008779DD" w14:paraId="04510346" w14:textId="77777777" w:rsidTr="00041056">
        <w:trPr>
          <w:trHeight w:val="300"/>
        </w:trPr>
        <w:tc>
          <w:tcPr>
            <w:tcW w:w="1680" w:type="dxa"/>
            <w:tcMar>
              <w:left w:w="105" w:type="dxa"/>
              <w:right w:w="105" w:type="dxa"/>
            </w:tcMar>
          </w:tcPr>
          <w:p w14:paraId="6F00DCC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7</w:t>
            </w:r>
          </w:p>
        </w:tc>
        <w:tc>
          <w:tcPr>
            <w:tcW w:w="2070" w:type="dxa"/>
            <w:tcMar>
              <w:left w:w="105" w:type="dxa"/>
              <w:right w:w="105" w:type="dxa"/>
            </w:tcMar>
          </w:tcPr>
          <w:p w14:paraId="0F22A33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IH</w:t>
            </w:r>
            <w:r>
              <w:rPr>
                <w:rFonts w:ascii="Calibri" w:eastAsia="Calibri" w:hAnsi="Calibri" w:cs="Calibri"/>
                <w:sz w:val="20"/>
                <w:szCs w:val="20"/>
                <w:lang w:val="en-GB"/>
              </w:rPr>
              <w:t>C</w:t>
            </w:r>
          </w:p>
        </w:tc>
        <w:tc>
          <w:tcPr>
            <w:tcW w:w="1830" w:type="dxa"/>
            <w:tcMar>
              <w:left w:w="105" w:type="dxa"/>
              <w:right w:w="105" w:type="dxa"/>
            </w:tcMar>
          </w:tcPr>
          <w:p w14:paraId="3EDC8EF5" w14:textId="77777777" w:rsidR="008779DD" w:rsidRDefault="008779DD" w:rsidP="00041056">
            <w:pPr>
              <w:pStyle w:val="Default"/>
              <w:rPr>
                <w:rFonts w:ascii="Calibri" w:eastAsia="Calibri" w:hAnsi="Calibri" w:cs="Calibri"/>
                <w:sz w:val="20"/>
                <w:szCs w:val="20"/>
              </w:rPr>
            </w:pPr>
            <w:r w:rsidRPr="743E81BE">
              <w:rPr>
                <w:rFonts w:ascii="Calibri" w:eastAsia="Calibri" w:hAnsi="Calibri" w:cs="Calibri"/>
                <w:sz w:val="20"/>
                <w:szCs w:val="20"/>
              </w:rPr>
              <w:t xml:space="preserve">Glass (Adhesive) </w:t>
            </w:r>
          </w:p>
        </w:tc>
        <w:tc>
          <w:tcPr>
            <w:tcW w:w="1605" w:type="dxa"/>
            <w:tcMar>
              <w:left w:w="105" w:type="dxa"/>
              <w:right w:w="105" w:type="dxa"/>
            </w:tcMar>
          </w:tcPr>
          <w:p w14:paraId="2E65314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7B1F8C2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dip paraffin</w:t>
            </w:r>
          </w:p>
        </w:tc>
      </w:tr>
      <w:tr w:rsidR="008779DD" w14:paraId="57F7382A" w14:textId="77777777" w:rsidTr="00041056">
        <w:trPr>
          <w:trHeight w:val="300"/>
        </w:trPr>
        <w:tc>
          <w:tcPr>
            <w:tcW w:w="1680" w:type="dxa"/>
            <w:tcMar>
              <w:left w:w="105" w:type="dxa"/>
              <w:right w:w="105" w:type="dxa"/>
            </w:tcMar>
          </w:tcPr>
          <w:p w14:paraId="32F74A0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8</w:t>
            </w:r>
          </w:p>
        </w:tc>
        <w:tc>
          <w:tcPr>
            <w:tcW w:w="2070" w:type="dxa"/>
            <w:tcMar>
              <w:left w:w="105" w:type="dxa"/>
              <w:right w:w="105" w:type="dxa"/>
            </w:tcMar>
          </w:tcPr>
          <w:p w14:paraId="53DEDD5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27DDDEF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05BFA8D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24BBE97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5A9BD4D7" w14:textId="77777777" w:rsidTr="00041056">
        <w:trPr>
          <w:trHeight w:val="300"/>
        </w:trPr>
        <w:tc>
          <w:tcPr>
            <w:tcW w:w="1680" w:type="dxa"/>
            <w:tcMar>
              <w:left w:w="105" w:type="dxa"/>
              <w:right w:w="105" w:type="dxa"/>
            </w:tcMar>
          </w:tcPr>
          <w:p w14:paraId="4232923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9</w:t>
            </w:r>
          </w:p>
        </w:tc>
        <w:tc>
          <w:tcPr>
            <w:tcW w:w="2070" w:type="dxa"/>
            <w:tcMar>
              <w:left w:w="105" w:type="dxa"/>
              <w:right w:w="105" w:type="dxa"/>
            </w:tcMar>
          </w:tcPr>
          <w:p w14:paraId="2920954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620BDFA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7C908E4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50AEBD2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60C70696" w14:textId="77777777" w:rsidTr="00041056">
        <w:trPr>
          <w:trHeight w:val="300"/>
        </w:trPr>
        <w:tc>
          <w:tcPr>
            <w:tcW w:w="1680" w:type="dxa"/>
            <w:tcMar>
              <w:left w:w="105" w:type="dxa"/>
              <w:right w:w="105" w:type="dxa"/>
            </w:tcMar>
          </w:tcPr>
          <w:p w14:paraId="27411B1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10</w:t>
            </w:r>
          </w:p>
        </w:tc>
        <w:tc>
          <w:tcPr>
            <w:tcW w:w="2070" w:type="dxa"/>
            <w:tcMar>
              <w:left w:w="105" w:type="dxa"/>
              <w:right w:w="105" w:type="dxa"/>
            </w:tcMar>
          </w:tcPr>
          <w:p w14:paraId="07BA0DA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07AAFC5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459F575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0CE5A3B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2521005F" w14:textId="77777777" w:rsidTr="00041056">
        <w:trPr>
          <w:trHeight w:val="300"/>
        </w:trPr>
        <w:tc>
          <w:tcPr>
            <w:tcW w:w="1680" w:type="dxa"/>
            <w:tcMar>
              <w:left w:w="105" w:type="dxa"/>
              <w:right w:w="105" w:type="dxa"/>
            </w:tcMar>
          </w:tcPr>
          <w:p w14:paraId="4E54978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11</w:t>
            </w:r>
          </w:p>
        </w:tc>
        <w:tc>
          <w:tcPr>
            <w:tcW w:w="2070" w:type="dxa"/>
            <w:tcMar>
              <w:left w:w="105" w:type="dxa"/>
              <w:right w:w="105" w:type="dxa"/>
            </w:tcMar>
          </w:tcPr>
          <w:p w14:paraId="1E4643F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08A9B1A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7111D8A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54B0FE8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5CFE87D3" w14:textId="77777777" w:rsidTr="00041056">
        <w:trPr>
          <w:trHeight w:val="300"/>
        </w:trPr>
        <w:tc>
          <w:tcPr>
            <w:tcW w:w="1680" w:type="dxa"/>
            <w:tcMar>
              <w:left w:w="105" w:type="dxa"/>
              <w:right w:w="105" w:type="dxa"/>
            </w:tcMar>
          </w:tcPr>
          <w:p w14:paraId="7E17FDF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12</w:t>
            </w:r>
          </w:p>
        </w:tc>
        <w:tc>
          <w:tcPr>
            <w:tcW w:w="2070" w:type="dxa"/>
            <w:tcMar>
              <w:left w:w="105" w:type="dxa"/>
              <w:right w:w="105" w:type="dxa"/>
            </w:tcMar>
          </w:tcPr>
          <w:p w14:paraId="7978166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r>
              <w:rPr>
                <w:rFonts w:ascii="Calibri" w:eastAsia="Calibri" w:hAnsi="Calibri" w:cs="Calibri"/>
                <w:sz w:val="20"/>
                <w:szCs w:val="20"/>
                <w:lang w:val="en-GB"/>
              </w:rPr>
              <w:t>*</w:t>
            </w:r>
          </w:p>
        </w:tc>
        <w:tc>
          <w:tcPr>
            <w:tcW w:w="1830" w:type="dxa"/>
            <w:tcMar>
              <w:left w:w="105" w:type="dxa"/>
              <w:right w:w="105" w:type="dxa"/>
            </w:tcMar>
          </w:tcPr>
          <w:p w14:paraId="0F001D2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126B096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2F54A303" w14:textId="77777777" w:rsidR="008779DD" w:rsidRDefault="008779DD" w:rsidP="00041056">
            <w:pPr>
              <w:rPr>
                <w:rFonts w:ascii="Calibri" w:eastAsia="Calibri" w:hAnsi="Calibri" w:cs="Calibri"/>
                <w:sz w:val="20"/>
                <w:szCs w:val="20"/>
              </w:rPr>
            </w:pPr>
          </w:p>
        </w:tc>
      </w:tr>
      <w:tr w:rsidR="008779DD" w14:paraId="3EBC5285" w14:textId="77777777" w:rsidTr="00041056">
        <w:trPr>
          <w:trHeight w:val="300"/>
        </w:trPr>
        <w:tc>
          <w:tcPr>
            <w:tcW w:w="1680" w:type="dxa"/>
            <w:tcMar>
              <w:left w:w="105" w:type="dxa"/>
              <w:right w:w="105" w:type="dxa"/>
            </w:tcMar>
          </w:tcPr>
          <w:p w14:paraId="2BAD8C6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13</w:t>
            </w:r>
          </w:p>
        </w:tc>
        <w:tc>
          <w:tcPr>
            <w:tcW w:w="2070" w:type="dxa"/>
            <w:tcMar>
              <w:left w:w="105" w:type="dxa"/>
              <w:right w:w="105" w:type="dxa"/>
            </w:tcMar>
          </w:tcPr>
          <w:p w14:paraId="3BF05B0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IH</w:t>
            </w:r>
            <w:r>
              <w:rPr>
                <w:rFonts w:ascii="Calibri" w:eastAsia="Calibri" w:hAnsi="Calibri" w:cs="Calibri"/>
                <w:sz w:val="20"/>
                <w:szCs w:val="20"/>
                <w:lang w:val="en-GB"/>
              </w:rPr>
              <w:t>C</w:t>
            </w:r>
          </w:p>
        </w:tc>
        <w:tc>
          <w:tcPr>
            <w:tcW w:w="1830" w:type="dxa"/>
            <w:tcMar>
              <w:left w:w="105" w:type="dxa"/>
              <w:right w:w="105" w:type="dxa"/>
            </w:tcMar>
          </w:tcPr>
          <w:p w14:paraId="0EE209CC" w14:textId="77777777" w:rsidR="008779DD" w:rsidRDefault="008779DD" w:rsidP="00041056">
            <w:pPr>
              <w:pStyle w:val="Default"/>
              <w:rPr>
                <w:rFonts w:ascii="Calibri" w:eastAsia="Calibri" w:hAnsi="Calibri" w:cs="Calibri"/>
                <w:sz w:val="20"/>
                <w:szCs w:val="20"/>
              </w:rPr>
            </w:pPr>
            <w:r w:rsidRPr="743E81BE">
              <w:rPr>
                <w:rFonts w:ascii="Calibri" w:eastAsia="Calibri" w:hAnsi="Calibri" w:cs="Calibri"/>
                <w:sz w:val="20"/>
                <w:szCs w:val="20"/>
              </w:rPr>
              <w:t xml:space="preserve">Glass (Adhesive) </w:t>
            </w:r>
          </w:p>
        </w:tc>
        <w:tc>
          <w:tcPr>
            <w:tcW w:w="1605" w:type="dxa"/>
            <w:tcMar>
              <w:left w:w="105" w:type="dxa"/>
              <w:right w:w="105" w:type="dxa"/>
            </w:tcMar>
          </w:tcPr>
          <w:p w14:paraId="109E853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2C68777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dip paraffin</w:t>
            </w:r>
          </w:p>
        </w:tc>
      </w:tr>
      <w:tr w:rsidR="008779DD" w14:paraId="24B3DB52" w14:textId="77777777" w:rsidTr="00041056">
        <w:trPr>
          <w:trHeight w:val="300"/>
        </w:trPr>
        <w:tc>
          <w:tcPr>
            <w:tcW w:w="1680" w:type="dxa"/>
            <w:tcMar>
              <w:left w:w="105" w:type="dxa"/>
              <w:right w:w="105" w:type="dxa"/>
            </w:tcMar>
          </w:tcPr>
          <w:p w14:paraId="59B691E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14</w:t>
            </w:r>
          </w:p>
        </w:tc>
        <w:tc>
          <w:tcPr>
            <w:tcW w:w="2070" w:type="dxa"/>
            <w:tcMar>
              <w:left w:w="105" w:type="dxa"/>
              <w:right w:w="105" w:type="dxa"/>
            </w:tcMar>
          </w:tcPr>
          <w:p w14:paraId="4C093A9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1919989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060065C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584D333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13CBB72F" w14:textId="77777777" w:rsidTr="00041056">
        <w:trPr>
          <w:trHeight w:val="300"/>
        </w:trPr>
        <w:tc>
          <w:tcPr>
            <w:tcW w:w="1680" w:type="dxa"/>
            <w:tcMar>
              <w:left w:w="105" w:type="dxa"/>
              <w:right w:w="105" w:type="dxa"/>
            </w:tcMar>
          </w:tcPr>
          <w:p w14:paraId="22F18DB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15</w:t>
            </w:r>
          </w:p>
        </w:tc>
        <w:tc>
          <w:tcPr>
            <w:tcW w:w="2070" w:type="dxa"/>
            <w:tcMar>
              <w:left w:w="105" w:type="dxa"/>
              <w:right w:w="105" w:type="dxa"/>
            </w:tcMar>
          </w:tcPr>
          <w:p w14:paraId="27D57BE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43FFBE3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45300CC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5F672A3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64C2AE34" w14:textId="77777777" w:rsidTr="00041056">
        <w:trPr>
          <w:trHeight w:val="300"/>
        </w:trPr>
        <w:tc>
          <w:tcPr>
            <w:tcW w:w="1680" w:type="dxa"/>
            <w:tcMar>
              <w:left w:w="105" w:type="dxa"/>
              <w:right w:w="105" w:type="dxa"/>
            </w:tcMar>
          </w:tcPr>
          <w:p w14:paraId="093F3DD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16</w:t>
            </w:r>
          </w:p>
        </w:tc>
        <w:tc>
          <w:tcPr>
            <w:tcW w:w="2070" w:type="dxa"/>
            <w:tcMar>
              <w:left w:w="105" w:type="dxa"/>
              <w:right w:w="105" w:type="dxa"/>
            </w:tcMar>
          </w:tcPr>
          <w:p w14:paraId="5A338086"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04D6695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30945EE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4709F9D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72AA26D0" w14:textId="77777777" w:rsidTr="00041056">
        <w:trPr>
          <w:trHeight w:val="300"/>
        </w:trPr>
        <w:tc>
          <w:tcPr>
            <w:tcW w:w="1680" w:type="dxa"/>
            <w:tcMar>
              <w:left w:w="105" w:type="dxa"/>
              <w:right w:w="105" w:type="dxa"/>
            </w:tcMar>
          </w:tcPr>
          <w:p w14:paraId="1BA1FFD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17</w:t>
            </w:r>
          </w:p>
        </w:tc>
        <w:tc>
          <w:tcPr>
            <w:tcW w:w="2070" w:type="dxa"/>
            <w:tcMar>
              <w:left w:w="105" w:type="dxa"/>
              <w:right w:w="105" w:type="dxa"/>
            </w:tcMar>
          </w:tcPr>
          <w:p w14:paraId="30DFE99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1911189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3FE8AD9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5C598E0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0BE19D6E" w14:textId="77777777" w:rsidTr="00041056">
        <w:trPr>
          <w:trHeight w:val="300"/>
        </w:trPr>
        <w:tc>
          <w:tcPr>
            <w:tcW w:w="1680" w:type="dxa"/>
            <w:tcMar>
              <w:left w:w="105" w:type="dxa"/>
              <w:right w:w="105" w:type="dxa"/>
            </w:tcMar>
          </w:tcPr>
          <w:p w14:paraId="049FE0F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18</w:t>
            </w:r>
          </w:p>
        </w:tc>
        <w:tc>
          <w:tcPr>
            <w:tcW w:w="2070" w:type="dxa"/>
            <w:tcMar>
              <w:left w:w="105" w:type="dxa"/>
              <w:right w:w="105" w:type="dxa"/>
            </w:tcMar>
          </w:tcPr>
          <w:p w14:paraId="048630B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r>
              <w:rPr>
                <w:rFonts w:ascii="Calibri" w:eastAsia="Calibri" w:hAnsi="Calibri" w:cs="Calibri"/>
                <w:sz w:val="20"/>
                <w:szCs w:val="20"/>
                <w:lang w:val="en-GB"/>
              </w:rPr>
              <w:t>*</w:t>
            </w:r>
          </w:p>
        </w:tc>
        <w:tc>
          <w:tcPr>
            <w:tcW w:w="1830" w:type="dxa"/>
            <w:tcMar>
              <w:left w:w="105" w:type="dxa"/>
              <w:right w:w="105" w:type="dxa"/>
            </w:tcMar>
          </w:tcPr>
          <w:p w14:paraId="2B0671F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314E895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2CF69C94" w14:textId="77777777" w:rsidR="008779DD" w:rsidRDefault="008779DD" w:rsidP="00041056">
            <w:pPr>
              <w:rPr>
                <w:rFonts w:ascii="Calibri" w:eastAsia="Calibri" w:hAnsi="Calibri" w:cs="Calibri"/>
                <w:sz w:val="20"/>
                <w:szCs w:val="20"/>
              </w:rPr>
            </w:pPr>
          </w:p>
        </w:tc>
      </w:tr>
      <w:tr w:rsidR="008779DD" w14:paraId="3A5454AA" w14:textId="77777777" w:rsidTr="00041056">
        <w:trPr>
          <w:trHeight w:val="300"/>
        </w:trPr>
        <w:tc>
          <w:tcPr>
            <w:tcW w:w="1680" w:type="dxa"/>
            <w:tcMar>
              <w:left w:w="105" w:type="dxa"/>
              <w:right w:w="105" w:type="dxa"/>
            </w:tcMar>
          </w:tcPr>
          <w:p w14:paraId="69613942" w14:textId="77777777" w:rsidR="008779DD" w:rsidRDefault="008779DD" w:rsidP="00041056">
            <w:pPr>
              <w:tabs>
                <w:tab w:val="left" w:pos="760"/>
              </w:tabs>
              <w:rPr>
                <w:rFonts w:ascii="Calibri" w:eastAsia="Calibri" w:hAnsi="Calibri" w:cs="Calibri"/>
                <w:sz w:val="20"/>
                <w:szCs w:val="20"/>
              </w:rPr>
            </w:pPr>
            <w:r w:rsidRPr="743E81BE">
              <w:rPr>
                <w:rFonts w:ascii="Calibri" w:eastAsia="Calibri" w:hAnsi="Calibri" w:cs="Calibri"/>
                <w:sz w:val="20"/>
                <w:szCs w:val="20"/>
                <w:lang w:val="en-GB"/>
              </w:rPr>
              <w:t>19</w:t>
            </w:r>
          </w:p>
        </w:tc>
        <w:tc>
          <w:tcPr>
            <w:tcW w:w="2070" w:type="dxa"/>
            <w:tcMar>
              <w:left w:w="105" w:type="dxa"/>
              <w:right w:w="105" w:type="dxa"/>
            </w:tcMar>
          </w:tcPr>
          <w:p w14:paraId="51DE90F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IH</w:t>
            </w:r>
            <w:r>
              <w:rPr>
                <w:rFonts w:ascii="Calibri" w:eastAsia="Calibri" w:hAnsi="Calibri" w:cs="Calibri"/>
                <w:sz w:val="20"/>
                <w:szCs w:val="20"/>
                <w:lang w:val="en-GB"/>
              </w:rPr>
              <w:t>C</w:t>
            </w:r>
          </w:p>
        </w:tc>
        <w:tc>
          <w:tcPr>
            <w:tcW w:w="1830" w:type="dxa"/>
            <w:tcMar>
              <w:left w:w="105" w:type="dxa"/>
              <w:right w:w="105" w:type="dxa"/>
            </w:tcMar>
          </w:tcPr>
          <w:p w14:paraId="626B199B" w14:textId="77777777" w:rsidR="008779DD" w:rsidRDefault="008779DD" w:rsidP="00041056">
            <w:pPr>
              <w:pStyle w:val="Default"/>
              <w:rPr>
                <w:rFonts w:ascii="Calibri" w:eastAsia="Calibri" w:hAnsi="Calibri" w:cs="Calibri"/>
                <w:sz w:val="20"/>
                <w:szCs w:val="20"/>
              </w:rPr>
            </w:pPr>
            <w:r w:rsidRPr="743E81BE">
              <w:rPr>
                <w:rFonts w:ascii="Calibri" w:eastAsia="Calibri" w:hAnsi="Calibri" w:cs="Calibri"/>
                <w:sz w:val="20"/>
                <w:szCs w:val="20"/>
              </w:rPr>
              <w:t xml:space="preserve">Glass (Adhesive) </w:t>
            </w:r>
          </w:p>
        </w:tc>
        <w:tc>
          <w:tcPr>
            <w:tcW w:w="1605" w:type="dxa"/>
            <w:tcMar>
              <w:left w:w="105" w:type="dxa"/>
              <w:right w:w="105" w:type="dxa"/>
            </w:tcMar>
          </w:tcPr>
          <w:p w14:paraId="41C2480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5551B33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dip paraffin</w:t>
            </w:r>
          </w:p>
        </w:tc>
      </w:tr>
      <w:tr w:rsidR="008779DD" w14:paraId="399969E6" w14:textId="77777777" w:rsidTr="00041056">
        <w:trPr>
          <w:trHeight w:val="300"/>
        </w:trPr>
        <w:tc>
          <w:tcPr>
            <w:tcW w:w="1680" w:type="dxa"/>
            <w:tcMar>
              <w:left w:w="105" w:type="dxa"/>
              <w:right w:w="105" w:type="dxa"/>
            </w:tcMar>
          </w:tcPr>
          <w:p w14:paraId="5040CCE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20</w:t>
            </w:r>
          </w:p>
        </w:tc>
        <w:tc>
          <w:tcPr>
            <w:tcW w:w="2070" w:type="dxa"/>
            <w:tcMar>
              <w:left w:w="105" w:type="dxa"/>
              <w:right w:w="105" w:type="dxa"/>
            </w:tcMar>
          </w:tcPr>
          <w:p w14:paraId="6100CCB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76BBA2A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175B2C9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1FCA93E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250E5F06" w14:textId="77777777" w:rsidTr="00041056">
        <w:trPr>
          <w:trHeight w:val="300"/>
        </w:trPr>
        <w:tc>
          <w:tcPr>
            <w:tcW w:w="1680" w:type="dxa"/>
            <w:tcMar>
              <w:left w:w="105" w:type="dxa"/>
              <w:right w:w="105" w:type="dxa"/>
            </w:tcMar>
          </w:tcPr>
          <w:p w14:paraId="4D8079FD"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21</w:t>
            </w:r>
          </w:p>
        </w:tc>
        <w:tc>
          <w:tcPr>
            <w:tcW w:w="2070" w:type="dxa"/>
            <w:tcMar>
              <w:left w:w="105" w:type="dxa"/>
              <w:right w:w="105" w:type="dxa"/>
            </w:tcMar>
          </w:tcPr>
          <w:p w14:paraId="54D4CC2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02A8EDE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25BC7D4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4B1FFBD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4819AD77" w14:textId="77777777" w:rsidTr="00041056">
        <w:trPr>
          <w:trHeight w:val="300"/>
        </w:trPr>
        <w:tc>
          <w:tcPr>
            <w:tcW w:w="1680" w:type="dxa"/>
            <w:tcMar>
              <w:left w:w="105" w:type="dxa"/>
              <w:right w:w="105" w:type="dxa"/>
            </w:tcMar>
          </w:tcPr>
          <w:p w14:paraId="336027D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22</w:t>
            </w:r>
          </w:p>
        </w:tc>
        <w:tc>
          <w:tcPr>
            <w:tcW w:w="2070" w:type="dxa"/>
            <w:tcMar>
              <w:left w:w="105" w:type="dxa"/>
              <w:right w:w="105" w:type="dxa"/>
            </w:tcMar>
          </w:tcPr>
          <w:p w14:paraId="0AE4777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79C6B67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5753B91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41F0A5E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418A30D4" w14:textId="77777777" w:rsidTr="00041056">
        <w:trPr>
          <w:trHeight w:val="300"/>
        </w:trPr>
        <w:tc>
          <w:tcPr>
            <w:tcW w:w="1680" w:type="dxa"/>
            <w:tcMar>
              <w:left w:w="105" w:type="dxa"/>
              <w:right w:w="105" w:type="dxa"/>
            </w:tcMar>
          </w:tcPr>
          <w:p w14:paraId="1C20958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23</w:t>
            </w:r>
          </w:p>
        </w:tc>
        <w:tc>
          <w:tcPr>
            <w:tcW w:w="2070" w:type="dxa"/>
            <w:tcMar>
              <w:left w:w="105" w:type="dxa"/>
              <w:right w:w="105" w:type="dxa"/>
            </w:tcMar>
          </w:tcPr>
          <w:p w14:paraId="291654E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58C5215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1D9C587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11FA11D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0614E110" w14:textId="77777777" w:rsidTr="00041056">
        <w:trPr>
          <w:trHeight w:val="300"/>
        </w:trPr>
        <w:tc>
          <w:tcPr>
            <w:tcW w:w="1680" w:type="dxa"/>
            <w:tcMar>
              <w:left w:w="105" w:type="dxa"/>
              <w:right w:w="105" w:type="dxa"/>
            </w:tcMar>
          </w:tcPr>
          <w:p w14:paraId="6D800DC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24</w:t>
            </w:r>
          </w:p>
        </w:tc>
        <w:tc>
          <w:tcPr>
            <w:tcW w:w="2070" w:type="dxa"/>
            <w:tcMar>
              <w:left w:w="105" w:type="dxa"/>
              <w:right w:w="105" w:type="dxa"/>
            </w:tcMar>
          </w:tcPr>
          <w:p w14:paraId="649E7B0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r>
              <w:rPr>
                <w:rFonts w:ascii="Calibri" w:eastAsia="Calibri" w:hAnsi="Calibri" w:cs="Calibri"/>
                <w:sz w:val="20"/>
                <w:szCs w:val="20"/>
                <w:lang w:val="en-GB"/>
              </w:rPr>
              <w:t>*</w:t>
            </w:r>
          </w:p>
        </w:tc>
        <w:tc>
          <w:tcPr>
            <w:tcW w:w="1830" w:type="dxa"/>
            <w:tcMar>
              <w:left w:w="105" w:type="dxa"/>
              <w:right w:w="105" w:type="dxa"/>
            </w:tcMar>
          </w:tcPr>
          <w:p w14:paraId="2EE31B5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599D3B0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7FEEC552" w14:textId="77777777" w:rsidR="008779DD" w:rsidRDefault="008779DD" w:rsidP="00041056">
            <w:pPr>
              <w:rPr>
                <w:rFonts w:ascii="Calibri" w:eastAsia="Calibri" w:hAnsi="Calibri" w:cs="Calibri"/>
                <w:sz w:val="20"/>
                <w:szCs w:val="20"/>
              </w:rPr>
            </w:pPr>
          </w:p>
        </w:tc>
      </w:tr>
      <w:tr w:rsidR="008779DD" w14:paraId="5551978F" w14:textId="77777777" w:rsidTr="00041056">
        <w:trPr>
          <w:trHeight w:val="300"/>
        </w:trPr>
        <w:tc>
          <w:tcPr>
            <w:tcW w:w="1680" w:type="dxa"/>
            <w:tcMar>
              <w:left w:w="105" w:type="dxa"/>
              <w:right w:w="105" w:type="dxa"/>
            </w:tcMar>
          </w:tcPr>
          <w:p w14:paraId="6A0AE97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25</w:t>
            </w:r>
          </w:p>
        </w:tc>
        <w:tc>
          <w:tcPr>
            <w:tcW w:w="2070" w:type="dxa"/>
            <w:tcMar>
              <w:left w:w="105" w:type="dxa"/>
              <w:right w:w="105" w:type="dxa"/>
            </w:tcMar>
          </w:tcPr>
          <w:p w14:paraId="3FAB857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IH</w:t>
            </w:r>
            <w:r>
              <w:rPr>
                <w:rFonts w:ascii="Calibri" w:eastAsia="Calibri" w:hAnsi="Calibri" w:cs="Calibri"/>
                <w:sz w:val="20"/>
                <w:szCs w:val="20"/>
                <w:lang w:val="en-GB"/>
              </w:rPr>
              <w:t>C</w:t>
            </w:r>
          </w:p>
        </w:tc>
        <w:tc>
          <w:tcPr>
            <w:tcW w:w="1830" w:type="dxa"/>
            <w:tcMar>
              <w:left w:w="105" w:type="dxa"/>
              <w:right w:w="105" w:type="dxa"/>
            </w:tcMar>
          </w:tcPr>
          <w:p w14:paraId="322B52FC" w14:textId="77777777" w:rsidR="008779DD" w:rsidRDefault="008779DD" w:rsidP="00041056">
            <w:pPr>
              <w:pStyle w:val="Default"/>
              <w:rPr>
                <w:rFonts w:ascii="Calibri" w:eastAsia="Calibri" w:hAnsi="Calibri" w:cs="Calibri"/>
                <w:sz w:val="20"/>
                <w:szCs w:val="20"/>
              </w:rPr>
            </w:pPr>
            <w:r w:rsidRPr="743E81BE">
              <w:rPr>
                <w:rFonts w:ascii="Calibri" w:eastAsia="Calibri" w:hAnsi="Calibri" w:cs="Calibri"/>
                <w:sz w:val="20"/>
                <w:szCs w:val="20"/>
              </w:rPr>
              <w:t xml:space="preserve">Glass (Adhesive) </w:t>
            </w:r>
          </w:p>
        </w:tc>
        <w:tc>
          <w:tcPr>
            <w:tcW w:w="1605" w:type="dxa"/>
            <w:tcMar>
              <w:left w:w="105" w:type="dxa"/>
              <w:right w:w="105" w:type="dxa"/>
            </w:tcMar>
          </w:tcPr>
          <w:p w14:paraId="431B6EF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0E7C659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dip paraffin</w:t>
            </w:r>
          </w:p>
        </w:tc>
      </w:tr>
      <w:tr w:rsidR="008779DD" w14:paraId="3ADA6528" w14:textId="77777777" w:rsidTr="00041056">
        <w:trPr>
          <w:trHeight w:val="300"/>
        </w:trPr>
        <w:tc>
          <w:tcPr>
            <w:tcW w:w="1680" w:type="dxa"/>
            <w:tcMar>
              <w:left w:w="105" w:type="dxa"/>
              <w:right w:w="105" w:type="dxa"/>
            </w:tcMar>
          </w:tcPr>
          <w:p w14:paraId="36303D0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26</w:t>
            </w:r>
          </w:p>
        </w:tc>
        <w:tc>
          <w:tcPr>
            <w:tcW w:w="2070" w:type="dxa"/>
            <w:tcMar>
              <w:left w:w="105" w:type="dxa"/>
              <w:right w:w="105" w:type="dxa"/>
            </w:tcMar>
          </w:tcPr>
          <w:p w14:paraId="73A183CA"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1649C536"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271F6097"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79C94EA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68FC0E4B" w14:textId="77777777" w:rsidTr="00041056">
        <w:trPr>
          <w:trHeight w:val="300"/>
        </w:trPr>
        <w:tc>
          <w:tcPr>
            <w:tcW w:w="1680" w:type="dxa"/>
            <w:tcMar>
              <w:left w:w="105" w:type="dxa"/>
              <w:right w:w="105" w:type="dxa"/>
            </w:tcMar>
          </w:tcPr>
          <w:p w14:paraId="6767944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27</w:t>
            </w:r>
          </w:p>
        </w:tc>
        <w:tc>
          <w:tcPr>
            <w:tcW w:w="2070" w:type="dxa"/>
            <w:tcMar>
              <w:left w:w="105" w:type="dxa"/>
              <w:right w:w="105" w:type="dxa"/>
            </w:tcMar>
          </w:tcPr>
          <w:p w14:paraId="0BB1804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3393EF80"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4D57E00F"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3F3B822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6AC1F529" w14:textId="77777777" w:rsidTr="00041056">
        <w:trPr>
          <w:trHeight w:val="300"/>
        </w:trPr>
        <w:tc>
          <w:tcPr>
            <w:tcW w:w="1680" w:type="dxa"/>
            <w:tcMar>
              <w:left w:w="105" w:type="dxa"/>
              <w:right w:w="105" w:type="dxa"/>
            </w:tcMar>
          </w:tcPr>
          <w:p w14:paraId="28BD391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28</w:t>
            </w:r>
          </w:p>
        </w:tc>
        <w:tc>
          <w:tcPr>
            <w:tcW w:w="2070" w:type="dxa"/>
            <w:tcMar>
              <w:left w:w="105" w:type="dxa"/>
              <w:right w:w="105" w:type="dxa"/>
            </w:tcMar>
          </w:tcPr>
          <w:p w14:paraId="7E4361F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7A125FA6"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2DEC6D8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623372A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258CFF04" w14:textId="77777777" w:rsidTr="00041056">
        <w:trPr>
          <w:trHeight w:val="300"/>
        </w:trPr>
        <w:tc>
          <w:tcPr>
            <w:tcW w:w="1680" w:type="dxa"/>
            <w:tcMar>
              <w:left w:w="105" w:type="dxa"/>
              <w:right w:w="105" w:type="dxa"/>
            </w:tcMar>
          </w:tcPr>
          <w:p w14:paraId="2DE7223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29</w:t>
            </w:r>
          </w:p>
        </w:tc>
        <w:tc>
          <w:tcPr>
            <w:tcW w:w="2070" w:type="dxa"/>
            <w:tcMar>
              <w:left w:w="105" w:type="dxa"/>
              <w:right w:w="105" w:type="dxa"/>
            </w:tcMar>
          </w:tcPr>
          <w:p w14:paraId="1717E57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DNA</w:t>
            </w:r>
          </w:p>
        </w:tc>
        <w:tc>
          <w:tcPr>
            <w:tcW w:w="1830" w:type="dxa"/>
            <w:tcMar>
              <w:left w:w="105" w:type="dxa"/>
              <w:right w:w="105" w:type="dxa"/>
            </w:tcMar>
          </w:tcPr>
          <w:p w14:paraId="0ACB693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Glass</w:t>
            </w:r>
          </w:p>
        </w:tc>
        <w:tc>
          <w:tcPr>
            <w:tcW w:w="1605" w:type="dxa"/>
            <w:tcMar>
              <w:left w:w="105" w:type="dxa"/>
              <w:right w:w="105" w:type="dxa"/>
            </w:tcMar>
          </w:tcPr>
          <w:p w14:paraId="388F378C"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6952B8EB"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6DB61B77" w14:textId="77777777" w:rsidTr="00041056">
        <w:trPr>
          <w:trHeight w:val="300"/>
        </w:trPr>
        <w:tc>
          <w:tcPr>
            <w:tcW w:w="1680" w:type="dxa"/>
            <w:tcMar>
              <w:left w:w="105" w:type="dxa"/>
              <w:right w:w="105" w:type="dxa"/>
            </w:tcMar>
          </w:tcPr>
          <w:p w14:paraId="2D2008A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30</w:t>
            </w:r>
          </w:p>
        </w:tc>
        <w:tc>
          <w:tcPr>
            <w:tcW w:w="2070" w:type="dxa"/>
            <w:tcMar>
              <w:left w:w="105" w:type="dxa"/>
              <w:right w:w="105" w:type="dxa"/>
            </w:tcMar>
          </w:tcPr>
          <w:p w14:paraId="40F8E47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276124A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54C83E2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210591C6"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4BEEC505" w14:textId="77777777" w:rsidTr="00041056">
        <w:trPr>
          <w:trHeight w:val="300"/>
        </w:trPr>
        <w:tc>
          <w:tcPr>
            <w:tcW w:w="1680" w:type="dxa"/>
            <w:tcMar>
              <w:left w:w="105" w:type="dxa"/>
              <w:right w:w="105" w:type="dxa"/>
            </w:tcMar>
          </w:tcPr>
          <w:p w14:paraId="7E48897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31</w:t>
            </w:r>
          </w:p>
        </w:tc>
        <w:tc>
          <w:tcPr>
            <w:tcW w:w="2070" w:type="dxa"/>
            <w:tcMar>
              <w:left w:w="105" w:type="dxa"/>
              <w:right w:w="105" w:type="dxa"/>
            </w:tcMar>
          </w:tcPr>
          <w:p w14:paraId="3FCE36A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65129255"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1484AA89"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408F1393"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r w:rsidR="008779DD" w14:paraId="5C90AFA8" w14:textId="77777777" w:rsidTr="00041056">
        <w:trPr>
          <w:trHeight w:val="300"/>
        </w:trPr>
        <w:tc>
          <w:tcPr>
            <w:tcW w:w="1680" w:type="dxa"/>
            <w:tcMar>
              <w:left w:w="105" w:type="dxa"/>
              <w:right w:w="105" w:type="dxa"/>
            </w:tcMar>
          </w:tcPr>
          <w:p w14:paraId="220929C2"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32</w:t>
            </w:r>
          </w:p>
        </w:tc>
        <w:tc>
          <w:tcPr>
            <w:tcW w:w="2070" w:type="dxa"/>
            <w:tcMar>
              <w:left w:w="105" w:type="dxa"/>
              <w:right w:w="105" w:type="dxa"/>
            </w:tcMar>
          </w:tcPr>
          <w:p w14:paraId="5493C24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RNA</w:t>
            </w:r>
          </w:p>
        </w:tc>
        <w:tc>
          <w:tcPr>
            <w:tcW w:w="1830" w:type="dxa"/>
            <w:tcMar>
              <w:left w:w="105" w:type="dxa"/>
              <w:right w:w="105" w:type="dxa"/>
            </w:tcMar>
          </w:tcPr>
          <w:p w14:paraId="43901C1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Eppendorf tube</w:t>
            </w:r>
          </w:p>
        </w:tc>
        <w:tc>
          <w:tcPr>
            <w:tcW w:w="1605" w:type="dxa"/>
            <w:tcMar>
              <w:left w:w="105" w:type="dxa"/>
              <w:right w:w="105" w:type="dxa"/>
            </w:tcMar>
          </w:tcPr>
          <w:p w14:paraId="0A928E7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Blanco</w:t>
            </w:r>
          </w:p>
        </w:tc>
        <w:tc>
          <w:tcPr>
            <w:tcW w:w="1845" w:type="dxa"/>
            <w:tcMar>
              <w:left w:w="105" w:type="dxa"/>
              <w:right w:w="105" w:type="dxa"/>
            </w:tcMar>
          </w:tcPr>
          <w:p w14:paraId="336FA16D"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lang w:val="en-GB"/>
              </w:rPr>
              <w:t xml:space="preserve">- </w:t>
            </w:r>
          </w:p>
        </w:tc>
      </w:tr>
    </w:tbl>
    <w:p w14:paraId="35AFB0CD" w14:textId="77777777" w:rsidR="008779DD" w:rsidRDefault="008779DD" w:rsidP="0091279E">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*Blanco slides were only collected for the validation cohort. </w:t>
      </w:r>
      <w:r w:rsidRPr="743E81BE">
        <w:rPr>
          <w:rFonts w:ascii="Calibri" w:eastAsia="Calibri" w:hAnsi="Calibri" w:cs="Calibri"/>
          <w:color w:val="000000" w:themeColor="text1"/>
          <w:sz w:val="20"/>
          <w:szCs w:val="20"/>
        </w:rPr>
        <w:t xml:space="preserve">Abbreviations: H&amp;E: </w:t>
      </w:r>
      <w:r w:rsidRPr="743E81BE">
        <w:rPr>
          <w:rFonts w:ascii="Calibri" w:eastAsia="Calibri" w:hAnsi="Calibri" w:cs="Calibri"/>
          <w:color w:val="000000" w:themeColor="text1"/>
          <w:sz w:val="20"/>
          <w:szCs w:val="20"/>
          <w:lang w:val="en-GB"/>
        </w:rPr>
        <w:t>haematoxylin and eosin</w:t>
      </w:r>
      <w:r w:rsidRPr="743E81BE">
        <w:rPr>
          <w:rFonts w:ascii="Calibri" w:eastAsia="Calibri" w:hAnsi="Calibri" w:cs="Calibri"/>
          <w:color w:val="000000" w:themeColor="text1"/>
          <w:sz w:val="20"/>
          <w:szCs w:val="20"/>
        </w:rPr>
        <w:t>, IH: Immunohistochemistry</w:t>
      </w:r>
    </w:p>
    <w:p w14:paraId="301E6A1C" w14:textId="77777777" w:rsidR="008779DD" w:rsidRDefault="008779DD" w:rsidP="0091279E">
      <w:pPr>
        <w:keepNext/>
        <w:keepLines/>
        <w:rPr>
          <w:rFonts w:ascii="Aptos" w:eastAsia="Aptos" w:hAnsi="Aptos" w:cs="Aptos"/>
          <w:color w:val="000000" w:themeColor="text1"/>
        </w:rPr>
      </w:pPr>
    </w:p>
    <w:p w14:paraId="19D99282" w14:textId="77777777" w:rsidR="008779DD" w:rsidRDefault="008779DD" w:rsidP="0091279E">
      <w:pPr>
        <w:pStyle w:val="Heading2"/>
        <w:rPr>
          <w:rFonts w:ascii="Calibri" w:eastAsia="Calibri" w:hAnsi="Calibri" w:cs="Calibri"/>
          <w:b/>
          <w:bCs/>
          <w:color w:val="074F6A"/>
          <w:sz w:val="24"/>
          <w:szCs w:val="24"/>
        </w:rPr>
      </w:pPr>
      <w:r w:rsidRPr="53E167B1">
        <w:rPr>
          <w:rFonts w:ascii="Calibri" w:eastAsia="Calibri" w:hAnsi="Calibri" w:cs="Calibri"/>
          <w:b/>
          <w:bCs/>
          <w:color w:val="074F6A"/>
          <w:sz w:val="24"/>
          <w:szCs w:val="24"/>
        </w:rPr>
        <w:t xml:space="preserve">S4. Histopathological reassessment </w:t>
      </w:r>
    </w:p>
    <w:p w14:paraId="4AD65300" w14:textId="77777777" w:rsidR="008779DD" w:rsidRDefault="008779DD" w:rsidP="0091279E">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We defined the definitions of the refined pathology variables based on existing literature and standard practices. These definitions were reviewed with a group of pathologists to ensure consistent use across the study (</w:t>
      </w:r>
      <w:proofErr w:type="spellStart"/>
      <w:r w:rsidRPr="743E81BE">
        <w:rPr>
          <w:rFonts w:ascii="Calibri" w:eastAsia="Calibri" w:hAnsi="Calibri" w:cs="Calibri"/>
          <w:color w:val="000000" w:themeColor="text1"/>
          <w:sz w:val="20"/>
          <w:szCs w:val="20"/>
        </w:rPr>
        <w:t>sTable</w:t>
      </w:r>
      <w:proofErr w:type="spellEnd"/>
      <w:r w:rsidRPr="743E81BE">
        <w:rPr>
          <w:rFonts w:ascii="Calibri" w:eastAsia="Calibri" w:hAnsi="Calibri" w:cs="Calibri"/>
          <w:color w:val="000000" w:themeColor="text1"/>
          <w:sz w:val="20"/>
          <w:szCs w:val="20"/>
        </w:rPr>
        <w:t xml:space="preserve"> 2). FFPE tissue blocks from excision specimens of all cases and controls were collected from pathology archives. New </w:t>
      </w:r>
      <w:r>
        <w:rPr>
          <w:rFonts w:ascii="Calibri" w:eastAsia="Calibri" w:hAnsi="Calibri" w:cs="Calibri"/>
          <w:color w:val="000000" w:themeColor="text1"/>
          <w:sz w:val="20"/>
          <w:szCs w:val="20"/>
        </w:rPr>
        <w:t>H&amp;E</w:t>
      </w:r>
      <w:r w:rsidRPr="743E81BE">
        <w:rPr>
          <w:rFonts w:ascii="Calibri" w:eastAsia="Calibri" w:hAnsi="Calibri" w:cs="Calibri"/>
          <w:color w:val="000000" w:themeColor="text1"/>
          <w:sz w:val="20"/>
          <w:szCs w:val="20"/>
        </w:rPr>
        <w:t xml:space="preserve"> slides were prepared, scanned with a </w:t>
      </w:r>
      <w:proofErr w:type="spellStart"/>
      <w:r w:rsidRPr="743E81BE">
        <w:rPr>
          <w:rFonts w:ascii="Calibri" w:eastAsia="Calibri" w:hAnsi="Calibri" w:cs="Calibri"/>
          <w:color w:val="000000" w:themeColor="text1"/>
          <w:sz w:val="20"/>
          <w:szCs w:val="20"/>
        </w:rPr>
        <w:t>Nanozoomer</w:t>
      </w:r>
      <w:proofErr w:type="spellEnd"/>
      <w:r w:rsidRPr="743E81BE">
        <w:rPr>
          <w:rFonts w:ascii="Calibri" w:eastAsia="Calibri" w:hAnsi="Calibri" w:cs="Calibri"/>
          <w:color w:val="000000" w:themeColor="text1"/>
          <w:sz w:val="20"/>
          <w:szCs w:val="20"/>
        </w:rPr>
        <w:t xml:space="preserve"> S360MD Slide Scanner, and reviewed digitally in NDP.view2. Each slide was assessed by a pathologist who was blinded to patient outcomes and the pathology report. Only information about tumor location was shared to help determine invasion depth. Each pathologist worked with a research assistant who had access to the full pathology report. When major differences were found between the report and the new slide, the findings were discussed within the pathology team to avoid missing important details.</w:t>
      </w:r>
    </w:p>
    <w:p w14:paraId="1B3B15AC" w14:textId="77777777" w:rsidR="008779DD" w:rsidRDefault="008779DD" w:rsidP="0091279E">
      <w:pPr>
        <w:spacing w:before="240" w:after="240"/>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When excision specimens could not be reassessed, we reviewed the biopsy samples (when available). Biopsies were mainly used to assess differentiation grade and, when possible, perineural or </w:t>
      </w:r>
      <w:proofErr w:type="spellStart"/>
      <w:r w:rsidRPr="743E81BE">
        <w:rPr>
          <w:rFonts w:ascii="Calibri" w:eastAsia="Calibri" w:hAnsi="Calibri" w:cs="Calibri"/>
          <w:color w:val="000000" w:themeColor="text1"/>
          <w:sz w:val="20"/>
          <w:szCs w:val="20"/>
        </w:rPr>
        <w:t>lymphovascular</w:t>
      </w:r>
      <w:proofErr w:type="spellEnd"/>
      <w:r w:rsidRPr="743E81BE">
        <w:rPr>
          <w:rFonts w:ascii="Calibri" w:eastAsia="Calibri" w:hAnsi="Calibri" w:cs="Calibri"/>
          <w:color w:val="000000" w:themeColor="text1"/>
          <w:sz w:val="20"/>
          <w:szCs w:val="20"/>
        </w:rPr>
        <w:t xml:space="preserve"> invasion. </w:t>
      </w:r>
      <w:r w:rsidRPr="743E81BE">
        <w:rPr>
          <w:rFonts w:ascii="Calibri" w:eastAsia="Calibri" w:hAnsi="Calibri" w:cs="Calibri"/>
          <w:color w:val="000000" w:themeColor="text1"/>
          <w:sz w:val="20"/>
          <w:szCs w:val="20"/>
        </w:rPr>
        <w:lastRenderedPageBreak/>
        <w:t>Features that require the full invasive border could not be reliably scored on biopsy specimens, and this limitation was noted during scoring. Excision specimens were preferred whenever possible to allow full histopathological evaluation. Features that could not be reassessed were reported as missing.</w:t>
      </w:r>
    </w:p>
    <w:p w14:paraId="44BB25D3" w14:textId="77777777" w:rsidR="008779DD" w:rsidRDefault="008779DD" w:rsidP="0091279E">
      <w:pPr>
        <w:rPr>
          <w:rFonts w:ascii="Calibri" w:eastAsia="Calibri" w:hAnsi="Calibri" w:cs="Calibri"/>
          <w:color w:val="000000" w:themeColor="text1"/>
          <w:sz w:val="20"/>
          <w:szCs w:val="20"/>
        </w:rPr>
      </w:pPr>
      <w:proofErr w:type="spellStart"/>
      <w:r w:rsidRPr="743E81BE">
        <w:rPr>
          <w:rFonts w:ascii="Calibri" w:eastAsia="Calibri" w:hAnsi="Calibri" w:cs="Calibri"/>
          <w:color w:val="000000" w:themeColor="text1"/>
          <w:sz w:val="20"/>
          <w:szCs w:val="20"/>
        </w:rPr>
        <w:t>sTable</w:t>
      </w:r>
      <w:proofErr w:type="spellEnd"/>
      <w:r w:rsidRPr="743E81BE">
        <w:rPr>
          <w:rFonts w:ascii="Calibri" w:eastAsia="Calibri" w:hAnsi="Calibri" w:cs="Calibri"/>
          <w:color w:val="000000" w:themeColor="text1"/>
          <w:sz w:val="20"/>
          <w:szCs w:val="20"/>
        </w:rPr>
        <w:t xml:space="preserve"> 2. Histopathological variables used for revising hematoxylin and eosin slides of cases and controls</w:t>
      </w:r>
    </w:p>
    <w:tbl>
      <w:tblPr>
        <w:tblStyle w:val="TableGridLight"/>
        <w:tblW w:w="0" w:type="auto"/>
        <w:tblLayout w:type="fixed"/>
        <w:tblLook w:val="06A0" w:firstRow="1" w:lastRow="0" w:firstColumn="1" w:lastColumn="0" w:noHBand="1" w:noVBand="1"/>
      </w:tblPr>
      <w:tblGrid>
        <w:gridCol w:w="3240"/>
        <w:gridCol w:w="4635"/>
        <w:gridCol w:w="1440"/>
      </w:tblGrid>
      <w:tr w:rsidR="008779DD" w14:paraId="2FC8480A" w14:textId="77777777" w:rsidTr="6F943DF5">
        <w:trPr>
          <w:trHeight w:val="300"/>
        </w:trPr>
        <w:tc>
          <w:tcPr>
            <w:tcW w:w="3240" w:type="dxa"/>
          </w:tcPr>
          <w:p w14:paraId="5AA6EE49"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b/>
                <w:bCs/>
                <w:color w:val="000000" w:themeColor="text1"/>
                <w:sz w:val="20"/>
                <w:szCs w:val="20"/>
              </w:rPr>
              <w:t>Variable</w:t>
            </w:r>
          </w:p>
        </w:tc>
        <w:tc>
          <w:tcPr>
            <w:tcW w:w="4635" w:type="dxa"/>
          </w:tcPr>
          <w:p w14:paraId="5110502B"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b/>
                <w:bCs/>
                <w:color w:val="000000" w:themeColor="text1"/>
                <w:sz w:val="20"/>
                <w:szCs w:val="20"/>
              </w:rPr>
              <w:t>Definition</w:t>
            </w:r>
          </w:p>
        </w:tc>
        <w:tc>
          <w:tcPr>
            <w:tcW w:w="1440" w:type="dxa"/>
          </w:tcPr>
          <w:p w14:paraId="79E05FCE" w14:textId="77777777" w:rsidR="008779DD" w:rsidRDefault="008779DD" w:rsidP="00041056">
            <w:pPr>
              <w:rPr>
                <w:rFonts w:ascii="Calibri" w:eastAsia="Calibri" w:hAnsi="Calibri" w:cs="Calibri"/>
                <w:color w:val="000000" w:themeColor="text1"/>
                <w:sz w:val="20"/>
                <w:szCs w:val="20"/>
              </w:rPr>
            </w:pPr>
            <w:r w:rsidRPr="0DFDF9BE">
              <w:rPr>
                <w:rFonts w:ascii="Calibri" w:eastAsia="Calibri" w:hAnsi="Calibri" w:cs="Calibri"/>
                <w:b/>
                <w:bCs/>
                <w:color w:val="000000" w:themeColor="text1"/>
                <w:sz w:val="20"/>
                <w:szCs w:val="20"/>
              </w:rPr>
              <w:t>Literature</w:t>
            </w:r>
          </w:p>
        </w:tc>
      </w:tr>
      <w:tr w:rsidR="008779DD" w14:paraId="7C9A71D1" w14:textId="77777777" w:rsidTr="6F943DF5">
        <w:trPr>
          <w:trHeight w:val="300"/>
        </w:trPr>
        <w:tc>
          <w:tcPr>
            <w:tcW w:w="3240" w:type="dxa"/>
          </w:tcPr>
          <w:p w14:paraId="3180782F"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Depth of invasion   </w:t>
            </w:r>
          </w:p>
        </w:tc>
        <w:tc>
          <w:tcPr>
            <w:tcW w:w="4635" w:type="dxa"/>
          </w:tcPr>
          <w:p w14:paraId="288F60AB"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The Depth of invasion (DOI) is defined as the measurement from the granular layer of the adjacent uninvolved dermis to the base of the tumor (deepest point of invasion). The DOI was measured in millimeters and rounded to whole numbers</w:t>
            </w:r>
          </w:p>
        </w:tc>
        <w:tc>
          <w:tcPr>
            <w:tcW w:w="1440" w:type="dxa"/>
          </w:tcPr>
          <w:p w14:paraId="1F7C3F70"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(1-3)</w:t>
            </w:r>
          </w:p>
        </w:tc>
      </w:tr>
      <w:tr w:rsidR="008779DD" w14:paraId="5D784ADE" w14:textId="77777777" w:rsidTr="6F943DF5">
        <w:trPr>
          <w:trHeight w:val="300"/>
        </w:trPr>
        <w:tc>
          <w:tcPr>
            <w:tcW w:w="3240" w:type="dxa"/>
          </w:tcPr>
          <w:p w14:paraId="4C0D5FBA" w14:textId="77777777" w:rsidR="008779DD" w:rsidRDefault="008779DD" w:rsidP="00041056">
            <w:pPr>
              <w:keepNext/>
              <w:keepLines/>
              <w:rPr>
                <w:rFonts w:ascii="Calibri" w:eastAsia="Calibri" w:hAnsi="Calibri" w:cs="Calibri"/>
                <w:sz w:val="20"/>
                <w:szCs w:val="20"/>
              </w:rPr>
            </w:pPr>
            <w:r w:rsidRPr="743E81BE">
              <w:rPr>
                <w:rFonts w:ascii="Calibri" w:eastAsia="Calibri" w:hAnsi="Calibri" w:cs="Calibri"/>
                <w:sz w:val="20"/>
                <w:szCs w:val="20"/>
              </w:rPr>
              <w:t xml:space="preserve">Tissue involvement  </w:t>
            </w:r>
          </w:p>
          <w:p w14:paraId="381E45B4" w14:textId="77777777" w:rsidR="008779DD" w:rsidRDefault="008779DD" w:rsidP="00041056">
            <w:pPr>
              <w:rPr>
                <w:rFonts w:ascii="Calibri" w:eastAsia="Calibri" w:hAnsi="Calibri" w:cs="Calibri"/>
                <w:color w:val="000000" w:themeColor="text1"/>
                <w:sz w:val="20"/>
                <w:szCs w:val="20"/>
              </w:rPr>
            </w:pPr>
          </w:p>
        </w:tc>
        <w:tc>
          <w:tcPr>
            <w:tcW w:w="4635" w:type="dxa"/>
          </w:tcPr>
          <w:p w14:paraId="7C64C9C7"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Indicates the skin layer where the deepest point of invasion is observed. This categorical variable was classified as dermis, subcutaneous fat, or beyond subcutaneous fat.</w:t>
            </w:r>
          </w:p>
        </w:tc>
        <w:tc>
          <w:tcPr>
            <w:tcW w:w="1440" w:type="dxa"/>
          </w:tcPr>
          <w:p w14:paraId="419DCAC2"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(4-7)</w:t>
            </w:r>
          </w:p>
        </w:tc>
      </w:tr>
      <w:tr w:rsidR="008779DD" w14:paraId="7734562F" w14:textId="77777777" w:rsidTr="6F943DF5">
        <w:trPr>
          <w:trHeight w:val="300"/>
        </w:trPr>
        <w:tc>
          <w:tcPr>
            <w:tcW w:w="3240" w:type="dxa"/>
          </w:tcPr>
          <w:p w14:paraId="6ADD110B"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Differentiation grade (Broder)</w:t>
            </w:r>
          </w:p>
        </w:tc>
        <w:tc>
          <w:tcPr>
            <w:tcW w:w="4635" w:type="dxa"/>
          </w:tcPr>
          <w:p w14:paraId="3DE3D080" w14:textId="77777777" w:rsidR="008779DD" w:rsidRPr="004054D1" w:rsidRDefault="008779DD" w:rsidP="003D328C">
            <w:pPr>
              <w:rPr>
                <w:rFonts w:ascii="Calibri" w:eastAsia="Calibri" w:hAnsi="Calibri" w:cs="Calibri"/>
                <w:color w:val="000000" w:themeColor="text1"/>
                <w:sz w:val="20"/>
                <w:szCs w:val="20"/>
              </w:rPr>
            </w:pPr>
            <w:r w:rsidRPr="004054D1">
              <w:rPr>
                <w:rFonts w:ascii="Calibri" w:eastAsia="Calibri" w:hAnsi="Calibri" w:cs="Calibri"/>
                <w:color w:val="000000" w:themeColor="text1"/>
                <w:sz w:val="20"/>
                <w:szCs w:val="20"/>
              </w:rPr>
              <w:t>We categorized cells based on the proportion of poorly differentiated component present.</w:t>
            </w:r>
            <w:r w:rsidRPr="004054D1">
              <w:rPr>
                <w:rFonts w:ascii="Calibri" w:hAnsi="Calibri" w:cs="Calibri"/>
                <w:sz w:val="20"/>
                <w:szCs w:val="20"/>
              </w:rPr>
              <w:t xml:space="preserve"> If less than 25% of the cells are poorly differentiated, the tissue is classified as well-differentiated. When 25% to 75% of the cells are poorly differentiated, the tissue is considered moderately differentiated</w:t>
            </w:r>
            <w:r w:rsidRPr="004054D1">
              <w:rPr>
                <w:rFonts w:ascii="Calibri" w:eastAsia="Calibri" w:hAnsi="Calibri" w:cs="Calibri"/>
                <w:color w:val="000000" w:themeColor="text1"/>
                <w:sz w:val="20"/>
                <w:szCs w:val="20"/>
              </w:rPr>
              <w:t xml:space="preserve">. Finally, if more than 75% of the cells are poorly differentiated, the tissue is classified as poorly differentiated. </w:t>
            </w:r>
          </w:p>
        </w:tc>
        <w:tc>
          <w:tcPr>
            <w:tcW w:w="1440" w:type="dxa"/>
          </w:tcPr>
          <w:p w14:paraId="67C2A1EE"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(6-8)</w:t>
            </w:r>
            <w:r w:rsidRPr="743E81BE">
              <w:rPr>
                <w:rFonts w:ascii="Calibri" w:eastAsia="Calibri" w:hAnsi="Calibri" w:cs="Calibri"/>
                <w:color w:val="000000" w:themeColor="text1"/>
                <w:sz w:val="20"/>
                <w:szCs w:val="20"/>
              </w:rPr>
              <w:t>,</w:t>
            </w:r>
            <w:r w:rsidRPr="743E81BE">
              <w:rPr>
                <w:rFonts w:ascii="Calibri" w:eastAsia="Calibri" w:hAnsi="Calibri" w:cs="Calibri"/>
                <w:color w:val="000000" w:themeColor="text1"/>
                <w:sz w:val="20"/>
                <w:szCs w:val="20"/>
                <w:lang w:val="fr-FR"/>
              </w:rPr>
              <w:t xml:space="preserve"> </w:t>
            </w:r>
          </w:p>
          <w:p w14:paraId="30CB02BA" w14:textId="77777777" w:rsidR="008779DD" w:rsidRDefault="008779DD" w:rsidP="00041056">
            <w:pPr>
              <w:rPr>
                <w:rFonts w:ascii="Calibri" w:eastAsia="Calibri" w:hAnsi="Calibri" w:cs="Calibri"/>
                <w:color w:val="000000" w:themeColor="text1"/>
                <w:sz w:val="20"/>
                <w:szCs w:val="20"/>
              </w:rPr>
            </w:pPr>
          </w:p>
        </w:tc>
      </w:tr>
      <w:tr w:rsidR="008779DD" w14:paraId="0C3FFBB4" w14:textId="77777777" w:rsidTr="6F943DF5">
        <w:trPr>
          <w:trHeight w:val="300"/>
        </w:trPr>
        <w:tc>
          <w:tcPr>
            <w:tcW w:w="3240" w:type="dxa"/>
          </w:tcPr>
          <w:p w14:paraId="2DDB4741"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Differentiation grade (worst pattern)</w:t>
            </w:r>
          </w:p>
        </w:tc>
        <w:tc>
          <w:tcPr>
            <w:tcW w:w="4635" w:type="dxa"/>
          </w:tcPr>
          <w:p w14:paraId="50495DF5" w14:textId="77777777" w:rsidR="008779DD" w:rsidRDefault="008779DD" w:rsidP="00041056">
            <w:pPr>
              <w:rPr>
                <w:rFonts w:ascii="Calibri" w:eastAsia="Calibri" w:hAnsi="Calibri" w:cs="Calibri"/>
                <w:i/>
                <w:iCs/>
                <w:color w:val="000000" w:themeColor="text1"/>
                <w:sz w:val="20"/>
                <w:szCs w:val="20"/>
              </w:rPr>
            </w:pPr>
            <w:r w:rsidRPr="53E167B1">
              <w:rPr>
                <w:rFonts w:ascii="Calibri" w:eastAsia="Calibri" w:hAnsi="Calibri" w:cs="Calibri"/>
                <w:color w:val="000000" w:themeColor="text1"/>
                <w:sz w:val="20"/>
                <w:szCs w:val="20"/>
              </w:rPr>
              <w:t xml:space="preserve">Classified according to its most poorly differentiated region, irrespective of the percentage present. </w:t>
            </w:r>
          </w:p>
          <w:p w14:paraId="29A65593" w14:textId="77777777" w:rsidR="008779DD" w:rsidRDefault="008779DD" w:rsidP="00041056">
            <w:pPr>
              <w:rPr>
                <w:rFonts w:ascii="Calibri" w:eastAsia="Calibri" w:hAnsi="Calibri" w:cs="Calibri"/>
                <w:color w:val="000000" w:themeColor="text1"/>
                <w:sz w:val="20"/>
                <w:szCs w:val="20"/>
              </w:rPr>
            </w:pPr>
            <w:r w:rsidRPr="1559D8B1">
              <w:rPr>
                <w:rFonts w:ascii="Calibri" w:eastAsia="Calibri" w:hAnsi="Calibri" w:cs="Calibri"/>
                <w:i/>
                <w:iCs/>
                <w:color w:val="000000" w:themeColor="text1"/>
                <w:sz w:val="20"/>
                <w:szCs w:val="20"/>
              </w:rPr>
              <w:t xml:space="preserve">Only available for the validation cohort. </w:t>
            </w:r>
          </w:p>
        </w:tc>
        <w:tc>
          <w:tcPr>
            <w:tcW w:w="1440" w:type="dxa"/>
          </w:tcPr>
          <w:p w14:paraId="6D2DAC82"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(9)</w:t>
            </w:r>
          </w:p>
        </w:tc>
      </w:tr>
      <w:tr w:rsidR="008779DD" w14:paraId="4BAA859C" w14:textId="77777777" w:rsidTr="6F943DF5">
        <w:trPr>
          <w:trHeight w:val="300"/>
        </w:trPr>
        <w:tc>
          <w:tcPr>
            <w:tcW w:w="3240" w:type="dxa"/>
          </w:tcPr>
          <w:p w14:paraId="0DA7E144"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Perineural invasion</w:t>
            </w:r>
          </w:p>
        </w:tc>
        <w:tc>
          <w:tcPr>
            <w:tcW w:w="4635" w:type="dxa"/>
          </w:tcPr>
          <w:p w14:paraId="7C799C01" w14:textId="77777777" w:rsidR="008779DD" w:rsidRDefault="008779DD" w:rsidP="00041056">
            <w:pPr>
              <w:rPr>
                <w:rFonts w:ascii="Calibri" w:eastAsia="Calibri" w:hAnsi="Calibri" w:cs="Calibri"/>
                <w:color w:val="000000" w:themeColor="text1"/>
                <w:sz w:val="20"/>
                <w:szCs w:val="20"/>
              </w:rPr>
            </w:pPr>
            <w:r w:rsidRPr="53E167B1">
              <w:rPr>
                <w:rFonts w:ascii="Calibri" w:eastAsia="Calibri" w:hAnsi="Calibri" w:cs="Calibri"/>
                <w:color w:val="000000" w:themeColor="text1"/>
                <w:sz w:val="20"/>
                <w:szCs w:val="20"/>
              </w:rPr>
              <w:t xml:space="preserve">Defined as tumor cells in close proximity to, encircling, or infiltrating nerve fibers. If PNI was present, the diameter of the invaded nerve was measured in millimeters, referring to the widest area of the nerve itself affected by tumor cells., </w:t>
            </w:r>
          </w:p>
        </w:tc>
        <w:tc>
          <w:tcPr>
            <w:tcW w:w="1440" w:type="dxa"/>
          </w:tcPr>
          <w:p w14:paraId="6062DC4E"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(2, 4, 6, 10)</w:t>
            </w:r>
          </w:p>
        </w:tc>
      </w:tr>
      <w:tr w:rsidR="008779DD" w14:paraId="65983272" w14:textId="77777777" w:rsidTr="6F943DF5">
        <w:trPr>
          <w:trHeight w:val="300"/>
        </w:trPr>
        <w:tc>
          <w:tcPr>
            <w:tcW w:w="3240" w:type="dxa"/>
          </w:tcPr>
          <w:p w14:paraId="67D49360" w14:textId="77777777" w:rsidR="008779DD" w:rsidRDefault="008779DD" w:rsidP="00041056">
            <w:pPr>
              <w:rPr>
                <w:rFonts w:ascii="Calibri" w:eastAsia="Calibri" w:hAnsi="Calibri" w:cs="Calibri"/>
                <w:color w:val="000000" w:themeColor="text1"/>
                <w:sz w:val="20"/>
                <w:szCs w:val="20"/>
              </w:rPr>
            </w:pPr>
            <w:proofErr w:type="spellStart"/>
            <w:r w:rsidRPr="743E81BE">
              <w:rPr>
                <w:rFonts w:ascii="Calibri" w:eastAsia="Calibri" w:hAnsi="Calibri" w:cs="Calibri"/>
                <w:color w:val="000000" w:themeColor="text1"/>
                <w:sz w:val="20"/>
                <w:szCs w:val="20"/>
              </w:rPr>
              <w:t>Lymphovascular</w:t>
            </w:r>
            <w:proofErr w:type="spellEnd"/>
            <w:r w:rsidRPr="743E81BE">
              <w:rPr>
                <w:rFonts w:ascii="Calibri" w:eastAsia="Calibri" w:hAnsi="Calibri" w:cs="Calibri"/>
                <w:color w:val="000000" w:themeColor="text1"/>
                <w:sz w:val="20"/>
                <w:szCs w:val="20"/>
              </w:rPr>
              <w:t xml:space="preserve"> invasion</w:t>
            </w:r>
          </w:p>
        </w:tc>
        <w:tc>
          <w:tcPr>
            <w:tcW w:w="4635" w:type="dxa"/>
          </w:tcPr>
          <w:p w14:paraId="6126C4AE"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Defined as the presence of tumor cells within lymphatic channels or blood vessels</w:t>
            </w:r>
          </w:p>
        </w:tc>
        <w:tc>
          <w:tcPr>
            <w:tcW w:w="1440" w:type="dxa"/>
          </w:tcPr>
          <w:p w14:paraId="27543C40"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(6, 7, 11)</w:t>
            </w:r>
          </w:p>
        </w:tc>
      </w:tr>
      <w:tr w:rsidR="008779DD" w14:paraId="6C124A95" w14:textId="77777777" w:rsidTr="6F943DF5">
        <w:trPr>
          <w:trHeight w:val="300"/>
        </w:trPr>
        <w:tc>
          <w:tcPr>
            <w:tcW w:w="3240" w:type="dxa"/>
          </w:tcPr>
          <w:p w14:paraId="1AD43F65"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 xml:space="preserve">Peritumoral infiltrate  </w:t>
            </w:r>
          </w:p>
        </w:tc>
        <w:tc>
          <w:tcPr>
            <w:tcW w:w="4635" w:type="dxa"/>
          </w:tcPr>
          <w:p w14:paraId="5B90C275"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Defined as the presence of immune cells surrounding the tumor, and classified it into three categories: absent/mild, moderate, and abundant.</w:t>
            </w:r>
          </w:p>
          <w:p w14:paraId="5B80E841"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Moderate peritumoral infiltrate was characterized by larger patches or a continuous thin band of cells encircling the tumor. Abundant peritumoral infiltrate was defined by a continuous thick band of cells surrounding the tumor, indicating a more robust immune response or tissue reaction adjacent to the tumor.</w:t>
            </w:r>
          </w:p>
        </w:tc>
        <w:tc>
          <w:tcPr>
            <w:tcW w:w="1440" w:type="dxa"/>
          </w:tcPr>
          <w:p w14:paraId="7B5AF913"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(12)</w:t>
            </w:r>
          </w:p>
        </w:tc>
      </w:tr>
      <w:tr w:rsidR="008779DD" w14:paraId="058A1F9B" w14:textId="77777777" w:rsidTr="6F943DF5">
        <w:trPr>
          <w:trHeight w:val="300"/>
        </w:trPr>
        <w:tc>
          <w:tcPr>
            <w:tcW w:w="3240" w:type="dxa"/>
          </w:tcPr>
          <w:p w14:paraId="14C41990" w14:textId="77777777" w:rsidR="008779DD" w:rsidRDefault="008779DD" w:rsidP="00041056">
            <w:pPr>
              <w:keepNext/>
              <w:keepLines/>
              <w:rPr>
                <w:rFonts w:ascii="Calibri" w:eastAsia="Calibri" w:hAnsi="Calibri" w:cs="Calibri"/>
                <w:sz w:val="20"/>
                <w:szCs w:val="20"/>
              </w:rPr>
            </w:pPr>
            <w:r w:rsidRPr="743E81BE">
              <w:rPr>
                <w:rFonts w:ascii="Calibri" w:eastAsia="Calibri" w:hAnsi="Calibri" w:cs="Calibri"/>
                <w:sz w:val="20"/>
                <w:szCs w:val="20"/>
              </w:rPr>
              <w:t>Solar elastosis</w:t>
            </w:r>
          </w:p>
          <w:p w14:paraId="42155E49" w14:textId="77777777" w:rsidR="008779DD" w:rsidRDefault="008779DD" w:rsidP="00041056">
            <w:pPr>
              <w:rPr>
                <w:rFonts w:ascii="Calibri" w:eastAsia="Calibri" w:hAnsi="Calibri" w:cs="Calibri"/>
                <w:color w:val="000000" w:themeColor="text1"/>
                <w:sz w:val="20"/>
                <w:szCs w:val="20"/>
              </w:rPr>
            </w:pPr>
          </w:p>
        </w:tc>
        <w:tc>
          <w:tcPr>
            <w:tcW w:w="4635" w:type="dxa"/>
          </w:tcPr>
          <w:p w14:paraId="48CF0078"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The degree of solar elastosis was categorized it into three levels: absent, moderate, and extensive. If solar elastosis was absent, no abnormal elastic tissue due to sun exposure was detected. Moderate solar elastosis was noted when there was a noticeable amount of abnormal elastic fibers present in an inconsistent, more spread out pattern on the HE slide.</w:t>
            </w:r>
          </w:p>
        </w:tc>
        <w:tc>
          <w:tcPr>
            <w:tcW w:w="1440" w:type="dxa"/>
          </w:tcPr>
          <w:p w14:paraId="4851CF4A"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(13-15)</w:t>
            </w:r>
          </w:p>
        </w:tc>
      </w:tr>
      <w:tr w:rsidR="008779DD" w14:paraId="798CA26F" w14:textId="77777777" w:rsidTr="6F943DF5">
        <w:trPr>
          <w:trHeight w:val="300"/>
        </w:trPr>
        <w:tc>
          <w:tcPr>
            <w:tcW w:w="3240" w:type="dxa"/>
          </w:tcPr>
          <w:p w14:paraId="1EEB28F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Morphological subtype</w:t>
            </w:r>
          </w:p>
        </w:tc>
        <w:tc>
          <w:tcPr>
            <w:tcW w:w="4635" w:type="dxa"/>
          </w:tcPr>
          <w:p w14:paraId="3E906E24" w14:textId="77777777" w:rsidR="008779DD" w:rsidRDefault="008779DD" w:rsidP="00041056">
            <w:pPr>
              <w:rPr>
                <w:rFonts w:ascii="Calibri" w:eastAsia="Calibri" w:hAnsi="Calibri" w:cs="Calibri"/>
                <w:color w:val="000000" w:themeColor="text1"/>
                <w:sz w:val="20"/>
                <w:szCs w:val="20"/>
              </w:rPr>
            </w:pPr>
            <w:r w:rsidRPr="1559D8B1">
              <w:rPr>
                <w:rFonts w:ascii="Calibri" w:eastAsia="Calibri" w:hAnsi="Calibri" w:cs="Calibri"/>
                <w:color w:val="000000" w:themeColor="text1"/>
                <w:sz w:val="20"/>
                <w:szCs w:val="20"/>
              </w:rPr>
              <w:t>We adopted the definitions outlined by the World Health Organization (WHO) Classification of Tumors. The WHO describes “acantholytic CSCC”, “clear cell CSCC”, “</w:t>
            </w:r>
            <w:proofErr w:type="spellStart"/>
            <w:r w:rsidRPr="1559D8B1">
              <w:rPr>
                <w:rFonts w:ascii="Calibri" w:eastAsia="Calibri" w:hAnsi="Calibri" w:cs="Calibri"/>
                <w:color w:val="000000" w:themeColor="text1"/>
                <w:sz w:val="20"/>
                <w:szCs w:val="20"/>
              </w:rPr>
              <w:t>adenosquamous</w:t>
            </w:r>
            <w:proofErr w:type="spellEnd"/>
            <w:r w:rsidRPr="1559D8B1">
              <w:rPr>
                <w:rFonts w:ascii="Calibri" w:eastAsia="Calibri" w:hAnsi="Calibri" w:cs="Calibri"/>
                <w:color w:val="000000" w:themeColor="text1"/>
                <w:sz w:val="20"/>
                <w:szCs w:val="20"/>
              </w:rPr>
              <w:t xml:space="preserve"> CSCC” and “spindle cell CSCC”</w:t>
            </w:r>
          </w:p>
        </w:tc>
        <w:tc>
          <w:tcPr>
            <w:tcW w:w="1440" w:type="dxa"/>
          </w:tcPr>
          <w:p w14:paraId="45DE3B10"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(16)</w:t>
            </w:r>
          </w:p>
        </w:tc>
      </w:tr>
      <w:tr w:rsidR="008779DD" w14:paraId="7CB15EEE" w14:textId="77777777" w:rsidTr="6F943DF5">
        <w:trPr>
          <w:trHeight w:val="300"/>
        </w:trPr>
        <w:tc>
          <w:tcPr>
            <w:tcW w:w="3240" w:type="dxa"/>
          </w:tcPr>
          <w:p w14:paraId="2340836C" w14:textId="77777777" w:rsidR="008779DD" w:rsidRDefault="008779DD" w:rsidP="6F943DF5">
            <w:pPr>
              <w:rPr>
                <w:rFonts w:ascii="Calibri" w:eastAsia="Calibri" w:hAnsi="Calibri" w:cs="Calibri"/>
                <w:sz w:val="20"/>
                <w:szCs w:val="20"/>
              </w:rPr>
            </w:pPr>
            <w:r w:rsidRPr="6F943DF5">
              <w:rPr>
                <w:rFonts w:ascii="Calibri" w:eastAsia="Calibri" w:hAnsi="Calibri" w:cs="Calibri"/>
                <w:sz w:val="20"/>
                <w:szCs w:val="20"/>
              </w:rPr>
              <w:lastRenderedPageBreak/>
              <w:t>Desmoplastic CSCC</w:t>
            </w:r>
          </w:p>
        </w:tc>
        <w:tc>
          <w:tcPr>
            <w:tcW w:w="4635" w:type="dxa"/>
          </w:tcPr>
          <w:p w14:paraId="7CFE8CE3" w14:textId="77777777" w:rsidR="008779DD" w:rsidRDefault="008779DD" w:rsidP="00041056">
            <w:pPr>
              <w:rPr>
                <w:rFonts w:ascii="Calibri" w:eastAsia="Calibri" w:hAnsi="Calibri" w:cs="Calibri"/>
                <w:color w:val="000000" w:themeColor="text1"/>
                <w:sz w:val="20"/>
                <w:szCs w:val="20"/>
              </w:rPr>
            </w:pPr>
            <w:r w:rsidRPr="743E81BE">
              <w:rPr>
                <w:rFonts w:ascii="Calibri" w:eastAsia="Calibri" w:hAnsi="Calibri" w:cs="Calibri"/>
                <w:color w:val="000000" w:themeColor="text1"/>
                <w:sz w:val="20"/>
                <w:szCs w:val="20"/>
              </w:rPr>
              <w:t>Characterized by the infiltration of atypical squamous epithelial cells forming single cell-strands at the invasive border within a distinct sclerotic stromal reaction. Notably, the desmoplastic stromal response should be more prominent than the tumor strands. To classify a tumor as desmoplastic, at least one-third of the tumor must exhibit desmoplastic features</w:t>
            </w:r>
          </w:p>
        </w:tc>
        <w:tc>
          <w:tcPr>
            <w:tcW w:w="1440" w:type="dxa"/>
          </w:tcPr>
          <w:p w14:paraId="4C6FEBAE"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(17)</w:t>
            </w:r>
          </w:p>
        </w:tc>
      </w:tr>
      <w:tr w:rsidR="008779DD" w14:paraId="60743D9C" w14:textId="77777777" w:rsidTr="6F943DF5">
        <w:trPr>
          <w:trHeight w:val="300"/>
        </w:trPr>
        <w:tc>
          <w:tcPr>
            <w:tcW w:w="3240" w:type="dxa"/>
          </w:tcPr>
          <w:p w14:paraId="3B93BFCE" w14:textId="77777777" w:rsidR="008779DD" w:rsidRDefault="008779DD" w:rsidP="6F943DF5">
            <w:pPr>
              <w:rPr>
                <w:rFonts w:ascii="Calibri" w:eastAsia="Calibri" w:hAnsi="Calibri" w:cs="Calibri"/>
                <w:sz w:val="20"/>
                <w:szCs w:val="20"/>
              </w:rPr>
            </w:pPr>
            <w:r w:rsidRPr="6F943DF5">
              <w:rPr>
                <w:rFonts w:ascii="Calibri" w:eastAsia="Calibri" w:hAnsi="Calibri" w:cs="Calibri"/>
                <w:sz w:val="20"/>
                <w:szCs w:val="20"/>
              </w:rPr>
              <w:t>Follicular CSCC (</w:t>
            </w:r>
            <w:proofErr w:type="spellStart"/>
            <w:r w:rsidRPr="6F943DF5">
              <w:rPr>
                <w:rFonts w:ascii="Calibri" w:eastAsia="Calibri" w:hAnsi="Calibri" w:cs="Calibri"/>
                <w:sz w:val="20"/>
                <w:szCs w:val="20"/>
              </w:rPr>
              <w:t>fSCC</w:t>
            </w:r>
            <w:proofErr w:type="spellEnd"/>
            <w:r w:rsidRPr="6F943DF5">
              <w:rPr>
                <w:rFonts w:ascii="Calibri" w:eastAsia="Calibri" w:hAnsi="Calibri" w:cs="Calibri"/>
                <w:sz w:val="20"/>
                <w:szCs w:val="20"/>
              </w:rPr>
              <w:t>)</w:t>
            </w:r>
          </w:p>
        </w:tc>
        <w:tc>
          <w:tcPr>
            <w:tcW w:w="4635" w:type="dxa"/>
          </w:tcPr>
          <w:p w14:paraId="2E3218A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Defined using the following histological criteria:</w:t>
            </w:r>
          </w:p>
          <w:p w14:paraId="52E992B1"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 xml:space="preserve">• Abrupt connections of the </w:t>
            </w:r>
            <w:proofErr w:type="spellStart"/>
            <w:r w:rsidRPr="743E81BE">
              <w:rPr>
                <w:rFonts w:ascii="Calibri" w:eastAsia="Calibri" w:hAnsi="Calibri" w:cs="Calibri"/>
                <w:sz w:val="20"/>
                <w:szCs w:val="20"/>
              </w:rPr>
              <w:t>tumour</w:t>
            </w:r>
            <w:proofErr w:type="spellEnd"/>
            <w:r w:rsidRPr="743E81BE">
              <w:rPr>
                <w:rFonts w:ascii="Calibri" w:eastAsia="Calibri" w:hAnsi="Calibri" w:cs="Calibri"/>
                <w:sz w:val="20"/>
                <w:szCs w:val="20"/>
              </w:rPr>
              <w:t xml:space="preserve"> with the epidermis at the site of follicular infundibula.</w:t>
            </w:r>
          </w:p>
          <w:p w14:paraId="65AD7514"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 xml:space="preserve">• Presence of infundibular and/or </w:t>
            </w:r>
            <w:proofErr w:type="spellStart"/>
            <w:r w:rsidRPr="743E81BE">
              <w:rPr>
                <w:rFonts w:ascii="Calibri" w:eastAsia="Calibri" w:hAnsi="Calibri" w:cs="Calibri"/>
                <w:sz w:val="20"/>
                <w:szCs w:val="20"/>
              </w:rPr>
              <w:t>tricholemmal</w:t>
            </w:r>
            <w:proofErr w:type="spellEnd"/>
            <w:r w:rsidRPr="743E81BE">
              <w:rPr>
                <w:rFonts w:ascii="Calibri" w:eastAsia="Calibri" w:hAnsi="Calibri" w:cs="Calibri"/>
                <w:sz w:val="20"/>
                <w:szCs w:val="20"/>
              </w:rPr>
              <w:t xml:space="preserve"> differentiation.</w:t>
            </w:r>
          </w:p>
          <w:p w14:paraId="4A7165D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 Malignant cytological and/or architectural features.</w:t>
            </w:r>
          </w:p>
          <w:p w14:paraId="7B5DDB2C" w14:textId="77777777" w:rsidR="008779DD" w:rsidRDefault="008779DD" w:rsidP="00041056">
            <w:pPr>
              <w:rPr>
                <w:rFonts w:ascii="Calibri" w:eastAsia="Calibri" w:hAnsi="Calibri" w:cs="Calibri"/>
                <w:sz w:val="20"/>
                <w:szCs w:val="20"/>
              </w:rPr>
            </w:pPr>
            <w:r w:rsidRPr="53E167B1">
              <w:rPr>
                <w:rFonts w:ascii="Calibri" w:eastAsia="Calibri" w:hAnsi="Calibri" w:cs="Calibri"/>
                <w:sz w:val="20"/>
                <w:szCs w:val="20"/>
              </w:rPr>
              <w:t xml:space="preserve">• Absence of </w:t>
            </w:r>
            <w:proofErr w:type="spellStart"/>
            <w:r w:rsidRPr="53E167B1">
              <w:rPr>
                <w:rFonts w:ascii="Calibri" w:eastAsia="Calibri" w:hAnsi="Calibri" w:cs="Calibri"/>
                <w:sz w:val="20"/>
                <w:szCs w:val="20"/>
              </w:rPr>
              <w:t>bowenoid</w:t>
            </w:r>
            <w:proofErr w:type="spellEnd"/>
            <w:r w:rsidRPr="53E167B1">
              <w:rPr>
                <w:rFonts w:ascii="Calibri" w:eastAsia="Calibri" w:hAnsi="Calibri" w:cs="Calibri"/>
                <w:sz w:val="20"/>
                <w:szCs w:val="20"/>
              </w:rPr>
              <w:t xml:space="preserve"> dysplasia or features of KA (including uncertain KA-like or KA with malignant transformation).</w:t>
            </w:r>
          </w:p>
          <w:p w14:paraId="5AAE2BE8" w14:textId="77777777" w:rsidR="008779DD" w:rsidRDefault="008779DD" w:rsidP="00041056">
            <w:pPr>
              <w:rPr>
                <w:rFonts w:ascii="Calibri" w:eastAsia="Calibri" w:hAnsi="Calibri" w:cs="Calibri"/>
                <w:sz w:val="20"/>
                <w:szCs w:val="20"/>
              </w:rPr>
            </w:pPr>
          </w:p>
          <w:p w14:paraId="66D7461C" w14:textId="77777777" w:rsidR="008779DD" w:rsidRDefault="008779DD" w:rsidP="4F45289A">
            <w:pPr>
              <w:rPr>
                <w:rFonts w:ascii="Calibri" w:eastAsia="Calibri" w:hAnsi="Calibri" w:cs="Calibri"/>
                <w:i/>
                <w:iCs/>
                <w:sz w:val="20"/>
                <w:szCs w:val="20"/>
              </w:rPr>
            </w:pPr>
            <w:r w:rsidRPr="4F45289A">
              <w:rPr>
                <w:rFonts w:ascii="Calibri" w:eastAsia="Calibri" w:hAnsi="Calibri" w:cs="Calibri"/>
                <w:i/>
                <w:iCs/>
                <w:sz w:val="20"/>
                <w:szCs w:val="20"/>
              </w:rPr>
              <w:t>Only available for the validation cohort</w:t>
            </w:r>
          </w:p>
          <w:p w14:paraId="6BA9906A" w14:textId="77777777" w:rsidR="008779DD" w:rsidRDefault="008779DD" w:rsidP="00041056">
            <w:pPr>
              <w:rPr>
                <w:rFonts w:ascii="Calibri" w:eastAsia="Calibri" w:hAnsi="Calibri" w:cs="Calibri"/>
                <w:color w:val="000000" w:themeColor="text1"/>
                <w:sz w:val="20"/>
                <w:szCs w:val="20"/>
              </w:rPr>
            </w:pPr>
          </w:p>
        </w:tc>
        <w:tc>
          <w:tcPr>
            <w:tcW w:w="1440" w:type="dxa"/>
          </w:tcPr>
          <w:p w14:paraId="63161017" w14:textId="77777777" w:rsidR="008779DD" w:rsidRDefault="008779DD" w:rsidP="00CC665B">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(18, 19)</w:t>
            </w:r>
          </w:p>
        </w:tc>
      </w:tr>
      <w:tr w:rsidR="008779DD" w14:paraId="36C001F3" w14:textId="77777777" w:rsidTr="6F943DF5">
        <w:trPr>
          <w:trHeight w:val="300"/>
        </w:trPr>
        <w:tc>
          <w:tcPr>
            <w:tcW w:w="3240" w:type="dxa"/>
          </w:tcPr>
          <w:p w14:paraId="666C8228"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 xml:space="preserve">Mitotic rate </w:t>
            </w:r>
          </w:p>
        </w:tc>
        <w:tc>
          <w:tcPr>
            <w:tcW w:w="4635" w:type="dxa"/>
          </w:tcPr>
          <w:p w14:paraId="6BCA155D" w14:textId="77777777" w:rsidR="008779DD" w:rsidRDefault="008779DD" w:rsidP="00041056">
            <w:pPr>
              <w:rPr>
                <w:rFonts w:ascii="Calibri" w:eastAsia="Calibri" w:hAnsi="Calibri" w:cs="Calibri"/>
                <w:color w:val="000000" w:themeColor="text1"/>
                <w:sz w:val="19"/>
                <w:szCs w:val="19"/>
              </w:rPr>
            </w:pPr>
            <w:r w:rsidRPr="743E81BE">
              <w:rPr>
                <w:rFonts w:ascii="Calibri" w:eastAsia="Calibri" w:hAnsi="Calibri" w:cs="Calibri"/>
                <w:color w:val="000000" w:themeColor="text1"/>
                <w:sz w:val="19"/>
                <w:szCs w:val="19"/>
              </w:rPr>
              <w:t>The number of mitotic cells is counted in one high power field (1 HPF) at the invasive border of the tumor. Several HPF were scanned at the invasive border to be able to find a representative HPF. A HPF was defined as 40 times enlargement on a digital HE slide assessed with NDP Viewer 2.</w:t>
            </w:r>
          </w:p>
          <w:p w14:paraId="42A29303" w14:textId="77777777" w:rsidR="008779DD" w:rsidRDefault="008779DD" w:rsidP="004428E8">
            <w:pPr>
              <w:rPr>
                <w:rFonts w:ascii="Calibri" w:eastAsia="Calibri" w:hAnsi="Calibri" w:cs="Calibri"/>
                <w:i/>
                <w:iCs/>
                <w:sz w:val="20"/>
                <w:szCs w:val="20"/>
              </w:rPr>
            </w:pPr>
            <w:r w:rsidRPr="4F45289A">
              <w:rPr>
                <w:rFonts w:ascii="Calibri" w:eastAsia="Calibri" w:hAnsi="Calibri" w:cs="Calibri"/>
                <w:i/>
                <w:iCs/>
                <w:sz w:val="20"/>
                <w:szCs w:val="20"/>
              </w:rPr>
              <w:t xml:space="preserve">Only available for the </w:t>
            </w:r>
            <w:r>
              <w:rPr>
                <w:rFonts w:ascii="Calibri" w:eastAsia="Calibri" w:hAnsi="Calibri" w:cs="Calibri"/>
                <w:i/>
                <w:iCs/>
                <w:sz w:val="20"/>
                <w:szCs w:val="20"/>
              </w:rPr>
              <w:t xml:space="preserve">development </w:t>
            </w:r>
            <w:r w:rsidRPr="4F45289A">
              <w:rPr>
                <w:rFonts w:ascii="Calibri" w:eastAsia="Calibri" w:hAnsi="Calibri" w:cs="Calibri"/>
                <w:i/>
                <w:iCs/>
                <w:sz w:val="20"/>
                <w:szCs w:val="20"/>
              </w:rPr>
              <w:t xml:space="preserve"> cohort</w:t>
            </w:r>
            <w:r>
              <w:rPr>
                <w:rFonts w:ascii="Calibri" w:eastAsia="Calibri" w:hAnsi="Calibri" w:cs="Calibri"/>
                <w:i/>
                <w:iCs/>
                <w:sz w:val="20"/>
                <w:szCs w:val="20"/>
              </w:rPr>
              <w:t>.</w:t>
            </w:r>
          </w:p>
          <w:p w14:paraId="71EEA83D" w14:textId="77777777" w:rsidR="008779DD" w:rsidRDefault="008779DD" w:rsidP="00041056">
            <w:pPr>
              <w:rPr>
                <w:rFonts w:ascii="Calibri" w:eastAsia="Calibri" w:hAnsi="Calibri" w:cs="Calibri"/>
                <w:color w:val="000000" w:themeColor="text1"/>
                <w:sz w:val="19"/>
                <w:szCs w:val="19"/>
              </w:rPr>
            </w:pPr>
          </w:p>
        </w:tc>
        <w:tc>
          <w:tcPr>
            <w:tcW w:w="1440" w:type="dxa"/>
          </w:tcPr>
          <w:p w14:paraId="6BB9174E"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(20, 21)</w:t>
            </w:r>
          </w:p>
        </w:tc>
      </w:tr>
      <w:tr w:rsidR="008779DD" w14:paraId="7AC38E54" w14:textId="77777777" w:rsidTr="6F943DF5">
        <w:trPr>
          <w:trHeight w:val="300"/>
        </w:trPr>
        <w:tc>
          <w:tcPr>
            <w:tcW w:w="3240" w:type="dxa"/>
          </w:tcPr>
          <w:p w14:paraId="7F178F6E" w14:textId="77777777" w:rsidR="008779DD" w:rsidRDefault="008779DD" w:rsidP="00041056">
            <w:pPr>
              <w:rPr>
                <w:rFonts w:ascii="Calibri" w:eastAsia="Calibri" w:hAnsi="Calibri" w:cs="Calibri"/>
                <w:sz w:val="20"/>
                <w:szCs w:val="20"/>
              </w:rPr>
            </w:pPr>
            <w:r w:rsidRPr="743E81BE">
              <w:rPr>
                <w:rFonts w:ascii="Calibri" w:eastAsia="Calibri" w:hAnsi="Calibri" w:cs="Calibri"/>
                <w:sz w:val="20"/>
                <w:szCs w:val="20"/>
              </w:rPr>
              <w:t>Tumor budding</w:t>
            </w:r>
          </w:p>
        </w:tc>
        <w:tc>
          <w:tcPr>
            <w:tcW w:w="4635" w:type="dxa"/>
          </w:tcPr>
          <w:p w14:paraId="45E66C17" w14:textId="77777777" w:rsidR="008779DD" w:rsidRDefault="008779DD" w:rsidP="00041056">
            <w:pPr>
              <w:rPr>
                <w:rFonts w:ascii="Calibri" w:eastAsia="Calibri" w:hAnsi="Calibri" w:cs="Calibri"/>
                <w:color w:val="000000" w:themeColor="text1"/>
                <w:sz w:val="19"/>
                <w:szCs w:val="19"/>
              </w:rPr>
            </w:pPr>
            <w:r w:rsidRPr="743E81BE">
              <w:rPr>
                <w:rFonts w:ascii="Calibri" w:eastAsia="Calibri" w:hAnsi="Calibri" w:cs="Calibri"/>
                <w:color w:val="000000" w:themeColor="text1"/>
                <w:sz w:val="19"/>
                <w:szCs w:val="19"/>
              </w:rPr>
              <w:t>Defined as the presence of one isolated single cell or small cell clusters of 1-5 cells scattered in the stroma ahead of the invasive tumor front. The area with the highest budding was selected and the number of buds was counted in 1 HPF. In case there were multiple fields of tumor buds, the number was expressed as the mean number of tumor buds in five adjacent HPFs.</w:t>
            </w:r>
          </w:p>
          <w:p w14:paraId="33CD9562" w14:textId="77777777" w:rsidR="008779DD" w:rsidRDefault="008779DD" w:rsidP="00041056">
            <w:pPr>
              <w:rPr>
                <w:rFonts w:ascii="Calibri" w:eastAsia="Calibri" w:hAnsi="Calibri" w:cs="Calibri"/>
                <w:color w:val="000000" w:themeColor="text1"/>
                <w:sz w:val="19"/>
                <w:szCs w:val="19"/>
              </w:rPr>
            </w:pPr>
          </w:p>
          <w:p w14:paraId="70E8A112" w14:textId="77777777" w:rsidR="008779DD" w:rsidRDefault="008779DD" w:rsidP="004428E8">
            <w:pPr>
              <w:rPr>
                <w:rFonts w:ascii="Calibri" w:eastAsia="Calibri" w:hAnsi="Calibri" w:cs="Calibri"/>
                <w:i/>
                <w:iCs/>
                <w:sz w:val="20"/>
                <w:szCs w:val="20"/>
              </w:rPr>
            </w:pPr>
            <w:r w:rsidRPr="4F45289A">
              <w:rPr>
                <w:rFonts w:ascii="Calibri" w:eastAsia="Calibri" w:hAnsi="Calibri" w:cs="Calibri"/>
                <w:i/>
                <w:iCs/>
                <w:sz w:val="20"/>
                <w:szCs w:val="20"/>
              </w:rPr>
              <w:t xml:space="preserve">Only available for the </w:t>
            </w:r>
            <w:r>
              <w:rPr>
                <w:rFonts w:ascii="Calibri" w:eastAsia="Calibri" w:hAnsi="Calibri" w:cs="Calibri"/>
                <w:i/>
                <w:iCs/>
                <w:sz w:val="20"/>
                <w:szCs w:val="20"/>
              </w:rPr>
              <w:t xml:space="preserve">development </w:t>
            </w:r>
            <w:r w:rsidRPr="4F45289A">
              <w:rPr>
                <w:rFonts w:ascii="Calibri" w:eastAsia="Calibri" w:hAnsi="Calibri" w:cs="Calibri"/>
                <w:i/>
                <w:iCs/>
                <w:sz w:val="20"/>
                <w:szCs w:val="20"/>
              </w:rPr>
              <w:t xml:space="preserve"> cohort</w:t>
            </w:r>
            <w:r>
              <w:rPr>
                <w:rFonts w:ascii="Calibri" w:eastAsia="Calibri" w:hAnsi="Calibri" w:cs="Calibri"/>
                <w:i/>
                <w:iCs/>
                <w:sz w:val="20"/>
                <w:szCs w:val="20"/>
              </w:rPr>
              <w:t>.</w:t>
            </w:r>
          </w:p>
          <w:p w14:paraId="277832E4" w14:textId="77777777" w:rsidR="008779DD" w:rsidRDefault="008779DD" w:rsidP="00041056">
            <w:pPr>
              <w:rPr>
                <w:rFonts w:ascii="Calibri" w:eastAsia="Calibri" w:hAnsi="Calibri" w:cs="Calibri"/>
                <w:color w:val="000000" w:themeColor="text1"/>
                <w:sz w:val="19"/>
                <w:szCs w:val="19"/>
              </w:rPr>
            </w:pPr>
          </w:p>
        </w:tc>
        <w:tc>
          <w:tcPr>
            <w:tcW w:w="1440" w:type="dxa"/>
          </w:tcPr>
          <w:p w14:paraId="49451857" w14:textId="77777777" w:rsidR="008779DD" w:rsidRDefault="008779DD" w:rsidP="00041056">
            <w:pPr>
              <w:rPr>
                <w:rFonts w:ascii="Calibri" w:eastAsia="Calibri" w:hAnsi="Calibri" w:cs="Calibri"/>
                <w:color w:val="000000" w:themeColor="text1"/>
                <w:sz w:val="20"/>
                <w:szCs w:val="20"/>
              </w:rPr>
            </w:pPr>
            <w:r>
              <w:rPr>
                <w:rFonts w:ascii="Calibri" w:eastAsia="Calibri" w:hAnsi="Calibri" w:cs="Calibri"/>
                <w:noProof/>
                <w:color w:val="000000" w:themeColor="text1"/>
                <w:sz w:val="20"/>
                <w:szCs w:val="20"/>
              </w:rPr>
              <w:t xml:space="preserve"> (22-24)</w:t>
            </w:r>
          </w:p>
        </w:tc>
      </w:tr>
    </w:tbl>
    <w:p w14:paraId="3B382CB8" w14:textId="77777777" w:rsidR="008779DD" w:rsidRDefault="008779DD" w:rsidP="0091279E">
      <w:pPr>
        <w:rPr>
          <w:rFonts w:ascii="Calibri" w:eastAsia="Calibri" w:hAnsi="Calibri" w:cs="Calibri"/>
          <w:color w:val="000000" w:themeColor="text1"/>
          <w:sz w:val="20"/>
          <w:szCs w:val="20"/>
        </w:rPr>
      </w:pPr>
    </w:p>
    <w:p w14:paraId="75186096" w14:textId="77777777" w:rsidR="008779DD" w:rsidRPr="0083222B" w:rsidRDefault="008779DD" w:rsidP="0091279E">
      <w:pPr>
        <w:rPr>
          <w:rFonts w:ascii="Calibri" w:hAnsi="Calibri" w:cs="Calibri"/>
          <w:sz w:val="22"/>
          <w:szCs w:val="22"/>
        </w:rPr>
      </w:pPr>
    </w:p>
    <w:p w14:paraId="433E6137" w14:textId="77777777" w:rsidR="008779DD" w:rsidRPr="00D76E6E" w:rsidRDefault="008779DD">
      <w:pPr>
        <w:rPr>
          <w:rFonts w:ascii="Calibri" w:hAnsi="Calibri" w:cs="Calibri"/>
          <w:b/>
          <w:bCs/>
          <w:sz w:val="22"/>
          <w:szCs w:val="22"/>
        </w:rPr>
      </w:pPr>
      <w:r w:rsidRPr="00D76E6E">
        <w:rPr>
          <w:rFonts w:ascii="Calibri" w:hAnsi="Calibri" w:cs="Calibri"/>
          <w:b/>
          <w:bCs/>
          <w:sz w:val="22"/>
          <w:szCs w:val="22"/>
        </w:rPr>
        <w:t>References</w:t>
      </w:r>
    </w:p>
    <w:p w14:paraId="4B24453C" w14:textId="77777777" w:rsidR="008779DD" w:rsidRPr="0083222B" w:rsidRDefault="008779DD">
      <w:pPr>
        <w:rPr>
          <w:rFonts w:ascii="Calibri" w:hAnsi="Calibri" w:cs="Calibri"/>
          <w:sz w:val="22"/>
          <w:szCs w:val="22"/>
        </w:rPr>
      </w:pPr>
    </w:p>
    <w:p w14:paraId="4980E8DC"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w:t>
      </w:r>
      <w:r w:rsidRPr="00565822">
        <w:rPr>
          <w:rFonts w:ascii="Calibri" w:hAnsi="Calibri" w:cs="Calibri"/>
          <w:sz w:val="20"/>
          <w:szCs w:val="20"/>
        </w:rPr>
        <w:tab/>
        <w:t>Edge SB, American Joint Committee on Cancer ACS. AJCC cancer staging handbook: from the AJCC cancer staging manual: Springer; 2010.</w:t>
      </w:r>
    </w:p>
    <w:p w14:paraId="7172267F"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2.</w:t>
      </w:r>
      <w:r w:rsidRPr="00565822">
        <w:rPr>
          <w:rFonts w:ascii="Calibri" w:hAnsi="Calibri" w:cs="Calibri"/>
          <w:sz w:val="20"/>
          <w:szCs w:val="20"/>
        </w:rPr>
        <w:tab/>
        <w:t>Zakhem GA, Pulavarty AN, Carucci J, Stevenson ML. Association of Patient Risk Factors, Tumor Characteristics, and Treatment Modality With Poor Outcomes in Primary Cutaneous Squamous Cell Carcinoma: A Systematic Review and Meta-analysis. JAMA Dermatology. 2023;159(2):160-71. doi:10.1001/jamadermatol.2022.5508</w:t>
      </w:r>
    </w:p>
    <w:p w14:paraId="433BC987"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3.</w:t>
      </w:r>
      <w:r w:rsidRPr="00565822">
        <w:rPr>
          <w:rFonts w:ascii="Calibri" w:hAnsi="Calibri" w:cs="Calibri"/>
          <w:sz w:val="20"/>
          <w:szCs w:val="20"/>
        </w:rPr>
        <w:tab/>
        <w:t>Stratigos AJ, Garbe C, Dessinioti C, et al. European consensus-based interdisciplinary guideline for invasive cutaneous squamous cell carcinoma. Part 1: Diagnostics and prevention–Update 2023. European Journal of Cancer. 2023;193:113251. doi:https://doi.org/10.1016/j.ejca.2023.113251</w:t>
      </w:r>
    </w:p>
    <w:p w14:paraId="67AF0F64"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4.</w:t>
      </w:r>
      <w:r w:rsidRPr="00565822">
        <w:rPr>
          <w:rFonts w:ascii="Calibri" w:hAnsi="Calibri" w:cs="Calibri"/>
          <w:sz w:val="20"/>
          <w:szCs w:val="20"/>
        </w:rPr>
        <w:tab/>
        <w:t>Thompson AK, Kelley BF, Prokop LJ, Murad MH, Baum CL. Risk Factors for Cutaneous Squamous Cell Carcinoma Recurrence, Metastasis, and Disease-Specific Death: A Systematic Review and Meta-analysis. JAMA Dermatology. 2016;152(4):419-28. doi:10.1001/jamadermatol.2015.4994</w:t>
      </w:r>
    </w:p>
    <w:p w14:paraId="41EE56E1"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5.</w:t>
      </w:r>
      <w:r w:rsidRPr="00565822">
        <w:rPr>
          <w:rFonts w:ascii="Calibri" w:hAnsi="Calibri" w:cs="Calibri"/>
          <w:sz w:val="20"/>
          <w:szCs w:val="20"/>
        </w:rPr>
        <w:tab/>
        <w:t xml:space="preserve">Ruiz ES, Karia PS, Besaw R, Schmults CD. Performance of the American Joint Committee on Cancer Staging Manual, 8th Edition vs the Brigham and Women's Hospital Tumor Classification System for Cutaneous Squamous Cell Carcinoma. JAMA Dermatol. 2019;155(7):819-25. </w:t>
      </w:r>
    </w:p>
    <w:p w14:paraId="6F87D0A0"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lastRenderedPageBreak/>
        <w:t>6.</w:t>
      </w:r>
      <w:r w:rsidRPr="00565822">
        <w:rPr>
          <w:rFonts w:ascii="Calibri" w:hAnsi="Calibri" w:cs="Calibri"/>
          <w:sz w:val="20"/>
          <w:szCs w:val="20"/>
        </w:rPr>
        <w:tab/>
        <w:t>Tokez S, Venables ZC, Hollestein LM, et al. Risk factors for metastatic cutaneous squamous cell carcinoma: Refinement and replication based on 2 nationwide nested case-control studies. J Am Acad Dermatol. 2022;87(1):64-71. doi:10.1016/j.jaad.2022.02.056</w:t>
      </w:r>
    </w:p>
    <w:p w14:paraId="485B70A0"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7.</w:t>
      </w:r>
      <w:r w:rsidRPr="00565822">
        <w:rPr>
          <w:rFonts w:ascii="Calibri" w:hAnsi="Calibri" w:cs="Calibri"/>
          <w:sz w:val="20"/>
          <w:szCs w:val="20"/>
        </w:rPr>
        <w:tab/>
        <w:t>Rentroia-Pacheco B, Tokez S, Bramer EM, et al. Personalised decision making to predict absolute metastatic risk in cutaneous squamous cell carcinoma: development and validation of a clinico-pathological model. EClinicalMedicine. 2023;63:102150. doi:10.1016/j.eclinm.2023.102150</w:t>
      </w:r>
    </w:p>
    <w:p w14:paraId="76FC968B"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8.</w:t>
      </w:r>
      <w:r w:rsidRPr="00565822">
        <w:rPr>
          <w:rFonts w:ascii="Calibri" w:hAnsi="Calibri" w:cs="Calibri"/>
          <w:sz w:val="20"/>
          <w:szCs w:val="20"/>
        </w:rPr>
        <w:tab/>
        <w:t>Broders AC. SQUAMOUS-CELL EPITHELIOMA OF THE SKIN: A STUDY OF 256 CASES. Ann Surg. 1921;73(2):141-60. doi:10.1097/00000658-192102000-00001</w:t>
      </w:r>
    </w:p>
    <w:p w14:paraId="53284C54"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9.</w:t>
      </w:r>
      <w:r w:rsidRPr="00565822">
        <w:rPr>
          <w:rFonts w:ascii="Calibri" w:hAnsi="Calibri" w:cs="Calibri"/>
          <w:sz w:val="20"/>
          <w:szCs w:val="20"/>
        </w:rPr>
        <w:tab/>
        <w:t>Slater D, Barrett P. Dataset for Histopathological Reporting of Primary Invasive Cutaneous Squamous Cell Carcinoma and Regional Lymph Nodes. London, UK: The Royal College of Pathologists2019.</w:t>
      </w:r>
    </w:p>
    <w:p w14:paraId="4C0519D7"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10.</w:t>
      </w:r>
      <w:r w:rsidRPr="00565822">
        <w:rPr>
          <w:rFonts w:ascii="Calibri" w:hAnsi="Calibri" w:cs="Calibri"/>
          <w:sz w:val="20"/>
          <w:szCs w:val="20"/>
        </w:rPr>
        <w:tab/>
        <w:t>Ross AS, Miller Whalen F, Elenitsas R, Xu X, Troxel AB, Schmults CD. Diameter of involved nerves predicts outcomes in cutaneous squamous cell carcinoma with perineural invasion: An investigator-blinded retrospective cohort study. Dermatol Surg. 2009;35(12):1859-66. doi:10.1111/j.1524-4725.2009.01354.x</w:t>
      </w:r>
    </w:p>
    <w:p w14:paraId="7ABD3973"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11.</w:t>
      </w:r>
      <w:r w:rsidRPr="00565822">
        <w:rPr>
          <w:rFonts w:ascii="Calibri" w:hAnsi="Calibri" w:cs="Calibri"/>
          <w:sz w:val="20"/>
          <w:szCs w:val="20"/>
        </w:rPr>
        <w:tab/>
        <w:t>Farah M, Milton DR, Gross ND, et al. Histopathologic features predictive of metastasis and survival in 230 patients with cutaneous squamous cell carcinoma of the head and neck and non-head and neck locations: a single-center retrospective study. Journal of the European Academy of Dermatology and Venereology. 2022;36(8):1246-55. doi:https://doi.org/10.1111/jdv.18147</w:t>
      </w:r>
    </w:p>
    <w:p w14:paraId="4851E3A4"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lang w:val="nl-NL"/>
        </w:rPr>
        <w:t>12.</w:t>
      </w:r>
      <w:r w:rsidRPr="00565822">
        <w:rPr>
          <w:rFonts w:ascii="Calibri" w:hAnsi="Calibri" w:cs="Calibri"/>
          <w:sz w:val="20"/>
          <w:szCs w:val="20"/>
          <w:lang w:val="nl-NL"/>
        </w:rPr>
        <w:tab/>
        <w:t xml:space="preserve">Quaedvlieg PJ, Creytens DH, Epping GG, et al. </w:t>
      </w:r>
      <w:r w:rsidRPr="00565822">
        <w:rPr>
          <w:rFonts w:ascii="Calibri" w:hAnsi="Calibri" w:cs="Calibri"/>
          <w:sz w:val="20"/>
          <w:szCs w:val="20"/>
        </w:rPr>
        <w:t xml:space="preserve">Histopathological characteristics of metastasizing squamous cell carcinoma of the skin and lips. Histopathology. 2006;49(3):256-64. </w:t>
      </w:r>
    </w:p>
    <w:p w14:paraId="0896F5F4"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13.</w:t>
      </w:r>
      <w:r w:rsidRPr="00565822">
        <w:rPr>
          <w:rFonts w:ascii="Calibri" w:hAnsi="Calibri" w:cs="Calibri"/>
          <w:sz w:val="20"/>
          <w:szCs w:val="20"/>
        </w:rPr>
        <w:tab/>
        <w:t>Berwick M, Reiner AS, Paine S, et al. Sun exposure and melanoma survival: a GEM study. Cancer Epidemiol Biomarkers Prev. 2014;23(10):2145-52. doi:10.1158/1055-9965.Epi-14-0431</w:t>
      </w:r>
    </w:p>
    <w:p w14:paraId="22665048"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14.</w:t>
      </w:r>
      <w:r w:rsidRPr="00565822">
        <w:rPr>
          <w:rFonts w:ascii="Calibri" w:hAnsi="Calibri" w:cs="Calibri"/>
          <w:sz w:val="20"/>
          <w:szCs w:val="20"/>
        </w:rPr>
        <w:tab/>
        <w:t>Chang H-C, Cheng HY, Lee LT-J. Solar elastosis and melanoma-specific survival: A systematic review and meta-analysis. Journal of the European Academy of Dermatology and Venereology. 2023;37(5):951-3. doi:https://doi.org/10.1111/jdv.18684</w:t>
      </w:r>
    </w:p>
    <w:p w14:paraId="4A22AE4D"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15.</w:t>
      </w:r>
      <w:r w:rsidRPr="00565822">
        <w:rPr>
          <w:rFonts w:ascii="Calibri" w:hAnsi="Calibri" w:cs="Calibri"/>
          <w:sz w:val="20"/>
          <w:szCs w:val="20"/>
        </w:rPr>
        <w:tab/>
        <w:t>Mishra K, Barnhill RL, Paddock LE, Fine JA, Berwick M. Histopathologic variables differentially affect melanoma survival by age at diagnosis. Pigment Cell Melanoma Res. 2019;32(4):593-600. doi:10.1111/pcmr.12770</w:t>
      </w:r>
    </w:p>
    <w:p w14:paraId="2F859923"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16.</w:t>
      </w:r>
      <w:r w:rsidRPr="00565822">
        <w:rPr>
          <w:rFonts w:ascii="Calibri" w:hAnsi="Calibri" w:cs="Calibri"/>
          <w:sz w:val="20"/>
          <w:szCs w:val="20"/>
        </w:rPr>
        <w:tab/>
        <w:t>International Agency for Research on C. WHO Classification of Tumours. Lyon, France: International Agency for Research on Cancer; 2020.</w:t>
      </w:r>
    </w:p>
    <w:p w14:paraId="3350B366"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17.</w:t>
      </w:r>
      <w:r w:rsidRPr="00565822">
        <w:rPr>
          <w:rFonts w:ascii="Calibri" w:hAnsi="Calibri" w:cs="Calibri"/>
          <w:sz w:val="20"/>
          <w:szCs w:val="20"/>
        </w:rPr>
        <w:tab/>
        <w:t>Breuninger H, Schaumburg-Lever G, Holzschuh J, Horny HP. Desmoplastic squamous cell carcinoma of skin and vermilion surface. A highly malignant subtype of skin cancer. CANCER. 1997;79(5):915-9. doi:10.1002/(sici)1097-0142(19970301)79:5&lt;915::Aid-cncr7&gt;3.0.Co;2-a</w:t>
      </w:r>
    </w:p>
    <w:p w14:paraId="39FF282C"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18.</w:t>
      </w:r>
      <w:r w:rsidRPr="00565822">
        <w:rPr>
          <w:rFonts w:ascii="Calibri" w:hAnsi="Calibri" w:cs="Calibri"/>
          <w:sz w:val="20"/>
          <w:szCs w:val="20"/>
        </w:rPr>
        <w:tab/>
        <w:t>Carr RA, Taibjee SM, Turnbull N, Attili S. Follicular squamous cell carcinoma is an under-recognised common skin tumour. Diagnostic Histopathology. 2014;20(7):289-96. doi:https://doi.org/10.1016/j.mpdhp.2014.05.003</w:t>
      </w:r>
    </w:p>
    <w:p w14:paraId="0CB4EAD7"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19.</w:t>
      </w:r>
      <w:r w:rsidRPr="00565822">
        <w:rPr>
          <w:rFonts w:ascii="Calibri" w:hAnsi="Calibri" w:cs="Calibri"/>
          <w:sz w:val="20"/>
          <w:szCs w:val="20"/>
        </w:rPr>
        <w:tab/>
        <w:t xml:space="preserve">Carr RA, Wiggins J, Slater DN. Follicular (Infundibular-Tricholemmal) Squamous Cell Carcinoma: A New WHO Entity. Clinicopathological Features in 103 Cases, Including Follow-Up and Implications for Patient Management. Am J Dermatopathol. 2024;46(7):416-32. </w:t>
      </w:r>
    </w:p>
    <w:p w14:paraId="13A1FF31"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20.</w:t>
      </w:r>
      <w:r w:rsidRPr="00565822">
        <w:rPr>
          <w:rFonts w:ascii="Calibri" w:hAnsi="Calibri" w:cs="Calibri"/>
          <w:sz w:val="20"/>
          <w:szCs w:val="20"/>
        </w:rPr>
        <w:tab/>
        <w:t>Mandalà M, Galli F, Cattaneo L, et al. Mitotic rate correlates with sentinel lymph node status and outcome in cutaneous melanoma greater than 1 millimeter in thickness: A multi-institutional study of 1524 cases. J Am Acad Dermatol. 2017;76(2):264-73 e2. doi:https://doi.org/10.1016/j.jaad.2016.08.066</w:t>
      </w:r>
    </w:p>
    <w:p w14:paraId="48C7C069"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21.</w:t>
      </w:r>
      <w:r w:rsidRPr="00565822">
        <w:rPr>
          <w:rFonts w:ascii="Calibri" w:hAnsi="Calibri" w:cs="Calibri"/>
          <w:sz w:val="20"/>
          <w:szCs w:val="20"/>
        </w:rPr>
        <w:tab/>
        <w:t>Thompson JF, Soong SJ, Balch CM, et al. Prognostic significance of mitotic rate in localized primary cutaneous melanoma: an analysis of patients in the multi-institutional American Joint Committee on Cancer melanoma staging database. J Clin Oncol. 2011;29(16):2199-205. doi:https://doi.org/10.1200/JCO.2010.31.5812</w:t>
      </w:r>
    </w:p>
    <w:p w14:paraId="322D4C2B"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22.</w:t>
      </w:r>
      <w:r w:rsidRPr="00565822">
        <w:rPr>
          <w:rFonts w:ascii="Calibri" w:hAnsi="Calibri" w:cs="Calibri"/>
          <w:sz w:val="20"/>
          <w:szCs w:val="20"/>
        </w:rPr>
        <w:tab/>
        <w:t>Fujimoto M, Yamamoto Y, Takai T, et al. Tumor Budding Is an Objective High-risk Factor Associated With Metastasis and Poor Clinical Prognosis in Cutaneous Squamous Cell Carcinoma Sized &lt;4 cm. The American Journal of Surgical Pathology. 2019;43(7):975-83. doi:10.1097/pas.0000000000001284</w:t>
      </w:r>
    </w:p>
    <w:p w14:paraId="0ECFE72A"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23.</w:t>
      </w:r>
      <w:r w:rsidRPr="00565822">
        <w:rPr>
          <w:rFonts w:ascii="Calibri" w:hAnsi="Calibri" w:cs="Calibri"/>
          <w:sz w:val="20"/>
          <w:szCs w:val="20"/>
        </w:rPr>
        <w:tab/>
        <w:t>Gonzalez-Guerrero M, Martínez-Camblor P, Vivanco B, et al. The adverse prognostic effect of tumor budding on the evolution of cutaneous head and neck squamous cell carcinoma. J Am Acad Dermatol. 2017;76(6):1139-45. doi:https://doi.org/10.1016/j.jaad.2017.01.015</w:t>
      </w:r>
    </w:p>
    <w:p w14:paraId="58E3EC0E" w14:textId="77777777" w:rsidR="008779DD" w:rsidRPr="00565822" w:rsidRDefault="008779DD" w:rsidP="00C24861">
      <w:pPr>
        <w:pStyle w:val="EndNoteBibliography"/>
        <w:rPr>
          <w:rFonts w:ascii="Calibri" w:hAnsi="Calibri" w:cs="Calibri"/>
          <w:sz w:val="20"/>
          <w:szCs w:val="20"/>
        </w:rPr>
      </w:pPr>
      <w:r w:rsidRPr="00565822">
        <w:rPr>
          <w:rFonts w:ascii="Calibri" w:hAnsi="Calibri" w:cs="Calibri"/>
          <w:sz w:val="20"/>
          <w:szCs w:val="20"/>
        </w:rPr>
        <w:t>24.</w:t>
      </w:r>
      <w:r w:rsidRPr="00565822">
        <w:rPr>
          <w:rFonts w:ascii="Calibri" w:hAnsi="Calibri" w:cs="Calibri"/>
          <w:sz w:val="20"/>
          <w:szCs w:val="20"/>
        </w:rPr>
        <w:tab/>
        <w:t>Kanitakis J, Karayannopoulou G. Prognostic significance of tumor budding in cutaneous squamous cell carcinoma. Journal of the American Academy of Dermatology. 2018;79(1):e5. doi:https://doi.org/10.1016/j.jaad.2017.07.060</w:t>
      </w:r>
    </w:p>
    <w:p w14:paraId="3AE3BEF6" w14:textId="77777777" w:rsidR="008779DD" w:rsidRPr="00565822" w:rsidRDefault="008779DD">
      <w:pPr>
        <w:rPr>
          <w:rFonts w:ascii="Calibri" w:hAnsi="Calibri" w:cs="Calibri"/>
          <w:sz w:val="20"/>
          <w:szCs w:val="20"/>
        </w:rPr>
      </w:pPr>
    </w:p>
    <w:p w14:paraId="4E21B018" w14:textId="77777777" w:rsidR="008779DD" w:rsidRPr="00565822" w:rsidRDefault="008779DD">
      <w:pPr>
        <w:rPr>
          <w:sz w:val="20"/>
          <w:szCs w:val="20"/>
        </w:rPr>
      </w:pPr>
    </w:p>
    <w:sectPr w:rsidR="008779DD" w:rsidRPr="00565822" w:rsidSect="008779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B3E43"/>
    <w:multiLevelType w:val="hybridMultilevel"/>
    <w:tmpl w:val="FFFFFFFF"/>
    <w:lvl w:ilvl="0" w:tplc="5D24A5FC">
      <w:start w:val="1"/>
      <w:numFmt w:val="bullet"/>
      <w:lvlText w:val=""/>
      <w:lvlJc w:val="left"/>
      <w:pPr>
        <w:ind w:left="720" w:hanging="360"/>
      </w:pPr>
      <w:rPr>
        <w:rFonts w:ascii="Wingdings" w:hAnsi="Wingdings" w:hint="default"/>
      </w:rPr>
    </w:lvl>
    <w:lvl w:ilvl="1" w:tplc="2E886C5C">
      <w:start w:val="1"/>
      <w:numFmt w:val="bullet"/>
      <w:lvlText w:val="o"/>
      <w:lvlJc w:val="left"/>
      <w:pPr>
        <w:ind w:left="1440" w:hanging="360"/>
      </w:pPr>
      <w:rPr>
        <w:rFonts w:ascii="Courier New" w:hAnsi="Courier New" w:hint="default"/>
      </w:rPr>
    </w:lvl>
    <w:lvl w:ilvl="2" w:tplc="9B126832">
      <w:start w:val="1"/>
      <w:numFmt w:val="bullet"/>
      <w:lvlText w:val=""/>
      <w:lvlJc w:val="left"/>
      <w:pPr>
        <w:ind w:left="2160" w:hanging="360"/>
      </w:pPr>
      <w:rPr>
        <w:rFonts w:ascii="Wingdings" w:hAnsi="Wingdings" w:hint="default"/>
      </w:rPr>
    </w:lvl>
    <w:lvl w:ilvl="3" w:tplc="BD4ED960">
      <w:start w:val="1"/>
      <w:numFmt w:val="bullet"/>
      <w:lvlText w:val=""/>
      <w:lvlJc w:val="left"/>
      <w:pPr>
        <w:ind w:left="2880" w:hanging="360"/>
      </w:pPr>
      <w:rPr>
        <w:rFonts w:ascii="Symbol" w:hAnsi="Symbol" w:hint="default"/>
      </w:rPr>
    </w:lvl>
    <w:lvl w:ilvl="4" w:tplc="BDA4EF6A">
      <w:start w:val="1"/>
      <w:numFmt w:val="bullet"/>
      <w:lvlText w:val="o"/>
      <w:lvlJc w:val="left"/>
      <w:pPr>
        <w:ind w:left="3600" w:hanging="360"/>
      </w:pPr>
      <w:rPr>
        <w:rFonts w:ascii="Courier New" w:hAnsi="Courier New" w:hint="default"/>
      </w:rPr>
    </w:lvl>
    <w:lvl w:ilvl="5" w:tplc="650AAB02">
      <w:start w:val="1"/>
      <w:numFmt w:val="bullet"/>
      <w:lvlText w:val=""/>
      <w:lvlJc w:val="left"/>
      <w:pPr>
        <w:ind w:left="4320" w:hanging="360"/>
      </w:pPr>
      <w:rPr>
        <w:rFonts w:ascii="Wingdings" w:hAnsi="Wingdings" w:hint="default"/>
      </w:rPr>
    </w:lvl>
    <w:lvl w:ilvl="6" w:tplc="DFB6054A">
      <w:start w:val="1"/>
      <w:numFmt w:val="bullet"/>
      <w:lvlText w:val=""/>
      <w:lvlJc w:val="left"/>
      <w:pPr>
        <w:ind w:left="5040" w:hanging="360"/>
      </w:pPr>
      <w:rPr>
        <w:rFonts w:ascii="Symbol" w:hAnsi="Symbol" w:hint="default"/>
      </w:rPr>
    </w:lvl>
    <w:lvl w:ilvl="7" w:tplc="4D02A228">
      <w:start w:val="1"/>
      <w:numFmt w:val="bullet"/>
      <w:lvlText w:val="o"/>
      <w:lvlJc w:val="left"/>
      <w:pPr>
        <w:ind w:left="5760" w:hanging="360"/>
      </w:pPr>
      <w:rPr>
        <w:rFonts w:ascii="Courier New" w:hAnsi="Courier New" w:hint="default"/>
      </w:rPr>
    </w:lvl>
    <w:lvl w:ilvl="8" w:tplc="6D5CCF46">
      <w:start w:val="1"/>
      <w:numFmt w:val="bullet"/>
      <w:lvlText w:val=""/>
      <w:lvlJc w:val="left"/>
      <w:pPr>
        <w:ind w:left="6480" w:hanging="360"/>
      </w:pPr>
      <w:rPr>
        <w:rFonts w:ascii="Wingdings" w:hAnsi="Wingdings" w:hint="default"/>
      </w:rPr>
    </w:lvl>
  </w:abstractNum>
  <w:abstractNum w:abstractNumId="1" w15:restartNumberingAfterBreak="0">
    <w:nsid w:val="3739C9BE"/>
    <w:multiLevelType w:val="hybridMultilevel"/>
    <w:tmpl w:val="FFFFFFFF"/>
    <w:lvl w:ilvl="0" w:tplc="0DFA796A">
      <w:start w:val="1"/>
      <w:numFmt w:val="bullet"/>
      <w:lvlText w:val=""/>
      <w:lvlJc w:val="left"/>
      <w:pPr>
        <w:ind w:left="720" w:hanging="360"/>
      </w:pPr>
      <w:rPr>
        <w:rFonts w:ascii="Symbol" w:hAnsi="Symbol" w:hint="default"/>
      </w:rPr>
    </w:lvl>
    <w:lvl w:ilvl="1" w:tplc="6DDA9DEE">
      <w:start w:val="1"/>
      <w:numFmt w:val="bullet"/>
      <w:lvlText w:val="o"/>
      <w:lvlJc w:val="left"/>
      <w:pPr>
        <w:ind w:left="1440" w:hanging="360"/>
      </w:pPr>
      <w:rPr>
        <w:rFonts w:ascii="Courier New" w:hAnsi="Courier New" w:hint="default"/>
      </w:rPr>
    </w:lvl>
    <w:lvl w:ilvl="2" w:tplc="25024AF8">
      <w:start w:val="1"/>
      <w:numFmt w:val="bullet"/>
      <w:lvlText w:val=""/>
      <w:lvlJc w:val="left"/>
      <w:pPr>
        <w:ind w:left="2160" w:hanging="360"/>
      </w:pPr>
      <w:rPr>
        <w:rFonts w:ascii="Wingdings" w:hAnsi="Wingdings" w:hint="default"/>
      </w:rPr>
    </w:lvl>
    <w:lvl w:ilvl="3" w:tplc="7FE29EA4">
      <w:start w:val="1"/>
      <w:numFmt w:val="bullet"/>
      <w:lvlText w:val=""/>
      <w:lvlJc w:val="left"/>
      <w:pPr>
        <w:ind w:left="2880" w:hanging="360"/>
      </w:pPr>
      <w:rPr>
        <w:rFonts w:ascii="Symbol" w:hAnsi="Symbol" w:hint="default"/>
      </w:rPr>
    </w:lvl>
    <w:lvl w:ilvl="4" w:tplc="6F1E388A">
      <w:start w:val="1"/>
      <w:numFmt w:val="bullet"/>
      <w:lvlText w:val="o"/>
      <w:lvlJc w:val="left"/>
      <w:pPr>
        <w:ind w:left="3600" w:hanging="360"/>
      </w:pPr>
      <w:rPr>
        <w:rFonts w:ascii="Courier New" w:hAnsi="Courier New" w:hint="default"/>
      </w:rPr>
    </w:lvl>
    <w:lvl w:ilvl="5" w:tplc="97703F9C">
      <w:start w:val="1"/>
      <w:numFmt w:val="bullet"/>
      <w:lvlText w:val=""/>
      <w:lvlJc w:val="left"/>
      <w:pPr>
        <w:ind w:left="4320" w:hanging="360"/>
      </w:pPr>
      <w:rPr>
        <w:rFonts w:ascii="Wingdings" w:hAnsi="Wingdings" w:hint="default"/>
      </w:rPr>
    </w:lvl>
    <w:lvl w:ilvl="6" w:tplc="A4328C46">
      <w:start w:val="1"/>
      <w:numFmt w:val="bullet"/>
      <w:lvlText w:val=""/>
      <w:lvlJc w:val="left"/>
      <w:pPr>
        <w:ind w:left="5040" w:hanging="360"/>
      </w:pPr>
      <w:rPr>
        <w:rFonts w:ascii="Symbol" w:hAnsi="Symbol" w:hint="default"/>
      </w:rPr>
    </w:lvl>
    <w:lvl w:ilvl="7" w:tplc="E9ECB894">
      <w:start w:val="1"/>
      <w:numFmt w:val="bullet"/>
      <w:lvlText w:val="o"/>
      <w:lvlJc w:val="left"/>
      <w:pPr>
        <w:ind w:left="5760" w:hanging="360"/>
      </w:pPr>
      <w:rPr>
        <w:rFonts w:ascii="Courier New" w:hAnsi="Courier New" w:hint="default"/>
      </w:rPr>
    </w:lvl>
    <w:lvl w:ilvl="8" w:tplc="868AD04E">
      <w:start w:val="1"/>
      <w:numFmt w:val="bullet"/>
      <w:lvlText w:val=""/>
      <w:lvlJc w:val="left"/>
      <w:pPr>
        <w:ind w:left="6480" w:hanging="360"/>
      </w:pPr>
      <w:rPr>
        <w:rFonts w:ascii="Wingdings" w:hAnsi="Wingdings" w:hint="default"/>
      </w:rPr>
    </w:lvl>
  </w:abstractNum>
  <w:abstractNum w:abstractNumId="2" w15:restartNumberingAfterBreak="0">
    <w:nsid w:val="4C784B9D"/>
    <w:multiLevelType w:val="hybridMultilevel"/>
    <w:tmpl w:val="168C3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C508CF"/>
    <w:multiLevelType w:val="hybridMultilevel"/>
    <w:tmpl w:val="FFFFFFFF"/>
    <w:lvl w:ilvl="0" w:tplc="AFB68F06">
      <w:start w:val="1"/>
      <w:numFmt w:val="bullet"/>
      <w:lvlText w:val=""/>
      <w:lvlJc w:val="left"/>
      <w:pPr>
        <w:ind w:left="720" w:hanging="360"/>
      </w:pPr>
      <w:rPr>
        <w:rFonts w:ascii="Symbol" w:hAnsi="Symbol" w:hint="default"/>
      </w:rPr>
    </w:lvl>
    <w:lvl w:ilvl="1" w:tplc="60340634">
      <w:start w:val="1"/>
      <w:numFmt w:val="bullet"/>
      <w:lvlText w:val="o"/>
      <w:lvlJc w:val="left"/>
      <w:pPr>
        <w:ind w:left="1440" w:hanging="360"/>
      </w:pPr>
      <w:rPr>
        <w:rFonts w:ascii="Courier New" w:hAnsi="Courier New" w:hint="default"/>
      </w:rPr>
    </w:lvl>
    <w:lvl w:ilvl="2" w:tplc="6BB0DB32">
      <w:start w:val="1"/>
      <w:numFmt w:val="bullet"/>
      <w:lvlText w:val=""/>
      <w:lvlJc w:val="left"/>
      <w:pPr>
        <w:ind w:left="2160" w:hanging="360"/>
      </w:pPr>
      <w:rPr>
        <w:rFonts w:ascii="Wingdings" w:hAnsi="Wingdings" w:hint="default"/>
      </w:rPr>
    </w:lvl>
    <w:lvl w:ilvl="3" w:tplc="C44E8888">
      <w:start w:val="1"/>
      <w:numFmt w:val="bullet"/>
      <w:lvlText w:val=""/>
      <w:lvlJc w:val="left"/>
      <w:pPr>
        <w:ind w:left="2880" w:hanging="360"/>
      </w:pPr>
      <w:rPr>
        <w:rFonts w:ascii="Symbol" w:hAnsi="Symbol" w:hint="default"/>
      </w:rPr>
    </w:lvl>
    <w:lvl w:ilvl="4" w:tplc="4264701C">
      <w:start w:val="1"/>
      <w:numFmt w:val="bullet"/>
      <w:lvlText w:val="o"/>
      <w:lvlJc w:val="left"/>
      <w:pPr>
        <w:ind w:left="3600" w:hanging="360"/>
      </w:pPr>
      <w:rPr>
        <w:rFonts w:ascii="Courier New" w:hAnsi="Courier New" w:hint="default"/>
      </w:rPr>
    </w:lvl>
    <w:lvl w:ilvl="5" w:tplc="62A4A824">
      <w:start w:val="1"/>
      <w:numFmt w:val="bullet"/>
      <w:lvlText w:val=""/>
      <w:lvlJc w:val="left"/>
      <w:pPr>
        <w:ind w:left="4320" w:hanging="360"/>
      </w:pPr>
      <w:rPr>
        <w:rFonts w:ascii="Wingdings" w:hAnsi="Wingdings" w:hint="default"/>
      </w:rPr>
    </w:lvl>
    <w:lvl w:ilvl="6" w:tplc="FF1A3CFA">
      <w:start w:val="1"/>
      <w:numFmt w:val="bullet"/>
      <w:lvlText w:val=""/>
      <w:lvlJc w:val="left"/>
      <w:pPr>
        <w:ind w:left="5040" w:hanging="360"/>
      </w:pPr>
      <w:rPr>
        <w:rFonts w:ascii="Symbol" w:hAnsi="Symbol" w:hint="default"/>
      </w:rPr>
    </w:lvl>
    <w:lvl w:ilvl="7" w:tplc="9274EF74">
      <w:start w:val="1"/>
      <w:numFmt w:val="bullet"/>
      <w:lvlText w:val="o"/>
      <w:lvlJc w:val="left"/>
      <w:pPr>
        <w:ind w:left="5760" w:hanging="360"/>
      </w:pPr>
      <w:rPr>
        <w:rFonts w:ascii="Courier New" w:hAnsi="Courier New" w:hint="default"/>
      </w:rPr>
    </w:lvl>
    <w:lvl w:ilvl="8" w:tplc="E3EC91F4">
      <w:start w:val="1"/>
      <w:numFmt w:val="bullet"/>
      <w:lvlText w:val=""/>
      <w:lvlJc w:val="left"/>
      <w:pPr>
        <w:ind w:left="6480" w:hanging="360"/>
      </w:pPr>
      <w:rPr>
        <w:rFonts w:ascii="Wingdings" w:hAnsi="Wingdings" w:hint="default"/>
      </w:rPr>
    </w:lvl>
  </w:abstractNum>
  <w:abstractNum w:abstractNumId="4" w15:restartNumberingAfterBreak="0">
    <w:nsid w:val="6F13577A"/>
    <w:multiLevelType w:val="hybridMultilevel"/>
    <w:tmpl w:val="FFFFFFFF"/>
    <w:lvl w:ilvl="0" w:tplc="13342588">
      <w:start w:val="1"/>
      <w:numFmt w:val="bullet"/>
      <w:lvlText w:val=""/>
      <w:lvlJc w:val="left"/>
      <w:pPr>
        <w:ind w:left="720" w:hanging="360"/>
      </w:pPr>
      <w:rPr>
        <w:rFonts w:ascii="Symbol" w:hAnsi="Symbol" w:hint="default"/>
      </w:rPr>
    </w:lvl>
    <w:lvl w:ilvl="1" w:tplc="5666FC18">
      <w:start w:val="1"/>
      <w:numFmt w:val="bullet"/>
      <w:lvlText w:val="o"/>
      <w:lvlJc w:val="left"/>
      <w:pPr>
        <w:ind w:left="1440" w:hanging="360"/>
      </w:pPr>
      <w:rPr>
        <w:rFonts w:ascii="Symbol" w:hAnsi="Symbol" w:hint="default"/>
      </w:rPr>
    </w:lvl>
    <w:lvl w:ilvl="2" w:tplc="E2E2929A">
      <w:start w:val="1"/>
      <w:numFmt w:val="bullet"/>
      <w:lvlText w:val=""/>
      <w:lvlJc w:val="left"/>
      <w:pPr>
        <w:ind w:left="2160" w:hanging="360"/>
      </w:pPr>
      <w:rPr>
        <w:rFonts w:ascii="Symbol" w:hAnsi="Symbol" w:hint="default"/>
      </w:rPr>
    </w:lvl>
    <w:lvl w:ilvl="3" w:tplc="9AA2CF90">
      <w:start w:val="1"/>
      <w:numFmt w:val="bullet"/>
      <w:lvlText w:val=""/>
      <w:lvlJc w:val="left"/>
      <w:pPr>
        <w:ind w:left="2880" w:hanging="360"/>
      </w:pPr>
      <w:rPr>
        <w:rFonts w:ascii="Symbol" w:hAnsi="Symbol" w:hint="default"/>
      </w:rPr>
    </w:lvl>
    <w:lvl w:ilvl="4" w:tplc="75FE3044">
      <w:start w:val="1"/>
      <w:numFmt w:val="bullet"/>
      <w:lvlText w:val="o"/>
      <w:lvlJc w:val="left"/>
      <w:pPr>
        <w:ind w:left="3600" w:hanging="360"/>
      </w:pPr>
      <w:rPr>
        <w:rFonts w:ascii="Courier New" w:hAnsi="Courier New" w:hint="default"/>
      </w:rPr>
    </w:lvl>
    <w:lvl w:ilvl="5" w:tplc="FC82AAC2">
      <w:start w:val="1"/>
      <w:numFmt w:val="bullet"/>
      <w:lvlText w:val=""/>
      <w:lvlJc w:val="left"/>
      <w:pPr>
        <w:ind w:left="4320" w:hanging="360"/>
      </w:pPr>
      <w:rPr>
        <w:rFonts w:ascii="Wingdings" w:hAnsi="Wingdings" w:hint="default"/>
      </w:rPr>
    </w:lvl>
    <w:lvl w:ilvl="6" w:tplc="7D7A1850">
      <w:start w:val="1"/>
      <w:numFmt w:val="bullet"/>
      <w:lvlText w:val=""/>
      <w:lvlJc w:val="left"/>
      <w:pPr>
        <w:ind w:left="5040" w:hanging="360"/>
      </w:pPr>
      <w:rPr>
        <w:rFonts w:ascii="Symbol" w:hAnsi="Symbol" w:hint="default"/>
      </w:rPr>
    </w:lvl>
    <w:lvl w:ilvl="7" w:tplc="2886258A">
      <w:start w:val="1"/>
      <w:numFmt w:val="bullet"/>
      <w:lvlText w:val="o"/>
      <w:lvlJc w:val="left"/>
      <w:pPr>
        <w:ind w:left="5760" w:hanging="360"/>
      </w:pPr>
      <w:rPr>
        <w:rFonts w:ascii="Courier New" w:hAnsi="Courier New" w:hint="default"/>
      </w:rPr>
    </w:lvl>
    <w:lvl w:ilvl="8" w:tplc="A48C23BA">
      <w:start w:val="1"/>
      <w:numFmt w:val="bullet"/>
      <w:lvlText w:val=""/>
      <w:lvlJc w:val="left"/>
      <w:pPr>
        <w:ind w:left="6480" w:hanging="360"/>
      </w:pPr>
      <w:rPr>
        <w:rFonts w:ascii="Wingdings" w:hAnsi="Wingdings" w:hint="default"/>
      </w:rPr>
    </w:lvl>
  </w:abstractNum>
  <w:num w:numId="1" w16cid:durableId="1707292869">
    <w:abstractNumId w:val="0"/>
  </w:num>
  <w:num w:numId="2" w16cid:durableId="1836453604">
    <w:abstractNumId w:val="3"/>
  </w:num>
  <w:num w:numId="3" w16cid:durableId="115759274">
    <w:abstractNumId w:val="1"/>
  </w:num>
  <w:num w:numId="4" w16cid:durableId="1542129133">
    <w:abstractNumId w:val="4"/>
  </w:num>
  <w:num w:numId="5" w16cid:durableId="42608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779DD"/>
    <w:rsid w:val="00053813"/>
    <w:rsid w:val="005105A2"/>
    <w:rsid w:val="00565822"/>
    <w:rsid w:val="008779DD"/>
    <w:rsid w:val="008E11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86E96"/>
  <w15:chartTrackingRefBased/>
  <w15:docId w15:val="{2BA1588A-6B92-4620-AD3F-3925A8B1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9DD"/>
    <w:pPr>
      <w:spacing w:after="0" w:line="240" w:lineRule="auto"/>
    </w:pPr>
    <w:rPr>
      <w:kern w:val="0"/>
      <w:lang w:val="en-US"/>
      <w14:ligatures w14:val="none"/>
    </w:rPr>
  </w:style>
  <w:style w:type="paragraph" w:styleId="Heading1">
    <w:name w:val="heading 1"/>
    <w:basedOn w:val="Normal"/>
    <w:next w:val="Normal"/>
    <w:link w:val="Heading1Char"/>
    <w:uiPriority w:val="9"/>
    <w:qFormat/>
    <w:rsid w:val="008779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79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79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9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9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9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9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9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9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9DD"/>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8779DD"/>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Heading3Char">
    <w:name w:val="Heading 3 Char"/>
    <w:basedOn w:val="DefaultParagraphFont"/>
    <w:link w:val="Heading3"/>
    <w:uiPriority w:val="9"/>
    <w:rsid w:val="008779DD"/>
    <w:rPr>
      <w:rFonts w:eastAsiaTheme="majorEastAsia" w:cstheme="majorBidi"/>
      <w:color w:val="0F4761"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8779DD"/>
    <w:rPr>
      <w:rFonts w:eastAsiaTheme="majorEastAsia" w:cstheme="majorBidi"/>
      <w:i/>
      <w:iCs/>
      <w:color w:val="0F4761" w:themeColor="accent1" w:themeShade="BF"/>
      <w:kern w:val="0"/>
      <w:lang w:val="en-US"/>
      <w14:ligatures w14:val="none"/>
    </w:rPr>
  </w:style>
  <w:style w:type="character" w:customStyle="1" w:styleId="Heading5Char">
    <w:name w:val="Heading 5 Char"/>
    <w:basedOn w:val="DefaultParagraphFont"/>
    <w:link w:val="Heading5"/>
    <w:uiPriority w:val="9"/>
    <w:semiHidden/>
    <w:rsid w:val="008779DD"/>
    <w:rPr>
      <w:rFonts w:eastAsiaTheme="majorEastAsia" w:cstheme="majorBidi"/>
      <w:color w:val="0F4761" w:themeColor="accent1" w:themeShade="BF"/>
      <w:kern w:val="0"/>
      <w:lang w:val="en-US"/>
      <w14:ligatures w14:val="none"/>
    </w:rPr>
  </w:style>
  <w:style w:type="character" w:customStyle="1" w:styleId="Heading6Char">
    <w:name w:val="Heading 6 Char"/>
    <w:basedOn w:val="DefaultParagraphFont"/>
    <w:link w:val="Heading6"/>
    <w:uiPriority w:val="9"/>
    <w:semiHidden/>
    <w:rsid w:val="008779DD"/>
    <w:rPr>
      <w:rFonts w:eastAsiaTheme="majorEastAsia"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8779DD"/>
    <w:rPr>
      <w:rFonts w:eastAsiaTheme="majorEastAsia"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8779DD"/>
    <w:rPr>
      <w:rFonts w:eastAsiaTheme="majorEastAsia"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8779DD"/>
    <w:rPr>
      <w:rFonts w:eastAsiaTheme="majorEastAsia" w:cstheme="majorBidi"/>
      <w:color w:val="272727" w:themeColor="text1" w:themeTint="D8"/>
      <w:kern w:val="0"/>
      <w:lang w:val="en-US"/>
      <w14:ligatures w14:val="none"/>
    </w:rPr>
  </w:style>
  <w:style w:type="paragraph" w:styleId="Title">
    <w:name w:val="Title"/>
    <w:basedOn w:val="Normal"/>
    <w:next w:val="Normal"/>
    <w:link w:val="TitleChar"/>
    <w:uiPriority w:val="10"/>
    <w:qFormat/>
    <w:rsid w:val="008779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9DD"/>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8779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9DD"/>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8779DD"/>
    <w:pPr>
      <w:spacing w:before="160"/>
      <w:jc w:val="center"/>
    </w:pPr>
    <w:rPr>
      <w:i/>
      <w:iCs/>
      <w:color w:val="404040" w:themeColor="text1" w:themeTint="BF"/>
    </w:rPr>
  </w:style>
  <w:style w:type="character" w:customStyle="1" w:styleId="QuoteChar">
    <w:name w:val="Quote Char"/>
    <w:basedOn w:val="DefaultParagraphFont"/>
    <w:link w:val="Quote"/>
    <w:uiPriority w:val="29"/>
    <w:rsid w:val="008779DD"/>
    <w:rPr>
      <w:i/>
      <w:iCs/>
      <w:color w:val="404040" w:themeColor="text1" w:themeTint="BF"/>
      <w:kern w:val="0"/>
      <w:lang w:val="en-US"/>
      <w14:ligatures w14:val="none"/>
    </w:rPr>
  </w:style>
  <w:style w:type="paragraph" w:styleId="ListParagraph">
    <w:name w:val="List Paragraph"/>
    <w:basedOn w:val="Normal"/>
    <w:uiPriority w:val="34"/>
    <w:qFormat/>
    <w:rsid w:val="008779DD"/>
    <w:pPr>
      <w:ind w:left="720"/>
      <w:contextualSpacing/>
    </w:pPr>
  </w:style>
  <w:style w:type="character" w:styleId="IntenseEmphasis">
    <w:name w:val="Intense Emphasis"/>
    <w:basedOn w:val="DefaultParagraphFont"/>
    <w:uiPriority w:val="21"/>
    <w:qFormat/>
    <w:rsid w:val="008779DD"/>
    <w:rPr>
      <w:i/>
      <w:iCs/>
      <w:color w:val="0F4761" w:themeColor="accent1" w:themeShade="BF"/>
    </w:rPr>
  </w:style>
  <w:style w:type="paragraph" w:styleId="IntenseQuote">
    <w:name w:val="Intense Quote"/>
    <w:basedOn w:val="Normal"/>
    <w:next w:val="Normal"/>
    <w:link w:val="IntenseQuoteChar"/>
    <w:uiPriority w:val="30"/>
    <w:qFormat/>
    <w:rsid w:val="008779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9DD"/>
    <w:rPr>
      <w:i/>
      <w:iCs/>
      <w:color w:val="0F4761" w:themeColor="accent1" w:themeShade="BF"/>
      <w:kern w:val="0"/>
      <w:lang w:val="en-US"/>
      <w14:ligatures w14:val="none"/>
    </w:rPr>
  </w:style>
  <w:style w:type="character" w:styleId="IntenseReference">
    <w:name w:val="Intense Reference"/>
    <w:basedOn w:val="DefaultParagraphFont"/>
    <w:uiPriority w:val="32"/>
    <w:qFormat/>
    <w:rsid w:val="008779DD"/>
    <w:rPr>
      <w:b/>
      <w:bCs/>
      <w:smallCaps/>
      <w:color w:val="0F4761" w:themeColor="accent1" w:themeShade="BF"/>
      <w:spacing w:val="5"/>
    </w:rPr>
  </w:style>
  <w:style w:type="table" w:styleId="TableGrid">
    <w:name w:val="Table Grid"/>
    <w:aliases w:val="Tabel Erasmus MC"/>
    <w:basedOn w:val="TableNormal"/>
    <w:uiPriority w:val="39"/>
    <w:rsid w:val="008779DD"/>
    <w:pPr>
      <w:spacing w:after="0" w:line="240" w:lineRule="auto"/>
    </w:pPr>
    <w:rPr>
      <w:rFonts w:ascii="Arial" w:hAnsi="Arial"/>
      <w:kern w:val="0"/>
      <w14:ligatures w14:val="none"/>
    </w:rPr>
    <w:tblPr/>
  </w:style>
  <w:style w:type="character" w:styleId="CommentReference">
    <w:name w:val="annotation reference"/>
    <w:basedOn w:val="DefaultParagraphFont"/>
    <w:uiPriority w:val="99"/>
    <w:semiHidden/>
    <w:unhideWhenUsed/>
    <w:rsid w:val="008779DD"/>
    <w:rPr>
      <w:sz w:val="16"/>
      <w:szCs w:val="16"/>
    </w:rPr>
  </w:style>
  <w:style w:type="paragraph" w:styleId="CommentText">
    <w:name w:val="annotation text"/>
    <w:basedOn w:val="Normal"/>
    <w:link w:val="CommentTextChar"/>
    <w:uiPriority w:val="99"/>
    <w:unhideWhenUsed/>
    <w:rsid w:val="008779DD"/>
    <w:pPr>
      <w:spacing w:after="160"/>
    </w:pPr>
    <w:rPr>
      <w:sz w:val="20"/>
      <w:szCs w:val="20"/>
    </w:rPr>
  </w:style>
  <w:style w:type="character" w:customStyle="1" w:styleId="CommentTextChar">
    <w:name w:val="Comment Text Char"/>
    <w:basedOn w:val="DefaultParagraphFont"/>
    <w:link w:val="CommentText"/>
    <w:uiPriority w:val="99"/>
    <w:rsid w:val="008779DD"/>
    <w:rPr>
      <w:kern w:val="0"/>
      <w:sz w:val="20"/>
      <w:szCs w:val="20"/>
      <w:lang w:val="en-US"/>
      <w14:ligatures w14:val="none"/>
    </w:rPr>
  </w:style>
  <w:style w:type="character" w:styleId="Hyperlink">
    <w:name w:val="Hyperlink"/>
    <w:basedOn w:val="DefaultParagraphFont"/>
    <w:uiPriority w:val="99"/>
    <w:unhideWhenUsed/>
    <w:rsid w:val="008779DD"/>
    <w:rPr>
      <w:color w:val="467886" w:themeColor="hyperlink"/>
      <w:u w:val="single"/>
    </w:rPr>
  </w:style>
  <w:style w:type="paragraph" w:customStyle="1" w:styleId="Default">
    <w:name w:val="Default"/>
    <w:basedOn w:val="Normal"/>
    <w:uiPriority w:val="1"/>
    <w:rsid w:val="008779DD"/>
    <w:rPr>
      <w:rFonts w:eastAsiaTheme="minorEastAsia"/>
      <w:color w:val="000000" w:themeColor="text1"/>
    </w:rPr>
  </w:style>
  <w:style w:type="table" w:styleId="TableGridLight">
    <w:name w:val="Grid Table Light"/>
    <w:basedOn w:val="TableNormal"/>
    <w:uiPriority w:val="40"/>
    <w:rsid w:val="008779D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779DD"/>
    <w:pPr>
      <w:spacing w:after="0" w:line="240" w:lineRule="auto"/>
    </w:pPr>
    <w:rPr>
      <w:kern w:val="0"/>
      <w:lang w:val="en-US"/>
      <w14:ligatures w14:val="none"/>
    </w:rPr>
  </w:style>
  <w:style w:type="paragraph" w:customStyle="1" w:styleId="EndNoteBibliographyTitle">
    <w:name w:val="EndNote Bibliography Title"/>
    <w:basedOn w:val="Normal"/>
    <w:link w:val="EndNoteBibliographyTitleChar"/>
    <w:rsid w:val="008779DD"/>
    <w:pPr>
      <w:jc w:val="center"/>
    </w:pPr>
    <w:rPr>
      <w:rFonts w:ascii="Aptos" w:hAnsi="Aptos"/>
      <w:noProof/>
    </w:rPr>
  </w:style>
  <w:style w:type="character" w:customStyle="1" w:styleId="EndNoteBibliographyTitleChar">
    <w:name w:val="EndNote Bibliography Title Char"/>
    <w:basedOn w:val="DefaultParagraphFont"/>
    <w:link w:val="EndNoteBibliographyTitle"/>
    <w:rsid w:val="008779DD"/>
    <w:rPr>
      <w:rFonts w:ascii="Aptos" w:hAnsi="Aptos"/>
      <w:noProof/>
      <w:kern w:val="0"/>
      <w:lang w:val="en-US"/>
      <w14:ligatures w14:val="none"/>
    </w:rPr>
  </w:style>
  <w:style w:type="paragraph" w:customStyle="1" w:styleId="EndNoteBibliography">
    <w:name w:val="EndNote Bibliography"/>
    <w:basedOn w:val="Normal"/>
    <w:link w:val="EndNoteBibliographyChar"/>
    <w:rsid w:val="008779DD"/>
    <w:rPr>
      <w:rFonts w:ascii="Aptos" w:hAnsi="Aptos"/>
      <w:noProof/>
    </w:rPr>
  </w:style>
  <w:style w:type="character" w:customStyle="1" w:styleId="EndNoteBibliographyChar">
    <w:name w:val="EndNote Bibliography Char"/>
    <w:basedOn w:val="DefaultParagraphFont"/>
    <w:link w:val="EndNoteBibliography"/>
    <w:rsid w:val="008779DD"/>
    <w:rPr>
      <w:rFonts w:ascii="Aptos" w:hAnsi="Aptos"/>
      <w:noProof/>
      <w:kern w:val="0"/>
      <w:lang w:val="en-US"/>
      <w14:ligatures w14:val="none"/>
    </w:rPr>
  </w:style>
  <w:style w:type="character" w:styleId="UnresolvedMention">
    <w:name w:val="Unresolved Mention"/>
    <w:basedOn w:val="DefaultParagraphFont"/>
    <w:uiPriority w:val="99"/>
    <w:semiHidden/>
    <w:unhideWhenUsed/>
    <w:rsid w:val="008779D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779DD"/>
    <w:pPr>
      <w:spacing w:after="0"/>
    </w:pPr>
    <w:rPr>
      <w:b/>
      <w:bCs/>
    </w:rPr>
  </w:style>
  <w:style w:type="character" w:customStyle="1" w:styleId="CommentSubjectChar">
    <w:name w:val="Comment Subject Char"/>
    <w:basedOn w:val="CommentTextChar"/>
    <w:link w:val="CommentSubject"/>
    <w:uiPriority w:val="99"/>
    <w:semiHidden/>
    <w:rsid w:val="008779DD"/>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2780</Words>
  <Characters>15295</Characters>
  <Application>Microsoft Office Word</Application>
  <DocSecurity>0</DocSecurity>
  <Lines>127</Lines>
  <Paragraphs>36</Paragraphs>
  <ScaleCrop>false</ScaleCrop>
  <Company>Erasmus MC</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Steijlen</dc:creator>
  <cp:keywords/>
  <dc:description/>
  <cp:lastModifiedBy>Olivia Steijlen</cp:lastModifiedBy>
  <cp:revision>3</cp:revision>
  <dcterms:created xsi:type="dcterms:W3CDTF">2026-02-06T14:13:00Z</dcterms:created>
  <dcterms:modified xsi:type="dcterms:W3CDTF">2026-02-09T10:00:00Z</dcterms:modified>
</cp:coreProperties>
</file>