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DE" w:rsidRPr="00726E09" w:rsidRDefault="00900ADE" w:rsidP="00900ADE">
      <w:pPr>
        <w:spacing w:line="240" w:lineRule="auto"/>
        <w:jc w:val="both"/>
        <w:rPr>
          <w:rFonts w:ascii="Times New Roman" w:hAnsi="Times New Roman"/>
          <w:kern w:val="0"/>
          <w:sz w:val="20"/>
          <w:lang w:val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E784F" wp14:editId="045A6B75">
                <wp:simplePos x="0" y="0"/>
                <wp:positionH relativeFrom="column">
                  <wp:posOffset>85725</wp:posOffset>
                </wp:positionH>
                <wp:positionV relativeFrom="paragraph">
                  <wp:posOffset>3114675</wp:posOffset>
                </wp:positionV>
                <wp:extent cx="5286375" cy="32385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238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00ADE" w:rsidRPr="00560C99" w:rsidRDefault="00900ADE" w:rsidP="00900ADE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</w:pPr>
                            <w:bookmarkStart w:id="0" w:name="_GoBack"/>
                            <w:r w:rsidRPr="00726E09"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Supplementary Figure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S3</w:t>
                            </w:r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:</w:t>
                            </w:r>
                            <w:r w:rsidRPr="00726E09">
                              <w:rPr>
                                <w:rFonts w:ascii="Times New Roman" w:hAnsi="Times New Roman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Average number of annual citations field of study focusing on plant-based crop protection against pathogens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E784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6.75pt;margin-top:245.25pt;width:416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" stroked="f">
                <v:textbox inset="0,0,0,0">
                  <w:txbxContent>
                    <w:p w:rsidR="00900ADE" w:rsidRPr="00560C99" w:rsidRDefault="00900ADE" w:rsidP="00900ADE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</w:pPr>
                      <w:bookmarkStart w:id="1" w:name="_GoBack"/>
                      <w:r w:rsidRPr="00726E09"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Supplementary Figure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S3</w:t>
                      </w:r>
                      <w:bookmarkEnd w:id="1"/>
                      <w:r>
                        <w:rPr>
                          <w:rFonts w:ascii="Times New Roman" w:hAnsi="Times New Roman"/>
                          <w:b/>
                          <w:bCs/>
                          <w:kern w:val="0"/>
                          <w:sz w:val="20"/>
                          <w:lang w:val="en-GB"/>
                          <w14:ligatures w14:val="none"/>
                        </w:rPr>
                        <w:t>:</w:t>
                      </w:r>
                      <w:r w:rsidRPr="00726E09">
                        <w:rPr>
                          <w:rFonts w:ascii="Times New Roman" w:hAnsi="Times New Roman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Average number of annual citations field of study focusing on plant-based crop protection against pathogens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92B9E" wp14:editId="756B0424">
                <wp:simplePos x="0" y="0"/>
                <wp:positionH relativeFrom="column">
                  <wp:posOffset>47625</wp:posOffset>
                </wp:positionH>
                <wp:positionV relativeFrom="paragraph">
                  <wp:posOffset>-9525</wp:posOffset>
                </wp:positionV>
                <wp:extent cx="5372100" cy="34766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3476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7DF95" id="Rectangle 9" o:spid="_x0000_s1026" style="position:absolute;margin-left:3.75pt;margin-top:-.75pt;width:423pt;height:27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" filled="f" strokecolor="#09101d [484]" strokeweight="1pt"/>
            </w:pict>
          </mc:Fallback>
        </mc:AlternateContent>
      </w:r>
      <w:r w:rsidRPr="00726E09">
        <w:rPr>
          <w:rFonts w:ascii="Times New Roman" w:hAnsi="Times New Roman"/>
          <w:noProof/>
          <w:kern w:val="0"/>
          <w:sz w:val="20"/>
          <w14:ligatures w14:val="none"/>
        </w:rPr>
        <w:drawing>
          <wp:inline distT="0" distB="0" distL="0" distR="0" wp14:anchorId="258ADEAD" wp14:editId="5B8D6797">
            <wp:extent cx="5486400" cy="32004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00ADE" w:rsidRDefault="00900ADE" w:rsidP="00900ADE">
      <w:pPr>
        <w:spacing w:line="240" w:lineRule="auto"/>
        <w:jc w:val="both"/>
        <w:rPr>
          <w:rFonts w:ascii="Times New Roman" w:hAnsi="Times New Roman"/>
          <w:b/>
          <w:bCs/>
          <w:kern w:val="0"/>
          <w:sz w:val="20"/>
          <w:lang w:val="en-GB"/>
          <w14:ligatures w14:val="none"/>
        </w:rPr>
      </w:pPr>
    </w:p>
    <w:p w:rsidR="0023305F" w:rsidRDefault="0023305F"/>
    <w:sectPr w:rsidR="00233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DE"/>
    <w:rsid w:val="00047EF0"/>
    <w:rsid w:val="0023305F"/>
    <w:rsid w:val="0090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85695-9052-4C72-876C-C113CA51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A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HP\Desktop\Prof.%20Aremu%20et%20T&#243;bi%20folders\Data%20from%20Tobi\Data%20from%20Tobi\Annual_Total_Citation_per_Year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Sheet1!$J$2</c:f>
              <c:strCache>
                <c:ptCount val="1"/>
                <c:pt idx="0">
                  <c:v>Average citations</c:v>
                </c:pt>
              </c:strCache>
            </c:strRef>
          </c:tx>
          <c:spPr>
            <a:ln w="2222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Sheet1!$I$3:$I$56</c:f>
              <c:numCache>
                <c:formatCode>General</c:formatCode>
                <c:ptCount val="54"/>
                <c:pt idx="0">
                  <c:v>1970</c:v>
                </c:pt>
                <c:pt idx="1">
                  <c:v>1971</c:v>
                </c:pt>
                <c:pt idx="2">
                  <c:v>1972</c:v>
                </c:pt>
                <c:pt idx="3">
                  <c:v>1973</c:v>
                </c:pt>
                <c:pt idx="4">
                  <c:v>1974</c:v>
                </c:pt>
                <c:pt idx="5">
                  <c:v>1975</c:v>
                </c:pt>
                <c:pt idx="6">
                  <c:v>1976</c:v>
                </c:pt>
                <c:pt idx="7">
                  <c:v>1977</c:v>
                </c:pt>
                <c:pt idx="8">
                  <c:v>1978</c:v>
                </c:pt>
                <c:pt idx="9">
                  <c:v>1979</c:v>
                </c:pt>
                <c:pt idx="10">
                  <c:v>1980</c:v>
                </c:pt>
                <c:pt idx="11">
                  <c:v>1981</c:v>
                </c:pt>
                <c:pt idx="12">
                  <c:v>1982</c:v>
                </c:pt>
                <c:pt idx="13">
                  <c:v>1983</c:v>
                </c:pt>
                <c:pt idx="14">
                  <c:v>1984</c:v>
                </c:pt>
                <c:pt idx="15">
                  <c:v>1985</c:v>
                </c:pt>
                <c:pt idx="16">
                  <c:v>1986</c:v>
                </c:pt>
                <c:pt idx="17">
                  <c:v>1987</c:v>
                </c:pt>
                <c:pt idx="18">
                  <c:v>1988</c:v>
                </c:pt>
                <c:pt idx="19">
                  <c:v>1989</c:v>
                </c:pt>
                <c:pt idx="20">
                  <c:v>1990</c:v>
                </c:pt>
                <c:pt idx="21">
                  <c:v>1991</c:v>
                </c:pt>
                <c:pt idx="22">
                  <c:v>1992</c:v>
                </c:pt>
                <c:pt idx="23">
                  <c:v>1993</c:v>
                </c:pt>
                <c:pt idx="24">
                  <c:v>1994</c:v>
                </c:pt>
                <c:pt idx="25">
                  <c:v>1995</c:v>
                </c:pt>
                <c:pt idx="26">
                  <c:v>1996</c:v>
                </c:pt>
                <c:pt idx="27">
                  <c:v>1997</c:v>
                </c:pt>
                <c:pt idx="28">
                  <c:v>1998</c:v>
                </c:pt>
                <c:pt idx="29">
                  <c:v>1999</c:v>
                </c:pt>
                <c:pt idx="30">
                  <c:v>2000</c:v>
                </c:pt>
                <c:pt idx="31">
                  <c:v>2001</c:v>
                </c:pt>
                <c:pt idx="32">
                  <c:v>2002</c:v>
                </c:pt>
                <c:pt idx="33">
                  <c:v>2003</c:v>
                </c:pt>
                <c:pt idx="34">
                  <c:v>2004</c:v>
                </c:pt>
                <c:pt idx="35">
                  <c:v>2005</c:v>
                </c:pt>
                <c:pt idx="36">
                  <c:v>2006</c:v>
                </c:pt>
                <c:pt idx="37">
                  <c:v>2007</c:v>
                </c:pt>
                <c:pt idx="38">
                  <c:v>2008</c:v>
                </c:pt>
                <c:pt idx="39">
                  <c:v>2009</c:v>
                </c:pt>
                <c:pt idx="40">
                  <c:v>2010</c:v>
                </c:pt>
                <c:pt idx="41">
                  <c:v>2011</c:v>
                </c:pt>
                <c:pt idx="42">
                  <c:v>2012</c:v>
                </c:pt>
                <c:pt idx="43">
                  <c:v>2013</c:v>
                </c:pt>
                <c:pt idx="44">
                  <c:v>2014</c:v>
                </c:pt>
                <c:pt idx="45">
                  <c:v>2015</c:v>
                </c:pt>
                <c:pt idx="46">
                  <c:v>2016</c:v>
                </c:pt>
                <c:pt idx="47">
                  <c:v>2017</c:v>
                </c:pt>
                <c:pt idx="48">
                  <c:v>2018</c:v>
                </c:pt>
                <c:pt idx="49">
                  <c:v>2019</c:v>
                </c:pt>
                <c:pt idx="50">
                  <c:v>2020</c:v>
                </c:pt>
                <c:pt idx="51">
                  <c:v>2021</c:v>
                </c:pt>
                <c:pt idx="52">
                  <c:v>2022</c:v>
                </c:pt>
                <c:pt idx="53">
                  <c:v>2023</c:v>
                </c:pt>
              </c:numCache>
            </c:numRef>
          </c:cat>
          <c:val>
            <c:numRef>
              <c:f>Sheet1!$J$3:$J$56</c:f>
              <c:numCache>
                <c:formatCode>0.00</c:formatCode>
                <c:ptCount val="54"/>
                <c:pt idx="0">
                  <c:v>0.04</c:v>
                </c:pt>
                <c:pt idx="1">
                  <c:v>0</c:v>
                </c:pt>
                <c:pt idx="2">
                  <c:v>1.55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0.68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0.83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1.2</c:v>
                </c:pt>
                <c:pt idx="29">
                  <c:v>14.48</c:v>
                </c:pt>
                <c:pt idx="30">
                  <c:v>1.46</c:v>
                </c:pt>
                <c:pt idx="31">
                  <c:v>2.09</c:v>
                </c:pt>
                <c:pt idx="32">
                  <c:v>19</c:v>
                </c:pt>
                <c:pt idx="33">
                  <c:v>5.35</c:v>
                </c:pt>
                <c:pt idx="34">
                  <c:v>0.97</c:v>
                </c:pt>
                <c:pt idx="35">
                  <c:v>3.43</c:v>
                </c:pt>
                <c:pt idx="36">
                  <c:v>0.53</c:v>
                </c:pt>
                <c:pt idx="37">
                  <c:v>12.31</c:v>
                </c:pt>
                <c:pt idx="38">
                  <c:v>0</c:v>
                </c:pt>
                <c:pt idx="39">
                  <c:v>14.96</c:v>
                </c:pt>
                <c:pt idx="40">
                  <c:v>1.31</c:v>
                </c:pt>
                <c:pt idx="41">
                  <c:v>5.52</c:v>
                </c:pt>
                <c:pt idx="42">
                  <c:v>3.23</c:v>
                </c:pt>
                <c:pt idx="43">
                  <c:v>2.79</c:v>
                </c:pt>
                <c:pt idx="44">
                  <c:v>9.92</c:v>
                </c:pt>
                <c:pt idx="45">
                  <c:v>6.36</c:v>
                </c:pt>
                <c:pt idx="46">
                  <c:v>12.8</c:v>
                </c:pt>
                <c:pt idx="47">
                  <c:v>1.43</c:v>
                </c:pt>
                <c:pt idx="48">
                  <c:v>4.88</c:v>
                </c:pt>
                <c:pt idx="49">
                  <c:v>4.34</c:v>
                </c:pt>
                <c:pt idx="50">
                  <c:v>3.11</c:v>
                </c:pt>
                <c:pt idx="51">
                  <c:v>5.32</c:v>
                </c:pt>
                <c:pt idx="52">
                  <c:v>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2E3-4766-A1E3-49A047D007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25508944"/>
        <c:axId val="1825510576"/>
      </c:lineChart>
      <c:catAx>
        <c:axId val="1825508944"/>
        <c:scaling>
          <c:orientation val="minMax"/>
        </c:scaling>
        <c:delete val="0"/>
        <c:axPos val="b"/>
        <c:majorGridlines>
          <c:spPr>
            <a:ln w="9525" cap="flat" cmpd="sng" algn="ctr">
              <a:gradFill flip="none" rotWithShape="1">
                <a:gsLst>
                  <a:gs pos="0">
                    <a:schemeClr val="accent3">
                      <a:lumMod val="5000"/>
                      <a:lumOff val="95000"/>
                    </a:schemeClr>
                  </a:gs>
                  <a:gs pos="74000">
                    <a:schemeClr val="accent3">
                      <a:lumMod val="45000"/>
                      <a:lumOff val="55000"/>
                    </a:schemeClr>
                  </a:gs>
                  <a:gs pos="83000">
                    <a:schemeClr val="accent3">
                      <a:lumMod val="45000"/>
                      <a:lumOff val="55000"/>
                    </a:schemeClr>
                  </a:gs>
                  <a:gs pos="100000">
                    <a:schemeClr val="accent3">
                      <a:lumMod val="30000"/>
                      <a:lumOff val="70000"/>
                    </a:schemeClr>
                  </a:gs>
                </a:gsLst>
                <a:lin ang="5400000" scaled="1"/>
                <a:tileRect/>
              </a:gra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5510576"/>
        <c:crosses val="autoZero"/>
        <c:auto val="1"/>
        <c:lblAlgn val="ctr"/>
        <c:lblOffset val="100"/>
        <c:noMultiLvlLbl val="0"/>
      </c:catAx>
      <c:valAx>
        <c:axId val="182551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Average citations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2550894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bg1">
          <a:alpha val="38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2024-07-26T16:08:00Z</dcterms:created>
  <dcterms:modified xsi:type="dcterms:W3CDTF">2024-07-26T16:09:00Z</dcterms:modified>
</cp:coreProperties>
</file>